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F7056" w14:textId="7C342658" w:rsidR="00B66DF8" w:rsidRPr="00872067" w:rsidRDefault="00872067" w:rsidP="00872067">
      <w:pPr>
        <w:rPr>
          <w:rFonts w:ascii="Verdana" w:hAnsi="Verdana" w:cs="Vrinda"/>
          <w:sz w:val="20"/>
          <w:lang w:val="en-US"/>
        </w:rPr>
      </w:pPr>
      <w:r>
        <w:rPr>
          <w:rFonts w:ascii="Vrinda" w:hAnsi="Vrinda" w:cs="Vrinda"/>
          <w:color w:val="FF0000"/>
          <w:szCs w:val="22"/>
        </w:rPr>
        <w:t xml:space="preserve">       </w:t>
      </w:r>
    </w:p>
    <w:p w14:paraId="4F7F7057" w14:textId="77777777" w:rsidR="00B73916" w:rsidRDefault="00B73916" w:rsidP="00B73916">
      <w:pPr>
        <w:pStyle w:val="Heading1"/>
        <w:spacing w:before="120" w:line="260" w:lineRule="atLeast"/>
        <w:jc w:val="left"/>
        <w:rPr>
          <w:rFonts w:ascii="Verdana" w:hAnsi="Verdana" w:cs="Arial"/>
          <w:snapToGrid w:val="0"/>
          <w:sz w:val="20"/>
          <w:szCs w:val="20"/>
          <w:lang w:val="ru-RU"/>
        </w:rPr>
      </w:pPr>
      <w:bookmarkStart w:id="0" w:name="_Toc247959121"/>
      <w:bookmarkStart w:id="1" w:name="_Toc270424829"/>
      <w:bookmarkStart w:id="2" w:name="_Toc509396152"/>
      <w:bookmarkStart w:id="3" w:name="_Toc510083493"/>
      <w:bookmarkStart w:id="4" w:name="_Toc36064787"/>
      <w:r w:rsidRPr="00C2255D">
        <w:rPr>
          <w:rFonts w:ascii="Verdana" w:hAnsi="Verdana" w:cs="Arial"/>
          <w:snapToGrid w:val="0"/>
          <w:sz w:val="20"/>
          <w:szCs w:val="20"/>
          <w:lang w:val="ru-RU"/>
        </w:rPr>
        <w:t>ДОКЛАД ЗА ДЕЙНОСТТА</w:t>
      </w:r>
      <w:bookmarkEnd w:id="0"/>
      <w:bookmarkEnd w:id="1"/>
      <w:bookmarkEnd w:id="2"/>
      <w:bookmarkEnd w:id="3"/>
      <w:bookmarkEnd w:id="4"/>
    </w:p>
    <w:p w14:paraId="4F7F7058" w14:textId="77777777" w:rsidR="00B73916" w:rsidRDefault="00B73916" w:rsidP="00B73916">
      <w:pPr>
        <w:rPr>
          <w:lang w:val="ru-RU"/>
        </w:rPr>
      </w:pPr>
    </w:p>
    <w:p w14:paraId="4F7F7059" w14:textId="77777777" w:rsidR="00B73916" w:rsidRDefault="00B73916" w:rsidP="00B73916">
      <w:pPr>
        <w:spacing w:line="260" w:lineRule="atLeast"/>
        <w:rPr>
          <w:rFonts w:ascii="Verdana" w:hAnsi="Verdana" w:cs="Arial"/>
          <w:b/>
          <w:sz w:val="20"/>
          <w:lang w:val="en-US"/>
        </w:rPr>
      </w:pPr>
      <w:r w:rsidRPr="00BC7FC7">
        <w:rPr>
          <w:rFonts w:ascii="Verdana" w:hAnsi="Verdana" w:cs="Arial"/>
          <w:b/>
          <w:sz w:val="20"/>
        </w:rPr>
        <w:t>За годината, завършваща на 31 декември 201</w:t>
      </w:r>
      <w:r w:rsidR="004D7A29">
        <w:rPr>
          <w:rFonts w:ascii="Verdana" w:hAnsi="Verdana" w:cs="Arial"/>
          <w:b/>
          <w:sz w:val="20"/>
        </w:rPr>
        <w:t>9</w:t>
      </w:r>
      <w:r w:rsidRPr="00BC7FC7">
        <w:rPr>
          <w:rFonts w:ascii="Verdana" w:hAnsi="Verdana" w:cs="Arial"/>
          <w:b/>
          <w:sz w:val="20"/>
        </w:rPr>
        <w:t>г.</w:t>
      </w:r>
    </w:p>
    <w:p w14:paraId="4F7F705A" w14:textId="77777777" w:rsidR="00B73916" w:rsidRPr="00AF6831" w:rsidRDefault="00B73916" w:rsidP="00B73916">
      <w:pPr>
        <w:spacing w:line="260" w:lineRule="atLeast"/>
        <w:rPr>
          <w:rFonts w:ascii="Verdana" w:hAnsi="Verdana" w:cs="Arial"/>
          <w:b/>
          <w:sz w:val="20"/>
          <w:lang w:val="en-US"/>
        </w:rPr>
      </w:pPr>
    </w:p>
    <w:p w14:paraId="4F7F705B" w14:textId="7729CE45" w:rsidR="00B73916" w:rsidRPr="00AF6831" w:rsidRDefault="00B73916" w:rsidP="00B73916">
      <w:pPr>
        <w:pStyle w:val="EndnoteText"/>
        <w:spacing w:after="0"/>
        <w:rPr>
          <w:rFonts w:ascii="Verdana" w:hAnsi="Verdana" w:cs="Vrinda"/>
          <w:szCs w:val="20"/>
          <w:lang w:val="en-US"/>
        </w:rPr>
      </w:pPr>
      <w:r w:rsidRPr="000E54EB">
        <w:rPr>
          <w:rFonts w:ascii="Verdana" w:hAnsi="Verdana" w:cs="Arial"/>
          <w:szCs w:val="20"/>
          <w:lang w:val="bg-BG"/>
        </w:rPr>
        <w:t>ПРИЕТ</w:t>
      </w:r>
      <w:r w:rsidR="004D7A29">
        <w:rPr>
          <w:rFonts w:ascii="Verdana" w:hAnsi="Verdana" w:cs="Arial"/>
          <w:szCs w:val="20"/>
          <w:lang w:val="bg-BG"/>
        </w:rPr>
        <w:t xml:space="preserve"> </w:t>
      </w:r>
      <w:r w:rsidRPr="000E54EB">
        <w:rPr>
          <w:rFonts w:ascii="Verdana" w:hAnsi="Verdana" w:cs="Arial"/>
          <w:szCs w:val="20"/>
          <w:lang w:val="bg-BG"/>
        </w:rPr>
        <w:t>С</w:t>
      </w:r>
      <w:r w:rsidR="004D7A29">
        <w:rPr>
          <w:rFonts w:ascii="Verdana" w:hAnsi="Verdana" w:cs="Arial"/>
          <w:szCs w:val="20"/>
          <w:lang w:val="bg-BG"/>
        </w:rPr>
        <w:t xml:space="preserve"> </w:t>
      </w:r>
      <w:r w:rsidRPr="000E54EB">
        <w:rPr>
          <w:rFonts w:ascii="Verdana" w:hAnsi="Verdana" w:cs="Arial"/>
          <w:szCs w:val="20"/>
          <w:lang w:val="bg-BG"/>
        </w:rPr>
        <w:t>ПРОТОКОЛ</w:t>
      </w:r>
      <w:r w:rsidR="00B16B48">
        <w:rPr>
          <w:rFonts w:ascii="Verdana" w:hAnsi="Verdana" w:cs="Arial"/>
          <w:szCs w:val="20"/>
          <w:lang w:val="bg-BG"/>
        </w:rPr>
        <w:t xml:space="preserve"> </w:t>
      </w:r>
      <w:r w:rsidRPr="00353E01">
        <w:rPr>
          <w:rFonts w:ascii="Verdana" w:hAnsi="Verdana" w:cs="Arial"/>
          <w:szCs w:val="20"/>
          <w:lang w:val="bg-BG"/>
        </w:rPr>
        <w:t>ОТ</w:t>
      </w:r>
      <w:r w:rsidR="00353E01">
        <w:rPr>
          <w:rFonts w:ascii="Verdana" w:hAnsi="Verdana" w:cs="Vrinda"/>
          <w:szCs w:val="20"/>
          <w:lang w:val="bg-BG"/>
        </w:rPr>
        <w:t xml:space="preserve"> </w:t>
      </w:r>
      <w:r w:rsidR="00353E01">
        <w:rPr>
          <w:rFonts w:ascii="Verdana" w:hAnsi="Verdana" w:cs="Vrinda"/>
          <w:szCs w:val="20"/>
          <w:lang w:val="en-US"/>
        </w:rPr>
        <w:t>27.03.</w:t>
      </w:r>
      <w:r w:rsidR="00353E01">
        <w:rPr>
          <w:rFonts w:ascii="Verdana" w:hAnsi="Verdana" w:cs="Vrinda"/>
          <w:szCs w:val="20"/>
          <w:lang w:val="bg-BG"/>
        </w:rPr>
        <w:t>20</w:t>
      </w:r>
      <w:r w:rsidR="00353E01">
        <w:rPr>
          <w:rFonts w:ascii="Verdana" w:hAnsi="Verdana" w:cs="Vrinda"/>
          <w:szCs w:val="20"/>
          <w:lang w:val="en-US"/>
        </w:rPr>
        <w:t>20</w:t>
      </w:r>
      <w:r w:rsidR="00B16B48" w:rsidRPr="00353E01">
        <w:rPr>
          <w:rFonts w:ascii="Verdana" w:hAnsi="Verdana" w:cs="Vrinda"/>
          <w:szCs w:val="20"/>
          <w:lang w:val="bg-BG"/>
        </w:rPr>
        <w:t xml:space="preserve"> </w:t>
      </w:r>
      <w:r w:rsidRPr="00353E01">
        <w:rPr>
          <w:rFonts w:ascii="Verdana" w:hAnsi="Verdana" w:cs="Arial"/>
          <w:szCs w:val="20"/>
          <w:lang w:val="bg-BG"/>
        </w:rPr>
        <w:t>г</w:t>
      </w:r>
      <w:r w:rsidRPr="00353E01">
        <w:rPr>
          <w:rFonts w:ascii="Verdana" w:hAnsi="Verdana" w:cs="Vrinda"/>
          <w:szCs w:val="20"/>
          <w:lang w:val="bg-BG"/>
        </w:rPr>
        <w:t>.</w:t>
      </w:r>
      <w:r w:rsidR="00B16B48">
        <w:rPr>
          <w:rFonts w:ascii="Verdana" w:hAnsi="Verdana" w:cs="Vrinda"/>
          <w:szCs w:val="20"/>
          <w:lang w:val="bg-BG"/>
        </w:rPr>
        <w:t xml:space="preserve"> </w:t>
      </w:r>
      <w:proofErr w:type="spellStart"/>
      <w:proofErr w:type="gramStart"/>
      <w:r w:rsidR="00DF527E">
        <w:rPr>
          <w:rFonts w:ascii="Verdana" w:hAnsi="Verdana" w:cs="Arial"/>
        </w:rPr>
        <w:t>от</w:t>
      </w:r>
      <w:proofErr w:type="spellEnd"/>
      <w:r w:rsidR="00DF527E">
        <w:rPr>
          <w:rFonts w:ascii="Verdana" w:hAnsi="Verdana" w:cs="Arial"/>
        </w:rPr>
        <w:t xml:space="preserve"> </w:t>
      </w:r>
      <w:r w:rsidR="00DF527E">
        <w:rPr>
          <w:rFonts w:ascii="Verdana" w:hAnsi="Verdana" w:cs="Vrinda"/>
        </w:rPr>
        <w:t xml:space="preserve"> </w:t>
      </w:r>
      <w:proofErr w:type="spellStart"/>
      <w:r w:rsidR="00DF527E">
        <w:rPr>
          <w:rFonts w:ascii="Verdana" w:hAnsi="Verdana" w:cs="Vrinda"/>
        </w:rPr>
        <w:t>Съвета</w:t>
      </w:r>
      <w:proofErr w:type="spellEnd"/>
      <w:proofErr w:type="gramEnd"/>
      <w:r w:rsidR="00DF527E">
        <w:rPr>
          <w:rFonts w:ascii="Verdana" w:hAnsi="Verdana" w:cs="Vrinda"/>
        </w:rPr>
        <w:t xml:space="preserve"> </w:t>
      </w:r>
      <w:proofErr w:type="spellStart"/>
      <w:r w:rsidR="00DF527E">
        <w:rPr>
          <w:rFonts w:ascii="Verdana" w:hAnsi="Verdana" w:cs="Vrinda"/>
        </w:rPr>
        <w:t>на</w:t>
      </w:r>
      <w:proofErr w:type="spellEnd"/>
      <w:r w:rsidR="00DF527E">
        <w:rPr>
          <w:rFonts w:ascii="Verdana" w:hAnsi="Verdana" w:cs="Vrinda"/>
        </w:rPr>
        <w:t xml:space="preserve"> </w:t>
      </w:r>
      <w:proofErr w:type="spellStart"/>
      <w:r w:rsidR="00DF527E">
        <w:rPr>
          <w:rFonts w:ascii="Verdana" w:hAnsi="Verdana" w:cs="Vrinda"/>
        </w:rPr>
        <w:t>директорите</w:t>
      </w:r>
      <w:proofErr w:type="spellEnd"/>
    </w:p>
    <w:p w14:paraId="4F7F705C" w14:textId="77777777" w:rsidR="00B73916" w:rsidRDefault="00B73916" w:rsidP="00B73916">
      <w:pPr>
        <w:spacing w:line="260" w:lineRule="atLeast"/>
        <w:rPr>
          <w:rFonts w:ascii="Verdana" w:hAnsi="Verdana" w:cs="Arial"/>
          <w:b/>
          <w:sz w:val="20"/>
        </w:rPr>
      </w:pPr>
    </w:p>
    <w:p w14:paraId="4F7F705D" w14:textId="77777777" w:rsidR="00B73916" w:rsidRDefault="00B73916" w:rsidP="00B73916">
      <w:pPr>
        <w:spacing w:line="260" w:lineRule="atLeast"/>
        <w:rPr>
          <w:rFonts w:ascii="Verdana" w:hAnsi="Verdana" w:cs="Arial"/>
          <w:sz w:val="20"/>
        </w:rPr>
      </w:pPr>
      <w:r>
        <w:rPr>
          <w:rFonts w:ascii="Verdana" w:hAnsi="Verdana" w:cs="Arial"/>
          <w:sz w:val="20"/>
        </w:rPr>
        <w:t xml:space="preserve">НАСТОЯЩИ ДОКЛАД ЗА ДЕЙНОСТТА НА „ТОПЛОФИКАЦИЯ – </w:t>
      </w:r>
      <w:r w:rsidR="004D7A29">
        <w:rPr>
          <w:rFonts w:ascii="Verdana" w:hAnsi="Verdana" w:cs="Arial"/>
          <w:sz w:val="20"/>
        </w:rPr>
        <w:t xml:space="preserve">РАЗГРАД“ </w:t>
      </w:r>
      <w:r>
        <w:rPr>
          <w:rFonts w:ascii="Verdana" w:hAnsi="Verdana" w:cs="Arial"/>
          <w:sz w:val="20"/>
        </w:rPr>
        <w:t>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14:paraId="4F7F705E" w14:textId="77777777" w:rsidR="00B73916" w:rsidRDefault="00B73916" w:rsidP="00B73916">
      <w:pPr>
        <w:spacing w:line="260" w:lineRule="atLeast"/>
        <w:rPr>
          <w:rFonts w:ascii="Verdana" w:hAnsi="Verdana" w:cs="Arial"/>
          <w:sz w:val="20"/>
        </w:rPr>
      </w:pPr>
    </w:p>
    <w:p w14:paraId="4F7F705F" w14:textId="7BD0CD09" w:rsidR="00B73916" w:rsidRDefault="00B73916" w:rsidP="00B73916">
      <w:pPr>
        <w:spacing w:line="260" w:lineRule="atLeast"/>
        <w:rPr>
          <w:rFonts w:ascii="Verdana" w:hAnsi="Verdana" w:cs="Arial"/>
          <w:sz w:val="20"/>
          <w:lang w:val="en-US"/>
        </w:rPr>
      </w:pPr>
      <w:r>
        <w:rPr>
          <w:rFonts w:ascii="Verdana" w:hAnsi="Verdana" w:cs="Arial"/>
          <w:sz w:val="20"/>
        </w:rPr>
        <w:t>Ръководството представя своя годишен доклад и индивидуалния годишен финансов отчет към 31 декември 201</w:t>
      </w:r>
      <w:r w:rsidR="008F23AF">
        <w:rPr>
          <w:rFonts w:ascii="Verdana" w:hAnsi="Verdana" w:cs="Arial"/>
          <w:sz w:val="20"/>
        </w:rPr>
        <w:t>9</w:t>
      </w:r>
      <w:r>
        <w:rPr>
          <w:rFonts w:ascii="Verdana" w:hAnsi="Verdana" w:cs="Arial"/>
          <w:sz w:val="20"/>
        </w:rPr>
        <w:t xml:space="preserve"> г., изготвен в съответствие с </w:t>
      </w:r>
      <w:proofErr w:type="spellStart"/>
      <w:r>
        <w:rPr>
          <w:rFonts w:ascii="Verdana" w:hAnsi="Verdana" w:cs="Arial"/>
          <w:sz w:val="20"/>
        </w:rPr>
        <w:t>Междунсродните</w:t>
      </w:r>
      <w:proofErr w:type="spellEnd"/>
      <w:r>
        <w:rPr>
          <w:rFonts w:ascii="Verdana" w:hAnsi="Verdana" w:cs="Arial"/>
          <w:sz w:val="20"/>
        </w:rPr>
        <w:t xml:space="preserve"> стандарти за финансово отчитане, приети от Европейския съюз.</w:t>
      </w:r>
    </w:p>
    <w:p w14:paraId="4F7F7060" w14:textId="77777777" w:rsidR="00B73916" w:rsidRPr="00AF6831" w:rsidRDefault="00B73916" w:rsidP="00B73916">
      <w:pPr>
        <w:spacing w:line="260" w:lineRule="atLeast"/>
        <w:rPr>
          <w:rFonts w:ascii="Verdana" w:hAnsi="Verdana" w:cs="Arial"/>
          <w:sz w:val="20"/>
          <w:lang w:val="en-US"/>
        </w:rPr>
      </w:pPr>
    </w:p>
    <w:p w14:paraId="4F7F7061" w14:textId="77777777" w:rsidR="00B73916" w:rsidRPr="00BC7FC7" w:rsidRDefault="00B73916" w:rsidP="00B73916">
      <w:pPr>
        <w:spacing w:line="260" w:lineRule="atLeast"/>
        <w:rPr>
          <w:rFonts w:ascii="Verdana" w:hAnsi="Verdana" w:cs="Arial"/>
          <w:sz w:val="20"/>
        </w:rPr>
      </w:pPr>
      <w:r>
        <w:rPr>
          <w:rFonts w:ascii="Verdana" w:hAnsi="Verdana" w:cs="Arial"/>
          <w:sz w:val="20"/>
        </w:rPr>
        <w:t xml:space="preserve">Този финансов отчет е </w:t>
      </w:r>
      <w:proofErr w:type="spellStart"/>
      <w:r>
        <w:rPr>
          <w:rFonts w:ascii="Verdana" w:hAnsi="Verdana" w:cs="Arial"/>
          <w:sz w:val="20"/>
        </w:rPr>
        <w:t>одитиран</w:t>
      </w:r>
      <w:proofErr w:type="spellEnd"/>
      <w:r>
        <w:rPr>
          <w:rFonts w:ascii="Verdana" w:hAnsi="Verdana" w:cs="Arial"/>
          <w:sz w:val="20"/>
        </w:rPr>
        <w:t xml:space="preserve"> от </w:t>
      </w:r>
      <w:proofErr w:type="spellStart"/>
      <w:r>
        <w:rPr>
          <w:rFonts w:ascii="Verdana" w:hAnsi="Verdana" w:cs="Arial"/>
          <w:sz w:val="20"/>
        </w:rPr>
        <w:t>одиторско</w:t>
      </w:r>
      <w:proofErr w:type="spellEnd"/>
      <w:r>
        <w:rPr>
          <w:rFonts w:ascii="Verdana" w:hAnsi="Verdana" w:cs="Arial"/>
          <w:sz w:val="20"/>
        </w:rPr>
        <w:t xml:space="preserve"> дружество „</w:t>
      </w:r>
      <w:proofErr w:type="spellStart"/>
      <w:r>
        <w:rPr>
          <w:rFonts w:ascii="Verdana" w:hAnsi="Verdana" w:cs="Arial"/>
          <w:sz w:val="20"/>
        </w:rPr>
        <w:t>ИсаОдит</w:t>
      </w:r>
      <w:proofErr w:type="spellEnd"/>
      <w:r>
        <w:rPr>
          <w:rFonts w:ascii="Verdana" w:hAnsi="Verdana" w:cs="Arial"/>
          <w:sz w:val="20"/>
        </w:rPr>
        <w:t>” ООД.</w:t>
      </w:r>
    </w:p>
    <w:p w14:paraId="4F7F7062" w14:textId="77777777" w:rsidR="00D56F61" w:rsidRPr="00C2255D" w:rsidRDefault="00D56F61" w:rsidP="00D56F61">
      <w:pPr>
        <w:pStyle w:val="EndnoteText"/>
        <w:spacing w:before="120" w:after="0" w:line="260" w:lineRule="atLeast"/>
        <w:rPr>
          <w:rFonts w:ascii="Verdana" w:hAnsi="Verdana" w:cs="Arial"/>
          <w:b/>
          <w:bCs w:val="0"/>
          <w:szCs w:val="20"/>
          <w:lang w:val="bg-BG"/>
        </w:rPr>
      </w:pPr>
      <w:bookmarkStart w:id="5" w:name="_Toc153350918"/>
      <w:bookmarkStart w:id="6" w:name="_Toc153351499"/>
      <w:bookmarkStart w:id="7" w:name="_Toc154161871"/>
      <w:r w:rsidRPr="00C2255D">
        <w:rPr>
          <w:rFonts w:ascii="Verdana" w:hAnsi="Verdana" w:cs="Arial"/>
          <w:b/>
          <w:bCs w:val="0"/>
          <w:szCs w:val="20"/>
          <w:lang w:val="bg-BG"/>
        </w:rPr>
        <w:t>Описание на дейността</w:t>
      </w:r>
    </w:p>
    <w:p w14:paraId="4F7F7063"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Дружеството е регистрирано в Република България с ЕИК 116019472</w:t>
      </w:r>
      <w:r>
        <w:rPr>
          <w:rFonts w:ascii="Verdana" w:hAnsi="Verdana" w:cs="Arial"/>
          <w:sz w:val="20"/>
        </w:rPr>
        <w:t>.</w:t>
      </w:r>
    </w:p>
    <w:p w14:paraId="4F7F7064"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Дружеството е със седалище, адрес на управление и адрес за кореспонденция</w:t>
      </w:r>
      <w:r>
        <w:rPr>
          <w:rFonts w:ascii="Verdana" w:hAnsi="Verdana" w:cs="Arial"/>
          <w:sz w:val="20"/>
        </w:rPr>
        <w:t>:</w:t>
      </w:r>
      <w:r w:rsidRPr="00C2255D">
        <w:rPr>
          <w:rFonts w:ascii="Verdana" w:hAnsi="Verdana" w:cs="Arial"/>
          <w:sz w:val="20"/>
        </w:rPr>
        <w:t xml:space="preserve"> гр. Разград, 7200, Индустриална зона, ул.“Черна“</w:t>
      </w:r>
      <w:r>
        <w:rPr>
          <w:rFonts w:ascii="Verdana" w:hAnsi="Verdana" w:cs="Arial"/>
          <w:sz w:val="20"/>
        </w:rPr>
        <w:t>.</w:t>
      </w:r>
    </w:p>
    <w:p w14:paraId="4F7F7065" w14:textId="77777777" w:rsidR="00D56F61" w:rsidRPr="00C2255D" w:rsidRDefault="00D56F61" w:rsidP="00D56F61">
      <w:pPr>
        <w:spacing w:line="260" w:lineRule="atLeast"/>
        <w:rPr>
          <w:rFonts w:ascii="Verdana" w:hAnsi="Verdana" w:cs="Arial"/>
          <w:sz w:val="20"/>
        </w:rPr>
      </w:pPr>
    </w:p>
    <w:p w14:paraId="4F7F7066"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Основната му дейност е свързана с производство на е</w:t>
      </w:r>
      <w:r>
        <w:rPr>
          <w:rFonts w:ascii="Verdana" w:hAnsi="Verdana" w:cs="Arial"/>
          <w:sz w:val="20"/>
        </w:rPr>
        <w:t xml:space="preserve">лектрическа и топлинна енергия </w:t>
      </w:r>
      <w:r w:rsidRPr="00C2255D">
        <w:rPr>
          <w:rFonts w:ascii="Verdana" w:hAnsi="Verdana" w:cs="Arial"/>
          <w:sz w:val="20"/>
        </w:rPr>
        <w:t>и пренос на топлинна енергия.</w:t>
      </w:r>
    </w:p>
    <w:p w14:paraId="4F7F7067" w14:textId="77777777" w:rsidR="00D56F61" w:rsidRDefault="00D56F61" w:rsidP="00D56F61">
      <w:pPr>
        <w:spacing w:line="260" w:lineRule="atLeast"/>
        <w:rPr>
          <w:rFonts w:ascii="Verdana" w:hAnsi="Verdana" w:cs="Arial"/>
          <w:sz w:val="20"/>
        </w:rPr>
      </w:pPr>
      <w:r w:rsidRPr="00C2255D">
        <w:rPr>
          <w:rFonts w:ascii="Verdana" w:hAnsi="Verdana" w:cs="Arial"/>
          <w:sz w:val="20"/>
        </w:rPr>
        <w:t>Дружеството и през тази година е продължило основната си дейност, свързана с производство на електрическа и топлинна енергия, и пренос на топлинна енергия.</w:t>
      </w:r>
    </w:p>
    <w:p w14:paraId="4F7F7068" w14:textId="77777777" w:rsidR="00D56F61" w:rsidRDefault="00D56F61" w:rsidP="00D56F61">
      <w:pPr>
        <w:spacing w:line="260" w:lineRule="atLeast"/>
        <w:rPr>
          <w:rFonts w:ascii="Verdana" w:hAnsi="Verdana" w:cs="Arial"/>
          <w:sz w:val="20"/>
          <w:lang w:val="en-US"/>
        </w:rPr>
      </w:pPr>
    </w:p>
    <w:p w14:paraId="4F7F7069" w14:textId="77777777" w:rsidR="00D56F61" w:rsidRDefault="00D56F61" w:rsidP="00D56F61">
      <w:pPr>
        <w:spacing w:line="260" w:lineRule="atLeast"/>
        <w:rPr>
          <w:rFonts w:ascii="Verdana" w:hAnsi="Verdana" w:cs="Arial"/>
          <w:sz w:val="20"/>
        </w:rPr>
      </w:pPr>
      <w:r>
        <w:rPr>
          <w:rFonts w:ascii="Verdana" w:hAnsi="Verdana" w:cs="Arial"/>
          <w:sz w:val="20"/>
        </w:rPr>
        <w:t>Дружеството няма регистрирани клонове в страната и чужбина.</w:t>
      </w:r>
    </w:p>
    <w:p w14:paraId="4F7F706A" w14:textId="77777777" w:rsidR="00D56F61" w:rsidRDefault="00D56F61" w:rsidP="00D56F61">
      <w:pPr>
        <w:spacing w:line="260" w:lineRule="atLeast"/>
        <w:rPr>
          <w:rFonts w:ascii="Verdana" w:hAnsi="Verdana" w:cs="Arial"/>
          <w:sz w:val="20"/>
        </w:rPr>
      </w:pPr>
      <w:r>
        <w:rPr>
          <w:rFonts w:ascii="Verdana" w:hAnsi="Verdana" w:cs="Arial"/>
          <w:sz w:val="20"/>
        </w:rPr>
        <w:t>Дружеството не е публично дружество по смисъла на ЗППЦК.</w:t>
      </w:r>
    </w:p>
    <w:p w14:paraId="4F7F706B" w14:textId="77777777" w:rsidR="00D56F61" w:rsidRPr="00A62E59" w:rsidRDefault="00D56F61" w:rsidP="00D56F61">
      <w:pPr>
        <w:spacing w:line="260" w:lineRule="atLeast"/>
        <w:rPr>
          <w:rFonts w:ascii="Verdana" w:hAnsi="Verdana" w:cs="Arial"/>
          <w:sz w:val="20"/>
        </w:rPr>
      </w:pPr>
      <w:r>
        <w:rPr>
          <w:rFonts w:ascii="Verdana" w:hAnsi="Verdana" w:cs="Arial"/>
          <w:sz w:val="20"/>
        </w:rPr>
        <w:t>Дружеството не е регистрирано като финансова институция.</w:t>
      </w:r>
    </w:p>
    <w:bookmarkEnd w:id="5"/>
    <w:bookmarkEnd w:id="6"/>
    <w:bookmarkEnd w:id="7"/>
    <w:p w14:paraId="4F7F706C" w14:textId="77777777" w:rsidR="00D56F61" w:rsidRDefault="00D56F61" w:rsidP="00D56F61">
      <w:pPr>
        <w:pStyle w:val="BodyTextIndent"/>
        <w:spacing w:line="260" w:lineRule="atLeast"/>
        <w:ind w:left="0"/>
        <w:rPr>
          <w:rFonts w:ascii="Verdana" w:hAnsi="Verdana" w:cs="Arial"/>
          <w:bCs w:val="0"/>
          <w:snapToGrid/>
          <w:sz w:val="20"/>
          <w:szCs w:val="20"/>
        </w:rPr>
      </w:pPr>
      <w:r w:rsidRPr="00C2255D">
        <w:rPr>
          <w:rFonts w:ascii="Verdana" w:hAnsi="Verdana" w:cs="Arial"/>
          <w:bCs w:val="0"/>
          <w:snapToGrid/>
          <w:sz w:val="20"/>
          <w:szCs w:val="20"/>
        </w:rPr>
        <w:t xml:space="preserve">Финансовият резултат на Дружеството за </w:t>
      </w:r>
      <w:r>
        <w:rPr>
          <w:rFonts w:ascii="Verdana" w:hAnsi="Verdana" w:cs="Arial"/>
          <w:bCs w:val="0"/>
          <w:snapToGrid/>
          <w:sz w:val="20"/>
          <w:szCs w:val="20"/>
        </w:rPr>
        <w:t>201</w:t>
      </w:r>
      <w:r>
        <w:rPr>
          <w:rFonts w:ascii="Verdana" w:hAnsi="Verdana" w:cs="Arial"/>
          <w:bCs w:val="0"/>
          <w:snapToGrid/>
          <w:sz w:val="20"/>
          <w:szCs w:val="20"/>
          <w:lang w:val="en-US"/>
        </w:rPr>
        <w:t>9</w:t>
      </w:r>
      <w:r w:rsidRPr="00C2255D">
        <w:rPr>
          <w:rFonts w:ascii="Verdana" w:hAnsi="Verdana" w:cs="Arial"/>
          <w:bCs w:val="0"/>
          <w:snapToGrid/>
          <w:sz w:val="20"/>
          <w:szCs w:val="20"/>
        </w:rPr>
        <w:t xml:space="preserve"> г. </w:t>
      </w:r>
      <w:r>
        <w:rPr>
          <w:rFonts w:ascii="Verdana" w:hAnsi="Verdana" w:cs="Arial"/>
          <w:bCs w:val="0"/>
          <w:snapToGrid/>
          <w:sz w:val="20"/>
          <w:szCs w:val="20"/>
        </w:rPr>
        <w:t xml:space="preserve">след данъци </w:t>
      </w:r>
      <w:r w:rsidRPr="00C2255D">
        <w:rPr>
          <w:rFonts w:ascii="Verdana" w:hAnsi="Verdana" w:cs="Arial"/>
          <w:bCs w:val="0"/>
          <w:snapToGrid/>
          <w:sz w:val="20"/>
          <w:szCs w:val="20"/>
        </w:rPr>
        <w:t>е загуб</w:t>
      </w:r>
      <w:r>
        <w:rPr>
          <w:rFonts w:ascii="Verdana" w:hAnsi="Verdana" w:cs="Arial"/>
          <w:bCs w:val="0"/>
          <w:snapToGrid/>
          <w:sz w:val="20"/>
          <w:szCs w:val="20"/>
        </w:rPr>
        <w:t xml:space="preserve">а в размер на </w:t>
      </w:r>
      <w:r>
        <w:rPr>
          <w:rFonts w:ascii="Verdana" w:hAnsi="Verdana" w:cs="Arial"/>
          <w:bCs w:val="0"/>
          <w:snapToGrid/>
          <w:sz w:val="20"/>
          <w:szCs w:val="20"/>
          <w:lang w:val="en-US"/>
        </w:rPr>
        <w:t xml:space="preserve">1 201 </w:t>
      </w:r>
      <w:r w:rsidRPr="00C2255D">
        <w:rPr>
          <w:rFonts w:ascii="Verdana" w:hAnsi="Verdana" w:cs="Arial"/>
          <w:bCs w:val="0"/>
          <w:snapToGrid/>
          <w:sz w:val="20"/>
          <w:szCs w:val="20"/>
        </w:rPr>
        <w:t xml:space="preserve">хил.лв. </w:t>
      </w:r>
      <w:r w:rsidRPr="00E96966">
        <w:rPr>
          <w:rFonts w:ascii="Verdana" w:hAnsi="Verdana" w:cs="Arial"/>
          <w:bCs w:val="0"/>
          <w:snapToGrid/>
          <w:sz w:val="20"/>
          <w:szCs w:val="20"/>
        </w:rPr>
        <w:t>Данъчното облагане на Дружеството се извършва съгласно изискванията на местното законодателство.</w:t>
      </w:r>
    </w:p>
    <w:p w14:paraId="4F7F706D" w14:textId="77777777" w:rsidR="00D56F61" w:rsidRDefault="00D56F61" w:rsidP="00D56F61">
      <w:pPr>
        <w:pStyle w:val="BodyTextIndent"/>
        <w:spacing w:after="40" w:line="260" w:lineRule="atLeast"/>
        <w:ind w:left="0"/>
        <w:rPr>
          <w:rFonts w:ascii="Verdana" w:hAnsi="Verdana" w:cs="Arial"/>
          <w:b/>
          <w:bCs w:val="0"/>
          <w:snapToGrid/>
          <w:sz w:val="20"/>
          <w:szCs w:val="20"/>
        </w:rPr>
      </w:pPr>
      <w:r w:rsidRPr="00C46C41">
        <w:rPr>
          <w:rFonts w:ascii="Verdana" w:hAnsi="Verdana" w:cs="Arial"/>
          <w:b/>
          <w:bCs w:val="0"/>
          <w:snapToGrid/>
          <w:sz w:val="20"/>
          <w:szCs w:val="20"/>
        </w:rPr>
        <w:t>Структура на основния капитал</w:t>
      </w:r>
    </w:p>
    <w:p w14:paraId="4F7F706E" w14:textId="77777777" w:rsidR="00D56F61" w:rsidRPr="00C46C41" w:rsidRDefault="00D56F61" w:rsidP="00D56F61">
      <w:pPr>
        <w:pStyle w:val="BodyTextIndent"/>
        <w:spacing w:after="40" w:line="260" w:lineRule="atLeast"/>
        <w:ind w:left="0"/>
        <w:rPr>
          <w:rFonts w:ascii="Verdana" w:hAnsi="Verdana" w:cs="Arial"/>
          <w:b/>
          <w:bCs w:val="0"/>
          <w:snapToGrid/>
          <w:sz w:val="20"/>
          <w:szCs w:val="20"/>
        </w:rPr>
      </w:pPr>
    </w:p>
    <w:tbl>
      <w:tblPr>
        <w:tblW w:w="5000" w:type="pct"/>
        <w:tblCellSpacing w:w="1440" w:type="nil"/>
        <w:tblBorders>
          <w:top w:val="outset" w:sz="6" w:space="0" w:color="auto"/>
          <w:bottom w:val="outset" w:sz="6" w:space="0" w:color="auto"/>
          <w:insideH w:val="outset" w:sz="6" w:space="0" w:color="auto"/>
        </w:tblBorders>
        <w:tblLook w:val="0000" w:firstRow="0" w:lastRow="0" w:firstColumn="0" w:lastColumn="0" w:noHBand="0" w:noVBand="0"/>
      </w:tblPr>
      <w:tblGrid>
        <w:gridCol w:w="5286"/>
        <w:gridCol w:w="1287"/>
        <w:gridCol w:w="1532"/>
        <w:gridCol w:w="1578"/>
      </w:tblGrid>
      <w:tr w:rsidR="00D56F61" w14:paraId="4F7F7074" w14:textId="77777777" w:rsidTr="009972FF">
        <w:trPr>
          <w:tblCellSpacing w:w="1440" w:type="nil"/>
        </w:trPr>
        <w:tc>
          <w:tcPr>
            <w:tcW w:w="2674" w:type="pct"/>
          </w:tcPr>
          <w:p w14:paraId="4F7F706F" w14:textId="77777777" w:rsidR="00D56F61" w:rsidRPr="00611ED0" w:rsidRDefault="00D56F61" w:rsidP="009972FF">
            <w:pPr>
              <w:spacing w:line="260" w:lineRule="atLeast"/>
              <w:rPr>
                <w:rFonts w:ascii="Verdana" w:hAnsi="Verdana" w:cs="Arial"/>
                <w:b/>
                <w:sz w:val="20"/>
              </w:rPr>
            </w:pPr>
            <w:r w:rsidRPr="00611ED0">
              <w:rPr>
                <w:rFonts w:ascii="Verdana" w:hAnsi="Verdana" w:cs="Arial"/>
                <w:b/>
                <w:sz w:val="20"/>
              </w:rPr>
              <w:t>Акционери</w:t>
            </w:r>
          </w:p>
        </w:tc>
        <w:tc>
          <w:tcPr>
            <w:tcW w:w="651" w:type="pct"/>
          </w:tcPr>
          <w:p w14:paraId="4F7F7070" w14:textId="77777777" w:rsidR="00D56F61" w:rsidRPr="00611ED0" w:rsidRDefault="00D56F61" w:rsidP="009972FF">
            <w:pPr>
              <w:spacing w:line="260" w:lineRule="atLeast"/>
              <w:jc w:val="center"/>
              <w:rPr>
                <w:rFonts w:ascii="Verdana" w:hAnsi="Verdana" w:cs="Arial"/>
                <w:b/>
                <w:sz w:val="20"/>
              </w:rPr>
            </w:pPr>
            <w:r w:rsidRPr="00611ED0">
              <w:rPr>
                <w:rFonts w:ascii="Verdana" w:hAnsi="Verdana" w:cs="Arial"/>
                <w:b/>
                <w:sz w:val="20"/>
              </w:rPr>
              <w:t>Участие</w:t>
            </w:r>
          </w:p>
        </w:tc>
        <w:tc>
          <w:tcPr>
            <w:tcW w:w="775" w:type="pct"/>
          </w:tcPr>
          <w:p w14:paraId="4F7F7071" w14:textId="77777777" w:rsidR="00D56F61" w:rsidRPr="00611ED0" w:rsidRDefault="00D56F61" w:rsidP="009972FF">
            <w:pPr>
              <w:spacing w:line="260" w:lineRule="atLeast"/>
              <w:jc w:val="center"/>
              <w:rPr>
                <w:rFonts w:ascii="Verdana" w:hAnsi="Verdana" w:cs="Arial"/>
                <w:b/>
                <w:sz w:val="20"/>
              </w:rPr>
            </w:pPr>
            <w:r w:rsidRPr="00611ED0">
              <w:rPr>
                <w:rFonts w:ascii="Verdana" w:hAnsi="Verdana" w:cs="Arial"/>
                <w:b/>
                <w:sz w:val="20"/>
              </w:rPr>
              <w:t>Брой акции</w:t>
            </w:r>
          </w:p>
        </w:tc>
        <w:tc>
          <w:tcPr>
            <w:tcW w:w="798" w:type="pct"/>
          </w:tcPr>
          <w:p w14:paraId="4F7F7072" w14:textId="77777777" w:rsidR="00D56F61" w:rsidRDefault="00D56F61" w:rsidP="009972FF">
            <w:pPr>
              <w:spacing w:line="260" w:lineRule="atLeast"/>
              <w:jc w:val="center"/>
              <w:rPr>
                <w:rFonts w:ascii="Verdana" w:hAnsi="Verdana" w:cs="Arial"/>
                <w:b/>
                <w:sz w:val="20"/>
                <w:lang w:val="en-US"/>
              </w:rPr>
            </w:pPr>
            <w:r w:rsidRPr="00611ED0">
              <w:rPr>
                <w:rFonts w:ascii="Verdana" w:hAnsi="Verdana" w:cs="Arial"/>
                <w:b/>
                <w:sz w:val="20"/>
              </w:rPr>
              <w:t>Номинална стойност</w:t>
            </w:r>
          </w:p>
          <w:p w14:paraId="4F7F7073" w14:textId="50E1E5ED" w:rsidR="00D56F61" w:rsidRPr="00C46C41" w:rsidRDefault="00D56F61" w:rsidP="009972FF">
            <w:pPr>
              <w:spacing w:line="260" w:lineRule="atLeast"/>
              <w:jc w:val="center"/>
              <w:rPr>
                <w:rFonts w:ascii="Verdana" w:hAnsi="Verdana" w:cs="Arial"/>
                <w:b/>
                <w:sz w:val="20"/>
              </w:rPr>
            </w:pPr>
            <w:r w:rsidRPr="00D151A7">
              <w:rPr>
                <w:rFonts w:ascii="Verdana" w:hAnsi="Verdana" w:cs="Tahoma"/>
                <w:b/>
                <w:sz w:val="20"/>
              </w:rPr>
              <w:t>BGN</w:t>
            </w:r>
          </w:p>
        </w:tc>
      </w:tr>
      <w:tr w:rsidR="00D56F61" w14:paraId="4F7F7079" w14:textId="77777777" w:rsidTr="009972FF">
        <w:trPr>
          <w:tblCellSpacing w:w="1440" w:type="nil"/>
        </w:trPr>
        <w:tc>
          <w:tcPr>
            <w:tcW w:w="2674" w:type="pct"/>
          </w:tcPr>
          <w:p w14:paraId="4F7F7075" w14:textId="77777777" w:rsidR="00D56F61" w:rsidRPr="00611ED0" w:rsidRDefault="00D56F61" w:rsidP="009972FF">
            <w:pPr>
              <w:spacing w:line="260" w:lineRule="atLeast"/>
              <w:rPr>
                <w:rFonts w:ascii="Verdana" w:hAnsi="Verdana" w:cs="Arial"/>
                <w:sz w:val="20"/>
              </w:rPr>
            </w:pPr>
            <w:r w:rsidRPr="00611ED0">
              <w:rPr>
                <w:rFonts w:ascii="Verdana" w:hAnsi="Verdana" w:cs="Arial"/>
                <w:sz w:val="20"/>
              </w:rPr>
              <w:t>Овергаз Холдинг АД</w:t>
            </w:r>
          </w:p>
        </w:tc>
        <w:tc>
          <w:tcPr>
            <w:tcW w:w="651" w:type="pct"/>
          </w:tcPr>
          <w:p w14:paraId="4F7F7076" w14:textId="77777777" w:rsidR="00D56F61" w:rsidRPr="00611ED0" w:rsidRDefault="00D56F61" w:rsidP="009972FF">
            <w:pPr>
              <w:spacing w:line="260" w:lineRule="atLeast"/>
              <w:jc w:val="center"/>
              <w:rPr>
                <w:rFonts w:ascii="Verdana" w:hAnsi="Verdana" w:cs="Arial"/>
                <w:sz w:val="20"/>
              </w:rPr>
            </w:pPr>
            <w:r>
              <w:rPr>
                <w:rFonts w:ascii="Verdana" w:hAnsi="Verdana" w:cs="Arial"/>
                <w:sz w:val="20"/>
                <w:lang w:val="en-US"/>
              </w:rPr>
              <w:t>99,9999</w:t>
            </w:r>
            <w:r w:rsidRPr="00611ED0">
              <w:rPr>
                <w:rFonts w:ascii="Verdana" w:hAnsi="Verdana" w:cs="Arial"/>
                <w:sz w:val="20"/>
              </w:rPr>
              <w:t>%</w:t>
            </w:r>
          </w:p>
        </w:tc>
        <w:tc>
          <w:tcPr>
            <w:tcW w:w="775" w:type="pct"/>
          </w:tcPr>
          <w:p w14:paraId="4F7F7077" w14:textId="77777777" w:rsidR="00D56F61" w:rsidRPr="00611ED0" w:rsidRDefault="00D56F61" w:rsidP="009972FF">
            <w:pPr>
              <w:spacing w:line="260" w:lineRule="atLeast"/>
              <w:jc w:val="center"/>
              <w:rPr>
                <w:rFonts w:ascii="Verdana" w:hAnsi="Verdana" w:cs="Arial"/>
                <w:sz w:val="20"/>
              </w:rPr>
            </w:pPr>
            <w:r>
              <w:rPr>
                <w:rFonts w:ascii="Verdana" w:hAnsi="Verdana" w:cs="Arial"/>
                <w:sz w:val="20"/>
              </w:rPr>
              <w:t xml:space="preserve">6 999 </w:t>
            </w:r>
            <w:proofErr w:type="spellStart"/>
            <w:r>
              <w:rPr>
                <w:rFonts w:ascii="Verdana" w:hAnsi="Verdana" w:cs="Arial"/>
                <w:sz w:val="20"/>
              </w:rPr>
              <w:t>999</w:t>
            </w:r>
            <w:proofErr w:type="spellEnd"/>
          </w:p>
        </w:tc>
        <w:tc>
          <w:tcPr>
            <w:tcW w:w="798" w:type="pct"/>
          </w:tcPr>
          <w:p w14:paraId="4F7F7078" w14:textId="77777777" w:rsidR="00D56F61" w:rsidRPr="00611ED0" w:rsidRDefault="00D56F61" w:rsidP="009972FF">
            <w:pPr>
              <w:spacing w:line="260" w:lineRule="atLeast"/>
              <w:jc w:val="center"/>
              <w:rPr>
                <w:rFonts w:ascii="Verdana" w:hAnsi="Verdana" w:cs="Arial"/>
                <w:sz w:val="20"/>
              </w:rPr>
            </w:pPr>
            <w:r>
              <w:rPr>
                <w:rFonts w:ascii="Verdana" w:hAnsi="Verdana" w:cs="Arial"/>
                <w:sz w:val="20"/>
              </w:rPr>
              <w:t xml:space="preserve">6 999 </w:t>
            </w:r>
            <w:proofErr w:type="spellStart"/>
            <w:r>
              <w:rPr>
                <w:rFonts w:ascii="Verdana" w:hAnsi="Verdana" w:cs="Arial"/>
                <w:sz w:val="20"/>
              </w:rPr>
              <w:t>999</w:t>
            </w:r>
            <w:proofErr w:type="spellEnd"/>
          </w:p>
        </w:tc>
      </w:tr>
      <w:tr w:rsidR="00D56F61" w:rsidRPr="004F03A5" w14:paraId="4F7F707E" w14:textId="77777777" w:rsidTr="009972FF">
        <w:trPr>
          <w:tblCellSpacing w:w="1440" w:type="nil"/>
        </w:trPr>
        <w:tc>
          <w:tcPr>
            <w:tcW w:w="2674" w:type="pct"/>
          </w:tcPr>
          <w:p w14:paraId="4F7F707A" w14:textId="77777777" w:rsidR="00D56F61" w:rsidRPr="004F03A5" w:rsidRDefault="00D56F61" w:rsidP="009972FF">
            <w:pPr>
              <w:spacing w:line="260" w:lineRule="atLeast"/>
              <w:rPr>
                <w:rFonts w:ascii="Verdana" w:hAnsi="Verdana" w:cs="Arial"/>
                <w:sz w:val="20"/>
              </w:rPr>
            </w:pPr>
            <w:r>
              <w:rPr>
                <w:rFonts w:ascii="Verdana" w:hAnsi="Verdana" w:cs="Arial"/>
                <w:sz w:val="20"/>
              </w:rPr>
              <w:t xml:space="preserve">Овергаз </w:t>
            </w:r>
            <w:proofErr w:type="spellStart"/>
            <w:r>
              <w:rPr>
                <w:rFonts w:ascii="Verdana" w:hAnsi="Verdana" w:cs="Arial"/>
                <w:sz w:val="20"/>
              </w:rPr>
              <w:t>Директ</w:t>
            </w:r>
            <w:proofErr w:type="spellEnd"/>
            <w:r>
              <w:rPr>
                <w:rFonts w:ascii="Verdana" w:hAnsi="Verdana" w:cs="Arial"/>
                <w:sz w:val="20"/>
              </w:rPr>
              <w:t xml:space="preserve"> ООД</w:t>
            </w:r>
          </w:p>
        </w:tc>
        <w:tc>
          <w:tcPr>
            <w:tcW w:w="651" w:type="pct"/>
          </w:tcPr>
          <w:p w14:paraId="4F7F707B" w14:textId="77777777" w:rsidR="00D56F61" w:rsidRPr="004F03A5" w:rsidRDefault="00D56F61" w:rsidP="009972FF">
            <w:pPr>
              <w:spacing w:line="260" w:lineRule="atLeast"/>
              <w:jc w:val="center"/>
              <w:rPr>
                <w:rFonts w:ascii="Verdana" w:hAnsi="Verdana" w:cs="Arial"/>
                <w:sz w:val="20"/>
              </w:rPr>
            </w:pPr>
            <w:r w:rsidRPr="004F03A5">
              <w:rPr>
                <w:rFonts w:ascii="Verdana" w:hAnsi="Verdana" w:cs="Arial"/>
                <w:sz w:val="20"/>
              </w:rPr>
              <w:t>0,0001%</w:t>
            </w:r>
          </w:p>
        </w:tc>
        <w:tc>
          <w:tcPr>
            <w:tcW w:w="775" w:type="pct"/>
          </w:tcPr>
          <w:p w14:paraId="4F7F707C" w14:textId="77777777" w:rsidR="00D56F61" w:rsidRPr="004F03A5" w:rsidRDefault="00D56F61" w:rsidP="009972FF">
            <w:pPr>
              <w:spacing w:line="260" w:lineRule="atLeast"/>
              <w:jc w:val="center"/>
              <w:rPr>
                <w:rFonts w:ascii="Verdana" w:hAnsi="Verdana" w:cs="Arial"/>
                <w:sz w:val="20"/>
              </w:rPr>
            </w:pPr>
            <w:r w:rsidRPr="004F03A5">
              <w:rPr>
                <w:rFonts w:ascii="Verdana" w:hAnsi="Verdana" w:cs="Arial"/>
                <w:sz w:val="20"/>
              </w:rPr>
              <w:t>1</w:t>
            </w:r>
          </w:p>
        </w:tc>
        <w:tc>
          <w:tcPr>
            <w:tcW w:w="798" w:type="pct"/>
          </w:tcPr>
          <w:p w14:paraId="4F7F707D" w14:textId="77777777" w:rsidR="00D56F61" w:rsidRPr="004F03A5" w:rsidRDefault="00D56F61" w:rsidP="009972FF">
            <w:pPr>
              <w:spacing w:line="260" w:lineRule="atLeast"/>
              <w:jc w:val="center"/>
              <w:rPr>
                <w:rFonts w:ascii="Verdana" w:hAnsi="Verdana" w:cs="Arial"/>
                <w:sz w:val="20"/>
              </w:rPr>
            </w:pPr>
            <w:r w:rsidRPr="004F03A5">
              <w:rPr>
                <w:rFonts w:ascii="Verdana" w:hAnsi="Verdana" w:cs="Arial"/>
                <w:sz w:val="20"/>
              </w:rPr>
              <w:t>1</w:t>
            </w:r>
          </w:p>
        </w:tc>
      </w:tr>
      <w:tr w:rsidR="00D56F61" w14:paraId="4F7F7083" w14:textId="77777777" w:rsidTr="009972FF">
        <w:trPr>
          <w:tblCellSpacing w:w="1440" w:type="nil"/>
        </w:trPr>
        <w:tc>
          <w:tcPr>
            <w:tcW w:w="2674" w:type="pct"/>
          </w:tcPr>
          <w:p w14:paraId="4F7F707F" w14:textId="77777777" w:rsidR="00D56F61" w:rsidRPr="00CF2829" w:rsidRDefault="00D56F61" w:rsidP="009972FF">
            <w:pPr>
              <w:spacing w:line="260" w:lineRule="atLeast"/>
              <w:rPr>
                <w:rFonts w:ascii="Verdana" w:hAnsi="Verdana" w:cs="Arial"/>
                <w:b/>
                <w:sz w:val="20"/>
              </w:rPr>
            </w:pPr>
            <w:r w:rsidRPr="00CF2829">
              <w:rPr>
                <w:rFonts w:ascii="Verdana" w:hAnsi="Verdana" w:cs="Arial"/>
                <w:b/>
                <w:sz w:val="20"/>
              </w:rPr>
              <w:t>Общо</w:t>
            </w:r>
          </w:p>
        </w:tc>
        <w:tc>
          <w:tcPr>
            <w:tcW w:w="651" w:type="pct"/>
          </w:tcPr>
          <w:p w14:paraId="4F7F7080" w14:textId="77777777" w:rsidR="00D56F61" w:rsidRPr="00CF2829" w:rsidRDefault="00D56F61" w:rsidP="009972FF">
            <w:pPr>
              <w:spacing w:line="260" w:lineRule="atLeast"/>
              <w:jc w:val="center"/>
              <w:rPr>
                <w:rFonts w:ascii="Verdana" w:hAnsi="Verdana" w:cs="Arial"/>
                <w:b/>
                <w:sz w:val="20"/>
              </w:rPr>
            </w:pPr>
            <w:r w:rsidRPr="00CF2829">
              <w:rPr>
                <w:rFonts w:ascii="Verdana" w:hAnsi="Verdana" w:cs="Arial"/>
                <w:b/>
                <w:sz w:val="20"/>
              </w:rPr>
              <w:t>100%</w:t>
            </w:r>
          </w:p>
        </w:tc>
        <w:tc>
          <w:tcPr>
            <w:tcW w:w="775" w:type="pct"/>
          </w:tcPr>
          <w:p w14:paraId="4F7F7081" w14:textId="77777777" w:rsidR="00D56F61" w:rsidRPr="00CF2829" w:rsidRDefault="00D56F61" w:rsidP="009972FF">
            <w:pPr>
              <w:spacing w:line="260" w:lineRule="atLeast"/>
              <w:jc w:val="center"/>
              <w:rPr>
                <w:rFonts w:ascii="Verdana" w:hAnsi="Verdana" w:cs="Arial"/>
                <w:b/>
                <w:sz w:val="20"/>
              </w:rPr>
            </w:pPr>
            <w:r>
              <w:rPr>
                <w:rFonts w:ascii="Verdana" w:hAnsi="Verdana" w:cs="Arial"/>
                <w:b/>
                <w:sz w:val="20"/>
              </w:rPr>
              <w:t xml:space="preserve">7 000 </w:t>
            </w:r>
            <w:proofErr w:type="spellStart"/>
            <w:r>
              <w:rPr>
                <w:rFonts w:ascii="Verdana" w:hAnsi="Verdana" w:cs="Arial"/>
                <w:b/>
                <w:sz w:val="20"/>
              </w:rPr>
              <w:t>000</w:t>
            </w:r>
            <w:proofErr w:type="spellEnd"/>
          </w:p>
        </w:tc>
        <w:tc>
          <w:tcPr>
            <w:tcW w:w="798" w:type="pct"/>
          </w:tcPr>
          <w:p w14:paraId="4F7F7082" w14:textId="77777777" w:rsidR="00D56F61" w:rsidRPr="00CF2829" w:rsidRDefault="00D56F61" w:rsidP="009972FF">
            <w:pPr>
              <w:spacing w:line="260" w:lineRule="atLeast"/>
              <w:jc w:val="center"/>
              <w:rPr>
                <w:rFonts w:ascii="Verdana" w:hAnsi="Verdana" w:cs="Arial"/>
                <w:b/>
                <w:sz w:val="20"/>
              </w:rPr>
            </w:pPr>
            <w:r>
              <w:rPr>
                <w:rFonts w:ascii="Verdana" w:hAnsi="Verdana" w:cs="Arial"/>
                <w:b/>
                <w:sz w:val="20"/>
              </w:rPr>
              <w:t>7 </w:t>
            </w:r>
            <w:r w:rsidRPr="00CF2829">
              <w:rPr>
                <w:rFonts w:ascii="Verdana" w:hAnsi="Verdana" w:cs="Arial"/>
                <w:b/>
                <w:sz w:val="20"/>
              </w:rPr>
              <w:t>000</w:t>
            </w:r>
            <w:r>
              <w:rPr>
                <w:rFonts w:ascii="Verdana" w:hAnsi="Verdana" w:cs="Arial"/>
                <w:b/>
                <w:sz w:val="20"/>
              </w:rPr>
              <w:t xml:space="preserve"> </w:t>
            </w:r>
            <w:proofErr w:type="spellStart"/>
            <w:r>
              <w:rPr>
                <w:rFonts w:ascii="Verdana" w:hAnsi="Verdana" w:cs="Arial"/>
                <w:b/>
                <w:sz w:val="20"/>
              </w:rPr>
              <w:t>000</w:t>
            </w:r>
            <w:proofErr w:type="spellEnd"/>
          </w:p>
        </w:tc>
      </w:tr>
    </w:tbl>
    <w:p w14:paraId="4F7F7084" w14:textId="77777777" w:rsidR="00D56F61" w:rsidRDefault="00D56F61" w:rsidP="00D56F61">
      <w:pPr>
        <w:spacing w:before="60" w:line="260" w:lineRule="atLeast"/>
        <w:rPr>
          <w:rFonts w:ascii="Verdana" w:hAnsi="Verdana" w:cs="Arial"/>
          <w:sz w:val="20"/>
          <w:lang w:val="en-US"/>
        </w:rPr>
      </w:pPr>
    </w:p>
    <w:p w14:paraId="4F7F7085" w14:textId="77777777" w:rsidR="00D56F61" w:rsidRDefault="00D56F61" w:rsidP="00D56F61">
      <w:pPr>
        <w:spacing w:before="60" w:line="260" w:lineRule="atLeast"/>
        <w:rPr>
          <w:rFonts w:ascii="Verdana" w:hAnsi="Verdana" w:cs="Arial"/>
          <w:sz w:val="20"/>
        </w:rPr>
      </w:pPr>
      <w:r w:rsidRPr="00611ED0">
        <w:rPr>
          <w:rFonts w:ascii="Verdana" w:hAnsi="Verdana" w:cs="Arial"/>
          <w:sz w:val="20"/>
        </w:rPr>
        <w:t xml:space="preserve">Към </w:t>
      </w:r>
      <w:r>
        <w:rPr>
          <w:rFonts w:ascii="Verdana" w:hAnsi="Verdana" w:cs="Arial"/>
          <w:sz w:val="20"/>
          <w:lang w:val="en-US"/>
        </w:rPr>
        <w:t>3</w:t>
      </w:r>
      <w:r>
        <w:rPr>
          <w:rFonts w:ascii="Verdana" w:hAnsi="Verdana" w:cs="Arial"/>
          <w:sz w:val="20"/>
        </w:rPr>
        <w:t>1</w:t>
      </w:r>
      <w:r>
        <w:rPr>
          <w:rFonts w:ascii="Verdana" w:hAnsi="Verdana" w:cs="Arial"/>
          <w:sz w:val="20"/>
          <w:lang w:val="en-US"/>
        </w:rPr>
        <w:t>.</w:t>
      </w:r>
      <w:r>
        <w:rPr>
          <w:rFonts w:ascii="Verdana" w:hAnsi="Verdana" w:cs="Arial"/>
          <w:sz w:val="20"/>
        </w:rPr>
        <w:t>12</w:t>
      </w:r>
      <w:r>
        <w:rPr>
          <w:rFonts w:ascii="Verdana" w:hAnsi="Verdana" w:cs="Arial"/>
          <w:sz w:val="20"/>
          <w:lang w:val="en-US"/>
        </w:rPr>
        <w:t>.2019</w:t>
      </w:r>
      <w:r>
        <w:rPr>
          <w:rFonts w:ascii="Verdana" w:hAnsi="Verdana" w:cs="Arial"/>
          <w:sz w:val="20"/>
        </w:rPr>
        <w:t xml:space="preserve"> г. Топлофикация – Разград  </w:t>
      </w:r>
      <w:r w:rsidRPr="00611ED0">
        <w:rPr>
          <w:rFonts w:ascii="Verdana" w:hAnsi="Verdana" w:cs="Arial"/>
          <w:sz w:val="20"/>
        </w:rPr>
        <w:t>АД няма участия в дъщерни и асоциирани дружества.</w:t>
      </w:r>
    </w:p>
    <w:p w14:paraId="4F7F7086" w14:textId="77777777" w:rsidR="00D56F61" w:rsidRDefault="00D56F61" w:rsidP="00D56F61">
      <w:pPr>
        <w:spacing w:before="60" w:line="260" w:lineRule="atLeast"/>
        <w:rPr>
          <w:rFonts w:ascii="Verdana" w:hAnsi="Verdana" w:cs="Arial"/>
          <w:b/>
          <w:sz w:val="20"/>
        </w:rPr>
      </w:pPr>
      <w:r w:rsidRPr="00E96966">
        <w:rPr>
          <w:rFonts w:ascii="Verdana" w:hAnsi="Verdana" w:cs="Arial"/>
          <w:b/>
          <w:sz w:val="20"/>
        </w:rPr>
        <w:t>Капиталова структура</w:t>
      </w:r>
    </w:p>
    <w:p w14:paraId="4F7F7087" w14:textId="77777777" w:rsidR="00D56F61" w:rsidRDefault="00D56F61" w:rsidP="00D56F61">
      <w:pPr>
        <w:spacing w:before="60" w:line="260" w:lineRule="atLeast"/>
        <w:rPr>
          <w:rFonts w:ascii="Verdana" w:hAnsi="Verdana" w:cs="Arial"/>
          <w:sz w:val="20"/>
        </w:rPr>
      </w:pPr>
      <w:r>
        <w:rPr>
          <w:rFonts w:ascii="Verdana" w:hAnsi="Verdana" w:cs="Arial"/>
          <w:sz w:val="20"/>
        </w:rPr>
        <w:lastRenderedPageBreak/>
        <w:t xml:space="preserve">Към 31.12.2019 г. собствения капитал на дружеството е в размер на </w:t>
      </w:r>
      <w:r>
        <w:rPr>
          <w:rFonts w:ascii="Verdana" w:hAnsi="Verdana" w:cs="Arial"/>
          <w:sz w:val="20"/>
          <w:lang w:val="en-US"/>
        </w:rPr>
        <w:t>3 571</w:t>
      </w:r>
      <w:r>
        <w:rPr>
          <w:rFonts w:ascii="Verdana" w:hAnsi="Verdana" w:cs="Arial"/>
          <w:sz w:val="20"/>
        </w:rPr>
        <w:t xml:space="preserve"> хил.лв.</w:t>
      </w:r>
    </w:p>
    <w:p w14:paraId="4F7F7088" w14:textId="7217DE2B" w:rsidR="00D56F61" w:rsidRDefault="00D56F61" w:rsidP="00D56F61">
      <w:pPr>
        <w:spacing w:before="60" w:line="260" w:lineRule="atLeast"/>
        <w:rPr>
          <w:rFonts w:ascii="Verdana" w:hAnsi="Verdana" w:cs="Arial"/>
          <w:sz w:val="20"/>
        </w:rPr>
      </w:pPr>
      <w:r>
        <w:rPr>
          <w:rFonts w:ascii="Verdana" w:hAnsi="Verdana" w:cs="Arial"/>
          <w:sz w:val="20"/>
        </w:rPr>
        <w:t>През отчетната 201</w:t>
      </w:r>
      <w:r>
        <w:rPr>
          <w:rFonts w:ascii="Verdana" w:hAnsi="Verdana" w:cs="Arial"/>
          <w:sz w:val="20"/>
          <w:lang w:val="en-US"/>
        </w:rPr>
        <w:t>9</w:t>
      </w:r>
      <w:r>
        <w:rPr>
          <w:rFonts w:ascii="Verdana" w:hAnsi="Verdana" w:cs="Arial"/>
          <w:sz w:val="20"/>
        </w:rPr>
        <w:t xml:space="preserve"> г. са настъпили изменения в основния капитал на Дружеството спрямо предходния отчетен период.</w:t>
      </w:r>
      <w:r w:rsidR="00B16B48">
        <w:rPr>
          <w:rFonts w:ascii="Verdana" w:hAnsi="Verdana" w:cs="Arial"/>
          <w:sz w:val="20"/>
        </w:rPr>
        <w:t xml:space="preserve"> </w:t>
      </w:r>
      <w:r>
        <w:rPr>
          <w:rFonts w:ascii="Verdana" w:hAnsi="Verdana"/>
          <w:sz w:val="20"/>
        </w:rPr>
        <w:t>С протокол от 29.01.2019</w:t>
      </w:r>
      <w:r w:rsidR="00B16B48">
        <w:rPr>
          <w:rFonts w:ascii="Verdana" w:hAnsi="Verdana"/>
          <w:sz w:val="20"/>
        </w:rPr>
        <w:t xml:space="preserve"> </w:t>
      </w:r>
      <w:r>
        <w:rPr>
          <w:rFonts w:ascii="Verdana" w:hAnsi="Verdana"/>
          <w:sz w:val="20"/>
        </w:rPr>
        <w:t>г. на едноличния собственик на Дружеството е взето решение да бъде увеличен капитала на Дружеството от 2 099 171 лв. на 7 000 </w:t>
      </w:r>
      <w:proofErr w:type="spellStart"/>
      <w:r>
        <w:rPr>
          <w:rFonts w:ascii="Verdana" w:hAnsi="Verdana"/>
          <w:sz w:val="20"/>
        </w:rPr>
        <w:t>000</w:t>
      </w:r>
      <w:proofErr w:type="spellEnd"/>
      <w:r>
        <w:rPr>
          <w:rFonts w:ascii="Verdana" w:hAnsi="Verdana"/>
          <w:sz w:val="20"/>
        </w:rPr>
        <w:t xml:space="preserve">  лв., чрез издаване на нови 4 900 829 броя обикновени поименни налични акции, всяка от които с номинал - 1 лев за брой.</w:t>
      </w:r>
      <w:r w:rsidR="006C61F6">
        <w:rPr>
          <w:rFonts w:ascii="Verdana" w:hAnsi="Verdana"/>
          <w:sz w:val="20"/>
        </w:rPr>
        <w:t xml:space="preserve"> </w:t>
      </w:r>
      <w:r>
        <w:rPr>
          <w:rFonts w:ascii="Verdana" w:hAnsi="Verdana" w:cs="Arial"/>
          <w:sz w:val="20"/>
        </w:rPr>
        <w:t>Промяната е вписана в Търговския регистър под номер 20190418172132.</w:t>
      </w:r>
    </w:p>
    <w:p w14:paraId="4F7F7089" w14:textId="77777777" w:rsidR="00D56F61" w:rsidRPr="00E53814" w:rsidRDefault="00D56F61" w:rsidP="00D56F61">
      <w:pPr>
        <w:pStyle w:val="HTMLPreformatted"/>
        <w:jc w:val="both"/>
        <w:rPr>
          <w:rFonts w:ascii="Verdana" w:hAnsi="Verdana"/>
          <w:b/>
          <w:sz w:val="20"/>
          <w:szCs w:val="20"/>
        </w:rPr>
      </w:pPr>
    </w:p>
    <w:p w14:paraId="4F7F708A" w14:textId="77777777" w:rsidR="00D56F61" w:rsidRPr="00C2255D"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C2255D">
        <w:rPr>
          <w:rFonts w:ascii="Verdana" w:hAnsi="Verdana" w:cs="Arial"/>
          <w:b/>
          <w:sz w:val="20"/>
          <w:lang w:val="bg-BG"/>
        </w:rPr>
        <w:t>Управление</w:t>
      </w:r>
    </w:p>
    <w:p w14:paraId="4F7F708B"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 xml:space="preserve">Съгласно действащия Търговски закон в </w:t>
      </w:r>
      <w:r>
        <w:rPr>
          <w:rFonts w:ascii="Verdana" w:hAnsi="Verdana" w:cs="Arial"/>
          <w:sz w:val="20"/>
        </w:rPr>
        <w:t xml:space="preserve">Република </w:t>
      </w:r>
      <w:r w:rsidRPr="00C2255D">
        <w:rPr>
          <w:rFonts w:ascii="Verdana" w:hAnsi="Verdana" w:cs="Arial"/>
          <w:sz w:val="20"/>
        </w:rPr>
        <w:t xml:space="preserve">България, към </w:t>
      </w:r>
      <w:r>
        <w:rPr>
          <w:rFonts w:ascii="Verdana" w:hAnsi="Verdana" w:cs="Arial"/>
          <w:sz w:val="20"/>
        </w:rPr>
        <w:t>31.12.201</w:t>
      </w:r>
      <w:r>
        <w:rPr>
          <w:rFonts w:ascii="Verdana" w:hAnsi="Verdana" w:cs="Arial"/>
          <w:sz w:val="20"/>
          <w:lang w:val="en-US"/>
        </w:rPr>
        <w:t>9</w:t>
      </w:r>
      <w:r w:rsidRPr="00C2255D">
        <w:rPr>
          <w:rFonts w:ascii="Verdana" w:hAnsi="Verdana" w:cs="Arial"/>
          <w:sz w:val="20"/>
        </w:rPr>
        <w:t xml:space="preserve"> г., </w:t>
      </w:r>
      <w:r>
        <w:rPr>
          <w:rFonts w:ascii="Verdana" w:hAnsi="Verdana" w:cs="Arial"/>
          <w:sz w:val="20"/>
        </w:rPr>
        <w:t>„</w:t>
      </w:r>
      <w:r w:rsidRPr="00C2255D">
        <w:rPr>
          <w:rFonts w:ascii="Verdana" w:hAnsi="Verdana" w:cs="Arial"/>
          <w:sz w:val="20"/>
        </w:rPr>
        <w:t>Топлофикация – Разград</w:t>
      </w:r>
      <w:r>
        <w:rPr>
          <w:rFonts w:ascii="Verdana" w:hAnsi="Verdana" w:cs="Arial"/>
          <w:sz w:val="20"/>
        </w:rPr>
        <w:t>“</w:t>
      </w:r>
      <w:r w:rsidRPr="00C2255D">
        <w:rPr>
          <w:rFonts w:ascii="Verdana" w:hAnsi="Verdana" w:cs="Arial"/>
          <w:sz w:val="20"/>
        </w:rPr>
        <w:t>АД е акционерно Дружество с едностепенна система на управление.</w:t>
      </w:r>
    </w:p>
    <w:p w14:paraId="4F7F708C" w14:textId="77777777" w:rsidR="00D56F61" w:rsidRPr="00C2255D" w:rsidRDefault="00D56F61" w:rsidP="00D56F61">
      <w:pPr>
        <w:spacing w:before="120" w:line="260" w:lineRule="atLeast"/>
        <w:rPr>
          <w:rFonts w:ascii="Verdana" w:hAnsi="Verdana" w:cs="Arial"/>
          <w:sz w:val="20"/>
        </w:rPr>
      </w:pPr>
      <w:r w:rsidRPr="00C2255D">
        <w:rPr>
          <w:rFonts w:ascii="Verdana" w:hAnsi="Verdana" w:cs="Arial"/>
          <w:sz w:val="20"/>
        </w:rPr>
        <w:t xml:space="preserve">Към </w:t>
      </w:r>
      <w:r>
        <w:rPr>
          <w:rFonts w:ascii="Verdana" w:hAnsi="Verdana" w:cs="Arial"/>
          <w:sz w:val="20"/>
        </w:rPr>
        <w:t>31.12.201</w:t>
      </w:r>
      <w:r>
        <w:rPr>
          <w:rFonts w:ascii="Verdana" w:hAnsi="Verdana" w:cs="Arial"/>
          <w:sz w:val="20"/>
          <w:lang w:val="en-US"/>
        </w:rPr>
        <w:t>9</w:t>
      </w:r>
      <w:r w:rsidRPr="00C2255D">
        <w:rPr>
          <w:rFonts w:ascii="Verdana" w:hAnsi="Verdana" w:cs="Arial"/>
          <w:sz w:val="20"/>
        </w:rPr>
        <w:t xml:space="preserve"> г., Съветът на директорите се състои от следните членове:</w:t>
      </w:r>
    </w:p>
    <w:p w14:paraId="4F7F708D"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1. </w:t>
      </w:r>
      <w:r>
        <w:rPr>
          <w:rFonts w:ascii="Verdana" w:hAnsi="Verdana" w:cs="Arial"/>
          <w:sz w:val="20"/>
          <w:lang w:val="bg-BG"/>
        </w:rPr>
        <w:t>„</w:t>
      </w:r>
      <w:r w:rsidRPr="00C2255D">
        <w:rPr>
          <w:rFonts w:ascii="Verdana" w:hAnsi="Verdana" w:cs="Arial"/>
          <w:sz w:val="20"/>
          <w:lang w:val="bg-BG"/>
        </w:rPr>
        <w:t>Овергаз Холдинг</w:t>
      </w:r>
      <w:r>
        <w:rPr>
          <w:rFonts w:ascii="Verdana" w:hAnsi="Verdana" w:cs="Arial"/>
          <w:sz w:val="20"/>
          <w:lang w:val="bg-BG"/>
        </w:rPr>
        <w:t>”</w:t>
      </w:r>
      <w:r w:rsidRPr="00C2255D">
        <w:rPr>
          <w:rFonts w:ascii="Verdana" w:hAnsi="Verdana" w:cs="Arial"/>
          <w:sz w:val="20"/>
          <w:lang w:val="bg-BG"/>
        </w:rPr>
        <w:t xml:space="preserve"> АД</w:t>
      </w:r>
    </w:p>
    <w:p w14:paraId="4F7F708E"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2. Пламен Дончев</w:t>
      </w:r>
    </w:p>
    <w:p w14:paraId="4F7F708F"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3. Петко </w:t>
      </w:r>
      <w:proofErr w:type="spellStart"/>
      <w:r w:rsidRPr="00C2255D">
        <w:rPr>
          <w:rFonts w:ascii="Verdana" w:hAnsi="Verdana" w:cs="Arial"/>
          <w:sz w:val="20"/>
          <w:lang w:val="bg-BG"/>
        </w:rPr>
        <w:t>Милевски</w:t>
      </w:r>
      <w:proofErr w:type="spellEnd"/>
    </w:p>
    <w:p w14:paraId="4F7F7090"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4. Ивайло Чавдаров</w:t>
      </w:r>
    </w:p>
    <w:p w14:paraId="4F7F7091"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5. Михаил Ковачев</w:t>
      </w:r>
    </w:p>
    <w:p w14:paraId="4F7F7092" w14:textId="77777777" w:rsidR="00D56F61" w:rsidRDefault="00D56F61" w:rsidP="00D56F61">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14:paraId="4F7F7093" w14:textId="77777777" w:rsidR="00D56F61" w:rsidRPr="00C2255D" w:rsidRDefault="00D56F61" w:rsidP="00D56F61">
      <w:pPr>
        <w:spacing w:line="240" w:lineRule="atLeast"/>
        <w:rPr>
          <w:rFonts w:ascii="Verdana" w:hAnsi="Verdana" w:cs="Arial"/>
          <w:sz w:val="20"/>
        </w:rPr>
      </w:pPr>
    </w:p>
    <w:p w14:paraId="4F7F7094" w14:textId="77777777" w:rsidR="00D56F61" w:rsidRPr="00640DD7"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640DD7">
        <w:rPr>
          <w:rFonts w:ascii="Verdana" w:hAnsi="Verdana" w:cs="Arial"/>
          <w:b/>
          <w:sz w:val="20"/>
          <w:lang w:val="bg-BG"/>
        </w:rPr>
        <w:t>Човешки ресурси</w:t>
      </w:r>
    </w:p>
    <w:p w14:paraId="4F7F7095" w14:textId="77777777" w:rsidR="00D56F61" w:rsidRPr="00C2255D" w:rsidRDefault="00D56F61" w:rsidP="00D56F61">
      <w:pPr>
        <w:pStyle w:val="BodyText"/>
        <w:spacing w:after="0" w:line="260" w:lineRule="atLeast"/>
        <w:rPr>
          <w:rFonts w:ascii="Verdana" w:hAnsi="Verdana" w:cs="Arial"/>
          <w:bCs w:val="0"/>
          <w:i/>
          <w:iCs/>
          <w:sz w:val="20"/>
          <w:szCs w:val="20"/>
          <w:lang w:val="bg-BG"/>
        </w:rPr>
      </w:pPr>
      <w:r w:rsidRPr="00C2255D">
        <w:rPr>
          <w:rFonts w:ascii="Verdana" w:hAnsi="Verdana" w:cs="Arial"/>
          <w:bCs w:val="0"/>
          <w:i/>
          <w:iCs/>
          <w:sz w:val="20"/>
          <w:szCs w:val="20"/>
          <w:lang w:val="bg-BG"/>
        </w:rPr>
        <w:t>Персонал</w:t>
      </w:r>
    </w:p>
    <w:p w14:paraId="4F7F7096" w14:textId="77777777" w:rsidR="00D56F61" w:rsidRPr="003721D8" w:rsidRDefault="00D56F61" w:rsidP="00D56F61">
      <w:pPr>
        <w:pStyle w:val="BodyText"/>
        <w:spacing w:after="0" w:line="260" w:lineRule="atLeast"/>
        <w:rPr>
          <w:rFonts w:ascii="Verdana" w:hAnsi="Verdana" w:cs="Arial"/>
          <w:bCs w:val="0"/>
          <w:sz w:val="20"/>
          <w:szCs w:val="20"/>
        </w:rPr>
      </w:pPr>
      <w:r w:rsidRPr="003721D8">
        <w:rPr>
          <w:rFonts w:ascii="Verdana" w:hAnsi="Verdana" w:cs="Arial"/>
          <w:bCs w:val="0"/>
          <w:sz w:val="20"/>
          <w:szCs w:val="20"/>
          <w:lang w:val="bg-BG"/>
        </w:rPr>
        <w:t>Персоналът, с който е реализирана производствената програма през 2</w:t>
      </w:r>
      <w:r>
        <w:rPr>
          <w:rFonts w:ascii="Verdana" w:hAnsi="Verdana" w:cs="Arial"/>
          <w:bCs w:val="0"/>
          <w:sz w:val="20"/>
          <w:szCs w:val="20"/>
          <w:lang w:val="bg-BG"/>
        </w:rPr>
        <w:t>01</w:t>
      </w:r>
      <w:r>
        <w:rPr>
          <w:rFonts w:ascii="Verdana" w:hAnsi="Verdana" w:cs="Arial"/>
          <w:bCs w:val="0"/>
          <w:sz w:val="20"/>
          <w:szCs w:val="20"/>
        </w:rPr>
        <w:t>9</w:t>
      </w:r>
      <w:r>
        <w:rPr>
          <w:rFonts w:ascii="Verdana" w:hAnsi="Verdana" w:cs="Arial"/>
          <w:bCs w:val="0"/>
          <w:sz w:val="20"/>
          <w:szCs w:val="20"/>
          <w:lang w:val="bg-BG"/>
        </w:rPr>
        <w:t xml:space="preserve"> г</w:t>
      </w:r>
      <w:r w:rsidRPr="003721D8">
        <w:rPr>
          <w:rFonts w:ascii="Verdana" w:hAnsi="Verdana" w:cs="Arial"/>
          <w:bCs w:val="0"/>
          <w:sz w:val="20"/>
          <w:szCs w:val="20"/>
          <w:lang w:val="bg-BG"/>
        </w:rPr>
        <w:t xml:space="preserve">. е </w:t>
      </w:r>
      <w:r>
        <w:rPr>
          <w:rFonts w:ascii="Verdana" w:hAnsi="Verdana" w:cs="Arial"/>
          <w:bCs w:val="0"/>
          <w:sz w:val="20"/>
          <w:szCs w:val="20"/>
        </w:rPr>
        <w:t>39</w:t>
      </w:r>
      <w:r w:rsidRPr="003721D8">
        <w:rPr>
          <w:rFonts w:ascii="Verdana" w:hAnsi="Verdana" w:cs="Arial"/>
          <w:bCs w:val="0"/>
          <w:sz w:val="20"/>
          <w:szCs w:val="20"/>
          <w:lang w:val="bg-BG"/>
        </w:rPr>
        <w:t xml:space="preserve"> човека, от които работници</w:t>
      </w:r>
      <w:r>
        <w:rPr>
          <w:rFonts w:ascii="Verdana" w:hAnsi="Verdana" w:cs="Arial"/>
          <w:bCs w:val="0"/>
          <w:sz w:val="20"/>
          <w:szCs w:val="20"/>
          <w:lang w:val="bg-BG"/>
        </w:rPr>
        <w:t>те, заети в основната дейност са 2</w:t>
      </w:r>
      <w:r>
        <w:rPr>
          <w:rFonts w:ascii="Verdana" w:hAnsi="Verdana" w:cs="Arial"/>
          <w:bCs w:val="0"/>
          <w:sz w:val="20"/>
          <w:szCs w:val="20"/>
        </w:rPr>
        <w:t>2</w:t>
      </w:r>
      <w:r w:rsidRPr="003721D8">
        <w:rPr>
          <w:rFonts w:ascii="Verdana" w:hAnsi="Verdana" w:cs="Arial"/>
          <w:bCs w:val="0"/>
          <w:sz w:val="20"/>
          <w:szCs w:val="20"/>
          <w:lang w:val="bg-BG"/>
        </w:rPr>
        <w:t xml:space="preserve"> души, пр</w:t>
      </w:r>
      <w:r>
        <w:rPr>
          <w:rFonts w:ascii="Verdana" w:hAnsi="Verdana" w:cs="Arial"/>
          <w:bCs w:val="0"/>
          <w:sz w:val="20"/>
          <w:szCs w:val="20"/>
          <w:lang w:val="bg-BG"/>
        </w:rPr>
        <w:t>едставляващи</w:t>
      </w:r>
      <w:r w:rsidRPr="003721D8">
        <w:rPr>
          <w:rFonts w:ascii="Verdana" w:hAnsi="Verdana" w:cs="Arial"/>
          <w:bCs w:val="0"/>
          <w:sz w:val="20"/>
          <w:szCs w:val="20"/>
          <w:lang w:val="bg-BG"/>
        </w:rPr>
        <w:t xml:space="preserve"> 5</w:t>
      </w:r>
      <w:r>
        <w:rPr>
          <w:rFonts w:ascii="Verdana" w:hAnsi="Verdana" w:cs="Arial"/>
          <w:bCs w:val="0"/>
          <w:sz w:val="20"/>
          <w:szCs w:val="20"/>
        </w:rPr>
        <w:t>6</w:t>
      </w:r>
      <w:r w:rsidRPr="003721D8">
        <w:rPr>
          <w:rFonts w:ascii="Verdana" w:hAnsi="Verdana" w:cs="Arial"/>
          <w:bCs w:val="0"/>
          <w:sz w:val="20"/>
          <w:szCs w:val="20"/>
          <w:lang w:val="bg-BG"/>
        </w:rPr>
        <w:t>%, а останалите 4</w:t>
      </w:r>
      <w:r>
        <w:rPr>
          <w:rFonts w:ascii="Verdana" w:hAnsi="Verdana" w:cs="Arial"/>
          <w:bCs w:val="0"/>
          <w:sz w:val="20"/>
          <w:szCs w:val="20"/>
        </w:rPr>
        <w:t>4</w:t>
      </w:r>
      <w:r w:rsidRPr="003721D8">
        <w:rPr>
          <w:rFonts w:ascii="Verdana" w:hAnsi="Verdana" w:cs="Arial"/>
          <w:bCs w:val="0"/>
          <w:sz w:val="20"/>
          <w:szCs w:val="20"/>
          <w:lang w:val="bg-BG"/>
        </w:rPr>
        <w:t>% включват спомагателния и административен персонал – 1</w:t>
      </w:r>
      <w:r>
        <w:rPr>
          <w:rFonts w:ascii="Verdana" w:hAnsi="Verdana" w:cs="Arial"/>
          <w:bCs w:val="0"/>
          <w:sz w:val="20"/>
          <w:szCs w:val="20"/>
        </w:rPr>
        <w:t>7</w:t>
      </w:r>
      <w:r w:rsidRPr="003721D8">
        <w:rPr>
          <w:rFonts w:ascii="Verdana" w:hAnsi="Verdana" w:cs="Arial"/>
          <w:bCs w:val="0"/>
          <w:sz w:val="20"/>
          <w:szCs w:val="20"/>
          <w:lang w:val="bg-BG"/>
        </w:rPr>
        <w:t xml:space="preserve"> човека.</w:t>
      </w:r>
    </w:p>
    <w:p w14:paraId="4F7F7097" w14:textId="77777777" w:rsidR="00D56F61" w:rsidRDefault="00D56F61" w:rsidP="00D56F61">
      <w:pPr>
        <w:pStyle w:val="BodyText"/>
        <w:spacing w:after="0" w:line="260" w:lineRule="atLeast"/>
        <w:rPr>
          <w:rFonts w:ascii="Verdana" w:hAnsi="Verdana" w:cs="Arial"/>
          <w:bCs w:val="0"/>
          <w:iCs/>
          <w:sz w:val="20"/>
          <w:szCs w:val="20"/>
          <w:lang w:val="bg-BG"/>
        </w:rPr>
      </w:pPr>
    </w:p>
    <w:p w14:paraId="4F7F7098" w14:textId="77777777" w:rsidR="00D56F61" w:rsidRPr="002530AA" w:rsidRDefault="00D56F61" w:rsidP="00D56F61">
      <w:pPr>
        <w:pStyle w:val="BodyText"/>
        <w:spacing w:after="0" w:line="260" w:lineRule="atLeast"/>
        <w:rPr>
          <w:rFonts w:ascii="Verdana" w:hAnsi="Verdana" w:cs="Arial"/>
          <w:bCs w:val="0"/>
          <w:i/>
          <w:iCs/>
          <w:sz w:val="20"/>
          <w:szCs w:val="20"/>
          <w:lang w:val="bg-BG"/>
        </w:rPr>
      </w:pPr>
      <w:r w:rsidRPr="002530AA">
        <w:rPr>
          <w:rFonts w:ascii="Verdana" w:hAnsi="Verdana" w:cs="Arial"/>
          <w:bCs w:val="0"/>
          <w:i/>
          <w:iCs/>
          <w:sz w:val="20"/>
          <w:szCs w:val="20"/>
          <w:lang w:val="bg-BG"/>
        </w:rPr>
        <w:t>Работна заплата</w:t>
      </w:r>
    </w:p>
    <w:p w14:paraId="4F7F7099" w14:textId="77777777" w:rsidR="00D56F61" w:rsidRDefault="00D56F61" w:rsidP="00D56F61">
      <w:pPr>
        <w:pStyle w:val="BodyText"/>
        <w:spacing w:after="0" w:line="260" w:lineRule="atLeast"/>
        <w:rPr>
          <w:rFonts w:ascii="Verdana" w:hAnsi="Verdana" w:cs="Arial"/>
          <w:bCs w:val="0"/>
          <w:iCs/>
          <w:sz w:val="20"/>
          <w:szCs w:val="20"/>
          <w:lang w:val="bg-BG"/>
        </w:rPr>
      </w:pPr>
      <w:r>
        <w:rPr>
          <w:rFonts w:ascii="Verdana" w:hAnsi="Verdana" w:cs="Arial"/>
          <w:bCs w:val="0"/>
          <w:iCs/>
          <w:sz w:val="20"/>
          <w:szCs w:val="20"/>
          <w:lang w:val="bg-BG"/>
        </w:rPr>
        <w:t>Начислените и изплатени средства за работна заплата за отчетната година са в размер на 48</w:t>
      </w:r>
      <w:r>
        <w:rPr>
          <w:rFonts w:ascii="Verdana" w:hAnsi="Verdana" w:cs="Arial"/>
          <w:bCs w:val="0"/>
          <w:iCs/>
          <w:sz w:val="20"/>
          <w:szCs w:val="20"/>
        </w:rPr>
        <w:t>6</w:t>
      </w:r>
      <w:r>
        <w:rPr>
          <w:rFonts w:ascii="Verdana" w:hAnsi="Verdana" w:cs="Arial"/>
          <w:bCs w:val="0"/>
          <w:iCs/>
          <w:sz w:val="20"/>
          <w:szCs w:val="20"/>
          <w:lang w:val="bg-BG"/>
        </w:rPr>
        <w:t xml:space="preserve"> хил. лв., от които 325 хил. лв. на производствения персонал и 161 хил.лв. на административния. </w:t>
      </w:r>
    </w:p>
    <w:p w14:paraId="4F7F709A" w14:textId="77777777" w:rsidR="00D56F61" w:rsidRDefault="00D56F61" w:rsidP="00D56F61">
      <w:pPr>
        <w:pStyle w:val="BodyText"/>
        <w:spacing w:after="0" w:line="260" w:lineRule="atLeast"/>
        <w:rPr>
          <w:rFonts w:ascii="Verdana" w:hAnsi="Verdana" w:cs="Arial"/>
          <w:bCs w:val="0"/>
          <w:iCs/>
          <w:sz w:val="20"/>
          <w:szCs w:val="20"/>
          <w:lang w:val="bg-BG"/>
        </w:rPr>
      </w:pPr>
    </w:p>
    <w:p w14:paraId="4F7F709B" w14:textId="77777777" w:rsidR="00D56F61" w:rsidRPr="002530AA" w:rsidRDefault="00D56F61" w:rsidP="00D56F61">
      <w:pPr>
        <w:pStyle w:val="BodyText"/>
        <w:spacing w:after="0" w:line="260" w:lineRule="atLeast"/>
        <w:rPr>
          <w:rFonts w:ascii="Verdana" w:hAnsi="Verdana" w:cs="Arial"/>
          <w:bCs w:val="0"/>
          <w:i/>
          <w:iCs/>
          <w:sz w:val="20"/>
          <w:szCs w:val="20"/>
          <w:lang w:val="bg-BG"/>
        </w:rPr>
      </w:pPr>
      <w:r w:rsidRPr="002530AA">
        <w:rPr>
          <w:rFonts w:ascii="Verdana" w:hAnsi="Verdana" w:cs="Arial"/>
          <w:bCs w:val="0"/>
          <w:i/>
          <w:iCs/>
          <w:sz w:val="20"/>
          <w:szCs w:val="20"/>
          <w:lang w:val="bg-BG"/>
        </w:rPr>
        <w:t>Социални придобивки</w:t>
      </w:r>
    </w:p>
    <w:p w14:paraId="4F7F709C" w14:textId="77777777" w:rsidR="00D56F61" w:rsidRDefault="00D56F61" w:rsidP="00D56F61">
      <w:pPr>
        <w:pStyle w:val="BodyText"/>
        <w:spacing w:after="0" w:line="260" w:lineRule="atLeast"/>
        <w:rPr>
          <w:rFonts w:ascii="Verdana" w:hAnsi="Verdana" w:cs="Arial"/>
          <w:bCs w:val="0"/>
          <w:iCs/>
          <w:sz w:val="20"/>
          <w:szCs w:val="20"/>
          <w:lang w:val="bg-BG"/>
        </w:rPr>
      </w:pPr>
      <w:r>
        <w:rPr>
          <w:rFonts w:ascii="Verdana" w:hAnsi="Verdana" w:cs="Arial"/>
          <w:bCs w:val="0"/>
          <w:iCs/>
          <w:sz w:val="20"/>
          <w:szCs w:val="20"/>
          <w:lang w:val="bg-BG"/>
        </w:rPr>
        <w:t>Към предоставените социални придобивки можем да отчетем предоставянето на ваучери за храна, застраховки „Живот“ и „Трудова злополука“, допълнителна здравна застраховка, както и предоставяне на ежегодни профилактични прегледи.</w:t>
      </w:r>
    </w:p>
    <w:p w14:paraId="4F7F709D" w14:textId="77777777" w:rsidR="00D56F61" w:rsidRPr="00C2255D" w:rsidRDefault="00D56F61" w:rsidP="00D56F61">
      <w:pPr>
        <w:pStyle w:val="BodyText"/>
        <w:spacing w:after="0" w:line="260" w:lineRule="atLeast"/>
        <w:rPr>
          <w:rFonts w:ascii="Verdana" w:hAnsi="Verdana" w:cs="Arial"/>
          <w:bCs w:val="0"/>
          <w:iCs/>
          <w:sz w:val="20"/>
          <w:szCs w:val="20"/>
          <w:lang w:val="bg-BG"/>
        </w:rPr>
      </w:pPr>
    </w:p>
    <w:p w14:paraId="4F7F709E" w14:textId="77777777" w:rsidR="00D56F61" w:rsidRPr="003A26A3"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Анализ на продажби и структура на </w:t>
      </w:r>
      <w:r w:rsidRPr="008A4423">
        <w:rPr>
          <w:rFonts w:ascii="Verdana" w:hAnsi="Verdana" w:cs="Arial"/>
          <w:b/>
          <w:sz w:val="20"/>
          <w:lang w:val="bg-BG"/>
        </w:rPr>
        <w:t>разходите</w:t>
      </w:r>
    </w:p>
    <w:p w14:paraId="4F7F709F" w14:textId="71E9A1A9" w:rsidR="00D56F61" w:rsidRPr="00FF393B" w:rsidRDefault="00D56F61" w:rsidP="00D56F61">
      <w:pPr>
        <w:pStyle w:val="BodyTextIndent"/>
        <w:spacing w:before="0" w:line="260" w:lineRule="atLeast"/>
        <w:ind w:left="0"/>
        <w:rPr>
          <w:rFonts w:ascii="Verdana" w:hAnsi="Verdana" w:cs="Arial"/>
          <w:bCs w:val="0"/>
          <w:snapToGrid/>
          <w:sz w:val="20"/>
          <w:szCs w:val="20"/>
        </w:rPr>
      </w:pPr>
      <w:r w:rsidRPr="00C2255D">
        <w:rPr>
          <w:rFonts w:ascii="Verdana" w:hAnsi="Verdana" w:cs="Arial"/>
          <w:bCs w:val="0"/>
          <w:snapToGrid/>
          <w:sz w:val="20"/>
          <w:szCs w:val="20"/>
        </w:rPr>
        <w:t>Основният дял от приходите на Дружеството са от продажба на т</w:t>
      </w:r>
      <w:r>
        <w:rPr>
          <w:rFonts w:ascii="Verdana" w:hAnsi="Verdana" w:cs="Arial"/>
          <w:bCs w:val="0"/>
          <w:snapToGrid/>
          <w:sz w:val="20"/>
          <w:szCs w:val="20"/>
        </w:rPr>
        <w:t>оплинна и електрическа енергия в размер на</w:t>
      </w:r>
      <w:r w:rsidR="00EB26F3">
        <w:rPr>
          <w:rFonts w:ascii="Verdana" w:hAnsi="Verdana" w:cs="Arial"/>
          <w:bCs w:val="0"/>
          <w:snapToGrid/>
          <w:sz w:val="20"/>
          <w:szCs w:val="20"/>
        </w:rPr>
        <w:t xml:space="preserve"> </w:t>
      </w:r>
      <w:r>
        <w:rPr>
          <w:rFonts w:ascii="Verdana" w:hAnsi="Verdana" w:cs="Arial"/>
          <w:bCs w:val="0"/>
          <w:snapToGrid/>
          <w:sz w:val="20"/>
          <w:szCs w:val="20"/>
        </w:rPr>
        <w:t xml:space="preserve">4 </w:t>
      </w:r>
      <w:r>
        <w:rPr>
          <w:rFonts w:ascii="Verdana" w:hAnsi="Verdana" w:cs="Arial"/>
          <w:bCs w:val="0"/>
          <w:snapToGrid/>
          <w:sz w:val="20"/>
          <w:szCs w:val="20"/>
          <w:lang w:val="en-US"/>
        </w:rPr>
        <w:t>874</w:t>
      </w:r>
      <w:r w:rsidRPr="00C2255D">
        <w:rPr>
          <w:rFonts w:ascii="Verdana" w:hAnsi="Verdana" w:cs="Arial"/>
          <w:bCs w:val="0"/>
          <w:snapToGrid/>
          <w:sz w:val="20"/>
          <w:szCs w:val="20"/>
        </w:rPr>
        <w:t xml:space="preserve"> хил.лв. </w:t>
      </w:r>
      <w:r>
        <w:rPr>
          <w:rFonts w:ascii="Verdana" w:hAnsi="Verdana" w:cs="Arial"/>
          <w:bCs w:val="0"/>
          <w:snapToGrid/>
          <w:sz w:val="20"/>
          <w:szCs w:val="20"/>
        </w:rPr>
        <w:t xml:space="preserve"> (</w:t>
      </w:r>
      <w:r>
        <w:rPr>
          <w:rFonts w:ascii="Verdana" w:hAnsi="Verdana" w:cs="Arial"/>
          <w:bCs w:val="0"/>
          <w:snapToGrid/>
          <w:sz w:val="20"/>
          <w:szCs w:val="20"/>
          <w:lang w:val="en-US"/>
        </w:rPr>
        <w:t>4 496</w:t>
      </w:r>
      <w:r>
        <w:rPr>
          <w:rFonts w:ascii="Verdana" w:hAnsi="Verdana" w:cs="Arial"/>
          <w:bCs w:val="0"/>
          <w:snapToGrid/>
          <w:sz w:val="20"/>
          <w:szCs w:val="20"/>
        </w:rPr>
        <w:t xml:space="preserve"> хил. лв. за 201</w:t>
      </w:r>
      <w:r>
        <w:rPr>
          <w:rFonts w:ascii="Verdana" w:hAnsi="Verdana" w:cs="Arial"/>
          <w:bCs w:val="0"/>
          <w:snapToGrid/>
          <w:sz w:val="20"/>
          <w:szCs w:val="20"/>
          <w:lang w:val="en-US"/>
        </w:rPr>
        <w:t>8</w:t>
      </w:r>
      <w:r>
        <w:rPr>
          <w:rFonts w:ascii="Verdana" w:hAnsi="Verdana" w:cs="Arial"/>
          <w:bCs w:val="0"/>
          <w:snapToGrid/>
          <w:sz w:val="20"/>
          <w:szCs w:val="20"/>
        </w:rPr>
        <w:t xml:space="preserve"> г.), както следва:</w:t>
      </w:r>
    </w:p>
    <w:p w14:paraId="4F7F70A0" w14:textId="77777777" w:rsidR="00D56F61" w:rsidRPr="00C2255D" w:rsidRDefault="00D56F61" w:rsidP="00D56F61">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п</w:t>
      </w:r>
      <w:r w:rsidRPr="00C2255D">
        <w:rPr>
          <w:rFonts w:ascii="Verdana" w:hAnsi="Verdana" w:cs="Arial"/>
          <w:sz w:val="20"/>
          <w:szCs w:val="20"/>
        </w:rPr>
        <w:t>ри</w:t>
      </w:r>
      <w:r>
        <w:rPr>
          <w:rFonts w:ascii="Verdana" w:hAnsi="Verdana" w:cs="Arial"/>
          <w:sz w:val="20"/>
          <w:szCs w:val="20"/>
        </w:rPr>
        <w:t>ходи от топлинна енергия – 1 </w:t>
      </w:r>
      <w:r>
        <w:rPr>
          <w:rFonts w:ascii="Verdana" w:hAnsi="Verdana" w:cs="Arial"/>
          <w:sz w:val="20"/>
          <w:szCs w:val="20"/>
          <w:lang w:val="en-US"/>
        </w:rPr>
        <w:t>753</w:t>
      </w:r>
      <w:r w:rsidRPr="00C2255D">
        <w:rPr>
          <w:rFonts w:ascii="Verdana" w:hAnsi="Verdana" w:cs="Arial"/>
          <w:sz w:val="20"/>
          <w:szCs w:val="20"/>
        </w:rPr>
        <w:t xml:space="preserve"> хил.лв.</w:t>
      </w:r>
      <w:r>
        <w:rPr>
          <w:rFonts w:ascii="Verdana" w:hAnsi="Verdana" w:cs="Arial"/>
          <w:sz w:val="20"/>
          <w:szCs w:val="20"/>
        </w:rPr>
        <w:t xml:space="preserve"> (1 </w:t>
      </w:r>
      <w:r>
        <w:rPr>
          <w:rFonts w:ascii="Verdana" w:hAnsi="Verdana" w:cs="Arial"/>
          <w:sz w:val="20"/>
          <w:szCs w:val="20"/>
          <w:lang w:val="en-US"/>
        </w:rPr>
        <w:t>828</w:t>
      </w:r>
      <w:r>
        <w:rPr>
          <w:rFonts w:ascii="Verdana" w:hAnsi="Verdana" w:cs="Arial"/>
          <w:sz w:val="20"/>
          <w:szCs w:val="20"/>
        </w:rPr>
        <w:t xml:space="preserve"> хил. лв. през 201</w:t>
      </w:r>
      <w:r>
        <w:rPr>
          <w:rFonts w:ascii="Verdana" w:hAnsi="Verdana" w:cs="Arial"/>
          <w:sz w:val="20"/>
          <w:szCs w:val="20"/>
          <w:lang w:val="en-US"/>
        </w:rPr>
        <w:t>8</w:t>
      </w:r>
      <w:r>
        <w:rPr>
          <w:rFonts w:ascii="Verdana" w:hAnsi="Verdana" w:cs="Arial"/>
          <w:sz w:val="20"/>
          <w:szCs w:val="20"/>
        </w:rPr>
        <w:t xml:space="preserve"> г.)</w:t>
      </w:r>
      <w:r w:rsidRPr="00C2255D">
        <w:rPr>
          <w:rFonts w:ascii="Verdana" w:hAnsi="Verdana" w:cs="Arial"/>
          <w:sz w:val="20"/>
          <w:szCs w:val="20"/>
        </w:rPr>
        <w:t>;</w:t>
      </w:r>
    </w:p>
    <w:p w14:paraId="4F7F70A1" w14:textId="2AEBD4A5" w:rsidR="00D56F61" w:rsidRDefault="00D56F61" w:rsidP="00D56F61">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п</w:t>
      </w:r>
      <w:r w:rsidRPr="00C2255D">
        <w:rPr>
          <w:rFonts w:ascii="Verdana" w:hAnsi="Verdana" w:cs="Arial"/>
          <w:sz w:val="20"/>
          <w:szCs w:val="20"/>
        </w:rPr>
        <w:t xml:space="preserve">риходи от електрическа енергия </w:t>
      </w:r>
      <w:r>
        <w:rPr>
          <w:rFonts w:ascii="Verdana" w:hAnsi="Verdana" w:cs="Arial"/>
          <w:sz w:val="20"/>
          <w:szCs w:val="20"/>
        </w:rPr>
        <w:t>–</w:t>
      </w:r>
      <w:r w:rsidR="00EB26F3">
        <w:rPr>
          <w:rFonts w:ascii="Verdana" w:hAnsi="Verdana" w:cs="Arial"/>
          <w:sz w:val="20"/>
          <w:szCs w:val="20"/>
        </w:rPr>
        <w:t xml:space="preserve"> </w:t>
      </w:r>
      <w:r>
        <w:rPr>
          <w:rFonts w:ascii="Verdana" w:hAnsi="Verdana" w:cs="Arial"/>
          <w:sz w:val="20"/>
          <w:szCs w:val="20"/>
          <w:lang w:val="en-US"/>
        </w:rPr>
        <w:t>3 121</w:t>
      </w:r>
      <w:r w:rsidRPr="00C2255D">
        <w:rPr>
          <w:rFonts w:ascii="Verdana" w:hAnsi="Verdana" w:cs="Arial"/>
          <w:sz w:val="20"/>
          <w:szCs w:val="20"/>
        </w:rPr>
        <w:t xml:space="preserve"> хил.лв. </w:t>
      </w:r>
      <w:r>
        <w:rPr>
          <w:rFonts w:ascii="Verdana" w:hAnsi="Verdana" w:cs="Arial"/>
          <w:sz w:val="20"/>
          <w:szCs w:val="20"/>
        </w:rPr>
        <w:t>(2 </w:t>
      </w:r>
      <w:r>
        <w:rPr>
          <w:rFonts w:ascii="Verdana" w:hAnsi="Verdana" w:cs="Arial"/>
          <w:sz w:val="20"/>
          <w:szCs w:val="20"/>
          <w:lang w:val="en-US"/>
        </w:rPr>
        <w:t>668</w:t>
      </w:r>
      <w:r>
        <w:rPr>
          <w:rFonts w:ascii="Verdana" w:hAnsi="Verdana" w:cs="Arial"/>
          <w:sz w:val="20"/>
          <w:szCs w:val="20"/>
        </w:rPr>
        <w:t xml:space="preserve"> хил. лв. през 201</w:t>
      </w:r>
      <w:r>
        <w:rPr>
          <w:rFonts w:ascii="Verdana" w:hAnsi="Verdana" w:cs="Arial"/>
          <w:sz w:val="20"/>
          <w:szCs w:val="20"/>
          <w:lang w:val="en-US"/>
        </w:rPr>
        <w:t>8</w:t>
      </w:r>
      <w:r>
        <w:rPr>
          <w:rFonts w:ascii="Verdana" w:hAnsi="Verdana" w:cs="Arial"/>
          <w:sz w:val="20"/>
          <w:szCs w:val="20"/>
        </w:rPr>
        <w:t xml:space="preserve"> г.).</w:t>
      </w:r>
    </w:p>
    <w:p w14:paraId="4F7F70A2" w14:textId="77777777" w:rsidR="00D56F61" w:rsidRPr="00C2255D" w:rsidRDefault="00D56F61" w:rsidP="00D56F61">
      <w:pPr>
        <w:pStyle w:val="BodyTextIndent"/>
        <w:spacing w:before="0" w:line="260" w:lineRule="atLeast"/>
        <w:ind w:left="720"/>
        <w:rPr>
          <w:rFonts w:ascii="Verdana" w:hAnsi="Verdana" w:cs="Arial"/>
          <w:sz w:val="20"/>
          <w:szCs w:val="20"/>
        </w:rPr>
      </w:pPr>
    </w:p>
    <w:p w14:paraId="4F7F70A3" w14:textId="77777777" w:rsidR="00D56F61" w:rsidRDefault="00D56F61" w:rsidP="00D56F61">
      <w:pPr>
        <w:pStyle w:val="BodyTextIndent"/>
        <w:spacing w:before="0" w:line="260" w:lineRule="atLeast"/>
        <w:ind w:left="0"/>
        <w:rPr>
          <w:rFonts w:ascii="Verdana" w:hAnsi="Verdana" w:cs="Arial"/>
          <w:sz w:val="20"/>
          <w:szCs w:val="20"/>
        </w:rPr>
      </w:pPr>
      <w:r>
        <w:rPr>
          <w:rFonts w:ascii="Verdana" w:hAnsi="Verdana" w:cs="Arial"/>
          <w:sz w:val="20"/>
          <w:szCs w:val="20"/>
        </w:rPr>
        <w:t xml:space="preserve">Въпреки по-високата цена на топлинната енергия, действаща през 2019 г., Дружеството отчита с приблизително 75 хил.лв. по-ниски приходи от топлинна енергия, което се дължи на по-късно започналия отоплителен сезон през 2019 г. (2018 г. – 12.11; 2019 г. – 24.11), както и на факта, че настоящия отоплителен сезон се характеризира с по-висока </w:t>
      </w:r>
      <w:proofErr w:type="spellStart"/>
      <w:r>
        <w:rPr>
          <w:rFonts w:ascii="Verdana" w:hAnsi="Verdana" w:cs="Arial"/>
          <w:sz w:val="20"/>
          <w:szCs w:val="20"/>
        </w:rPr>
        <w:t>среднамесечнатемпература</w:t>
      </w:r>
      <w:proofErr w:type="spellEnd"/>
      <w:r>
        <w:rPr>
          <w:rFonts w:ascii="Verdana" w:hAnsi="Verdana" w:cs="Arial"/>
          <w:sz w:val="20"/>
          <w:szCs w:val="20"/>
        </w:rPr>
        <w:t xml:space="preserve">, водеща до по-ниска консумация на топлинна енергия. Най-съществена е разликата между месеците Ноември и Декември 2018 г. и 2019 г. </w:t>
      </w:r>
    </w:p>
    <w:p w14:paraId="4F7F70A4" w14:textId="77777777" w:rsidR="00D56F61" w:rsidRDefault="00D56F61" w:rsidP="00D56F61">
      <w:pPr>
        <w:pStyle w:val="BodyTextIndent"/>
        <w:spacing w:before="0" w:line="260" w:lineRule="atLeast"/>
        <w:ind w:left="0"/>
        <w:rPr>
          <w:rFonts w:ascii="Verdana" w:hAnsi="Verdana" w:cs="Arial"/>
          <w:sz w:val="20"/>
          <w:szCs w:val="20"/>
        </w:rPr>
      </w:pPr>
    </w:p>
    <w:p w14:paraId="4F7F70A5" w14:textId="340D62F8" w:rsidR="00D56F61" w:rsidRDefault="00D56F61" w:rsidP="00D56F61">
      <w:pPr>
        <w:pStyle w:val="BodyTextIndent"/>
        <w:spacing w:before="0" w:line="260" w:lineRule="atLeast"/>
        <w:ind w:left="0"/>
        <w:rPr>
          <w:rFonts w:ascii="Verdana" w:hAnsi="Verdana" w:cs="Arial"/>
          <w:sz w:val="20"/>
          <w:szCs w:val="20"/>
        </w:rPr>
      </w:pPr>
      <w:r>
        <w:rPr>
          <w:rFonts w:ascii="Verdana" w:hAnsi="Verdana" w:cs="Arial"/>
          <w:sz w:val="20"/>
          <w:szCs w:val="20"/>
        </w:rPr>
        <w:t>Същевременно през 2019 г., въпреки по-ниските продадени количества</w:t>
      </w:r>
      <w:r w:rsidR="00392CA0">
        <w:rPr>
          <w:rFonts w:ascii="Verdana" w:hAnsi="Verdana" w:cs="Arial"/>
          <w:sz w:val="20"/>
          <w:szCs w:val="20"/>
        </w:rPr>
        <w:t xml:space="preserve"> </w:t>
      </w:r>
      <w:r>
        <w:rPr>
          <w:rFonts w:ascii="Verdana" w:hAnsi="Verdana" w:cs="Arial"/>
          <w:sz w:val="20"/>
          <w:szCs w:val="20"/>
        </w:rPr>
        <w:t>електрическа енергия, Дружеството отчита с приблизително 453 хил.лв. по-високи приходи. Това се дължи на по-високата действаща цена през първата половина на 2019 г., спрямо действащата такава през първата половина на 2018 г. Допълнително след излизане на свободния пазар на електрическа енергия, считано от 01.07.2019 г., Дружеството е договорило по-висока продажна цена от утвърдената с решение на КЕВР.</w:t>
      </w:r>
    </w:p>
    <w:p w14:paraId="4F7F70A6" w14:textId="77777777" w:rsidR="00D56F61" w:rsidRDefault="00D56F61" w:rsidP="00D56F61">
      <w:pPr>
        <w:pStyle w:val="BodyTextIndent"/>
        <w:spacing w:before="0" w:line="260" w:lineRule="atLeast"/>
        <w:ind w:left="0"/>
        <w:rPr>
          <w:rFonts w:ascii="Verdana" w:hAnsi="Verdana" w:cs="Arial"/>
          <w:sz w:val="20"/>
          <w:szCs w:val="20"/>
        </w:rPr>
      </w:pPr>
    </w:p>
    <w:p w14:paraId="4F7F70A7" w14:textId="77777777" w:rsidR="00D56F61" w:rsidRDefault="00D56F61" w:rsidP="00D56F61">
      <w:pPr>
        <w:pStyle w:val="HTMLPreformatted"/>
        <w:jc w:val="both"/>
        <w:rPr>
          <w:rFonts w:ascii="Verdana" w:eastAsia="Calibri" w:hAnsi="Verdana" w:cs="Courier New"/>
          <w:sz w:val="20"/>
          <w:szCs w:val="22"/>
        </w:rPr>
      </w:pPr>
      <w:r>
        <w:rPr>
          <w:rFonts w:ascii="Verdana" w:hAnsi="Verdana" w:cs="Arial"/>
          <w:sz w:val="20"/>
          <w:szCs w:val="20"/>
        </w:rPr>
        <w:t>Д</w:t>
      </w:r>
      <w:r w:rsidRPr="00C2255D">
        <w:rPr>
          <w:rFonts w:ascii="Verdana" w:hAnsi="Verdana" w:cs="Arial"/>
          <w:sz w:val="20"/>
          <w:szCs w:val="20"/>
        </w:rPr>
        <w:t>ружеството отчита</w:t>
      </w:r>
      <w:r>
        <w:rPr>
          <w:rFonts w:ascii="Verdana" w:hAnsi="Verdana" w:cs="Arial"/>
          <w:sz w:val="20"/>
          <w:szCs w:val="20"/>
        </w:rPr>
        <w:t xml:space="preserve"> приходи от услуги в размер на 94 хил.лв. (110 хил. лв. за </w:t>
      </w:r>
      <w:smartTag w:uri="urn:schemas-microsoft-com:office:smarttags" w:element="metricconverter">
        <w:smartTagPr>
          <w:attr w:name="ProductID" w:val="2018 г"/>
        </w:smartTagPr>
        <w:r>
          <w:rPr>
            <w:rFonts w:ascii="Verdana" w:hAnsi="Verdana" w:cs="Arial"/>
            <w:sz w:val="20"/>
            <w:szCs w:val="20"/>
          </w:rPr>
          <w:t>2018 г</w:t>
        </w:r>
      </w:smartTag>
      <w:r>
        <w:rPr>
          <w:rFonts w:ascii="Verdana" w:hAnsi="Verdana" w:cs="Arial"/>
          <w:sz w:val="20"/>
          <w:szCs w:val="20"/>
        </w:rPr>
        <w:t xml:space="preserve">.). Същите представляват основно приходи </w:t>
      </w:r>
      <w:r w:rsidRPr="0007516E">
        <w:rPr>
          <w:rFonts w:ascii="Verdana" w:eastAsia="Calibri" w:hAnsi="Verdana" w:cs="Courier New"/>
          <w:sz w:val="20"/>
          <w:szCs w:val="22"/>
        </w:rPr>
        <w:t xml:space="preserve">от такси </w:t>
      </w:r>
      <w:r>
        <w:rPr>
          <w:rFonts w:ascii="Verdana" w:eastAsia="Calibri" w:hAnsi="Verdana" w:cs="Courier New"/>
          <w:sz w:val="20"/>
          <w:szCs w:val="22"/>
        </w:rPr>
        <w:t xml:space="preserve">за </w:t>
      </w:r>
      <w:r w:rsidRPr="0007516E">
        <w:rPr>
          <w:rFonts w:ascii="Verdana" w:eastAsia="Calibri" w:hAnsi="Verdana" w:cs="Courier New"/>
          <w:sz w:val="20"/>
          <w:szCs w:val="22"/>
        </w:rPr>
        <w:t>дялово разпределение в размер на 76 хил.лв., а останалите представляват приходи от комисионни по договора за дялово разпределение и наеми.</w:t>
      </w:r>
    </w:p>
    <w:p w14:paraId="4F7F70A8" w14:textId="77777777" w:rsidR="00D56F61" w:rsidRDefault="00D56F61" w:rsidP="00D56F61">
      <w:pPr>
        <w:pStyle w:val="BodyTextIndent"/>
        <w:spacing w:before="0" w:line="260" w:lineRule="atLeast"/>
        <w:ind w:left="0"/>
        <w:rPr>
          <w:rFonts w:ascii="Verdana" w:hAnsi="Verdana" w:cs="Arial"/>
          <w:sz w:val="20"/>
          <w:szCs w:val="20"/>
        </w:rPr>
      </w:pPr>
    </w:p>
    <w:p w14:paraId="4F7F70A9" w14:textId="77777777" w:rsidR="00D56F61" w:rsidRDefault="00D56F61" w:rsidP="00D56F61">
      <w:pPr>
        <w:pStyle w:val="BodyTextIndent"/>
        <w:spacing w:before="0" w:line="260" w:lineRule="atLeast"/>
        <w:ind w:left="0"/>
        <w:rPr>
          <w:rFonts w:ascii="Verdana" w:hAnsi="Verdana" w:cs="Arial"/>
          <w:sz w:val="20"/>
          <w:szCs w:val="20"/>
        </w:rPr>
      </w:pPr>
      <w:r>
        <w:rPr>
          <w:rFonts w:ascii="Verdana" w:hAnsi="Verdana" w:cs="Arial"/>
          <w:sz w:val="20"/>
          <w:szCs w:val="20"/>
        </w:rPr>
        <w:t>Другите приходи са в размер на 53 хил.лв</w:t>
      </w:r>
      <w:r w:rsidRPr="00C2255D">
        <w:rPr>
          <w:rFonts w:ascii="Verdana" w:hAnsi="Verdana" w:cs="Arial"/>
          <w:sz w:val="20"/>
          <w:szCs w:val="20"/>
        </w:rPr>
        <w:t>.</w:t>
      </w:r>
      <w:r>
        <w:rPr>
          <w:rFonts w:ascii="Verdana" w:hAnsi="Verdana" w:cs="Arial"/>
          <w:sz w:val="20"/>
          <w:szCs w:val="20"/>
        </w:rPr>
        <w:t xml:space="preserve"> (38 хил. лв. за 2018 г.), както следва:</w:t>
      </w:r>
    </w:p>
    <w:p w14:paraId="4F7F70AA" w14:textId="77777777" w:rsidR="00D56F61" w:rsidRPr="00E303EE" w:rsidRDefault="00D56F61" w:rsidP="00D56F61">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35 хил. лв. – приходи от неустойки за забавени плащания;</w:t>
      </w:r>
    </w:p>
    <w:p w14:paraId="4F7F70AB" w14:textId="77777777" w:rsidR="00D56F61" w:rsidRPr="000118AF" w:rsidRDefault="00D56F61" w:rsidP="00D56F61">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18 хил. лв. – други приходи.</w:t>
      </w:r>
    </w:p>
    <w:p w14:paraId="4F7F70AC" w14:textId="77777777" w:rsidR="00D56F61" w:rsidRDefault="00D56F61" w:rsidP="00D56F61">
      <w:pPr>
        <w:pStyle w:val="BodyTextIndent"/>
        <w:spacing w:before="0" w:line="260" w:lineRule="atLeast"/>
        <w:ind w:left="0"/>
        <w:rPr>
          <w:rFonts w:ascii="Verdana" w:hAnsi="Verdana" w:cs="Arial"/>
          <w:sz w:val="20"/>
          <w:szCs w:val="20"/>
        </w:rPr>
      </w:pPr>
    </w:p>
    <w:p w14:paraId="4F7F70AD" w14:textId="22F650F6" w:rsidR="00D56F61" w:rsidRDefault="00D56F61" w:rsidP="00D56F61">
      <w:pPr>
        <w:pStyle w:val="BodyTextIndent"/>
        <w:spacing w:before="0" w:line="260" w:lineRule="atLeast"/>
        <w:ind w:left="0"/>
        <w:rPr>
          <w:rFonts w:ascii="Verdana" w:hAnsi="Verdana" w:cs="Arial"/>
          <w:bCs w:val="0"/>
          <w:snapToGrid/>
          <w:sz w:val="20"/>
          <w:szCs w:val="20"/>
        </w:rPr>
      </w:pPr>
      <w:r w:rsidRPr="00C2255D">
        <w:rPr>
          <w:rFonts w:ascii="Verdana" w:hAnsi="Verdana" w:cs="Arial"/>
          <w:bCs w:val="0"/>
          <w:snapToGrid/>
          <w:sz w:val="20"/>
          <w:szCs w:val="20"/>
        </w:rPr>
        <w:t xml:space="preserve">Разходите за основна дейност са в размер на  </w:t>
      </w:r>
      <w:r>
        <w:rPr>
          <w:rFonts w:ascii="Verdana" w:hAnsi="Verdana" w:cs="Arial"/>
          <w:bCs w:val="0"/>
          <w:snapToGrid/>
          <w:sz w:val="20"/>
          <w:szCs w:val="20"/>
        </w:rPr>
        <w:t>5 796 хил.лв</w:t>
      </w:r>
      <w:r w:rsidRPr="00C2255D">
        <w:rPr>
          <w:rFonts w:ascii="Verdana" w:hAnsi="Verdana" w:cs="Arial"/>
          <w:bCs w:val="0"/>
          <w:snapToGrid/>
          <w:sz w:val="20"/>
          <w:szCs w:val="20"/>
        </w:rPr>
        <w:t>.</w:t>
      </w:r>
      <w:r>
        <w:rPr>
          <w:rFonts w:ascii="Verdana" w:hAnsi="Verdana" w:cs="Arial"/>
          <w:bCs w:val="0"/>
          <w:snapToGrid/>
          <w:sz w:val="20"/>
          <w:szCs w:val="20"/>
        </w:rPr>
        <w:t xml:space="preserve"> (</w:t>
      </w:r>
      <w:r w:rsidR="00392CA0">
        <w:rPr>
          <w:rFonts w:ascii="Verdana" w:hAnsi="Verdana" w:cs="Arial"/>
          <w:bCs w:val="0"/>
          <w:snapToGrid/>
          <w:sz w:val="20"/>
          <w:szCs w:val="20"/>
        </w:rPr>
        <w:t>6 062</w:t>
      </w:r>
      <w:r>
        <w:rPr>
          <w:rFonts w:ascii="Verdana" w:hAnsi="Verdana" w:cs="Arial"/>
          <w:bCs w:val="0"/>
          <w:snapToGrid/>
          <w:sz w:val="20"/>
          <w:szCs w:val="20"/>
        </w:rPr>
        <w:t xml:space="preserve"> хил. лв. за 2018 г.).</w:t>
      </w:r>
      <w:r w:rsidRPr="00C2255D">
        <w:rPr>
          <w:rFonts w:ascii="Verdana" w:hAnsi="Verdana" w:cs="Arial"/>
          <w:bCs w:val="0"/>
          <w:snapToGrid/>
          <w:sz w:val="20"/>
          <w:szCs w:val="20"/>
        </w:rPr>
        <w:t xml:space="preserve"> С най-голям относителен дял </w:t>
      </w:r>
      <w:r>
        <w:rPr>
          <w:rFonts w:ascii="Verdana" w:hAnsi="Verdana" w:cs="Arial"/>
          <w:bCs w:val="0"/>
          <w:snapToGrid/>
          <w:sz w:val="20"/>
          <w:szCs w:val="20"/>
        </w:rPr>
        <w:t>са разходите за материали  3 792</w:t>
      </w:r>
      <w:r w:rsidRPr="00C2255D">
        <w:rPr>
          <w:rFonts w:ascii="Verdana" w:hAnsi="Verdana" w:cs="Arial"/>
          <w:bCs w:val="0"/>
          <w:snapToGrid/>
          <w:sz w:val="20"/>
          <w:szCs w:val="20"/>
        </w:rPr>
        <w:t xml:space="preserve"> хил.лв.</w:t>
      </w:r>
      <w:r>
        <w:rPr>
          <w:rFonts w:ascii="Verdana" w:hAnsi="Verdana" w:cs="Arial"/>
          <w:bCs w:val="0"/>
          <w:snapToGrid/>
          <w:sz w:val="20"/>
          <w:szCs w:val="20"/>
        </w:rPr>
        <w:t xml:space="preserve"> (3 653 хил. лв. за 2018 г.)</w:t>
      </w:r>
      <w:r w:rsidRPr="00C2255D">
        <w:rPr>
          <w:rFonts w:ascii="Verdana" w:hAnsi="Verdana" w:cs="Arial"/>
          <w:bCs w:val="0"/>
          <w:snapToGrid/>
          <w:sz w:val="20"/>
          <w:szCs w:val="20"/>
        </w:rPr>
        <w:t xml:space="preserve">, от които </w:t>
      </w:r>
      <w:r>
        <w:rPr>
          <w:rFonts w:ascii="Verdana" w:hAnsi="Verdana" w:cs="Arial"/>
          <w:bCs w:val="0"/>
          <w:snapToGrid/>
          <w:sz w:val="20"/>
          <w:szCs w:val="20"/>
        </w:rPr>
        <w:t>3 579</w:t>
      </w:r>
      <w:r w:rsidRPr="00C2255D">
        <w:rPr>
          <w:rFonts w:ascii="Verdana" w:hAnsi="Verdana" w:cs="Arial"/>
          <w:bCs w:val="0"/>
          <w:snapToGrid/>
          <w:sz w:val="20"/>
          <w:szCs w:val="20"/>
        </w:rPr>
        <w:t xml:space="preserve"> хил.</w:t>
      </w:r>
      <w:proofErr w:type="spellStart"/>
      <w:r w:rsidRPr="00C2255D">
        <w:rPr>
          <w:rFonts w:ascii="Verdana" w:hAnsi="Verdana" w:cs="Arial"/>
          <w:bCs w:val="0"/>
          <w:snapToGrid/>
          <w:sz w:val="20"/>
          <w:szCs w:val="20"/>
        </w:rPr>
        <w:t>лв</w:t>
      </w:r>
      <w:proofErr w:type="spellEnd"/>
      <w:r w:rsidRPr="00C2255D">
        <w:rPr>
          <w:rFonts w:ascii="Verdana" w:hAnsi="Verdana" w:cs="Arial"/>
          <w:bCs w:val="0"/>
          <w:snapToGrid/>
          <w:sz w:val="20"/>
          <w:szCs w:val="20"/>
        </w:rPr>
        <w:t xml:space="preserve"> за природен газ, следвани от </w:t>
      </w:r>
      <w:r>
        <w:rPr>
          <w:rFonts w:ascii="Verdana" w:hAnsi="Verdana" w:cs="Arial"/>
          <w:bCs w:val="0"/>
          <w:snapToGrid/>
          <w:sz w:val="20"/>
          <w:szCs w:val="20"/>
        </w:rPr>
        <w:t xml:space="preserve">разходите  за възнаграждения и осигуровки – </w:t>
      </w:r>
      <w:r w:rsidR="00392CA0">
        <w:rPr>
          <w:rFonts w:ascii="Verdana" w:hAnsi="Verdana" w:cs="Arial"/>
          <w:bCs w:val="0"/>
          <w:snapToGrid/>
          <w:sz w:val="20"/>
          <w:szCs w:val="20"/>
        </w:rPr>
        <w:t>584</w:t>
      </w:r>
      <w:r>
        <w:rPr>
          <w:rFonts w:ascii="Verdana" w:hAnsi="Verdana" w:cs="Arial"/>
          <w:bCs w:val="0"/>
          <w:snapToGrid/>
          <w:sz w:val="20"/>
          <w:szCs w:val="20"/>
        </w:rPr>
        <w:t xml:space="preserve">  хил.лв. (</w:t>
      </w:r>
      <w:r w:rsidR="00392CA0">
        <w:rPr>
          <w:rFonts w:ascii="Verdana" w:hAnsi="Verdana" w:cs="Arial"/>
          <w:bCs w:val="0"/>
          <w:snapToGrid/>
          <w:sz w:val="20"/>
          <w:szCs w:val="20"/>
        </w:rPr>
        <w:t>600</w:t>
      </w:r>
      <w:r>
        <w:rPr>
          <w:rFonts w:ascii="Verdana" w:hAnsi="Verdana" w:cs="Arial"/>
          <w:bCs w:val="0"/>
          <w:snapToGrid/>
          <w:sz w:val="20"/>
          <w:szCs w:val="20"/>
        </w:rPr>
        <w:t xml:space="preserve"> хил. лв. за 2018 г.) и разходите за външни услуги – 438 хил. лв. (424 хил. лв.):</w:t>
      </w:r>
    </w:p>
    <w:p w14:paraId="4F7F70AE" w14:textId="77777777" w:rsidR="00D56F61" w:rsidRPr="00C2255D" w:rsidRDefault="00D56F61" w:rsidP="00D56F61">
      <w:pPr>
        <w:pStyle w:val="BodyTextIndent"/>
        <w:spacing w:before="0" w:line="260" w:lineRule="atLeast"/>
        <w:ind w:left="0"/>
        <w:rPr>
          <w:rFonts w:ascii="Verdana" w:hAnsi="Verdana" w:cs="Arial"/>
          <w:bCs w:val="0"/>
          <w:snapToGrid/>
          <w:sz w:val="20"/>
          <w:szCs w:val="20"/>
        </w:rPr>
      </w:pPr>
    </w:p>
    <w:p w14:paraId="4F7F70AF" w14:textId="77777777" w:rsidR="00D56F61" w:rsidRPr="00C2255D" w:rsidRDefault="00D56F61" w:rsidP="00D56F61">
      <w:pPr>
        <w:pStyle w:val="BodyTextIndent"/>
        <w:numPr>
          <w:ilvl w:val="0"/>
          <w:numId w:val="21"/>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Pr>
          <w:rFonts w:ascii="Verdana" w:hAnsi="Verdana" w:cs="Arial"/>
          <w:sz w:val="20"/>
          <w:szCs w:val="20"/>
        </w:rPr>
        <w:t>3 792</w:t>
      </w:r>
      <w:r w:rsidRPr="00C2255D">
        <w:rPr>
          <w:rFonts w:ascii="Verdana" w:hAnsi="Verdana" w:cs="Arial"/>
          <w:sz w:val="20"/>
          <w:szCs w:val="20"/>
        </w:rPr>
        <w:t xml:space="preserve"> хил.лв.; </w:t>
      </w:r>
    </w:p>
    <w:p w14:paraId="4F7F70B0" w14:textId="77777777" w:rsidR="00D56F61" w:rsidRPr="00C2255D" w:rsidRDefault="00D56F61" w:rsidP="00D56F61">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външни услуги – 438</w:t>
      </w:r>
      <w:r w:rsidRPr="00C2255D">
        <w:rPr>
          <w:rFonts w:ascii="Verdana" w:hAnsi="Verdana" w:cs="Arial"/>
          <w:sz w:val="20"/>
          <w:szCs w:val="20"/>
        </w:rPr>
        <w:t xml:space="preserve"> хил.лв.;</w:t>
      </w:r>
    </w:p>
    <w:p w14:paraId="4F7F70B1" w14:textId="77777777" w:rsidR="00D56F61" w:rsidRPr="00C2255D" w:rsidRDefault="00D56F61" w:rsidP="00D56F61">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амортизации – 437</w:t>
      </w:r>
      <w:r w:rsidRPr="00C2255D">
        <w:rPr>
          <w:rFonts w:ascii="Verdana" w:hAnsi="Verdana" w:cs="Arial"/>
          <w:sz w:val="20"/>
          <w:szCs w:val="20"/>
        </w:rPr>
        <w:t xml:space="preserve"> хил.лв.;</w:t>
      </w:r>
    </w:p>
    <w:p w14:paraId="4F7F70B2" w14:textId="77777777" w:rsidR="00D56F61" w:rsidRPr="00C2255D" w:rsidRDefault="00D56F61" w:rsidP="00D56F61">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възнаграждения – 486</w:t>
      </w:r>
      <w:r w:rsidRPr="00C2255D">
        <w:rPr>
          <w:rFonts w:ascii="Verdana" w:hAnsi="Verdana" w:cs="Arial"/>
          <w:sz w:val="20"/>
          <w:szCs w:val="20"/>
        </w:rPr>
        <w:t xml:space="preserve"> хил.лв.;</w:t>
      </w:r>
    </w:p>
    <w:p w14:paraId="4F7F70B3" w14:textId="77777777" w:rsidR="00D56F61" w:rsidRDefault="00D56F61" w:rsidP="00D56F61">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осигуровки – 93</w:t>
      </w:r>
      <w:r w:rsidRPr="00C2255D">
        <w:rPr>
          <w:rFonts w:ascii="Verdana" w:hAnsi="Verdana" w:cs="Arial"/>
          <w:sz w:val="20"/>
          <w:szCs w:val="20"/>
        </w:rPr>
        <w:t xml:space="preserve"> хил.лв.;</w:t>
      </w:r>
    </w:p>
    <w:p w14:paraId="4F7F70B4" w14:textId="77777777" w:rsidR="00D56F61" w:rsidRPr="00C2255D" w:rsidRDefault="00D56F61" w:rsidP="00D56F61">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 xml:space="preserve">Разходи за </w:t>
      </w:r>
      <w:proofErr w:type="spellStart"/>
      <w:r>
        <w:rPr>
          <w:rFonts w:ascii="Verdana" w:hAnsi="Verdana" w:cs="Arial"/>
          <w:sz w:val="20"/>
          <w:szCs w:val="20"/>
        </w:rPr>
        <w:t>обезценка</w:t>
      </w:r>
      <w:proofErr w:type="spellEnd"/>
      <w:r>
        <w:rPr>
          <w:rFonts w:ascii="Verdana" w:hAnsi="Verdana" w:cs="Arial"/>
          <w:sz w:val="20"/>
          <w:szCs w:val="20"/>
        </w:rPr>
        <w:t xml:space="preserve"> на </w:t>
      </w:r>
      <w:proofErr w:type="spellStart"/>
      <w:r>
        <w:rPr>
          <w:rFonts w:ascii="Verdana" w:hAnsi="Verdana" w:cs="Arial"/>
          <w:sz w:val="20"/>
          <w:szCs w:val="20"/>
        </w:rPr>
        <w:t>нефинасови</w:t>
      </w:r>
      <w:proofErr w:type="spellEnd"/>
      <w:r>
        <w:rPr>
          <w:rFonts w:ascii="Verdana" w:hAnsi="Verdana" w:cs="Arial"/>
          <w:sz w:val="20"/>
          <w:szCs w:val="20"/>
        </w:rPr>
        <w:t xml:space="preserve"> активи – 5 хил. лв.</w:t>
      </w:r>
    </w:p>
    <w:p w14:paraId="4F7F70B5" w14:textId="701EF105" w:rsidR="00D56F61" w:rsidRDefault="00D56F61" w:rsidP="00D56F61">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 xml:space="preserve">Други разходи </w:t>
      </w:r>
      <w:r w:rsidRPr="00794F8B">
        <w:rPr>
          <w:rFonts w:ascii="Verdana" w:hAnsi="Verdana" w:cs="Arial"/>
          <w:sz w:val="20"/>
          <w:szCs w:val="20"/>
        </w:rPr>
        <w:t>–</w:t>
      </w:r>
      <w:r>
        <w:rPr>
          <w:rFonts w:ascii="Verdana" w:hAnsi="Verdana" w:cs="Arial"/>
          <w:sz w:val="20"/>
          <w:szCs w:val="20"/>
        </w:rPr>
        <w:t xml:space="preserve"> 545</w:t>
      </w:r>
      <w:r w:rsidR="005B6C9D">
        <w:rPr>
          <w:rFonts w:ascii="Verdana" w:hAnsi="Verdana" w:cs="Arial"/>
          <w:sz w:val="20"/>
          <w:szCs w:val="20"/>
        </w:rPr>
        <w:t xml:space="preserve"> </w:t>
      </w:r>
      <w:r w:rsidRPr="00C2255D">
        <w:rPr>
          <w:rFonts w:ascii="Verdana" w:hAnsi="Verdana" w:cs="Arial"/>
          <w:sz w:val="20"/>
          <w:szCs w:val="20"/>
        </w:rPr>
        <w:t>хил.лв.</w:t>
      </w:r>
      <w:r>
        <w:rPr>
          <w:rFonts w:ascii="Verdana" w:hAnsi="Verdana" w:cs="Arial"/>
          <w:sz w:val="20"/>
          <w:szCs w:val="20"/>
        </w:rPr>
        <w:t xml:space="preserve"> - </w:t>
      </w:r>
      <w:r w:rsidRPr="009A0B4C">
        <w:rPr>
          <w:rFonts w:ascii="Verdana" w:hAnsi="Verdana" w:cs="Arial"/>
          <w:sz w:val="20"/>
          <w:szCs w:val="20"/>
        </w:rPr>
        <w:t xml:space="preserve">основна част от които са формирани от разходите за неустойки </w:t>
      </w:r>
      <w:r>
        <w:rPr>
          <w:rFonts w:ascii="Verdana" w:hAnsi="Verdana" w:cs="Arial"/>
          <w:sz w:val="20"/>
          <w:szCs w:val="20"/>
        </w:rPr>
        <w:t xml:space="preserve"> по договори в размер на 155</w:t>
      </w:r>
      <w:r w:rsidRPr="009A0B4C">
        <w:rPr>
          <w:rFonts w:ascii="Verdana" w:hAnsi="Verdana" w:cs="Arial"/>
          <w:sz w:val="20"/>
          <w:szCs w:val="20"/>
        </w:rPr>
        <w:t xml:space="preserve"> хил. лв.,разходи към фонд </w:t>
      </w:r>
      <w:r>
        <w:rPr>
          <w:rFonts w:ascii="Verdana" w:hAnsi="Verdana" w:cs="Arial"/>
          <w:sz w:val="20"/>
          <w:szCs w:val="20"/>
        </w:rPr>
        <w:t>„Сигурност на електроенергийната система“,</w:t>
      </w:r>
      <w:r w:rsidRPr="009A0B4C">
        <w:rPr>
          <w:rFonts w:ascii="Verdana" w:hAnsi="Verdana" w:cs="Arial"/>
          <w:sz w:val="20"/>
          <w:szCs w:val="20"/>
        </w:rPr>
        <w:t xml:space="preserve"> представляващи 5%</w:t>
      </w:r>
      <w:r>
        <w:rPr>
          <w:rFonts w:ascii="Verdana" w:hAnsi="Verdana" w:cs="Arial"/>
          <w:sz w:val="20"/>
          <w:szCs w:val="20"/>
        </w:rPr>
        <w:t xml:space="preserve"> от приходите от продажба на електрическа</w:t>
      </w:r>
      <w:r w:rsidRPr="009A0B4C">
        <w:rPr>
          <w:rFonts w:ascii="Verdana" w:hAnsi="Verdana" w:cs="Arial"/>
          <w:sz w:val="20"/>
          <w:szCs w:val="20"/>
        </w:rPr>
        <w:t xml:space="preserve"> енергия в размер на </w:t>
      </w:r>
      <w:r>
        <w:rPr>
          <w:rFonts w:ascii="Verdana" w:hAnsi="Verdana" w:cs="Arial"/>
          <w:sz w:val="20"/>
          <w:szCs w:val="20"/>
        </w:rPr>
        <w:t>155</w:t>
      </w:r>
      <w:r w:rsidRPr="009A0B4C">
        <w:rPr>
          <w:rFonts w:ascii="Verdana" w:hAnsi="Verdana" w:cs="Arial"/>
          <w:sz w:val="20"/>
          <w:szCs w:val="20"/>
        </w:rPr>
        <w:t xml:space="preserve"> хил. лв.</w:t>
      </w:r>
      <w:r>
        <w:rPr>
          <w:rFonts w:ascii="Verdana" w:hAnsi="Verdana" w:cs="Arial"/>
          <w:sz w:val="20"/>
          <w:szCs w:val="20"/>
        </w:rPr>
        <w:t>, разходи за преобразуване в данъчната декларация – 54 хил. лв., разходи по социална програма – 47 хил. лв.,неустойки (недостиг)</w:t>
      </w:r>
      <w:r w:rsidR="005B6C9D">
        <w:rPr>
          <w:rFonts w:ascii="Verdana" w:hAnsi="Verdana" w:cs="Arial"/>
          <w:sz w:val="20"/>
          <w:szCs w:val="20"/>
        </w:rPr>
        <w:t xml:space="preserve"> </w:t>
      </w:r>
      <w:r>
        <w:rPr>
          <w:rFonts w:ascii="Verdana" w:hAnsi="Verdana" w:cs="Arial"/>
          <w:sz w:val="20"/>
          <w:szCs w:val="20"/>
        </w:rPr>
        <w:t>на електрическа енергия при участие в стандартна балансира група – 25 хил. лв.,отписани вземания – 22 хил. лв.,</w:t>
      </w:r>
      <w:r w:rsidR="005B6C9D">
        <w:rPr>
          <w:rFonts w:ascii="Verdana" w:hAnsi="Verdana" w:cs="Arial"/>
          <w:sz w:val="20"/>
          <w:szCs w:val="20"/>
        </w:rPr>
        <w:t xml:space="preserve"> </w:t>
      </w:r>
      <w:r>
        <w:rPr>
          <w:rFonts w:ascii="Verdana" w:hAnsi="Verdana" w:cs="Arial"/>
          <w:sz w:val="20"/>
          <w:szCs w:val="20"/>
        </w:rPr>
        <w:t>разходи за местни данъци и такси – 17 хил.</w:t>
      </w:r>
      <w:proofErr w:type="spellStart"/>
      <w:r>
        <w:rPr>
          <w:rFonts w:ascii="Verdana" w:hAnsi="Verdana" w:cs="Arial"/>
          <w:sz w:val="20"/>
          <w:szCs w:val="20"/>
        </w:rPr>
        <w:t>лв</w:t>
      </w:r>
      <w:proofErr w:type="spellEnd"/>
      <w:r>
        <w:rPr>
          <w:rFonts w:ascii="Verdana" w:hAnsi="Verdana" w:cs="Arial"/>
          <w:sz w:val="20"/>
          <w:szCs w:val="20"/>
        </w:rPr>
        <w:t>, разходи свързани с опазване на околната среда – 17 хил. лв., р</w:t>
      </w:r>
      <w:r w:rsidRPr="00400351">
        <w:rPr>
          <w:rFonts w:ascii="Verdana" w:hAnsi="Verdana" w:cs="Arial"/>
          <w:sz w:val="20"/>
          <w:szCs w:val="20"/>
        </w:rPr>
        <w:t>азходи за лични нужди</w:t>
      </w:r>
      <w:r>
        <w:rPr>
          <w:rFonts w:ascii="Verdana" w:hAnsi="Verdana" w:cs="Arial"/>
          <w:sz w:val="20"/>
          <w:szCs w:val="20"/>
        </w:rPr>
        <w:t xml:space="preserve"> – 15 хил.лв.,</w:t>
      </w:r>
      <w:r w:rsidR="005B6C9D">
        <w:rPr>
          <w:rFonts w:ascii="Verdana" w:hAnsi="Verdana" w:cs="Arial"/>
          <w:sz w:val="20"/>
          <w:szCs w:val="20"/>
        </w:rPr>
        <w:t xml:space="preserve"> </w:t>
      </w:r>
      <w:r>
        <w:rPr>
          <w:rFonts w:ascii="Verdana" w:hAnsi="Verdana" w:cs="Arial"/>
          <w:sz w:val="20"/>
          <w:szCs w:val="20"/>
        </w:rPr>
        <w:t>лицензионни браншови такси – 11 хил. лв. и др.</w:t>
      </w:r>
    </w:p>
    <w:p w14:paraId="4F7F70B6" w14:textId="77777777" w:rsidR="00D56F61" w:rsidRDefault="00D56F61" w:rsidP="00D56F61">
      <w:pPr>
        <w:pStyle w:val="BodyTextIndent"/>
        <w:spacing w:before="0" w:line="260" w:lineRule="atLeast"/>
        <w:ind w:left="0"/>
        <w:rPr>
          <w:rFonts w:ascii="Verdana" w:hAnsi="Verdana" w:cs="Arial"/>
          <w:sz w:val="20"/>
          <w:szCs w:val="20"/>
        </w:rPr>
      </w:pPr>
    </w:p>
    <w:p w14:paraId="4F7F70B7" w14:textId="6E11326B" w:rsidR="00D56F61" w:rsidRPr="00064787" w:rsidRDefault="00D56F61" w:rsidP="00D56F61">
      <w:pPr>
        <w:pStyle w:val="BodyTextIndent"/>
        <w:spacing w:before="0" w:line="260" w:lineRule="atLeast"/>
        <w:ind w:left="0"/>
        <w:rPr>
          <w:rFonts w:ascii="Verdana" w:hAnsi="Verdana" w:cs="Arial"/>
          <w:sz w:val="20"/>
          <w:szCs w:val="20"/>
        </w:rPr>
      </w:pPr>
      <w:r w:rsidRPr="0001365D">
        <w:rPr>
          <w:rFonts w:ascii="Verdana" w:hAnsi="Verdana" w:cs="Arial"/>
          <w:sz w:val="20"/>
          <w:szCs w:val="20"/>
        </w:rPr>
        <w:t>През разглеждания</w:t>
      </w:r>
      <w:r>
        <w:rPr>
          <w:rFonts w:ascii="Verdana" w:hAnsi="Verdana" w:cs="Arial"/>
          <w:sz w:val="20"/>
          <w:szCs w:val="20"/>
        </w:rPr>
        <w:t>т период е отчетена промяна на цените</w:t>
      </w:r>
      <w:r w:rsidRPr="0001365D">
        <w:rPr>
          <w:rFonts w:ascii="Verdana" w:hAnsi="Verdana" w:cs="Arial"/>
          <w:sz w:val="20"/>
          <w:szCs w:val="20"/>
        </w:rPr>
        <w:t xml:space="preserve"> на основната производствена</w:t>
      </w:r>
      <w:r>
        <w:rPr>
          <w:rFonts w:ascii="Verdana" w:hAnsi="Verdana" w:cs="Arial"/>
          <w:sz w:val="20"/>
          <w:szCs w:val="20"/>
        </w:rPr>
        <w:t xml:space="preserve"> суровина – природен газ</w:t>
      </w:r>
      <w:r>
        <w:rPr>
          <w:rFonts w:ascii="Verdana" w:hAnsi="Verdana" w:cs="Arial"/>
          <w:sz w:val="20"/>
          <w:szCs w:val="20"/>
          <w:lang w:val="en-US"/>
        </w:rPr>
        <w:t>,</w:t>
      </w:r>
      <w:r>
        <w:rPr>
          <w:rFonts w:ascii="Verdana" w:hAnsi="Verdana" w:cs="Arial"/>
          <w:sz w:val="20"/>
          <w:szCs w:val="20"/>
        </w:rPr>
        <w:t xml:space="preserve"> на топлинната и електрическа енергия,</w:t>
      </w:r>
      <w:r w:rsidR="005B6C9D">
        <w:rPr>
          <w:rFonts w:ascii="Verdana" w:hAnsi="Verdana" w:cs="Arial"/>
          <w:sz w:val="20"/>
          <w:szCs w:val="20"/>
        </w:rPr>
        <w:t xml:space="preserve"> </w:t>
      </w:r>
      <w:r>
        <w:rPr>
          <w:rFonts w:ascii="Verdana" w:hAnsi="Verdana" w:cs="Arial"/>
          <w:sz w:val="20"/>
          <w:szCs w:val="20"/>
        </w:rPr>
        <w:t>както следва:</w:t>
      </w:r>
    </w:p>
    <w:p w14:paraId="4F7F70B8" w14:textId="77777777" w:rsidR="00D56F61" w:rsidRDefault="00D56F61" w:rsidP="00D56F61">
      <w:pPr>
        <w:pStyle w:val="BodyTextIndent"/>
        <w:spacing w:before="0" w:line="260" w:lineRule="atLeast"/>
        <w:ind w:left="0"/>
        <w:rPr>
          <w:rFonts w:ascii="Verdana" w:hAnsi="Verdana" w:cs="Arial"/>
          <w:sz w:val="20"/>
          <w:szCs w:val="20"/>
        </w:rPr>
      </w:pPr>
    </w:p>
    <w:p w14:paraId="4F7F70B9" w14:textId="77777777" w:rsidR="00D56F61" w:rsidRPr="002530AA" w:rsidRDefault="00D56F61" w:rsidP="00D56F61">
      <w:pPr>
        <w:pStyle w:val="BodyTextIndent"/>
        <w:spacing w:before="0" w:line="260" w:lineRule="atLeast"/>
        <w:ind w:left="8496"/>
        <w:rPr>
          <w:rFonts w:ascii="Verdana" w:hAnsi="Verdana" w:cs="Arial"/>
          <w:sz w:val="20"/>
          <w:szCs w:val="20"/>
        </w:rPr>
      </w:pPr>
      <w:r>
        <w:rPr>
          <w:rFonts w:ascii="Verdana" w:hAnsi="Verdana" w:cs="Arial"/>
          <w:sz w:val="20"/>
          <w:szCs w:val="20"/>
        </w:rPr>
        <w:t xml:space="preserve">   Табл.1</w:t>
      </w:r>
    </w:p>
    <w:tbl>
      <w:tblPr>
        <w:tblW w:w="9552" w:type="dxa"/>
        <w:tblInd w:w="55" w:type="dxa"/>
        <w:tblCellMar>
          <w:left w:w="70" w:type="dxa"/>
          <w:right w:w="70" w:type="dxa"/>
        </w:tblCellMar>
        <w:tblLook w:val="04A0" w:firstRow="1" w:lastRow="0" w:firstColumn="1" w:lastColumn="0" w:noHBand="0" w:noVBand="1"/>
      </w:tblPr>
      <w:tblGrid>
        <w:gridCol w:w="1372"/>
        <w:gridCol w:w="1337"/>
        <w:gridCol w:w="1701"/>
        <w:gridCol w:w="1619"/>
        <w:gridCol w:w="1814"/>
        <w:gridCol w:w="1709"/>
      </w:tblGrid>
      <w:tr w:rsidR="00D56F61" w:rsidRPr="00E16388" w14:paraId="4F7F70C0" w14:textId="77777777" w:rsidTr="009972FF">
        <w:trPr>
          <w:trHeight w:val="525"/>
        </w:trPr>
        <w:tc>
          <w:tcPr>
            <w:tcW w:w="137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7F70BA"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 2019 г.</w:t>
            </w:r>
          </w:p>
        </w:tc>
        <w:tc>
          <w:tcPr>
            <w:tcW w:w="1337" w:type="dxa"/>
            <w:tcBorders>
              <w:top w:val="single" w:sz="4" w:space="0" w:color="auto"/>
              <w:left w:val="single" w:sz="4" w:space="0" w:color="auto"/>
              <w:bottom w:val="single" w:sz="4" w:space="0" w:color="auto"/>
              <w:right w:val="single" w:sz="4" w:space="0" w:color="auto"/>
            </w:tcBorders>
          </w:tcPr>
          <w:p w14:paraId="4F7F70BB"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Мерна единица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70BC" w14:textId="77777777" w:rsidR="00D56F61" w:rsidRPr="005B6C9D" w:rsidRDefault="00D56F61" w:rsidP="009972FF">
            <w:pPr>
              <w:jc w:val="center"/>
              <w:rPr>
                <w:rFonts w:ascii="Verdana" w:hAnsi="Verdana" w:cs="Arial"/>
                <w:b/>
                <w:bCs/>
                <w:sz w:val="20"/>
                <w:lang w:eastAsia="bg-BG"/>
              </w:rPr>
            </w:pPr>
            <w:proofErr w:type="spellStart"/>
            <w:r w:rsidRPr="005B6C9D">
              <w:rPr>
                <w:rFonts w:ascii="Verdana" w:hAnsi="Verdana" w:cs="Arial"/>
                <w:b/>
                <w:bCs/>
                <w:sz w:val="20"/>
                <w:lang w:eastAsia="bg-BG"/>
              </w:rPr>
              <w:t>I-во</w:t>
            </w:r>
            <w:proofErr w:type="spellEnd"/>
            <w:r w:rsidRPr="005B6C9D">
              <w:rPr>
                <w:rFonts w:ascii="Verdana" w:hAnsi="Verdana" w:cs="Arial"/>
                <w:b/>
                <w:bCs/>
                <w:sz w:val="20"/>
                <w:lang w:eastAsia="bg-BG"/>
              </w:rPr>
              <w:t xml:space="preserve"> тримесечие</w:t>
            </w:r>
          </w:p>
        </w:tc>
        <w:tc>
          <w:tcPr>
            <w:tcW w:w="161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F7F70BD" w14:textId="77777777" w:rsidR="00D56F61" w:rsidRPr="005B6C9D" w:rsidRDefault="00D56F61" w:rsidP="009972FF">
            <w:pPr>
              <w:jc w:val="center"/>
              <w:rPr>
                <w:rFonts w:ascii="Verdana" w:hAnsi="Verdana" w:cs="Arial"/>
                <w:b/>
                <w:bCs/>
                <w:sz w:val="20"/>
                <w:lang w:eastAsia="bg-BG"/>
              </w:rPr>
            </w:pPr>
            <w:proofErr w:type="spellStart"/>
            <w:r w:rsidRPr="005B6C9D">
              <w:rPr>
                <w:rFonts w:ascii="Verdana" w:hAnsi="Verdana" w:cs="Arial"/>
                <w:b/>
                <w:bCs/>
                <w:sz w:val="20"/>
                <w:lang w:eastAsia="bg-BG"/>
              </w:rPr>
              <w:t>II-ро</w:t>
            </w:r>
            <w:proofErr w:type="spellEnd"/>
            <w:r w:rsidRPr="005B6C9D">
              <w:rPr>
                <w:rFonts w:ascii="Verdana" w:hAnsi="Verdana" w:cs="Arial"/>
                <w:b/>
                <w:bCs/>
                <w:sz w:val="20"/>
                <w:lang w:eastAsia="bg-BG"/>
              </w:rPr>
              <w:t xml:space="preserve"> тримесечие</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14:paraId="4F7F70BE"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III-то тримесечие</w:t>
            </w:r>
          </w:p>
        </w:tc>
        <w:tc>
          <w:tcPr>
            <w:tcW w:w="1709" w:type="dxa"/>
            <w:tcBorders>
              <w:top w:val="single" w:sz="8" w:space="0" w:color="auto"/>
              <w:left w:val="nil"/>
              <w:bottom w:val="single" w:sz="8" w:space="0" w:color="auto"/>
              <w:right w:val="single" w:sz="8" w:space="0" w:color="auto"/>
            </w:tcBorders>
            <w:shd w:val="clear" w:color="auto" w:fill="auto"/>
            <w:vAlign w:val="center"/>
            <w:hideMark/>
          </w:tcPr>
          <w:p w14:paraId="4F7F70BF"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IV-то тримесечие</w:t>
            </w:r>
          </w:p>
        </w:tc>
      </w:tr>
      <w:tr w:rsidR="00D56F61" w:rsidRPr="00E16388" w14:paraId="4F7F70C7" w14:textId="77777777" w:rsidTr="009972FF">
        <w:trPr>
          <w:trHeight w:val="525"/>
        </w:trPr>
        <w:tc>
          <w:tcPr>
            <w:tcW w:w="1372" w:type="dxa"/>
            <w:tcBorders>
              <w:top w:val="nil"/>
              <w:left w:val="single" w:sz="8" w:space="0" w:color="auto"/>
              <w:bottom w:val="single" w:sz="8" w:space="0" w:color="auto"/>
              <w:right w:val="single" w:sz="4" w:space="0" w:color="auto"/>
            </w:tcBorders>
            <w:shd w:val="clear" w:color="auto" w:fill="auto"/>
            <w:noWrap/>
            <w:vAlign w:val="center"/>
            <w:hideMark/>
          </w:tcPr>
          <w:p w14:paraId="4F7F70C1"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Природен газ</w:t>
            </w:r>
          </w:p>
        </w:tc>
        <w:tc>
          <w:tcPr>
            <w:tcW w:w="1337" w:type="dxa"/>
            <w:tcBorders>
              <w:top w:val="single" w:sz="4" w:space="0" w:color="auto"/>
              <w:left w:val="single" w:sz="4" w:space="0" w:color="auto"/>
              <w:bottom w:val="single" w:sz="4" w:space="0" w:color="auto"/>
              <w:right w:val="single" w:sz="4" w:space="0" w:color="auto"/>
            </w:tcBorders>
            <w:vAlign w:val="center"/>
          </w:tcPr>
          <w:p w14:paraId="4F7F70C2" w14:textId="77777777" w:rsidR="00D56F61" w:rsidRPr="005B6C9D" w:rsidRDefault="00D56F61" w:rsidP="009972FF">
            <w:pPr>
              <w:jc w:val="center"/>
              <w:rPr>
                <w:rFonts w:ascii="Verdana" w:hAnsi="Verdana" w:cs="Arial"/>
                <w:sz w:val="20"/>
                <w:lang w:val="en-US" w:eastAsia="bg-BG"/>
              </w:rPr>
            </w:pPr>
            <w:r w:rsidRPr="005B6C9D">
              <w:rPr>
                <w:rFonts w:ascii="Verdana" w:hAnsi="Verdana" w:cs="Arial"/>
                <w:sz w:val="20"/>
                <w:lang w:val="en-US" w:eastAsia="bg-BG"/>
              </w:rPr>
              <w:t>[</w:t>
            </w:r>
            <w:r w:rsidRPr="005B6C9D">
              <w:rPr>
                <w:rFonts w:ascii="Verdana" w:hAnsi="Verdana" w:cs="Arial"/>
                <w:sz w:val="20"/>
                <w:lang w:eastAsia="bg-BG"/>
              </w:rPr>
              <w:t>лв./хнм</w:t>
            </w:r>
            <w:r w:rsidRPr="005B6C9D">
              <w:rPr>
                <w:rFonts w:ascii="Verdana" w:hAnsi="Verdana" w:cs="Arial"/>
                <w:sz w:val="20"/>
                <w:vertAlign w:val="superscript"/>
                <w:lang w:eastAsia="bg-BG"/>
              </w:rPr>
              <w:t>3</w:t>
            </w:r>
            <w:r w:rsidRPr="005B6C9D">
              <w:rPr>
                <w:rFonts w:ascii="Verdana" w:hAnsi="Verdana" w:cs="Arial"/>
                <w:sz w:val="20"/>
                <w:lang w:val="en-US"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0C3"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609</w:t>
            </w:r>
            <w:r w:rsidRPr="005B6C9D">
              <w:rPr>
                <w:rFonts w:ascii="Verdana" w:hAnsi="Verdana" w:cs="Arial"/>
                <w:sz w:val="20"/>
                <w:lang w:val="en-US" w:eastAsia="bg-BG"/>
              </w:rPr>
              <w:t>,</w:t>
            </w:r>
            <w:r w:rsidRPr="005B6C9D">
              <w:rPr>
                <w:rFonts w:ascii="Verdana" w:hAnsi="Verdana" w:cs="Arial"/>
                <w:sz w:val="20"/>
                <w:lang w:eastAsia="bg-BG"/>
              </w:rPr>
              <w:t>52</w:t>
            </w:r>
          </w:p>
        </w:tc>
        <w:tc>
          <w:tcPr>
            <w:tcW w:w="1619" w:type="dxa"/>
            <w:tcBorders>
              <w:top w:val="nil"/>
              <w:left w:val="single" w:sz="4" w:space="0" w:color="auto"/>
              <w:bottom w:val="single" w:sz="8" w:space="0" w:color="auto"/>
              <w:right w:val="single" w:sz="8" w:space="0" w:color="auto"/>
            </w:tcBorders>
            <w:shd w:val="clear" w:color="auto" w:fill="auto"/>
            <w:noWrap/>
            <w:vAlign w:val="center"/>
            <w:hideMark/>
          </w:tcPr>
          <w:p w14:paraId="4F7F70C4"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607</w:t>
            </w:r>
            <w:r w:rsidRPr="005B6C9D">
              <w:rPr>
                <w:rFonts w:ascii="Verdana" w:hAnsi="Verdana" w:cs="Arial"/>
                <w:sz w:val="20"/>
                <w:lang w:val="en-US" w:eastAsia="bg-BG"/>
              </w:rPr>
              <w:t>,</w:t>
            </w:r>
            <w:r w:rsidRPr="005B6C9D">
              <w:rPr>
                <w:rFonts w:ascii="Verdana" w:hAnsi="Verdana" w:cs="Arial"/>
                <w:sz w:val="20"/>
                <w:lang w:eastAsia="bg-BG"/>
              </w:rPr>
              <w:t>45</w:t>
            </w:r>
          </w:p>
        </w:tc>
        <w:tc>
          <w:tcPr>
            <w:tcW w:w="1814" w:type="dxa"/>
            <w:tcBorders>
              <w:top w:val="nil"/>
              <w:left w:val="nil"/>
              <w:bottom w:val="single" w:sz="8" w:space="0" w:color="auto"/>
              <w:right w:val="single" w:sz="8" w:space="0" w:color="auto"/>
            </w:tcBorders>
            <w:shd w:val="clear" w:color="auto" w:fill="auto"/>
            <w:noWrap/>
            <w:vAlign w:val="center"/>
            <w:hideMark/>
          </w:tcPr>
          <w:p w14:paraId="4F7F70C5"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605</w:t>
            </w:r>
            <w:r w:rsidRPr="005B6C9D">
              <w:rPr>
                <w:rFonts w:ascii="Verdana" w:hAnsi="Verdana" w:cs="Arial"/>
                <w:sz w:val="20"/>
                <w:lang w:val="en-US" w:eastAsia="bg-BG"/>
              </w:rPr>
              <w:t>,</w:t>
            </w:r>
            <w:r w:rsidRPr="005B6C9D">
              <w:rPr>
                <w:rFonts w:ascii="Verdana" w:hAnsi="Verdana" w:cs="Arial"/>
                <w:sz w:val="20"/>
                <w:lang w:eastAsia="bg-BG"/>
              </w:rPr>
              <w:t>92</w:t>
            </w:r>
          </w:p>
        </w:tc>
        <w:tc>
          <w:tcPr>
            <w:tcW w:w="1709" w:type="dxa"/>
            <w:tcBorders>
              <w:top w:val="nil"/>
              <w:left w:val="nil"/>
              <w:bottom w:val="single" w:sz="8" w:space="0" w:color="auto"/>
              <w:right w:val="single" w:sz="8" w:space="0" w:color="auto"/>
            </w:tcBorders>
            <w:shd w:val="clear" w:color="auto" w:fill="auto"/>
            <w:noWrap/>
            <w:vAlign w:val="center"/>
            <w:hideMark/>
          </w:tcPr>
          <w:p w14:paraId="4F7F70C6"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606</w:t>
            </w:r>
            <w:r w:rsidRPr="005B6C9D">
              <w:rPr>
                <w:rFonts w:ascii="Verdana" w:hAnsi="Verdana" w:cs="Arial"/>
                <w:sz w:val="20"/>
                <w:lang w:val="en-US" w:eastAsia="bg-BG"/>
              </w:rPr>
              <w:t>,</w:t>
            </w:r>
            <w:r w:rsidRPr="005B6C9D">
              <w:rPr>
                <w:rFonts w:ascii="Verdana" w:hAnsi="Verdana" w:cs="Arial"/>
                <w:sz w:val="20"/>
                <w:lang w:eastAsia="bg-BG"/>
              </w:rPr>
              <w:t>65</w:t>
            </w:r>
          </w:p>
        </w:tc>
      </w:tr>
    </w:tbl>
    <w:p w14:paraId="4F7F70C8" w14:textId="77777777" w:rsidR="00D56F61" w:rsidRDefault="00D56F61" w:rsidP="00D56F61">
      <w:pPr>
        <w:pStyle w:val="BodyTextIndent"/>
        <w:spacing w:before="0" w:line="260" w:lineRule="atLeast"/>
        <w:ind w:left="0"/>
        <w:rPr>
          <w:rFonts w:ascii="Verdana" w:hAnsi="Verdana" w:cs="Arial"/>
          <w:sz w:val="20"/>
          <w:szCs w:val="20"/>
        </w:rPr>
      </w:pPr>
    </w:p>
    <w:p w14:paraId="4F7F70C9" w14:textId="77777777" w:rsidR="00D56F61" w:rsidRDefault="00D56F61" w:rsidP="00D56F61">
      <w:pPr>
        <w:pStyle w:val="BodyTextIndent"/>
        <w:spacing w:before="0" w:line="260" w:lineRule="atLeast"/>
        <w:ind w:left="0"/>
        <w:rPr>
          <w:rFonts w:ascii="Verdana" w:hAnsi="Verdana" w:cs="Arial"/>
          <w:sz w:val="20"/>
          <w:szCs w:val="20"/>
        </w:rPr>
      </w:pPr>
    </w:p>
    <w:p w14:paraId="4F7F70CA" w14:textId="77777777" w:rsidR="00D56F61" w:rsidRDefault="00D56F61" w:rsidP="00D56F61">
      <w:pPr>
        <w:pStyle w:val="BodyTextIndent"/>
        <w:spacing w:before="0" w:line="260" w:lineRule="atLeast"/>
        <w:ind w:left="0"/>
        <w:rPr>
          <w:rFonts w:ascii="Verdana" w:hAnsi="Verdana" w:cs="Arial"/>
          <w:sz w:val="20"/>
          <w:szCs w:val="20"/>
        </w:rPr>
      </w:pPr>
    </w:p>
    <w:p w14:paraId="4F7F70CB" w14:textId="77777777" w:rsidR="00D56F61" w:rsidRDefault="00D56F61" w:rsidP="00D56F61">
      <w:pPr>
        <w:pStyle w:val="BodyTextIndent"/>
        <w:spacing w:before="0" w:line="260" w:lineRule="atLeast"/>
        <w:ind w:left="0"/>
        <w:rPr>
          <w:rFonts w:ascii="Verdana" w:hAnsi="Verdana" w:cs="Arial"/>
          <w:sz w:val="20"/>
          <w:szCs w:val="20"/>
        </w:rPr>
      </w:pPr>
    </w:p>
    <w:p w14:paraId="4F7F70CC" w14:textId="77777777" w:rsidR="00D56F61" w:rsidRPr="002530AA" w:rsidRDefault="00D56F61" w:rsidP="00D56F61">
      <w:pPr>
        <w:pStyle w:val="BodyTextIndent"/>
        <w:spacing w:before="0" w:line="260" w:lineRule="atLeast"/>
        <w:ind w:left="0"/>
        <w:rPr>
          <w:rFonts w:ascii="Verdana" w:hAnsi="Verdana" w:cs="Arial"/>
          <w:sz w:val="20"/>
          <w:szCs w:val="20"/>
        </w:rPr>
      </w:pPr>
      <w:r>
        <w:rPr>
          <w:rFonts w:ascii="Verdana" w:hAnsi="Verdana" w:cs="Arial"/>
          <w:noProof/>
          <w:snapToGrid/>
          <w:sz w:val="20"/>
          <w:szCs w:val="20"/>
          <w:lang w:eastAsia="bg-BG"/>
        </w:rPr>
        <w:lastRenderedPageBreak/>
        <w:drawing>
          <wp:inline distT="0" distB="0" distL="0" distR="0" wp14:anchorId="4F7F84CB" wp14:editId="4F7F84CC">
            <wp:extent cx="4210050" cy="22955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4442" cy="2303372"/>
                    </a:xfrm>
                    <a:prstGeom prst="rect">
                      <a:avLst/>
                    </a:prstGeom>
                    <a:noFill/>
                  </pic:spPr>
                </pic:pic>
              </a:graphicData>
            </a:graphic>
          </wp:inline>
        </w:drawing>
      </w:r>
    </w:p>
    <w:p w14:paraId="4F7F70CD" w14:textId="77777777" w:rsidR="00D56F61" w:rsidRDefault="00D56F61" w:rsidP="00D56F61">
      <w:pPr>
        <w:pStyle w:val="BodyTextIndent"/>
        <w:spacing w:before="0" w:line="260" w:lineRule="atLeast"/>
        <w:ind w:left="0"/>
        <w:rPr>
          <w:rFonts w:ascii="Verdana" w:hAnsi="Verdana" w:cs="Arial"/>
          <w:sz w:val="20"/>
          <w:szCs w:val="20"/>
          <w:lang w:val="en-US"/>
        </w:rPr>
      </w:pPr>
    </w:p>
    <w:p w14:paraId="4F7F70CE" w14:textId="77777777" w:rsidR="00D56F61" w:rsidRPr="002530AA" w:rsidRDefault="00D56F61" w:rsidP="00D56F61">
      <w:pPr>
        <w:pStyle w:val="BodyTextIndent"/>
        <w:spacing w:before="0" w:line="260" w:lineRule="atLeast"/>
        <w:ind w:left="7788" w:firstLine="708"/>
        <w:rPr>
          <w:rFonts w:ascii="Verdana" w:hAnsi="Verdana" w:cs="Arial"/>
          <w:sz w:val="20"/>
          <w:szCs w:val="20"/>
        </w:rPr>
      </w:pPr>
      <w:r>
        <w:rPr>
          <w:rFonts w:ascii="Verdana" w:hAnsi="Verdana" w:cs="Arial"/>
          <w:sz w:val="20"/>
          <w:szCs w:val="20"/>
        </w:rPr>
        <w:t xml:space="preserve">   Табл.2</w:t>
      </w:r>
    </w:p>
    <w:tbl>
      <w:tblPr>
        <w:tblW w:w="9552" w:type="dxa"/>
        <w:tblInd w:w="55" w:type="dxa"/>
        <w:tblCellMar>
          <w:left w:w="70" w:type="dxa"/>
          <w:right w:w="70" w:type="dxa"/>
        </w:tblCellMar>
        <w:tblLook w:val="04A0" w:firstRow="1" w:lastRow="0" w:firstColumn="1" w:lastColumn="0" w:noHBand="0" w:noVBand="1"/>
      </w:tblPr>
      <w:tblGrid>
        <w:gridCol w:w="2812"/>
        <w:gridCol w:w="1180"/>
        <w:gridCol w:w="1390"/>
        <w:gridCol w:w="1390"/>
        <w:gridCol w:w="1390"/>
        <w:gridCol w:w="1390"/>
      </w:tblGrid>
      <w:tr w:rsidR="00D56F61" w:rsidRPr="00E16388" w14:paraId="4F7F70D5" w14:textId="77777777" w:rsidTr="009972FF">
        <w:trPr>
          <w:trHeight w:val="765"/>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0CF"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2019 г.</w:t>
            </w:r>
          </w:p>
        </w:tc>
        <w:tc>
          <w:tcPr>
            <w:tcW w:w="1220" w:type="dxa"/>
            <w:tcBorders>
              <w:top w:val="single" w:sz="4" w:space="0" w:color="auto"/>
              <w:left w:val="nil"/>
              <w:bottom w:val="single" w:sz="4" w:space="0" w:color="auto"/>
              <w:right w:val="single" w:sz="4" w:space="0" w:color="auto"/>
            </w:tcBorders>
            <w:vAlign w:val="center"/>
          </w:tcPr>
          <w:p w14:paraId="4F7F70D0"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 xml:space="preserve">Мерна </w:t>
            </w:r>
            <w:proofErr w:type="spellStart"/>
            <w:r w:rsidRPr="005B6C9D">
              <w:rPr>
                <w:rFonts w:ascii="Verdana" w:hAnsi="Verdana" w:cs="Arial"/>
                <w:b/>
                <w:bCs/>
                <w:sz w:val="20"/>
                <w:lang w:eastAsia="bg-BG"/>
              </w:rPr>
              <w:t>едниница</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70D1" w14:textId="77777777" w:rsidR="00D56F61" w:rsidRPr="005B6C9D" w:rsidRDefault="00D56F61" w:rsidP="009972FF">
            <w:pPr>
              <w:jc w:val="center"/>
              <w:rPr>
                <w:rFonts w:ascii="Verdana" w:hAnsi="Verdana" w:cs="Arial"/>
                <w:b/>
                <w:bCs/>
                <w:sz w:val="20"/>
                <w:lang w:eastAsia="bg-BG"/>
              </w:rPr>
            </w:pPr>
            <w:proofErr w:type="spellStart"/>
            <w:r w:rsidRPr="005B6C9D">
              <w:rPr>
                <w:rFonts w:ascii="Verdana" w:hAnsi="Verdana" w:cs="Arial"/>
                <w:b/>
                <w:bCs/>
                <w:sz w:val="20"/>
                <w:lang w:eastAsia="bg-BG"/>
              </w:rPr>
              <w:t>I-во</w:t>
            </w:r>
            <w:proofErr w:type="spellEnd"/>
            <w:r w:rsidRPr="005B6C9D">
              <w:rPr>
                <w:rFonts w:ascii="Verdana" w:hAnsi="Verdana" w:cs="Arial"/>
                <w:b/>
                <w:bCs/>
                <w:sz w:val="20"/>
                <w:lang w:eastAsia="bg-BG"/>
              </w:rPr>
              <w:t xml:space="preserve"> тримесечие</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F7F70D2" w14:textId="77777777" w:rsidR="00D56F61" w:rsidRPr="005B6C9D" w:rsidRDefault="00D56F61" w:rsidP="009972FF">
            <w:pPr>
              <w:jc w:val="center"/>
              <w:rPr>
                <w:rFonts w:ascii="Verdana" w:hAnsi="Verdana" w:cs="Arial"/>
                <w:b/>
                <w:bCs/>
                <w:sz w:val="20"/>
                <w:lang w:eastAsia="bg-BG"/>
              </w:rPr>
            </w:pPr>
            <w:proofErr w:type="spellStart"/>
            <w:r w:rsidRPr="005B6C9D">
              <w:rPr>
                <w:rFonts w:ascii="Verdana" w:hAnsi="Verdana" w:cs="Arial"/>
                <w:b/>
                <w:bCs/>
                <w:sz w:val="20"/>
                <w:lang w:eastAsia="bg-BG"/>
              </w:rPr>
              <w:t>II-ро</w:t>
            </w:r>
            <w:proofErr w:type="spellEnd"/>
            <w:r w:rsidRPr="005B6C9D">
              <w:rPr>
                <w:rFonts w:ascii="Verdana" w:hAnsi="Verdana" w:cs="Arial"/>
                <w:b/>
                <w:bCs/>
                <w:sz w:val="20"/>
                <w:lang w:eastAsia="bg-BG"/>
              </w:rPr>
              <w:t xml:space="preserve"> тримесечие</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F7F70D3"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III-то тримесечие</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F7F70D4" w14:textId="77777777" w:rsidR="00D56F61" w:rsidRPr="005B6C9D" w:rsidRDefault="00D56F61" w:rsidP="009972FF">
            <w:pPr>
              <w:jc w:val="center"/>
              <w:rPr>
                <w:rFonts w:ascii="Verdana" w:hAnsi="Verdana" w:cs="Arial"/>
                <w:b/>
                <w:bCs/>
                <w:sz w:val="20"/>
                <w:lang w:eastAsia="bg-BG"/>
              </w:rPr>
            </w:pPr>
            <w:r w:rsidRPr="005B6C9D">
              <w:rPr>
                <w:rFonts w:ascii="Verdana" w:hAnsi="Verdana" w:cs="Arial"/>
                <w:b/>
                <w:bCs/>
                <w:sz w:val="20"/>
                <w:lang w:eastAsia="bg-BG"/>
              </w:rPr>
              <w:t>IV-то тримесечие</w:t>
            </w:r>
          </w:p>
        </w:tc>
      </w:tr>
      <w:tr w:rsidR="00D56F61" w:rsidRPr="00E16388" w14:paraId="4F7F70DC" w14:textId="77777777" w:rsidTr="009972FF">
        <w:trPr>
          <w:trHeight w:val="255"/>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4F7F70D6" w14:textId="77777777" w:rsidR="00D56F61" w:rsidRPr="005B6C9D" w:rsidRDefault="00D56F61" w:rsidP="009972FF">
            <w:pPr>
              <w:rPr>
                <w:rFonts w:ascii="Verdana" w:hAnsi="Verdana" w:cs="Arial"/>
                <w:b/>
                <w:bCs/>
                <w:sz w:val="20"/>
                <w:lang w:eastAsia="bg-BG"/>
              </w:rPr>
            </w:pPr>
            <w:r w:rsidRPr="005B6C9D">
              <w:rPr>
                <w:rFonts w:ascii="Verdana" w:hAnsi="Verdana" w:cs="Arial"/>
                <w:b/>
                <w:bCs/>
                <w:sz w:val="20"/>
                <w:lang w:eastAsia="bg-BG"/>
              </w:rPr>
              <w:t>Топлинна енергия</w:t>
            </w:r>
          </w:p>
        </w:tc>
        <w:tc>
          <w:tcPr>
            <w:tcW w:w="1220" w:type="dxa"/>
            <w:tcBorders>
              <w:top w:val="single" w:sz="4" w:space="0" w:color="auto"/>
              <w:left w:val="nil"/>
              <w:bottom w:val="single" w:sz="4" w:space="0" w:color="auto"/>
              <w:right w:val="single" w:sz="4" w:space="0" w:color="auto"/>
            </w:tcBorders>
            <w:vAlign w:val="center"/>
          </w:tcPr>
          <w:p w14:paraId="4F7F70D7" w14:textId="77777777" w:rsidR="00D56F61" w:rsidRPr="005B6C9D" w:rsidRDefault="00D56F61" w:rsidP="009972FF">
            <w:pPr>
              <w:jc w:val="center"/>
              <w:rPr>
                <w:rFonts w:ascii="Verdana" w:hAnsi="Verdana" w:cs="Arial"/>
                <w:sz w:val="20"/>
                <w:lang w:val="en-US" w:eastAsia="bg-BG"/>
              </w:rPr>
            </w:pPr>
            <w:r w:rsidRPr="005B6C9D">
              <w:rPr>
                <w:rFonts w:ascii="Verdana" w:hAnsi="Verdana" w:cs="Arial"/>
                <w:sz w:val="20"/>
                <w:lang w:val="en-US" w:eastAsia="bg-BG"/>
              </w:rPr>
              <w:t>[</w:t>
            </w:r>
            <w:r w:rsidRPr="005B6C9D">
              <w:rPr>
                <w:rFonts w:ascii="Verdana" w:hAnsi="Verdana" w:cs="Arial"/>
                <w:sz w:val="20"/>
                <w:lang w:eastAsia="bg-BG"/>
              </w:rPr>
              <w:t>лв./</w:t>
            </w:r>
            <w:proofErr w:type="spellStart"/>
            <w:r w:rsidRPr="005B6C9D">
              <w:rPr>
                <w:rFonts w:ascii="Verdana" w:hAnsi="Verdana" w:cs="Arial"/>
                <w:sz w:val="20"/>
                <w:lang w:val="en-US" w:eastAsia="bg-BG"/>
              </w:rPr>
              <w:t>MWh</w:t>
            </w:r>
            <w:proofErr w:type="spellEnd"/>
            <w:r w:rsidRPr="005B6C9D">
              <w:rPr>
                <w:rFonts w:ascii="Verdana" w:hAnsi="Verdana" w:cs="Arial"/>
                <w:sz w:val="20"/>
                <w:lang w:val="en-US" w:eastAsia="bg-BG"/>
              </w:rPr>
              <w:t>]</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F7F70D8"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83</w:t>
            </w:r>
            <w:r w:rsidRPr="005B6C9D">
              <w:rPr>
                <w:rFonts w:ascii="Verdana" w:hAnsi="Verdana" w:cs="Arial"/>
                <w:sz w:val="20"/>
                <w:lang w:val="en-US" w:eastAsia="bg-BG"/>
              </w:rPr>
              <w:t>,</w:t>
            </w:r>
            <w:r w:rsidRPr="005B6C9D">
              <w:rPr>
                <w:rFonts w:ascii="Verdana" w:hAnsi="Verdana" w:cs="Arial"/>
                <w:sz w:val="20"/>
                <w:lang w:eastAsia="bg-BG"/>
              </w:rPr>
              <w:t>72</w:t>
            </w:r>
          </w:p>
        </w:tc>
        <w:tc>
          <w:tcPr>
            <w:tcW w:w="1315" w:type="dxa"/>
            <w:tcBorders>
              <w:top w:val="nil"/>
              <w:left w:val="nil"/>
              <w:bottom w:val="single" w:sz="4" w:space="0" w:color="auto"/>
              <w:right w:val="single" w:sz="4" w:space="0" w:color="auto"/>
            </w:tcBorders>
            <w:shd w:val="clear" w:color="auto" w:fill="auto"/>
            <w:noWrap/>
            <w:vAlign w:val="center"/>
            <w:hideMark/>
          </w:tcPr>
          <w:p w14:paraId="4F7F70D9"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83</w:t>
            </w:r>
            <w:r w:rsidRPr="005B6C9D">
              <w:rPr>
                <w:rFonts w:ascii="Verdana" w:hAnsi="Verdana" w:cs="Arial"/>
                <w:sz w:val="20"/>
                <w:lang w:val="en-US" w:eastAsia="bg-BG"/>
              </w:rPr>
              <w:t>,</w:t>
            </w:r>
            <w:r w:rsidRPr="005B6C9D">
              <w:rPr>
                <w:rFonts w:ascii="Verdana" w:hAnsi="Verdana" w:cs="Arial"/>
                <w:sz w:val="20"/>
                <w:lang w:eastAsia="bg-BG"/>
              </w:rPr>
              <w:t>72</w:t>
            </w:r>
          </w:p>
        </w:tc>
        <w:tc>
          <w:tcPr>
            <w:tcW w:w="1315" w:type="dxa"/>
            <w:tcBorders>
              <w:top w:val="nil"/>
              <w:left w:val="nil"/>
              <w:bottom w:val="single" w:sz="4" w:space="0" w:color="auto"/>
              <w:right w:val="single" w:sz="4" w:space="0" w:color="auto"/>
            </w:tcBorders>
            <w:shd w:val="clear" w:color="auto" w:fill="auto"/>
            <w:noWrap/>
            <w:vAlign w:val="center"/>
            <w:hideMark/>
          </w:tcPr>
          <w:p w14:paraId="4F7F70DA"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90</w:t>
            </w:r>
            <w:r w:rsidRPr="005B6C9D">
              <w:rPr>
                <w:rFonts w:ascii="Verdana" w:hAnsi="Verdana" w:cs="Arial"/>
                <w:sz w:val="20"/>
                <w:lang w:val="en-US" w:eastAsia="bg-BG"/>
              </w:rPr>
              <w:t>,</w:t>
            </w:r>
            <w:r w:rsidRPr="005B6C9D">
              <w:rPr>
                <w:rFonts w:ascii="Verdana" w:hAnsi="Verdana" w:cs="Arial"/>
                <w:sz w:val="20"/>
                <w:lang w:eastAsia="bg-BG"/>
              </w:rPr>
              <w:t>91</w:t>
            </w:r>
          </w:p>
        </w:tc>
        <w:tc>
          <w:tcPr>
            <w:tcW w:w="1315" w:type="dxa"/>
            <w:tcBorders>
              <w:top w:val="nil"/>
              <w:left w:val="nil"/>
              <w:bottom w:val="single" w:sz="4" w:space="0" w:color="auto"/>
              <w:right w:val="single" w:sz="4" w:space="0" w:color="auto"/>
            </w:tcBorders>
            <w:shd w:val="clear" w:color="auto" w:fill="auto"/>
            <w:noWrap/>
            <w:vAlign w:val="center"/>
            <w:hideMark/>
          </w:tcPr>
          <w:p w14:paraId="4F7F70DB"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90</w:t>
            </w:r>
            <w:r w:rsidRPr="005B6C9D">
              <w:rPr>
                <w:rFonts w:ascii="Verdana" w:hAnsi="Verdana" w:cs="Arial"/>
                <w:sz w:val="20"/>
                <w:lang w:val="en-US" w:eastAsia="bg-BG"/>
              </w:rPr>
              <w:t>,</w:t>
            </w:r>
            <w:r w:rsidRPr="005B6C9D">
              <w:rPr>
                <w:rFonts w:ascii="Verdana" w:hAnsi="Verdana" w:cs="Arial"/>
                <w:sz w:val="20"/>
                <w:lang w:eastAsia="bg-BG"/>
              </w:rPr>
              <w:t>91</w:t>
            </w:r>
          </w:p>
        </w:tc>
      </w:tr>
      <w:tr w:rsidR="00D56F61" w:rsidRPr="00E16388" w14:paraId="4F7F70E3" w14:textId="77777777" w:rsidTr="009972FF">
        <w:trPr>
          <w:trHeight w:val="255"/>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4F7F70DD" w14:textId="77777777" w:rsidR="00D56F61" w:rsidRPr="005B6C9D" w:rsidRDefault="00D56F61" w:rsidP="009972FF">
            <w:pPr>
              <w:rPr>
                <w:rFonts w:ascii="Verdana" w:hAnsi="Verdana" w:cs="Arial"/>
                <w:b/>
                <w:bCs/>
                <w:sz w:val="20"/>
                <w:lang w:eastAsia="bg-BG"/>
              </w:rPr>
            </w:pPr>
            <w:r w:rsidRPr="005B6C9D">
              <w:rPr>
                <w:rFonts w:ascii="Verdana" w:hAnsi="Verdana" w:cs="Arial"/>
                <w:b/>
                <w:bCs/>
                <w:sz w:val="20"/>
                <w:lang w:eastAsia="bg-BG"/>
              </w:rPr>
              <w:t>Електрическа енергия</w:t>
            </w:r>
          </w:p>
        </w:tc>
        <w:tc>
          <w:tcPr>
            <w:tcW w:w="1220" w:type="dxa"/>
            <w:tcBorders>
              <w:top w:val="single" w:sz="4" w:space="0" w:color="auto"/>
              <w:left w:val="nil"/>
              <w:bottom w:val="single" w:sz="4" w:space="0" w:color="auto"/>
              <w:right w:val="single" w:sz="4" w:space="0" w:color="auto"/>
            </w:tcBorders>
            <w:vAlign w:val="center"/>
          </w:tcPr>
          <w:p w14:paraId="4F7F70DE" w14:textId="77777777" w:rsidR="00D56F61" w:rsidRPr="005B6C9D" w:rsidRDefault="00D56F61" w:rsidP="009972FF">
            <w:pPr>
              <w:jc w:val="center"/>
              <w:rPr>
                <w:rFonts w:ascii="Verdana" w:hAnsi="Verdana"/>
              </w:rPr>
            </w:pPr>
            <w:r w:rsidRPr="005B6C9D">
              <w:rPr>
                <w:rFonts w:ascii="Verdana" w:hAnsi="Verdana" w:cs="Arial"/>
                <w:sz w:val="20"/>
                <w:lang w:val="en-US" w:eastAsia="bg-BG"/>
              </w:rPr>
              <w:t>[</w:t>
            </w:r>
            <w:r w:rsidRPr="005B6C9D">
              <w:rPr>
                <w:rFonts w:ascii="Verdana" w:hAnsi="Verdana" w:cs="Arial"/>
                <w:sz w:val="20"/>
                <w:lang w:eastAsia="bg-BG"/>
              </w:rPr>
              <w:t>лв./</w:t>
            </w:r>
            <w:proofErr w:type="spellStart"/>
            <w:r w:rsidRPr="005B6C9D">
              <w:rPr>
                <w:rFonts w:ascii="Verdana" w:hAnsi="Verdana" w:cs="Arial"/>
                <w:sz w:val="20"/>
                <w:lang w:val="en-US" w:eastAsia="bg-BG"/>
              </w:rPr>
              <w:t>MWh</w:t>
            </w:r>
            <w:proofErr w:type="spellEnd"/>
            <w:r w:rsidRPr="005B6C9D">
              <w:rPr>
                <w:rFonts w:ascii="Verdana" w:hAnsi="Verdana" w:cs="Arial"/>
                <w:sz w:val="20"/>
                <w:lang w:val="en-US" w:eastAsia="bg-BG"/>
              </w:rPr>
              <w:t>]</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F7F70DF"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209</w:t>
            </w:r>
            <w:r w:rsidRPr="005B6C9D">
              <w:rPr>
                <w:rFonts w:ascii="Verdana" w:hAnsi="Verdana" w:cs="Arial"/>
                <w:sz w:val="20"/>
                <w:lang w:val="en-US" w:eastAsia="bg-BG"/>
              </w:rPr>
              <w:t>,</w:t>
            </w:r>
            <w:r w:rsidRPr="005B6C9D">
              <w:rPr>
                <w:rFonts w:ascii="Verdana" w:hAnsi="Verdana" w:cs="Arial"/>
                <w:sz w:val="20"/>
                <w:lang w:eastAsia="bg-BG"/>
              </w:rPr>
              <w:t>27</w:t>
            </w:r>
          </w:p>
        </w:tc>
        <w:tc>
          <w:tcPr>
            <w:tcW w:w="1315" w:type="dxa"/>
            <w:tcBorders>
              <w:top w:val="nil"/>
              <w:left w:val="nil"/>
              <w:bottom w:val="single" w:sz="4" w:space="0" w:color="auto"/>
              <w:right w:val="single" w:sz="4" w:space="0" w:color="auto"/>
            </w:tcBorders>
            <w:shd w:val="clear" w:color="auto" w:fill="auto"/>
            <w:noWrap/>
            <w:vAlign w:val="center"/>
            <w:hideMark/>
          </w:tcPr>
          <w:p w14:paraId="4F7F70E0"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209</w:t>
            </w:r>
            <w:r w:rsidRPr="005B6C9D">
              <w:rPr>
                <w:rFonts w:ascii="Verdana" w:hAnsi="Verdana" w:cs="Arial"/>
                <w:sz w:val="20"/>
                <w:lang w:val="en-US" w:eastAsia="bg-BG"/>
              </w:rPr>
              <w:t>,</w:t>
            </w:r>
            <w:r w:rsidRPr="005B6C9D">
              <w:rPr>
                <w:rFonts w:ascii="Verdana" w:hAnsi="Verdana" w:cs="Arial"/>
                <w:sz w:val="20"/>
                <w:lang w:eastAsia="bg-BG"/>
              </w:rPr>
              <w:t>27</w:t>
            </w:r>
          </w:p>
        </w:tc>
        <w:tc>
          <w:tcPr>
            <w:tcW w:w="1315" w:type="dxa"/>
            <w:tcBorders>
              <w:top w:val="nil"/>
              <w:left w:val="nil"/>
              <w:bottom w:val="single" w:sz="4" w:space="0" w:color="auto"/>
              <w:right w:val="single" w:sz="4" w:space="0" w:color="auto"/>
            </w:tcBorders>
            <w:shd w:val="clear" w:color="auto" w:fill="auto"/>
            <w:noWrap/>
            <w:vAlign w:val="center"/>
            <w:hideMark/>
          </w:tcPr>
          <w:p w14:paraId="4F7F70E1"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104</w:t>
            </w:r>
            <w:r w:rsidRPr="005B6C9D">
              <w:rPr>
                <w:rFonts w:ascii="Verdana" w:hAnsi="Verdana" w:cs="Arial"/>
                <w:sz w:val="20"/>
                <w:lang w:val="en-US" w:eastAsia="bg-BG"/>
              </w:rPr>
              <w:t>,</w:t>
            </w:r>
            <w:r w:rsidRPr="005B6C9D">
              <w:rPr>
                <w:rFonts w:ascii="Verdana" w:hAnsi="Verdana" w:cs="Arial"/>
                <w:sz w:val="20"/>
                <w:lang w:eastAsia="bg-BG"/>
              </w:rPr>
              <w:t>5</w:t>
            </w:r>
          </w:p>
        </w:tc>
        <w:tc>
          <w:tcPr>
            <w:tcW w:w="1315" w:type="dxa"/>
            <w:tcBorders>
              <w:top w:val="nil"/>
              <w:left w:val="nil"/>
              <w:bottom w:val="single" w:sz="4" w:space="0" w:color="auto"/>
              <w:right w:val="single" w:sz="4" w:space="0" w:color="auto"/>
            </w:tcBorders>
            <w:shd w:val="clear" w:color="auto" w:fill="auto"/>
            <w:noWrap/>
            <w:vAlign w:val="center"/>
            <w:hideMark/>
          </w:tcPr>
          <w:p w14:paraId="4F7F70E2"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104</w:t>
            </w:r>
            <w:r w:rsidRPr="005B6C9D">
              <w:rPr>
                <w:rFonts w:ascii="Verdana" w:hAnsi="Verdana" w:cs="Arial"/>
                <w:sz w:val="20"/>
                <w:lang w:val="en-US" w:eastAsia="bg-BG"/>
              </w:rPr>
              <w:t>,</w:t>
            </w:r>
            <w:r w:rsidRPr="005B6C9D">
              <w:rPr>
                <w:rFonts w:ascii="Verdana" w:hAnsi="Verdana" w:cs="Arial"/>
                <w:sz w:val="20"/>
                <w:lang w:eastAsia="bg-BG"/>
              </w:rPr>
              <w:t>5</w:t>
            </w:r>
          </w:p>
        </w:tc>
      </w:tr>
      <w:tr w:rsidR="00D56F61" w:rsidRPr="00E16388" w14:paraId="4F7F70EA" w14:textId="77777777" w:rsidTr="009972FF">
        <w:trPr>
          <w:trHeight w:val="510"/>
        </w:trPr>
        <w:tc>
          <w:tcPr>
            <w:tcW w:w="3037" w:type="dxa"/>
            <w:tcBorders>
              <w:top w:val="nil"/>
              <w:left w:val="single" w:sz="4" w:space="0" w:color="auto"/>
              <w:bottom w:val="single" w:sz="4" w:space="0" w:color="auto"/>
              <w:right w:val="single" w:sz="4" w:space="0" w:color="auto"/>
            </w:tcBorders>
            <w:shd w:val="clear" w:color="auto" w:fill="auto"/>
            <w:noWrap/>
            <w:vAlign w:val="center"/>
            <w:hideMark/>
          </w:tcPr>
          <w:p w14:paraId="4F7F70E4" w14:textId="77777777" w:rsidR="00D56F61" w:rsidRPr="005B6C9D" w:rsidRDefault="00D56F61" w:rsidP="009972FF">
            <w:pPr>
              <w:rPr>
                <w:rFonts w:ascii="Verdana" w:hAnsi="Verdana" w:cs="Arial"/>
                <w:b/>
                <w:bCs/>
                <w:sz w:val="20"/>
                <w:lang w:eastAsia="bg-BG"/>
              </w:rPr>
            </w:pPr>
            <w:proofErr w:type="spellStart"/>
            <w:r w:rsidRPr="005B6C9D">
              <w:rPr>
                <w:rFonts w:ascii="Verdana" w:hAnsi="Verdana" w:cs="Arial"/>
                <w:b/>
                <w:bCs/>
                <w:sz w:val="20"/>
                <w:lang w:eastAsia="bg-BG"/>
              </w:rPr>
              <w:t>Електрическаенергия</w:t>
            </w:r>
            <w:proofErr w:type="spellEnd"/>
            <w:r w:rsidRPr="005B6C9D">
              <w:rPr>
                <w:rFonts w:ascii="Verdana" w:hAnsi="Verdana" w:cs="Arial"/>
                <w:b/>
                <w:bCs/>
                <w:sz w:val="20"/>
                <w:lang w:val="en-US" w:eastAsia="bg-BG"/>
              </w:rPr>
              <w:t xml:space="preserve"> - </w:t>
            </w:r>
            <w:r w:rsidRPr="005B6C9D">
              <w:rPr>
                <w:rFonts w:ascii="Verdana" w:hAnsi="Verdana" w:cs="Arial"/>
                <w:b/>
                <w:bCs/>
                <w:sz w:val="20"/>
                <w:lang w:eastAsia="bg-BG"/>
              </w:rPr>
              <w:t xml:space="preserve"> премия</w:t>
            </w:r>
          </w:p>
        </w:tc>
        <w:tc>
          <w:tcPr>
            <w:tcW w:w="1220" w:type="dxa"/>
            <w:tcBorders>
              <w:top w:val="single" w:sz="4" w:space="0" w:color="auto"/>
              <w:left w:val="nil"/>
              <w:bottom w:val="single" w:sz="4" w:space="0" w:color="auto"/>
              <w:right w:val="single" w:sz="4" w:space="0" w:color="auto"/>
            </w:tcBorders>
            <w:vAlign w:val="center"/>
          </w:tcPr>
          <w:p w14:paraId="4F7F70E5" w14:textId="77777777" w:rsidR="00D56F61" w:rsidRPr="005B6C9D" w:rsidRDefault="00D56F61" w:rsidP="009972FF">
            <w:pPr>
              <w:jc w:val="center"/>
              <w:rPr>
                <w:rFonts w:ascii="Verdana" w:hAnsi="Verdana"/>
              </w:rPr>
            </w:pPr>
            <w:r w:rsidRPr="005B6C9D">
              <w:rPr>
                <w:rFonts w:ascii="Verdana" w:hAnsi="Verdana" w:cs="Arial"/>
                <w:sz w:val="20"/>
                <w:lang w:val="en-US" w:eastAsia="bg-BG"/>
              </w:rPr>
              <w:t>[</w:t>
            </w:r>
            <w:r w:rsidRPr="005B6C9D">
              <w:rPr>
                <w:rFonts w:ascii="Verdana" w:hAnsi="Verdana" w:cs="Arial"/>
                <w:sz w:val="20"/>
                <w:lang w:eastAsia="bg-BG"/>
              </w:rPr>
              <w:t>лв./</w:t>
            </w:r>
            <w:proofErr w:type="spellStart"/>
            <w:r w:rsidRPr="005B6C9D">
              <w:rPr>
                <w:rFonts w:ascii="Verdana" w:hAnsi="Verdana" w:cs="Arial"/>
                <w:sz w:val="20"/>
                <w:lang w:val="en-US" w:eastAsia="bg-BG"/>
              </w:rPr>
              <w:t>MWh</w:t>
            </w:r>
            <w:proofErr w:type="spellEnd"/>
            <w:r w:rsidRPr="005B6C9D">
              <w:rPr>
                <w:rFonts w:ascii="Verdana" w:hAnsi="Verdana" w:cs="Arial"/>
                <w:sz w:val="20"/>
                <w:lang w:val="en-US" w:eastAsia="bg-BG"/>
              </w:rPr>
              <w:t>]</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F7F70E6" w14:textId="77777777" w:rsidR="00D56F61" w:rsidRPr="005B6C9D" w:rsidRDefault="00D56F61" w:rsidP="009972FF">
            <w:pPr>
              <w:jc w:val="center"/>
              <w:rPr>
                <w:rFonts w:ascii="Verdana" w:hAnsi="Verdana" w:cs="Arial"/>
                <w:sz w:val="20"/>
                <w:lang w:val="en-US" w:eastAsia="bg-BG"/>
              </w:rPr>
            </w:pPr>
            <w:r w:rsidRPr="005B6C9D">
              <w:rPr>
                <w:rFonts w:ascii="Verdana" w:hAnsi="Verdana" w:cs="Arial"/>
                <w:sz w:val="20"/>
                <w:lang w:val="en-US" w:eastAsia="bg-BG"/>
              </w:rPr>
              <w:t>-</w:t>
            </w:r>
          </w:p>
        </w:tc>
        <w:tc>
          <w:tcPr>
            <w:tcW w:w="1315" w:type="dxa"/>
            <w:tcBorders>
              <w:top w:val="nil"/>
              <w:left w:val="nil"/>
              <w:bottom w:val="single" w:sz="4" w:space="0" w:color="auto"/>
              <w:right w:val="single" w:sz="4" w:space="0" w:color="auto"/>
            </w:tcBorders>
            <w:shd w:val="clear" w:color="auto" w:fill="auto"/>
            <w:noWrap/>
            <w:vAlign w:val="center"/>
            <w:hideMark/>
          </w:tcPr>
          <w:p w14:paraId="4F7F70E7" w14:textId="77777777" w:rsidR="00D56F61" w:rsidRPr="005B6C9D" w:rsidRDefault="00D56F61" w:rsidP="009972FF">
            <w:pPr>
              <w:jc w:val="center"/>
              <w:rPr>
                <w:rFonts w:ascii="Verdana" w:hAnsi="Verdana" w:cs="Arial"/>
                <w:sz w:val="20"/>
                <w:lang w:val="en-US" w:eastAsia="bg-BG"/>
              </w:rPr>
            </w:pPr>
            <w:r w:rsidRPr="005B6C9D">
              <w:rPr>
                <w:rFonts w:ascii="Verdana" w:hAnsi="Verdana" w:cs="Arial"/>
                <w:sz w:val="20"/>
                <w:lang w:val="en-US" w:eastAsia="bg-BG"/>
              </w:rPr>
              <w:t>-</w:t>
            </w:r>
          </w:p>
        </w:tc>
        <w:tc>
          <w:tcPr>
            <w:tcW w:w="1315" w:type="dxa"/>
            <w:tcBorders>
              <w:top w:val="nil"/>
              <w:left w:val="nil"/>
              <w:bottom w:val="single" w:sz="4" w:space="0" w:color="auto"/>
              <w:right w:val="single" w:sz="4" w:space="0" w:color="auto"/>
            </w:tcBorders>
            <w:shd w:val="clear" w:color="auto" w:fill="auto"/>
            <w:noWrap/>
            <w:vAlign w:val="center"/>
            <w:hideMark/>
          </w:tcPr>
          <w:p w14:paraId="4F7F70E8"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134</w:t>
            </w:r>
            <w:r w:rsidRPr="005B6C9D">
              <w:rPr>
                <w:rFonts w:ascii="Verdana" w:hAnsi="Verdana" w:cs="Arial"/>
                <w:sz w:val="20"/>
                <w:lang w:val="en-US" w:eastAsia="bg-BG"/>
              </w:rPr>
              <w:t>,</w:t>
            </w:r>
            <w:r w:rsidRPr="005B6C9D">
              <w:rPr>
                <w:rFonts w:ascii="Verdana" w:hAnsi="Verdana" w:cs="Arial"/>
                <w:sz w:val="20"/>
                <w:lang w:eastAsia="bg-BG"/>
              </w:rPr>
              <w:t>36</w:t>
            </w:r>
          </w:p>
        </w:tc>
        <w:tc>
          <w:tcPr>
            <w:tcW w:w="1315" w:type="dxa"/>
            <w:tcBorders>
              <w:top w:val="nil"/>
              <w:left w:val="nil"/>
              <w:bottom w:val="single" w:sz="4" w:space="0" w:color="auto"/>
              <w:right w:val="single" w:sz="4" w:space="0" w:color="auto"/>
            </w:tcBorders>
            <w:shd w:val="clear" w:color="auto" w:fill="auto"/>
            <w:noWrap/>
            <w:vAlign w:val="center"/>
            <w:hideMark/>
          </w:tcPr>
          <w:p w14:paraId="4F7F70E9" w14:textId="77777777" w:rsidR="00D56F61" w:rsidRPr="005B6C9D" w:rsidRDefault="00D56F61" w:rsidP="009972FF">
            <w:pPr>
              <w:jc w:val="center"/>
              <w:rPr>
                <w:rFonts w:ascii="Verdana" w:hAnsi="Verdana" w:cs="Arial"/>
                <w:sz w:val="20"/>
                <w:lang w:eastAsia="bg-BG"/>
              </w:rPr>
            </w:pPr>
            <w:r w:rsidRPr="005B6C9D">
              <w:rPr>
                <w:rFonts w:ascii="Verdana" w:hAnsi="Verdana" w:cs="Arial"/>
                <w:sz w:val="20"/>
                <w:lang w:eastAsia="bg-BG"/>
              </w:rPr>
              <w:t>134</w:t>
            </w:r>
            <w:r w:rsidRPr="005B6C9D">
              <w:rPr>
                <w:rFonts w:ascii="Verdana" w:hAnsi="Verdana" w:cs="Arial"/>
                <w:sz w:val="20"/>
                <w:lang w:val="en-US" w:eastAsia="bg-BG"/>
              </w:rPr>
              <w:t>,</w:t>
            </w:r>
            <w:r w:rsidRPr="005B6C9D">
              <w:rPr>
                <w:rFonts w:ascii="Verdana" w:hAnsi="Verdana" w:cs="Arial"/>
                <w:sz w:val="20"/>
                <w:lang w:eastAsia="bg-BG"/>
              </w:rPr>
              <w:t>36</w:t>
            </w:r>
          </w:p>
        </w:tc>
      </w:tr>
    </w:tbl>
    <w:p w14:paraId="4F7F70EB" w14:textId="77777777" w:rsidR="00D56F61" w:rsidRDefault="00D56F61" w:rsidP="00D56F61">
      <w:pPr>
        <w:pStyle w:val="BodyTextIndent"/>
        <w:spacing w:before="0" w:line="260" w:lineRule="atLeast"/>
        <w:ind w:left="0"/>
        <w:rPr>
          <w:rFonts w:ascii="Verdana" w:hAnsi="Verdana" w:cs="Arial"/>
          <w:sz w:val="20"/>
          <w:szCs w:val="20"/>
        </w:rPr>
      </w:pPr>
    </w:p>
    <w:p w14:paraId="4F7F70EC" w14:textId="77777777" w:rsidR="00D56F61" w:rsidRDefault="00D56F61" w:rsidP="00D56F61">
      <w:pPr>
        <w:pStyle w:val="BodyTextIndent"/>
        <w:spacing w:before="0" w:line="260" w:lineRule="atLeast"/>
        <w:ind w:left="0"/>
        <w:rPr>
          <w:rFonts w:ascii="Verdana" w:hAnsi="Verdana" w:cs="Arial"/>
          <w:sz w:val="20"/>
          <w:szCs w:val="20"/>
        </w:rPr>
      </w:pPr>
      <w:r>
        <w:rPr>
          <w:rFonts w:ascii="Verdana" w:hAnsi="Verdana" w:cs="Arial"/>
          <w:noProof/>
          <w:snapToGrid/>
          <w:sz w:val="20"/>
          <w:szCs w:val="20"/>
          <w:lang w:eastAsia="bg-BG"/>
        </w:rPr>
        <w:drawing>
          <wp:inline distT="0" distB="0" distL="0" distR="0" wp14:anchorId="4F7F84CD" wp14:editId="4F7F84CE">
            <wp:extent cx="4584700" cy="27559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F7F70ED" w14:textId="77777777" w:rsidR="00D56F61" w:rsidRDefault="00D56F61" w:rsidP="00D56F61">
      <w:pPr>
        <w:pStyle w:val="BodyTextIndent"/>
        <w:spacing w:before="0" w:line="260" w:lineRule="atLeast"/>
        <w:ind w:left="0"/>
        <w:rPr>
          <w:rFonts w:ascii="Verdana" w:hAnsi="Verdana" w:cs="Arial"/>
          <w:sz w:val="20"/>
          <w:szCs w:val="20"/>
        </w:rPr>
      </w:pPr>
    </w:p>
    <w:p w14:paraId="4F7F70EE" w14:textId="77777777" w:rsidR="00D56F61" w:rsidRDefault="00D56F61" w:rsidP="00D56F61">
      <w:pPr>
        <w:pStyle w:val="BodyTextIndent"/>
        <w:spacing w:before="0" w:line="260" w:lineRule="atLeast"/>
        <w:ind w:left="0"/>
        <w:rPr>
          <w:rFonts w:ascii="Verdana" w:hAnsi="Verdana" w:cs="Arial"/>
          <w:sz w:val="20"/>
          <w:szCs w:val="20"/>
        </w:rPr>
      </w:pPr>
      <w:r w:rsidRPr="00C33E80">
        <w:rPr>
          <w:rFonts w:ascii="Verdana" w:hAnsi="Verdana" w:cs="Arial"/>
          <w:sz w:val="20"/>
          <w:szCs w:val="20"/>
        </w:rPr>
        <w:t xml:space="preserve">Отчетено е и увеличение на разходите за емисии на парникови газове. С намаляването на броя на безплатните квоти, които Дружеството получава, ежегодно се увеличава и броя на закупените такива, които следва да се предадат на администратора на Националния регистър за търговия с квоти за емисии на парникови газове /НРТКЕПГ/. Същевременно е отчетено и повишение на цените за </w:t>
      </w:r>
      <w:r>
        <w:rPr>
          <w:rFonts w:ascii="Verdana" w:hAnsi="Verdana" w:cs="Arial"/>
          <w:sz w:val="20"/>
          <w:szCs w:val="20"/>
        </w:rPr>
        <w:t>квотите</w:t>
      </w:r>
      <w:r w:rsidRPr="00C33E80">
        <w:rPr>
          <w:rFonts w:ascii="Verdana" w:hAnsi="Verdana" w:cs="Arial"/>
          <w:sz w:val="20"/>
          <w:szCs w:val="20"/>
        </w:rPr>
        <w:t xml:space="preserve">, което води до увеличение на разходите с приблизително </w:t>
      </w:r>
      <w:r w:rsidRPr="003A26A3">
        <w:rPr>
          <w:rFonts w:ascii="Verdana" w:hAnsi="Verdana" w:cs="Arial"/>
          <w:sz w:val="20"/>
          <w:szCs w:val="20"/>
        </w:rPr>
        <w:t>157 хил. лв. спрямо предходна</w:t>
      </w:r>
      <w:r>
        <w:rPr>
          <w:rFonts w:ascii="Verdana" w:hAnsi="Verdana" w:cs="Arial"/>
          <w:sz w:val="20"/>
          <w:szCs w:val="20"/>
        </w:rPr>
        <w:t>та</w:t>
      </w:r>
      <w:r w:rsidRPr="003A26A3">
        <w:rPr>
          <w:rFonts w:ascii="Verdana" w:hAnsi="Verdana" w:cs="Arial"/>
          <w:sz w:val="20"/>
          <w:szCs w:val="20"/>
        </w:rPr>
        <w:t xml:space="preserve"> година.</w:t>
      </w:r>
    </w:p>
    <w:p w14:paraId="4F7F70EF"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14:paraId="4F7F70F1"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14:paraId="4F7F70F2" w14:textId="77777777" w:rsidR="00D56F61" w:rsidRPr="00FF393B"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Производствен процес</w:t>
      </w:r>
    </w:p>
    <w:p w14:paraId="4F7F70F3"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 xml:space="preserve">Производственият процес на Дружеството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w:t>
      </w:r>
      <w:proofErr w:type="spellStart"/>
      <w:r w:rsidRPr="00C2255D">
        <w:rPr>
          <w:rFonts w:ascii="Verdana" w:hAnsi="Verdana" w:cs="Arial"/>
          <w:sz w:val="20"/>
        </w:rPr>
        <w:t>водогрейни</w:t>
      </w:r>
      <w:proofErr w:type="spellEnd"/>
      <w:r w:rsidRPr="00C2255D">
        <w:rPr>
          <w:rFonts w:ascii="Verdana" w:hAnsi="Verdana" w:cs="Arial"/>
          <w:sz w:val="20"/>
        </w:rPr>
        <w:t xml:space="preserve"> котли.</w:t>
      </w:r>
    </w:p>
    <w:p w14:paraId="4F7F70F4" w14:textId="77777777" w:rsidR="00D56F61" w:rsidRPr="00C2255D" w:rsidRDefault="00D56F61" w:rsidP="00D56F61">
      <w:pPr>
        <w:pStyle w:val="List"/>
        <w:spacing w:line="260" w:lineRule="atLeast"/>
        <w:ind w:left="0" w:firstLine="0"/>
        <w:jc w:val="both"/>
        <w:rPr>
          <w:rFonts w:ascii="Verdana" w:hAnsi="Verdana" w:cs="Arial"/>
          <w:i/>
          <w:iCs/>
          <w:szCs w:val="20"/>
          <w:lang w:val="bg-BG"/>
        </w:rPr>
      </w:pPr>
    </w:p>
    <w:p w14:paraId="4F7F70F5" w14:textId="77777777" w:rsidR="00D56F61" w:rsidRPr="00FF393B"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Инвестиционни проекти </w:t>
      </w:r>
    </w:p>
    <w:p w14:paraId="4F7F70F6" w14:textId="77777777" w:rsidR="00D56F61" w:rsidRPr="00C2255D" w:rsidRDefault="00D56F61" w:rsidP="00D56F61">
      <w:pPr>
        <w:pStyle w:val="List"/>
        <w:spacing w:line="260" w:lineRule="atLeast"/>
        <w:ind w:left="0" w:firstLine="0"/>
        <w:jc w:val="both"/>
        <w:rPr>
          <w:rFonts w:ascii="Verdana" w:hAnsi="Verdana" w:cs="Arial"/>
          <w:bCs w:val="0"/>
          <w:szCs w:val="20"/>
          <w:lang w:val="bg-BG"/>
        </w:rPr>
      </w:pPr>
      <w:r w:rsidRPr="00C2255D">
        <w:rPr>
          <w:rFonts w:ascii="Verdana" w:hAnsi="Verdana" w:cs="Arial"/>
          <w:bCs w:val="0"/>
          <w:szCs w:val="20"/>
          <w:lang w:val="bg-BG"/>
        </w:rPr>
        <w:t>Дружеството разполага с дълготрайни материални активи от следните групи</w:t>
      </w:r>
      <w:r>
        <w:rPr>
          <w:rFonts w:ascii="Verdana" w:hAnsi="Verdana" w:cs="Arial"/>
          <w:bCs w:val="0"/>
          <w:szCs w:val="20"/>
          <w:lang w:val="bg-BG"/>
        </w:rPr>
        <w:t xml:space="preserve"> (с балансова стойност)</w:t>
      </w:r>
      <w:r w:rsidRPr="00C2255D">
        <w:rPr>
          <w:rFonts w:ascii="Verdana" w:hAnsi="Verdana" w:cs="Arial"/>
          <w:bCs w:val="0"/>
          <w:szCs w:val="20"/>
          <w:lang w:val="bg-BG"/>
        </w:rPr>
        <w:t>:</w:t>
      </w:r>
    </w:p>
    <w:p w14:paraId="4F7F70F7" w14:textId="77777777" w:rsidR="00D56F61" w:rsidRPr="00C2255D" w:rsidRDefault="00D56F61" w:rsidP="00D56F61">
      <w:pPr>
        <w:pStyle w:val="List"/>
        <w:numPr>
          <w:ilvl w:val="0"/>
          <w:numId w:val="23"/>
        </w:numPr>
        <w:spacing w:line="260" w:lineRule="atLeast"/>
        <w:jc w:val="both"/>
        <w:rPr>
          <w:rFonts w:ascii="Verdana" w:hAnsi="Verdana" w:cs="Arial"/>
          <w:bCs w:val="0"/>
          <w:szCs w:val="20"/>
          <w:lang w:val="bg-BG"/>
        </w:rPr>
      </w:pPr>
      <w:r w:rsidRPr="00C2255D">
        <w:rPr>
          <w:rFonts w:ascii="Verdana" w:hAnsi="Verdana" w:cs="Arial"/>
          <w:bCs w:val="0"/>
          <w:szCs w:val="20"/>
          <w:lang w:val="bg-BG"/>
        </w:rPr>
        <w:t xml:space="preserve">Земи – </w:t>
      </w:r>
      <w:r>
        <w:rPr>
          <w:rFonts w:ascii="Verdana" w:hAnsi="Verdana" w:cs="Arial"/>
          <w:bCs w:val="0"/>
          <w:szCs w:val="20"/>
          <w:lang w:val="bg-BG"/>
        </w:rPr>
        <w:t>1 6</w:t>
      </w:r>
      <w:r w:rsidRPr="00C2255D">
        <w:rPr>
          <w:rFonts w:ascii="Verdana" w:hAnsi="Verdana" w:cs="Arial"/>
          <w:bCs w:val="0"/>
          <w:szCs w:val="20"/>
          <w:lang w:val="bg-BG"/>
        </w:rPr>
        <w:t>62 хил.лв.;</w:t>
      </w:r>
    </w:p>
    <w:p w14:paraId="4F7F70F8" w14:textId="77777777" w:rsidR="00D56F61" w:rsidRPr="00C2255D"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Сгради – 202</w:t>
      </w:r>
      <w:r w:rsidRPr="00C2255D">
        <w:rPr>
          <w:rFonts w:ascii="Verdana" w:hAnsi="Verdana" w:cs="Arial"/>
          <w:bCs w:val="0"/>
          <w:szCs w:val="20"/>
          <w:lang w:val="bg-BG"/>
        </w:rPr>
        <w:t xml:space="preserve"> хил.лв.;</w:t>
      </w:r>
    </w:p>
    <w:p w14:paraId="4F7F70F9" w14:textId="77777777" w:rsidR="00D56F61" w:rsidRPr="00C2255D"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Машини и оборудване – 1 828</w:t>
      </w:r>
      <w:r w:rsidRPr="00C2255D">
        <w:rPr>
          <w:rFonts w:ascii="Verdana" w:hAnsi="Verdana" w:cs="Arial"/>
          <w:bCs w:val="0"/>
          <w:szCs w:val="20"/>
          <w:lang w:val="bg-BG"/>
        </w:rPr>
        <w:t xml:space="preserve"> хил.лв.;</w:t>
      </w:r>
    </w:p>
    <w:p w14:paraId="4F7F70FA" w14:textId="77777777" w:rsidR="00D56F61" w:rsidRPr="00C2255D"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Съоръжения – 576</w:t>
      </w:r>
      <w:r w:rsidRPr="00C2255D">
        <w:rPr>
          <w:rFonts w:ascii="Verdana" w:hAnsi="Verdana" w:cs="Arial"/>
          <w:bCs w:val="0"/>
          <w:szCs w:val="20"/>
          <w:lang w:val="bg-BG"/>
        </w:rPr>
        <w:t xml:space="preserve"> хил.лв.;</w:t>
      </w:r>
    </w:p>
    <w:p w14:paraId="4F7F70FB" w14:textId="77777777" w:rsidR="00D56F61" w:rsidRPr="00C2255D"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Транспортни средства – 1</w:t>
      </w:r>
      <w:r w:rsidRPr="00C2255D">
        <w:rPr>
          <w:rFonts w:ascii="Verdana" w:hAnsi="Verdana" w:cs="Arial"/>
          <w:bCs w:val="0"/>
          <w:szCs w:val="20"/>
          <w:lang w:val="bg-BG"/>
        </w:rPr>
        <w:t xml:space="preserve"> хил.лв.;</w:t>
      </w:r>
    </w:p>
    <w:p w14:paraId="4F7F70FC" w14:textId="77777777" w:rsidR="00D56F61" w:rsidRPr="00C2255D"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Други активи – 9</w:t>
      </w:r>
      <w:r w:rsidRPr="00C2255D">
        <w:rPr>
          <w:rFonts w:ascii="Verdana" w:hAnsi="Verdana" w:cs="Arial"/>
          <w:bCs w:val="0"/>
          <w:szCs w:val="20"/>
          <w:lang w:val="bg-BG"/>
        </w:rPr>
        <w:t xml:space="preserve"> хил.лв.;</w:t>
      </w:r>
    </w:p>
    <w:p w14:paraId="4F7F70FD" w14:textId="77777777" w:rsidR="00D56F61"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Активи в процес на изграждане 274</w:t>
      </w:r>
      <w:r w:rsidRPr="00C2255D">
        <w:rPr>
          <w:rFonts w:ascii="Verdana" w:hAnsi="Verdana" w:cs="Arial"/>
          <w:bCs w:val="0"/>
          <w:szCs w:val="20"/>
          <w:lang w:val="bg-BG"/>
        </w:rPr>
        <w:t xml:space="preserve"> хил.лв.</w:t>
      </w:r>
    </w:p>
    <w:p w14:paraId="4F7F70FE" w14:textId="77777777" w:rsidR="00D56F61"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Активи с право на ползване – 9 хил.лв.</w:t>
      </w:r>
    </w:p>
    <w:p w14:paraId="4F7F70FF" w14:textId="77777777" w:rsidR="00D56F61" w:rsidRPr="00C2255D" w:rsidRDefault="00D56F61" w:rsidP="00D56F61">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Други активи – 1 хил.лв.</w:t>
      </w:r>
    </w:p>
    <w:p w14:paraId="4F7F7100" w14:textId="77777777" w:rsidR="00D56F61" w:rsidRDefault="00D56F61" w:rsidP="00D56F61">
      <w:pPr>
        <w:pStyle w:val="List"/>
        <w:spacing w:before="60" w:line="260" w:lineRule="atLeast"/>
        <w:ind w:left="0" w:firstLine="0"/>
        <w:jc w:val="both"/>
        <w:rPr>
          <w:rFonts w:ascii="Verdana" w:hAnsi="Verdana" w:cs="Arial"/>
          <w:bCs w:val="0"/>
          <w:szCs w:val="20"/>
          <w:lang w:val="bg-BG"/>
        </w:rPr>
      </w:pPr>
      <w:r>
        <w:rPr>
          <w:rFonts w:ascii="Verdana" w:hAnsi="Verdana" w:cs="Arial"/>
          <w:bCs w:val="0"/>
          <w:szCs w:val="20"/>
          <w:lang w:val="bg-BG"/>
        </w:rPr>
        <w:t>Дълготрайни н</w:t>
      </w:r>
      <w:r w:rsidRPr="00C2255D">
        <w:rPr>
          <w:rFonts w:ascii="Verdana" w:hAnsi="Verdana" w:cs="Arial"/>
          <w:bCs w:val="0"/>
          <w:szCs w:val="20"/>
          <w:lang w:val="bg-BG"/>
        </w:rPr>
        <w:t>ематериални</w:t>
      </w:r>
      <w:r>
        <w:rPr>
          <w:rFonts w:ascii="Verdana" w:hAnsi="Verdana" w:cs="Arial"/>
          <w:bCs w:val="0"/>
          <w:szCs w:val="20"/>
          <w:lang w:val="bg-BG"/>
        </w:rPr>
        <w:t xml:space="preserve"> активи – софтуер за събиране на вземанията (право на ползване) с балансова стойност 45</w:t>
      </w:r>
      <w:r w:rsidRPr="00C2255D">
        <w:rPr>
          <w:rFonts w:ascii="Verdana" w:hAnsi="Verdana" w:cs="Arial"/>
          <w:bCs w:val="0"/>
          <w:szCs w:val="20"/>
          <w:lang w:val="bg-BG"/>
        </w:rPr>
        <w:t xml:space="preserve"> хил.лв. </w:t>
      </w:r>
    </w:p>
    <w:p w14:paraId="4F7F7101" w14:textId="77777777" w:rsidR="00D56F61" w:rsidRPr="00BC5E1E" w:rsidRDefault="00D56F61" w:rsidP="00D56F61">
      <w:pPr>
        <w:pStyle w:val="List"/>
        <w:spacing w:before="60" w:line="260" w:lineRule="atLeast"/>
        <w:ind w:left="0" w:firstLine="0"/>
        <w:jc w:val="both"/>
        <w:rPr>
          <w:rFonts w:ascii="Verdana" w:hAnsi="Verdana" w:cs="Arial"/>
          <w:bCs w:val="0"/>
          <w:szCs w:val="20"/>
          <w:lang w:val="bg-BG"/>
        </w:rPr>
      </w:pPr>
      <w:r>
        <w:rPr>
          <w:rFonts w:ascii="Verdana" w:hAnsi="Verdana" w:cs="Arial"/>
          <w:bCs w:val="0"/>
          <w:szCs w:val="20"/>
          <w:lang w:val="bg-BG"/>
        </w:rPr>
        <w:t>През отчетния период с цел достоверно представяне на активите (по пазарна стойност) Дружеството е възложило на фирма да направи оценка на дълготрайните материални активи. Същата е направена и осчетоводена към 01.</w:t>
      </w:r>
      <w:proofErr w:type="spellStart"/>
      <w:r>
        <w:rPr>
          <w:rFonts w:ascii="Verdana" w:hAnsi="Verdana" w:cs="Arial"/>
          <w:bCs w:val="0"/>
          <w:szCs w:val="20"/>
          <w:lang w:val="bg-BG"/>
        </w:rPr>
        <w:t>01</w:t>
      </w:r>
      <w:proofErr w:type="spellEnd"/>
      <w:r>
        <w:rPr>
          <w:rFonts w:ascii="Verdana" w:hAnsi="Verdana" w:cs="Arial"/>
          <w:bCs w:val="0"/>
          <w:szCs w:val="20"/>
          <w:lang w:val="bg-BG"/>
        </w:rPr>
        <w:t>.2019 г.</w:t>
      </w:r>
    </w:p>
    <w:p w14:paraId="4F7F7102" w14:textId="77777777" w:rsidR="00D56F61" w:rsidRDefault="00D56F61" w:rsidP="00D56F61">
      <w:pPr>
        <w:pStyle w:val="Document1"/>
        <w:keepNext w:val="0"/>
        <w:keepLines w:val="0"/>
        <w:widowControl/>
        <w:tabs>
          <w:tab w:val="clear" w:pos="-720"/>
        </w:tabs>
        <w:suppressAutoHyphens w:val="0"/>
        <w:spacing w:before="120" w:line="276" w:lineRule="auto"/>
        <w:jc w:val="both"/>
        <w:rPr>
          <w:rFonts w:ascii="Verdana" w:hAnsi="Verdana" w:cs="Arial"/>
          <w:b/>
          <w:sz w:val="20"/>
          <w:lang w:val="bg-BG"/>
        </w:rPr>
      </w:pPr>
      <w:r w:rsidRPr="00AB7507">
        <w:rPr>
          <w:rFonts w:ascii="Verdana" w:hAnsi="Verdana" w:cs="Arial"/>
          <w:b/>
          <w:sz w:val="20"/>
          <w:lang w:val="bg-BG"/>
        </w:rPr>
        <w:t xml:space="preserve">Кратък преглед на състоянието на пазара </w:t>
      </w:r>
    </w:p>
    <w:p w14:paraId="4F7F7103" w14:textId="77777777" w:rsidR="00D56F61" w:rsidRPr="00C05FDF"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C05FDF">
        <w:rPr>
          <w:rFonts w:ascii="Verdana" w:hAnsi="Verdana" w:cs="Arial"/>
          <w:bCs w:val="0"/>
          <w:i/>
          <w:sz w:val="20"/>
          <w:szCs w:val="20"/>
          <w:lang w:eastAsia="en-US"/>
        </w:rPr>
        <w:t xml:space="preserve">Пазарен модел, регулиране и конкурентна среда </w:t>
      </w:r>
    </w:p>
    <w:p w14:paraId="4F7F7104" w14:textId="77777777" w:rsidR="00D56F61" w:rsidRDefault="00D56F61" w:rsidP="00D56F61">
      <w:pPr>
        <w:pStyle w:val="firstline"/>
        <w:spacing w:before="120" w:beforeAutospacing="0" w:after="0" w:afterAutospacing="0" w:line="260" w:lineRule="atLeast"/>
        <w:jc w:val="both"/>
        <w:rPr>
          <w:rFonts w:ascii="Verdana" w:hAnsi="Verdana"/>
          <w:bCs w:val="0"/>
          <w:sz w:val="20"/>
          <w:szCs w:val="20"/>
        </w:rPr>
      </w:pPr>
      <w:proofErr w:type="spellStart"/>
      <w:r w:rsidRPr="00C05FDF">
        <w:rPr>
          <w:rFonts w:ascii="Verdana" w:hAnsi="Verdana" w:cs="Arial"/>
          <w:bCs w:val="0"/>
          <w:sz w:val="20"/>
          <w:szCs w:val="20"/>
          <w:lang w:eastAsia="en-US"/>
        </w:rPr>
        <w:t>Пазарният</w:t>
      </w:r>
      <w:r w:rsidRPr="00C2255D">
        <w:rPr>
          <w:rFonts w:ascii="Verdana" w:hAnsi="Verdana"/>
          <w:bCs w:val="0"/>
          <w:sz w:val="20"/>
          <w:szCs w:val="20"/>
        </w:rPr>
        <w:t>модел</w:t>
      </w:r>
      <w:proofErr w:type="spellEnd"/>
      <w:r w:rsidRPr="00C2255D">
        <w:rPr>
          <w:rFonts w:ascii="Verdana" w:hAnsi="Verdana"/>
          <w:bCs w:val="0"/>
          <w:sz w:val="20"/>
          <w:szCs w:val="20"/>
        </w:rPr>
        <w:t xml:space="preserve"> на вътрешния пазар на </w:t>
      </w:r>
      <w:r>
        <w:rPr>
          <w:rFonts w:ascii="Verdana" w:hAnsi="Verdana"/>
          <w:bCs w:val="0"/>
          <w:sz w:val="20"/>
          <w:szCs w:val="20"/>
        </w:rPr>
        <w:t>„</w:t>
      </w:r>
      <w:r w:rsidRPr="00C2255D">
        <w:rPr>
          <w:rFonts w:ascii="Verdana" w:hAnsi="Verdana"/>
          <w:bCs w:val="0"/>
          <w:sz w:val="20"/>
          <w:szCs w:val="20"/>
        </w:rPr>
        <w:t>Топлофикация – Разград</w:t>
      </w:r>
      <w:r>
        <w:rPr>
          <w:rFonts w:ascii="Verdana" w:hAnsi="Verdana"/>
          <w:bCs w:val="0"/>
          <w:sz w:val="20"/>
          <w:szCs w:val="20"/>
        </w:rPr>
        <w:t>”</w:t>
      </w:r>
      <w:r w:rsidRPr="00C2255D">
        <w:rPr>
          <w:rFonts w:ascii="Verdana" w:hAnsi="Verdana"/>
          <w:bCs w:val="0"/>
          <w:sz w:val="20"/>
          <w:szCs w:val="20"/>
        </w:rPr>
        <w:t>АД е в съответствие с действащото законодателство, като основни пазарни участници в сектор топлоенерге</w:t>
      </w:r>
      <w:r>
        <w:rPr>
          <w:rFonts w:ascii="Verdana" w:hAnsi="Verdana"/>
          <w:bCs w:val="0"/>
          <w:sz w:val="20"/>
          <w:szCs w:val="20"/>
        </w:rPr>
        <w:t>тика могат да бъдат дефинирани:</w:t>
      </w:r>
    </w:p>
    <w:p w14:paraId="4F7F7105" w14:textId="77777777" w:rsidR="00D56F61" w:rsidRPr="003A7047" w:rsidRDefault="00D56F61" w:rsidP="00D56F61"/>
    <w:p w14:paraId="4F7F7106" w14:textId="77777777" w:rsidR="00D56F61" w:rsidRPr="00C2255D" w:rsidRDefault="00D56F61" w:rsidP="00D56F61">
      <w:pPr>
        <w:numPr>
          <w:ilvl w:val="0"/>
          <w:numId w:val="24"/>
        </w:numPr>
        <w:spacing w:line="260" w:lineRule="atLeast"/>
        <w:rPr>
          <w:rFonts w:ascii="Verdana" w:hAnsi="Verdana" w:cs="Arial"/>
          <w:sz w:val="20"/>
        </w:rPr>
      </w:pPr>
      <w:r>
        <w:rPr>
          <w:rFonts w:ascii="Verdana" w:hAnsi="Verdana" w:cs="Arial"/>
          <w:sz w:val="20"/>
        </w:rPr>
        <w:t>Физически лица</w:t>
      </w:r>
    </w:p>
    <w:p w14:paraId="4F7F7107" w14:textId="77777777" w:rsidR="00D56F61" w:rsidRPr="00C2255D" w:rsidRDefault="00D56F61" w:rsidP="00D56F61">
      <w:pPr>
        <w:numPr>
          <w:ilvl w:val="0"/>
          <w:numId w:val="24"/>
        </w:numPr>
        <w:spacing w:line="260" w:lineRule="atLeast"/>
        <w:rPr>
          <w:rFonts w:ascii="Verdana" w:hAnsi="Verdana" w:cs="Arial"/>
          <w:sz w:val="20"/>
        </w:rPr>
      </w:pPr>
      <w:r w:rsidRPr="00C2255D">
        <w:rPr>
          <w:rFonts w:ascii="Verdana" w:hAnsi="Verdana" w:cs="Arial"/>
          <w:sz w:val="20"/>
        </w:rPr>
        <w:t xml:space="preserve">Бюджетни </w:t>
      </w:r>
      <w:r>
        <w:rPr>
          <w:rFonts w:ascii="Verdana" w:hAnsi="Verdana" w:cs="Arial"/>
          <w:sz w:val="20"/>
        </w:rPr>
        <w:t>институции</w:t>
      </w:r>
    </w:p>
    <w:p w14:paraId="4F7F7108" w14:textId="77777777" w:rsidR="00D56F61" w:rsidRPr="00C2255D" w:rsidRDefault="00D56F61" w:rsidP="00D56F61">
      <w:pPr>
        <w:numPr>
          <w:ilvl w:val="0"/>
          <w:numId w:val="24"/>
        </w:numPr>
        <w:spacing w:line="260" w:lineRule="atLeast"/>
        <w:rPr>
          <w:rFonts w:ascii="Verdana" w:hAnsi="Verdana" w:cs="Arial"/>
          <w:sz w:val="20"/>
        </w:rPr>
      </w:pPr>
      <w:r w:rsidRPr="00C2255D">
        <w:rPr>
          <w:rFonts w:ascii="Verdana" w:hAnsi="Verdana" w:cs="Arial"/>
          <w:sz w:val="20"/>
        </w:rPr>
        <w:t xml:space="preserve">Стопански </w:t>
      </w:r>
      <w:r>
        <w:rPr>
          <w:rFonts w:ascii="Verdana" w:hAnsi="Verdana" w:cs="Arial"/>
          <w:sz w:val="20"/>
        </w:rPr>
        <w:t>организации</w:t>
      </w:r>
    </w:p>
    <w:p w14:paraId="4F7F7109" w14:textId="77777777" w:rsidR="00D56F61" w:rsidRPr="00C2255D" w:rsidRDefault="00D56F61" w:rsidP="00D56F61">
      <w:pPr>
        <w:numPr>
          <w:ilvl w:val="0"/>
          <w:numId w:val="24"/>
        </w:numPr>
        <w:spacing w:line="260" w:lineRule="atLeast"/>
        <w:rPr>
          <w:rFonts w:ascii="Verdana" w:hAnsi="Verdana" w:cs="Arial"/>
          <w:sz w:val="20"/>
        </w:rPr>
      </w:pPr>
      <w:r>
        <w:rPr>
          <w:rFonts w:ascii="Verdana" w:hAnsi="Verdana" w:cs="Arial"/>
          <w:sz w:val="20"/>
        </w:rPr>
        <w:t>„</w:t>
      </w:r>
      <w:r w:rsidRPr="00C2255D">
        <w:rPr>
          <w:rFonts w:ascii="Verdana" w:hAnsi="Verdana" w:cs="Arial"/>
          <w:sz w:val="20"/>
        </w:rPr>
        <w:t>ЕНЕРГО - ПРО Продажби</w:t>
      </w:r>
      <w:r>
        <w:rPr>
          <w:rFonts w:ascii="Verdana" w:hAnsi="Verdana" w:cs="Arial"/>
          <w:sz w:val="20"/>
        </w:rPr>
        <w:t>”</w:t>
      </w:r>
      <w:r w:rsidRPr="00C2255D">
        <w:rPr>
          <w:rFonts w:ascii="Verdana" w:hAnsi="Verdana" w:cs="Arial"/>
          <w:sz w:val="20"/>
        </w:rPr>
        <w:t xml:space="preserve"> АД</w:t>
      </w:r>
      <w:r>
        <w:rPr>
          <w:rFonts w:ascii="Verdana" w:hAnsi="Verdana" w:cs="Arial"/>
          <w:sz w:val="20"/>
        </w:rPr>
        <w:t xml:space="preserve"> и „</w:t>
      </w:r>
      <w:proofErr w:type="spellStart"/>
      <w:r>
        <w:rPr>
          <w:rFonts w:ascii="Verdana" w:hAnsi="Verdana" w:cs="Arial"/>
          <w:sz w:val="20"/>
        </w:rPr>
        <w:t>Енерго</w:t>
      </w:r>
      <w:proofErr w:type="spellEnd"/>
      <w:r>
        <w:rPr>
          <w:rFonts w:ascii="Verdana" w:hAnsi="Verdana" w:cs="Arial"/>
          <w:sz w:val="20"/>
        </w:rPr>
        <w:t xml:space="preserve"> – ПРО Енергийни Услуги“ ЕООД</w:t>
      </w:r>
    </w:p>
    <w:p w14:paraId="4F7F710A" w14:textId="77777777" w:rsidR="00D56F61" w:rsidRDefault="00D56F61" w:rsidP="00D56F61">
      <w:pPr>
        <w:spacing w:before="120" w:line="260" w:lineRule="atLeast"/>
        <w:rPr>
          <w:rFonts w:ascii="Verdana" w:hAnsi="Verdana" w:cs="Arial"/>
          <w:sz w:val="20"/>
        </w:rPr>
      </w:pPr>
      <w:r w:rsidRPr="00C2255D">
        <w:rPr>
          <w:rFonts w:ascii="Verdana" w:hAnsi="Verdana" w:cs="Arial"/>
          <w:sz w:val="20"/>
        </w:rPr>
        <w:t>Обект на ценово регулиране на вътрешния пазар са ц</w:t>
      </w:r>
      <w:r>
        <w:rPr>
          <w:rFonts w:ascii="Verdana" w:hAnsi="Verdana" w:cs="Arial"/>
          <w:sz w:val="20"/>
        </w:rPr>
        <w:t>ените на продаваната</w:t>
      </w:r>
      <w:r w:rsidRPr="00C2255D">
        <w:rPr>
          <w:rFonts w:ascii="Verdana" w:hAnsi="Verdana" w:cs="Arial"/>
          <w:sz w:val="20"/>
        </w:rPr>
        <w:t xml:space="preserve"> топлинна и електрическа енергия</w:t>
      </w:r>
      <w:r w:rsidRPr="00971C10">
        <w:rPr>
          <w:rFonts w:ascii="Verdana" w:hAnsi="Verdana" w:cs="Arial"/>
          <w:sz w:val="20"/>
        </w:rPr>
        <w:t>. Спецификата на дейността на Дружеството предполага реализация на продукцията на топлинна енергия единствено в лицензираната територия.</w:t>
      </w:r>
    </w:p>
    <w:p w14:paraId="4F7F710B" w14:textId="77777777" w:rsidR="00D56F61" w:rsidRPr="0007516E" w:rsidRDefault="00D56F61" w:rsidP="00D56F61">
      <w:pPr>
        <w:pStyle w:val="NoSpacing"/>
        <w:rPr>
          <w:rFonts w:ascii="Verdana" w:hAnsi="Verdana"/>
          <w:i/>
          <w:sz w:val="20"/>
        </w:rPr>
      </w:pPr>
      <w:r>
        <w:rPr>
          <w:rFonts w:ascii="Verdana" w:hAnsi="Verdana"/>
          <w:sz w:val="20"/>
        </w:rPr>
        <w:t>По отношение продажбата на електрическа енергия д</w:t>
      </w:r>
      <w:r w:rsidRPr="0007516E">
        <w:rPr>
          <w:rFonts w:ascii="Verdana" w:hAnsi="Verdana"/>
          <w:sz w:val="20"/>
        </w:rPr>
        <w:t xml:space="preserve">о 30 юни 2019 г. произведената от Дружеството електрическа енергия е изкупувана съгласно изискванията на чл.162 (1) от Закона за Енергетиката (ЗЕ), съгласно който </w:t>
      </w:r>
      <w:r w:rsidRPr="0007516E">
        <w:rPr>
          <w:rFonts w:ascii="Verdana" w:hAnsi="Verdana"/>
          <w:i/>
          <w:sz w:val="20"/>
        </w:rPr>
        <w:t xml:space="preserve">„Общественият доставчик, съответно крайните снабдители са длъжни да изкупят от производители с обекти с обща инсталирана електрическа мощност, по-малка от 4 MW, присъединени към съответната мрежа, цялото количество електрическа енергия, регистрирано с месечен сертификат за произход, по преференциални цени, определени съгласно съответната наредба по чл.36, ал.3, с изключение на количеството електрическа енергия, необходимо за осигуряване експлоатационната надеждност на основните съоръжения, произведено над количеството електрическа енергия от комбинирано производство и количествата, които производителят ползва за собствени нужди и за собствено потребление по смисъла на чл.119, ал.1 или има сключени договори по реда на глава девета, раздел VII, или с </w:t>
      </w:r>
      <w:r w:rsidRPr="0007516E">
        <w:rPr>
          <w:rFonts w:ascii="Verdana" w:hAnsi="Verdana"/>
          <w:i/>
          <w:sz w:val="20"/>
        </w:rPr>
        <w:lastRenderedPageBreak/>
        <w:t xml:space="preserve">които участва на пазара на балансираща енергия, или която е </w:t>
      </w:r>
      <w:proofErr w:type="spellStart"/>
      <w:r w:rsidRPr="0007516E">
        <w:rPr>
          <w:rFonts w:ascii="Verdana" w:hAnsi="Verdana"/>
          <w:i/>
          <w:sz w:val="20"/>
        </w:rPr>
        <w:t>потребявана</w:t>
      </w:r>
      <w:proofErr w:type="spellEnd"/>
      <w:r w:rsidRPr="0007516E">
        <w:rPr>
          <w:rFonts w:ascii="Verdana" w:hAnsi="Verdana"/>
          <w:i/>
          <w:sz w:val="20"/>
        </w:rPr>
        <w:t xml:space="preserve"> от небитови клиенти, които не са на бюджетна издръжка, и които производителят с преобладаващ топлинен товар за стопански нужди снабдява с топлинна енергия. Количествата електрическа енергия от високоефективно комбинирано производство на топлинна и електрическа енергия се изкупуват до размера на количествата, определени с решение на комисията за определяне на преференциална цена.“</w:t>
      </w:r>
    </w:p>
    <w:p w14:paraId="4F7F710C" w14:textId="77777777" w:rsidR="00D56F61" w:rsidRPr="0007516E" w:rsidRDefault="00D56F61" w:rsidP="00D56F61">
      <w:pPr>
        <w:pStyle w:val="NoSpacing"/>
        <w:rPr>
          <w:rFonts w:ascii="Verdana" w:hAnsi="Verdana"/>
          <w:i/>
          <w:sz w:val="20"/>
        </w:rPr>
      </w:pPr>
    </w:p>
    <w:p w14:paraId="4F7F710D" w14:textId="77777777" w:rsidR="00D56F61" w:rsidRPr="0007516E" w:rsidRDefault="00D56F61" w:rsidP="00D56F61">
      <w:pPr>
        <w:pStyle w:val="HTMLPreformatted"/>
        <w:jc w:val="both"/>
        <w:rPr>
          <w:rFonts w:ascii="Verdana" w:eastAsia="Calibri" w:hAnsi="Verdana" w:cs="Courier New"/>
          <w:sz w:val="20"/>
          <w:szCs w:val="22"/>
        </w:rPr>
      </w:pPr>
      <w:r w:rsidRPr="0007516E">
        <w:rPr>
          <w:rFonts w:ascii="Verdana" w:eastAsia="Calibri" w:hAnsi="Verdana" w:cs="Courier New"/>
          <w:sz w:val="20"/>
          <w:szCs w:val="22"/>
        </w:rPr>
        <w:t xml:space="preserve">Считано от 01.07.2019 г. предвид промените в ЗЕ Дружеството е задължено да продава произведената от него електрическа енергия на свободен пазар. В тази връзка Топлофикация - Разград е сключила договор за покупко-продажба на електрическа енергия, съгласно чл.100(6) от ЗЕ – продажба на електрическа енергия чрез координатор на балансираща група. Друга промяна в продажбата на електрическата енергия е свързана с разделяне на прихода. Една част се получава от координатора на балансиращата група, друга – от Фонд </w:t>
      </w:r>
      <w:r>
        <w:rPr>
          <w:rFonts w:ascii="Verdana" w:eastAsia="Calibri" w:hAnsi="Verdana" w:cs="Courier New"/>
          <w:sz w:val="20"/>
          <w:szCs w:val="22"/>
        </w:rPr>
        <w:t>„</w:t>
      </w:r>
      <w:r w:rsidRPr="0007516E">
        <w:rPr>
          <w:rFonts w:ascii="Verdana" w:eastAsia="Calibri" w:hAnsi="Verdana" w:cs="Courier New"/>
          <w:sz w:val="20"/>
          <w:szCs w:val="22"/>
        </w:rPr>
        <w:t xml:space="preserve">Сигурност на </w:t>
      </w:r>
      <w:r>
        <w:rPr>
          <w:rFonts w:ascii="Verdana" w:eastAsia="Calibri" w:hAnsi="Verdana" w:cs="Courier New"/>
          <w:sz w:val="20"/>
          <w:szCs w:val="22"/>
        </w:rPr>
        <w:t xml:space="preserve">енергийната система“ </w:t>
      </w:r>
      <w:r w:rsidRPr="0007516E">
        <w:rPr>
          <w:rFonts w:ascii="Verdana" w:eastAsia="Calibri" w:hAnsi="Verdana" w:cs="Courier New"/>
          <w:sz w:val="20"/>
          <w:szCs w:val="22"/>
        </w:rPr>
        <w:t>– под формата на премия.</w:t>
      </w:r>
    </w:p>
    <w:p w14:paraId="4F7F710E" w14:textId="77777777" w:rsidR="00D56F61" w:rsidRPr="0007516E" w:rsidRDefault="00D56F61" w:rsidP="00D56F61">
      <w:pPr>
        <w:pStyle w:val="HTMLPreformatted"/>
        <w:ind w:firstLine="540"/>
        <w:jc w:val="both"/>
        <w:rPr>
          <w:rFonts w:ascii="Verdana" w:eastAsia="Calibri" w:hAnsi="Verdana" w:cs="Courier New"/>
          <w:sz w:val="20"/>
          <w:szCs w:val="22"/>
        </w:rPr>
      </w:pPr>
    </w:p>
    <w:p w14:paraId="4F7F710F" w14:textId="77777777" w:rsidR="00D56F61" w:rsidRPr="00C2255D"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C2255D">
        <w:rPr>
          <w:rFonts w:ascii="Verdana" w:hAnsi="Verdana" w:cs="Arial"/>
          <w:bCs w:val="0"/>
          <w:i/>
          <w:sz w:val="20"/>
          <w:szCs w:val="20"/>
          <w:lang w:eastAsia="en-US"/>
        </w:rPr>
        <w:t xml:space="preserve">Основни клиенти, сключени договори </w:t>
      </w:r>
    </w:p>
    <w:p w14:paraId="4F7F7110" w14:textId="77777777" w:rsidR="00D56F61" w:rsidRDefault="00D56F61" w:rsidP="00D56F61">
      <w:pPr>
        <w:spacing w:before="120" w:line="260" w:lineRule="atLeast"/>
        <w:rPr>
          <w:rFonts w:ascii="Verdana" w:hAnsi="Verdana" w:cs="Arial"/>
          <w:bCs/>
          <w:sz w:val="20"/>
        </w:rPr>
      </w:pPr>
      <w:r>
        <w:rPr>
          <w:rFonts w:ascii="Verdana" w:hAnsi="Verdana" w:cs="Arial"/>
          <w:bCs/>
          <w:sz w:val="20"/>
        </w:rPr>
        <w:t>До 30.06.2019 г. о</w:t>
      </w:r>
      <w:r w:rsidRPr="003A7047">
        <w:rPr>
          <w:rFonts w:ascii="Verdana" w:hAnsi="Verdana" w:cs="Arial"/>
          <w:bCs/>
          <w:sz w:val="20"/>
        </w:rPr>
        <w:t xml:space="preserve">сновен и дългогодишен наш клиент </w:t>
      </w:r>
      <w:r>
        <w:rPr>
          <w:rFonts w:ascii="Verdana" w:hAnsi="Verdana" w:cs="Arial"/>
          <w:bCs/>
          <w:sz w:val="20"/>
        </w:rPr>
        <w:t>б</w:t>
      </w:r>
      <w:r w:rsidRPr="003A7047">
        <w:rPr>
          <w:rFonts w:ascii="Verdana" w:hAnsi="Verdana" w:cs="Arial"/>
          <w:bCs/>
          <w:sz w:val="20"/>
        </w:rPr>
        <w:t xml:space="preserve">е </w:t>
      </w:r>
      <w:r w:rsidRPr="003A7047">
        <w:rPr>
          <w:rFonts w:ascii="Verdana" w:hAnsi="Verdana" w:cs="Arial"/>
          <w:sz w:val="20"/>
        </w:rPr>
        <w:t>„ЕНЕРГО - ПРО Продажби” АД</w:t>
      </w:r>
      <w:r>
        <w:rPr>
          <w:rFonts w:ascii="Verdana" w:hAnsi="Verdana" w:cs="Arial"/>
          <w:bCs/>
          <w:sz w:val="20"/>
        </w:rPr>
        <w:t xml:space="preserve">, в качеството му на краен снабдител и юридическо лице, задължено, съгласно чл.162 (1) от ЗЕ (действащ до 30.06.2019 г.) да изкупува произведената от „Топлофикация – Разград“ АД електрическа енергия. Считано от 01.07.2019 г. във връзка с настъпилите нормативни промени, основния клиент на електрическа </w:t>
      </w:r>
      <w:proofErr w:type="spellStart"/>
      <w:r>
        <w:rPr>
          <w:rFonts w:ascii="Verdana" w:hAnsi="Verdana" w:cs="Arial"/>
          <w:bCs/>
          <w:sz w:val="20"/>
        </w:rPr>
        <w:t>енергиястана</w:t>
      </w:r>
      <w:proofErr w:type="spellEnd"/>
      <w:r>
        <w:rPr>
          <w:rFonts w:ascii="Verdana" w:hAnsi="Verdana" w:cs="Arial"/>
          <w:bCs/>
          <w:sz w:val="20"/>
        </w:rPr>
        <w:t xml:space="preserve"> „</w:t>
      </w:r>
      <w:proofErr w:type="spellStart"/>
      <w:r>
        <w:rPr>
          <w:rFonts w:ascii="Verdana" w:hAnsi="Verdana" w:cs="Arial"/>
          <w:bCs/>
          <w:sz w:val="20"/>
        </w:rPr>
        <w:t>Енерго</w:t>
      </w:r>
      <w:proofErr w:type="spellEnd"/>
      <w:r>
        <w:rPr>
          <w:rFonts w:ascii="Verdana" w:hAnsi="Verdana" w:cs="Arial"/>
          <w:bCs/>
          <w:sz w:val="20"/>
        </w:rPr>
        <w:t xml:space="preserve"> – ПРО Енергийни Услуги“ ЕООД, в качеството му на координатор на балансираща група.</w:t>
      </w:r>
    </w:p>
    <w:p w14:paraId="4F7F7111" w14:textId="77777777" w:rsidR="00D56F61" w:rsidRPr="00C05FDF" w:rsidRDefault="00D56F61" w:rsidP="00D56F61">
      <w:pPr>
        <w:spacing w:before="120" w:line="260" w:lineRule="atLeast"/>
        <w:rPr>
          <w:rFonts w:ascii="Verdana" w:hAnsi="Verdana" w:cs="Arial"/>
          <w:sz w:val="20"/>
        </w:rPr>
      </w:pPr>
      <w:r>
        <w:rPr>
          <w:rFonts w:ascii="Verdana" w:hAnsi="Verdana" w:cs="Arial"/>
          <w:bCs/>
          <w:sz w:val="20"/>
        </w:rPr>
        <w:t xml:space="preserve">Основни дългогодишни наши клиенти на топлинна енергия са Община Разград и Областната дирекция на МВР, с които Дружеството е </w:t>
      </w:r>
      <w:proofErr w:type="spellStart"/>
      <w:r>
        <w:rPr>
          <w:rFonts w:ascii="Verdana" w:hAnsi="Verdana" w:cs="Arial"/>
          <w:bCs/>
          <w:sz w:val="20"/>
        </w:rPr>
        <w:t>вдобри</w:t>
      </w:r>
      <w:proofErr w:type="spellEnd"/>
      <w:r>
        <w:rPr>
          <w:rFonts w:ascii="Verdana" w:hAnsi="Verdana" w:cs="Arial"/>
          <w:bCs/>
          <w:sz w:val="20"/>
        </w:rPr>
        <w:t xml:space="preserve"> партньорски взаимоотношения.Двустранното сътрудничество е ползотворно, като предвиждаме съвместната ни работа да продължи и в бъдеще.</w:t>
      </w:r>
    </w:p>
    <w:p w14:paraId="4F7F7112" w14:textId="77777777" w:rsidR="00D56F61" w:rsidRPr="0018718B"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18718B">
        <w:rPr>
          <w:rFonts w:ascii="Verdana" w:hAnsi="Verdana" w:cs="Arial"/>
          <w:bCs w:val="0"/>
          <w:i/>
          <w:sz w:val="20"/>
          <w:szCs w:val="20"/>
          <w:lang w:eastAsia="en-US"/>
        </w:rPr>
        <w:t>Основни доставчици</w:t>
      </w:r>
    </w:p>
    <w:p w14:paraId="4F7F7113" w14:textId="77777777" w:rsidR="00D56F61" w:rsidRDefault="00D56F61" w:rsidP="00D56F61">
      <w:pPr>
        <w:pStyle w:val="firstline"/>
        <w:spacing w:before="120" w:beforeAutospacing="0" w:after="0" w:afterAutospacing="0" w:line="260" w:lineRule="atLeast"/>
        <w:jc w:val="both"/>
        <w:rPr>
          <w:rFonts w:ascii="Verdana" w:hAnsi="Verdana" w:cs="Arial"/>
          <w:sz w:val="20"/>
          <w:lang w:val="en-US"/>
        </w:rPr>
      </w:pPr>
      <w:r w:rsidRPr="0018718B">
        <w:rPr>
          <w:rFonts w:ascii="Verdana" w:hAnsi="Verdana" w:cs="Arial"/>
          <w:bCs w:val="0"/>
          <w:sz w:val="20"/>
          <w:szCs w:val="20"/>
          <w:lang w:eastAsia="en-US"/>
        </w:rPr>
        <w:t xml:space="preserve">Като основни доставчици през 2019 г. могат да се определят „Овергаз Мрежи“ АД, с когото </w:t>
      </w:r>
      <w:proofErr w:type="spellStart"/>
      <w:r w:rsidRPr="0018718B">
        <w:rPr>
          <w:rFonts w:ascii="Verdana" w:hAnsi="Verdana" w:cs="Arial"/>
          <w:bCs w:val="0"/>
          <w:sz w:val="20"/>
          <w:szCs w:val="20"/>
          <w:lang w:eastAsia="en-US"/>
        </w:rPr>
        <w:t>Дружеството</w:t>
      </w:r>
      <w:r>
        <w:rPr>
          <w:rFonts w:ascii="Verdana" w:hAnsi="Verdana" w:cs="Arial"/>
          <w:sz w:val="20"/>
        </w:rPr>
        <w:t>има</w:t>
      </w:r>
      <w:proofErr w:type="spellEnd"/>
      <w:r>
        <w:rPr>
          <w:rFonts w:ascii="Verdana" w:hAnsi="Verdana" w:cs="Arial"/>
          <w:sz w:val="20"/>
        </w:rPr>
        <w:t xml:space="preserve"> сключени договори за снабдяване и разпределение на п</w:t>
      </w:r>
      <w:r w:rsidRPr="00C2255D">
        <w:rPr>
          <w:rFonts w:ascii="Verdana" w:hAnsi="Verdana" w:cs="Arial"/>
          <w:sz w:val="20"/>
        </w:rPr>
        <w:t>рироден газ</w:t>
      </w:r>
      <w:r>
        <w:rPr>
          <w:rFonts w:ascii="Verdana" w:hAnsi="Verdana" w:cs="Arial"/>
          <w:sz w:val="20"/>
        </w:rPr>
        <w:t>, „</w:t>
      </w:r>
      <w:r w:rsidRPr="00C2255D">
        <w:rPr>
          <w:rFonts w:ascii="Verdana" w:hAnsi="Verdana" w:cs="Arial"/>
          <w:sz w:val="20"/>
        </w:rPr>
        <w:t>Филтър</w:t>
      </w:r>
      <w:r>
        <w:rPr>
          <w:rFonts w:ascii="Verdana" w:hAnsi="Verdana" w:cs="Arial"/>
          <w:sz w:val="20"/>
        </w:rPr>
        <w:t>”</w:t>
      </w:r>
      <w:r w:rsidRPr="00C2255D">
        <w:rPr>
          <w:rFonts w:ascii="Verdana" w:hAnsi="Verdana" w:cs="Arial"/>
          <w:sz w:val="20"/>
        </w:rPr>
        <w:t xml:space="preserve"> ЕООД, </w:t>
      </w:r>
      <w:r>
        <w:rPr>
          <w:rFonts w:ascii="Verdana" w:hAnsi="Verdana" w:cs="Arial"/>
          <w:sz w:val="20"/>
        </w:rPr>
        <w:t>„</w:t>
      </w:r>
      <w:proofErr w:type="spellStart"/>
      <w:r w:rsidRPr="00C2255D">
        <w:rPr>
          <w:rFonts w:ascii="Verdana" w:hAnsi="Verdana" w:cs="Arial"/>
          <w:sz w:val="20"/>
        </w:rPr>
        <w:t>Омникар</w:t>
      </w:r>
      <w:proofErr w:type="spellEnd"/>
      <w:r w:rsidRPr="00C2255D">
        <w:rPr>
          <w:rFonts w:ascii="Verdana" w:hAnsi="Verdana" w:cs="Arial"/>
          <w:sz w:val="20"/>
        </w:rPr>
        <w:t xml:space="preserve"> БГ</w:t>
      </w:r>
      <w:r>
        <w:rPr>
          <w:rFonts w:ascii="Verdana" w:hAnsi="Verdana" w:cs="Arial"/>
          <w:sz w:val="20"/>
        </w:rPr>
        <w:t>”</w:t>
      </w:r>
      <w:r w:rsidRPr="00C2255D">
        <w:rPr>
          <w:rFonts w:ascii="Verdana" w:hAnsi="Verdana" w:cs="Arial"/>
          <w:sz w:val="20"/>
        </w:rPr>
        <w:t xml:space="preserve"> ЕООД, </w:t>
      </w:r>
      <w:r>
        <w:rPr>
          <w:rFonts w:ascii="Verdana" w:hAnsi="Verdana" w:cs="Arial"/>
          <w:sz w:val="20"/>
        </w:rPr>
        <w:t>„</w:t>
      </w:r>
      <w:r w:rsidRPr="00C2255D">
        <w:rPr>
          <w:rFonts w:ascii="Verdana" w:hAnsi="Verdana" w:cs="Arial"/>
          <w:sz w:val="20"/>
        </w:rPr>
        <w:t xml:space="preserve">Хигиенно - медицинска индустрия“ ЕООД, </w:t>
      </w:r>
      <w:r>
        <w:rPr>
          <w:rFonts w:ascii="Verdana" w:hAnsi="Verdana" w:cs="Arial"/>
          <w:sz w:val="20"/>
        </w:rPr>
        <w:t>„</w:t>
      </w:r>
      <w:proofErr w:type="spellStart"/>
      <w:r>
        <w:rPr>
          <w:rFonts w:ascii="Verdana" w:hAnsi="Verdana" w:cs="Arial"/>
          <w:sz w:val="20"/>
        </w:rPr>
        <w:t>Бруната</w:t>
      </w:r>
      <w:proofErr w:type="spellEnd"/>
      <w:r>
        <w:rPr>
          <w:rFonts w:ascii="Verdana" w:hAnsi="Verdana" w:cs="Arial"/>
          <w:sz w:val="20"/>
        </w:rPr>
        <w:t>“ ООД  и др.</w:t>
      </w:r>
    </w:p>
    <w:p w14:paraId="4F7F7114" w14:textId="77777777" w:rsidR="00D56F61" w:rsidRPr="00AF5CAA" w:rsidRDefault="00D56F61" w:rsidP="00D56F61">
      <w:pPr>
        <w:pStyle w:val="firstline"/>
        <w:spacing w:before="120" w:line="260" w:lineRule="atLeast"/>
        <w:rPr>
          <w:rFonts w:ascii="Verdana" w:hAnsi="Verdana" w:cs="Arial"/>
          <w:sz w:val="20"/>
          <w:lang w:val="en-US"/>
        </w:rPr>
      </w:pPr>
      <w:proofErr w:type="spellStart"/>
      <w:r w:rsidRPr="00AF5CAA">
        <w:rPr>
          <w:rFonts w:ascii="Verdana" w:hAnsi="Verdana" w:cs="Arial"/>
          <w:sz w:val="20"/>
          <w:lang w:val="en-US"/>
        </w:rPr>
        <w:t>Същевременно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във</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връзка</w:t>
      </w:r>
      <w:proofErr w:type="spellEnd"/>
      <w:r w:rsidRPr="00AF5CAA">
        <w:rPr>
          <w:rFonts w:ascii="Verdana" w:hAnsi="Verdana" w:cs="Arial"/>
          <w:sz w:val="20"/>
          <w:lang w:val="en-US"/>
        </w:rPr>
        <w:t xml:space="preserve"> с </w:t>
      </w:r>
      <w:proofErr w:type="spellStart"/>
      <w:r w:rsidRPr="00AF5CAA">
        <w:rPr>
          <w:rFonts w:ascii="Verdana" w:hAnsi="Verdana" w:cs="Arial"/>
          <w:sz w:val="20"/>
          <w:lang w:val="en-US"/>
        </w:rPr>
        <w:t>изискванията</w:t>
      </w:r>
      <w:proofErr w:type="spellEnd"/>
      <w:r w:rsidRPr="00AF5CAA">
        <w:rPr>
          <w:rFonts w:ascii="Verdana" w:hAnsi="Verdana" w:cs="Arial"/>
          <w:sz w:val="20"/>
          <w:lang w:val="en-US"/>
        </w:rPr>
        <w:t xml:space="preserve"> за ЗЕ, </w:t>
      </w:r>
      <w:proofErr w:type="spellStart"/>
      <w:r w:rsidRPr="00AF5CAA">
        <w:rPr>
          <w:rFonts w:ascii="Verdana" w:hAnsi="Verdana" w:cs="Arial"/>
          <w:sz w:val="20"/>
          <w:lang w:val="en-US"/>
        </w:rPr>
        <w:t>Дружеството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води</w:t>
      </w:r>
      <w:proofErr w:type="spellEnd"/>
      <w:r w:rsidRPr="00AF5CAA">
        <w:rPr>
          <w:rFonts w:ascii="Verdana" w:hAnsi="Verdana" w:cs="Arial"/>
          <w:sz w:val="20"/>
          <w:lang w:val="en-US"/>
        </w:rPr>
        <w:t xml:space="preserve"> </w:t>
      </w:r>
      <w:proofErr w:type="spellStart"/>
      <w:proofErr w:type="gramStart"/>
      <w:r w:rsidRPr="00AF5CAA">
        <w:rPr>
          <w:rFonts w:ascii="Verdana" w:hAnsi="Verdana" w:cs="Arial"/>
          <w:sz w:val="20"/>
          <w:lang w:val="en-US"/>
        </w:rPr>
        <w:t>отделна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счетоводна</w:t>
      </w:r>
      <w:proofErr w:type="spellEnd"/>
      <w:proofErr w:type="gramEnd"/>
      <w:r w:rsidRPr="00AF5CAA">
        <w:rPr>
          <w:rFonts w:ascii="Verdana" w:hAnsi="Verdana" w:cs="Arial"/>
          <w:sz w:val="20"/>
          <w:lang w:val="en-US"/>
        </w:rPr>
        <w:t xml:space="preserve"> </w:t>
      </w:r>
      <w:proofErr w:type="spellStart"/>
      <w:r w:rsidRPr="00AF5CAA">
        <w:rPr>
          <w:rFonts w:ascii="Verdana" w:hAnsi="Verdana" w:cs="Arial"/>
          <w:sz w:val="20"/>
          <w:lang w:val="en-US"/>
        </w:rPr>
        <w:t>отчетност</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както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следва</w:t>
      </w:r>
      <w:proofErr w:type="spellEnd"/>
      <w:r w:rsidRPr="00AF5CAA">
        <w:rPr>
          <w:rFonts w:ascii="Verdana" w:hAnsi="Verdana" w:cs="Arial"/>
          <w:sz w:val="20"/>
          <w:lang w:val="en-US"/>
        </w:rPr>
        <w:t>:</w:t>
      </w:r>
    </w:p>
    <w:p w14:paraId="4F7F7115" w14:textId="77777777" w:rsidR="00D56F61" w:rsidRPr="00AF5CAA" w:rsidRDefault="00D56F61" w:rsidP="00D56F61">
      <w:pPr>
        <w:pStyle w:val="firstline"/>
        <w:spacing w:before="0" w:beforeAutospacing="0" w:after="0" w:afterAutospacing="0"/>
        <w:rPr>
          <w:rFonts w:ascii="Verdana" w:hAnsi="Verdana" w:cs="Arial"/>
          <w:sz w:val="20"/>
          <w:lang w:val="en-US"/>
        </w:rPr>
      </w:pPr>
      <w:r w:rsidRPr="00AF5CAA">
        <w:rPr>
          <w:rFonts w:ascii="Verdana" w:hAnsi="Verdana" w:cs="Arial"/>
          <w:sz w:val="20"/>
          <w:lang w:val="en-US"/>
        </w:rPr>
        <w:t>-</w:t>
      </w:r>
      <w:r w:rsidRPr="00AF5CAA">
        <w:rPr>
          <w:rFonts w:ascii="Verdana" w:hAnsi="Verdana" w:cs="Arial"/>
          <w:sz w:val="20"/>
          <w:lang w:val="en-US"/>
        </w:rPr>
        <w:tab/>
      </w:r>
      <w:proofErr w:type="spellStart"/>
      <w:r w:rsidRPr="00AF5CAA">
        <w:rPr>
          <w:rFonts w:ascii="Verdana" w:hAnsi="Verdana" w:cs="Arial"/>
          <w:sz w:val="20"/>
          <w:lang w:val="en-US"/>
        </w:rPr>
        <w:t>Производство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топлинна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енергия</w:t>
      </w:r>
      <w:proofErr w:type="spellEnd"/>
      <w:r w:rsidRPr="00AF5CAA">
        <w:rPr>
          <w:rFonts w:ascii="Verdana" w:hAnsi="Verdana" w:cs="Arial"/>
          <w:sz w:val="20"/>
          <w:lang w:val="en-US"/>
        </w:rPr>
        <w:t>;</w:t>
      </w:r>
    </w:p>
    <w:p w14:paraId="4F7F7116" w14:textId="77777777" w:rsidR="00D56F61" w:rsidRPr="00AF5CAA" w:rsidRDefault="00D56F61" w:rsidP="00D56F61">
      <w:pPr>
        <w:pStyle w:val="firstline"/>
        <w:spacing w:before="0" w:beforeAutospacing="0" w:after="0" w:afterAutospacing="0"/>
        <w:rPr>
          <w:rFonts w:ascii="Verdana" w:hAnsi="Verdana" w:cs="Arial"/>
          <w:sz w:val="20"/>
          <w:lang w:val="en-US"/>
        </w:rPr>
      </w:pPr>
      <w:r w:rsidRPr="00AF5CAA">
        <w:rPr>
          <w:rFonts w:ascii="Verdana" w:hAnsi="Verdana" w:cs="Arial"/>
          <w:sz w:val="20"/>
          <w:lang w:val="en-US"/>
        </w:rPr>
        <w:t>-</w:t>
      </w:r>
      <w:r w:rsidRPr="00AF5CAA">
        <w:rPr>
          <w:rFonts w:ascii="Verdana" w:hAnsi="Verdana" w:cs="Arial"/>
          <w:sz w:val="20"/>
          <w:lang w:val="en-US"/>
        </w:rPr>
        <w:tab/>
      </w:r>
      <w:proofErr w:type="spellStart"/>
      <w:r w:rsidRPr="00AF5CAA">
        <w:rPr>
          <w:rFonts w:ascii="Verdana" w:hAnsi="Verdana" w:cs="Arial"/>
          <w:sz w:val="20"/>
          <w:lang w:val="en-US"/>
        </w:rPr>
        <w:t>Пренос</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топлинна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енергия</w:t>
      </w:r>
      <w:proofErr w:type="spellEnd"/>
      <w:r w:rsidRPr="00AF5CAA">
        <w:rPr>
          <w:rFonts w:ascii="Verdana" w:hAnsi="Verdana" w:cs="Arial"/>
          <w:sz w:val="20"/>
          <w:lang w:val="en-US"/>
        </w:rPr>
        <w:t>;</w:t>
      </w:r>
    </w:p>
    <w:p w14:paraId="4F7F7117" w14:textId="77777777" w:rsidR="00D56F61" w:rsidRPr="00AF5CAA" w:rsidRDefault="00D56F61" w:rsidP="00D56F61">
      <w:pPr>
        <w:pStyle w:val="firstline"/>
        <w:spacing w:before="0" w:beforeAutospacing="0" w:after="0" w:afterAutospacing="0"/>
        <w:rPr>
          <w:rFonts w:ascii="Verdana" w:hAnsi="Verdana" w:cs="Arial"/>
          <w:sz w:val="20"/>
          <w:lang w:val="en-US"/>
        </w:rPr>
      </w:pPr>
      <w:r w:rsidRPr="00AF5CAA">
        <w:rPr>
          <w:rFonts w:ascii="Verdana" w:hAnsi="Verdana" w:cs="Arial"/>
          <w:sz w:val="20"/>
          <w:lang w:val="en-US"/>
        </w:rPr>
        <w:t>-</w:t>
      </w:r>
      <w:r w:rsidRPr="00AF5CAA">
        <w:rPr>
          <w:rFonts w:ascii="Verdana" w:hAnsi="Verdana" w:cs="Arial"/>
          <w:sz w:val="20"/>
          <w:lang w:val="en-US"/>
        </w:rPr>
        <w:tab/>
      </w:r>
      <w:proofErr w:type="spellStart"/>
      <w:r w:rsidRPr="00AF5CAA">
        <w:rPr>
          <w:rFonts w:ascii="Verdana" w:hAnsi="Verdana" w:cs="Arial"/>
          <w:sz w:val="20"/>
          <w:lang w:val="en-US"/>
        </w:rPr>
        <w:t>Производство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електрическа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енергия</w:t>
      </w:r>
      <w:proofErr w:type="spellEnd"/>
      <w:r w:rsidRPr="00AF5CAA">
        <w:rPr>
          <w:rFonts w:ascii="Verdana" w:hAnsi="Verdana" w:cs="Arial"/>
          <w:sz w:val="20"/>
          <w:lang w:val="en-US"/>
        </w:rPr>
        <w:t>;</w:t>
      </w:r>
    </w:p>
    <w:p w14:paraId="4F7F7118" w14:textId="77777777" w:rsidR="00D56F61" w:rsidRPr="00AF5CAA" w:rsidRDefault="00D56F61" w:rsidP="00D56F61">
      <w:pPr>
        <w:pStyle w:val="firstline"/>
        <w:spacing w:before="0" w:beforeAutospacing="0" w:after="0" w:afterAutospacing="0"/>
        <w:rPr>
          <w:rFonts w:ascii="Verdana" w:hAnsi="Verdana" w:cs="Arial"/>
          <w:sz w:val="20"/>
          <w:lang w:val="en-US"/>
        </w:rPr>
      </w:pPr>
      <w:r w:rsidRPr="00AF5CAA">
        <w:rPr>
          <w:rFonts w:ascii="Verdana" w:hAnsi="Verdana" w:cs="Arial"/>
          <w:sz w:val="20"/>
          <w:lang w:val="en-US"/>
        </w:rPr>
        <w:t>-</w:t>
      </w:r>
      <w:r w:rsidRPr="00AF5CAA">
        <w:rPr>
          <w:rFonts w:ascii="Verdana" w:hAnsi="Verdana" w:cs="Arial"/>
          <w:sz w:val="20"/>
          <w:lang w:val="en-US"/>
        </w:rPr>
        <w:tab/>
      </w:r>
      <w:proofErr w:type="spellStart"/>
      <w:r w:rsidRPr="00AF5CAA">
        <w:rPr>
          <w:rFonts w:ascii="Verdana" w:hAnsi="Verdana" w:cs="Arial"/>
          <w:sz w:val="20"/>
          <w:lang w:val="en-US"/>
        </w:rPr>
        <w:t>Общи</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разходи</w:t>
      </w:r>
      <w:proofErr w:type="spellEnd"/>
      <w:r w:rsidRPr="00AF5CAA">
        <w:rPr>
          <w:rFonts w:ascii="Verdana" w:hAnsi="Verdana" w:cs="Arial"/>
          <w:sz w:val="20"/>
          <w:lang w:val="en-US"/>
        </w:rPr>
        <w:t xml:space="preserve"> за </w:t>
      </w:r>
      <w:proofErr w:type="spellStart"/>
      <w:r w:rsidRPr="00AF5CAA">
        <w:rPr>
          <w:rFonts w:ascii="Verdana" w:hAnsi="Verdana" w:cs="Arial"/>
          <w:sz w:val="20"/>
          <w:lang w:val="en-US"/>
        </w:rPr>
        <w:t>двата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продукта</w:t>
      </w:r>
      <w:proofErr w:type="spellEnd"/>
      <w:r w:rsidRPr="00AF5CAA">
        <w:rPr>
          <w:rFonts w:ascii="Verdana" w:hAnsi="Verdana" w:cs="Arial"/>
          <w:sz w:val="20"/>
          <w:lang w:val="en-US"/>
        </w:rPr>
        <w:t>;</w:t>
      </w:r>
    </w:p>
    <w:p w14:paraId="4F7F7119" w14:textId="77777777" w:rsidR="00D56F61" w:rsidRPr="00AF5CAA" w:rsidRDefault="00D56F61" w:rsidP="00D56F61">
      <w:pPr>
        <w:pStyle w:val="firstline"/>
        <w:spacing w:before="0" w:beforeAutospacing="0" w:after="0" w:afterAutospacing="0"/>
        <w:rPr>
          <w:rFonts w:ascii="Verdana" w:hAnsi="Verdana" w:cs="Arial"/>
          <w:sz w:val="20"/>
          <w:lang w:val="en-US"/>
        </w:rPr>
      </w:pPr>
      <w:r w:rsidRPr="00AF5CAA">
        <w:rPr>
          <w:rFonts w:ascii="Verdana" w:hAnsi="Verdana" w:cs="Arial"/>
          <w:sz w:val="20"/>
          <w:lang w:val="en-US"/>
        </w:rPr>
        <w:t>-</w:t>
      </w:r>
      <w:r w:rsidRPr="00AF5CAA">
        <w:rPr>
          <w:rFonts w:ascii="Verdana" w:hAnsi="Verdana" w:cs="Arial"/>
          <w:sz w:val="20"/>
          <w:lang w:val="en-US"/>
        </w:rPr>
        <w:tab/>
      </w:r>
      <w:proofErr w:type="spellStart"/>
      <w:r w:rsidRPr="00AF5CAA">
        <w:rPr>
          <w:rFonts w:ascii="Verdana" w:hAnsi="Verdana" w:cs="Arial"/>
          <w:sz w:val="20"/>
          <w:lang w:val="en-US"/>
        </w:rPr>
        <w:t>Разходи</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свързани</w:t>
      </w:r>
      <w:proofErr w:type="spellEnd"/>
      <w:r w:rsidRPr="00AF5CAA">
        <w:rPr>
          <w:rFonts w:ascii="Verdana" w:hAnsi="Verdana" w:cs="Arial"/>
          <w:sz w:val="20"/>
          <w:lang w:val="en-US"/>
        </w:rPr>
        <w:t xml:space="preserve"> с </w:t>
      </w:r>
      <w:proofErr w:type="spellStart"/>
      <w:r w:rsidRPr="00AF5CAA">
        <w:rPr>
          <w:rFonts w:ascii="Verdana" w:hAnsi="Verdana" w:cs="Arial"/>
          <w:sz w:val="20"/>
          <w:lang w:val="en-US"/>
        </w:rPr>
        <w:t>реализацията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топлинна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енергия</w:t>
      </w:r>
      <w:proofErr w:type="spellEnd"/>
      <w:r w:rsidRPr="00AF5CAA">
        <w:rPr>
          <w:rFonts w:ascii="Verdana" w:hAnsi="Verdana" w:cs="Arial"/>
          <w:sz w:val="20"/>
          <w:lang w:val="en-US"/>
        </w:rPr>
        <w:t>;</w:t>
      </w:r>
    </w:p>
    <w:p w14:paraId="4F7F711A" w14:textId="77777777" w:rsidR="00D56F61" w:rsidRPr="00AF5CAA" w:rsidRDefault="00D56F61" w:rsidP="00D56F61">
      <w:pPr>
        <w:pStyle w:val="firstline"/>
        <w:spacing w:before="0" w:beforeAutospacing="0" w:after="0" w:afterAutospacing="0"/>
        <w:rPr>
          <w:rFonts w:ascii="Verdana" w:hAnsi="Verdana" w:cs="Arial"/>
          <w:sz w:val="20"/>
          <w:lang w:val="en-US"/>
        </w:rPr>
      </w:pPr>
      <w:r w:rsidRPr="00AF5CAA">
        <w:rPr>
          <w:rFonts w:ascii="Verdana" w:hAnsi="Verdana" w:cs="Arial"/>
          <w:sz w:val="20"/>
          <w:lang w:val="en-US"/>
        </w:rPr>
        <w:t>-</w:t>
      </w:r>
      <w:r w:rsidRPr="00AF5CAA">
        <w:rPr>
          <w:rFonts w:ascii="Verdana" w:hAnsi="Verdana" w:cs="Arial"/>
          <w:sz w:val="20"/>
          <w:lang w:val="en-US"/>
        </w:rPr>
        <w:tab/>
      </w:r>
      <w:proofErr w:type="spellStart"/>
      <w:r w:rsidRPr="00AF5CAA">
        <w:rPr>
          <w:rFonts w:ascii="Verdana" w:hAnsi="Verdana" w:cs="Arial"/>
          <w:sz w:val="20"/>
          <w:lang w:val="en-US"/>
        </w:rPr>
        <w:t>Административни</w:t>
      </w:r>
      <w:proofErr w:type="spellEnd"/>
      <w:r w:rsidRPr="00AF5CAA">
        <w:rPr>
          <w:rFonts w:ascii="Verdana" w:hAnsi="Verdana" w:cs="Arial"/>
          <w:sz w:val="20"/>
          <w:lang w:val="en-US"/>
        </w:rPr>
        <w:t xml:space="preserve"> и </w:t>
      </w:r>
      <w:proofErr w:type="spellStart"/>
      <w:r w:rsidRPr="00AF5CAA">
        <w:rPr>
          <w:rFonts w:ascii="Verdana" w:hAnsi="Verdana" w:cs="Arial"/>
          <w:sz w:val="20"/>
          <w:lang w:val="en-US"/>
        </w:rPr>
        <w:t>административно</w:t>
      </w:r>
      <w:proofErr w:type="spellEnd"/>
      <w:r w:rsidRPr="00AF5CAA">
        <w:rPr>
          <w:rFonts w:ascii="Verdana" w:hAnsi="Verdana" w:cs="Arial"/>
          <w:sz w:val="20"/>
          <w:lang w:val="en-US"/>
        </w:rPr>
        <w:t xml:space="preserve"> </w:t>
      </w:r>
      <w:r>
        <w:rPr>
          <w:rFonts w:ascii="Verdana" w:hAnsi="Verdana" w:cs="Arial"/>
          <w:sz w:val="20"/>
        </w:rPr>
        <w:t xml:space="preserve">- </w:t>
      </w:r>
      <w:proofErr w:type="spellStart"/>
      <w:r w:rsidRPr="00AF5CAA">
        <w:rPr>
          <w:rFonts w:ascii="Verdana" w:hAnsi="Verdana" w:cs="Arial"/>
          <w:sz w:val="20"/>
          <w:lang w:val="en-US"/>
        </w:rPr>
        <w:t>управленски</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разходи</w:t>
      </w:r>
      <w:proofErr w:type="spellEnd"/>
      <w:r w:rsidRPr="00AF5CAA">
        <w:rPr>
          <w:rFonts w:ascii="Verdana" w:hAnsi="Verdana" w:cs="Arial"/>
          <w:sz w:val="20"/>
          <w:lang w:val="en-US"/>
        </w:rPr>
        <w:t>;</w:t>
      </w:r>
    </w:p>
    <w:p w14:paraId="4F7F711B" w14:textId="77777777" w:rsidR="00D56F61" w:rsidRDefault="00D56F61" w:rsidP="00D56F61">
      <w:pPr>
        <w:pStyle w:val="firstline"/>
        <w:spacing w:before="120" w:line="260" w:lineRule="atLeast"/>
        <w:jc w:val="both"/>
        <w:rPr>
          <w:rFonts w:ascii="Verdana" w:hAnsi="Verdana" w:cs="Arial"/>
          <w:sz w:val="20"/>
        </w:rPr>
      </w:pPr>
      <w:proofErr w:type="spellStart"/>
      <w:r w:rsidRPr="00AF5CAA">
        <w:rPr>
          <w:rFonts w:ascii="Verdana" w:hAnsi="Verdana" w:cs="Arial"/>
          <w:sz w:val="20"/>
          <w:lang w:val="en-US"/>
        </w:rPr>
        <w:t>Допълнително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Дружеството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отчита</w:t>
      </w:r>
      <w:proofErr w:type="spellEnd"/>
      <w:r w:rsidRPr="00AF5CAA">
        <w:rPr>
          <w:rFonts w:ascii="Verdana" w:hAnsi="Verdana" w:cs="Arial"/>
          <w:sz w:val="20"/>
          <w:lang w:val="en-US"/>
        </w:rPr>
        <w:t xml:space="preserve"> и </w:t>
      </w:r>
      <w:proofErr w:type="spellStart"/>
      <w:r w:rsidRPr="00AF5CAA">
        <w:rPr>
          <w:rFonts w:ascii="Verdana" w:hAnsi="Verdana" w:cs="Arial"/>
          <w:sz w:val="20"/>
          <w:lang w:val="en-US"/>
        </w:rPr>
        <w:t>разходи</w:t>
      </w:r>
      <w:proofErr w:type="spellEnd"/>
      <w:r w:rsidRPr="00AF5CAA">
        <w:rPr>
          <w:rFonts w:ascii="Verdana" w:hAnsi="Verdana" w:cs="Arial"/>
          <w:sz w:val="20"/>
          <w:lang w:val="en-US"/>
        </w:rPr>
        <w:t xml:space="preserve"> за </w:t>
      </w:r>
      <w:proofErr w:type="spellStart"/>
      <w:r w:rsidRPr="00AF5CAA">
        <w:rPr>
          <w:rFonts w:ascii="Verdana" w:hAnsi="Verdana" w:cs="Arial"/>
          <w:sz w:val="20"/>
          <w:lang w:val="en-US"/>
        </w:rPr>
        <w:t>нерегулирана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дейност</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съгласно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изискванията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Наредба</w:t>
      </w:r>
      <w:proofErr w:type="spellEnd"/>
      <w:r w:rsidRPr="00AF5CAA">
        <w:rPr>
          <w:rFonts w:ascii="Verdana" w:hAnsi="Verdana" w:cs="Arial"/>
          <w:sz w:val="20"/>
          <w:lang w:val="en-US"/>
        </w:rPr>
        <w:t xml:space="preserve"> №5 за </w:t>
      </w:r>
      <w:proofErr w:type="spellStart"/>
      <w:r w:rsidRPr="00AF5CAA">
        <w:rPr>
          <w:rFonts w:ascii="Verdana" w:hAnsi="Verdana" w:cs="Arial"/>
          <w:sz w:val="20"/>
          <w:lang w:val="en-US"/>
        </w:rPr>
        <w:t>регулиране</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цените</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топлинната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енергия</w:t>
      </w:r>
      <w:proofErr w:type="spellEnd"/>
      <w:r w:rsidRPr="00AF5CAA">
        <w:rPr>
          <w:rFonts w:ascii="Verdana" w:hAnsi="Verdana" w:cs="Arial"/>
          <w:sz w:val="20"/>
          <w:lang w:val="en-US"/>
        </w:rPr>
        <w:t xml:space="preserve"> и </w:t>
      </w:r>
      <w:proofErr w:type="spellStart"/>
      <w:r w:rsidRPr="00AF5CAA">
        <w:rPr>
          <w:rFonts w:ascii="Verdana" w:hAnsi="Verdana" w:cs="Arial"/>
          <w:sz w:val="20"/>
          <w:lang w:val="en-US"/>
        </w:rPr>
        <w:t>Наредба</w:t>
      </w:r>
      <w:proofErr w:type="spellEnd"/>
      <w:r w:rsidRPr="00AF5CAA">
        <w:rPr>
          <w:rFonts w:ascii="Verdana" w:hAnsi="Verdana" w:cs="Arial"/>
          <w:sz w:val="20"/>
          <w:lang w:val="en-US"/>
        </w:rPr>
        <w:t xml:space="preserve"> № 1 за </w:t>
      </w:r>
      <w:proofErr w:type="spellStart"/>
      <w:r w:rsidRPr="00AF5CAA">
        <w:rPr>
          <w:rFonts w:ascii="Verdana" w:hAnsi="Verdana" w:cs="Arial"/>
          <w:sz w:val="20"/>
          <w:lang w:val="en-US"/>
        </w:rPr>
        <w:t>регулиране</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на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ц</w:t>
      </w:r>
      <w:r>
        <w:rPr>
          <w:rFonts w:ascii="Verdana" w:hAnsi="Verdana" w:cs="Arial"/>
          <w:sz w:val="20"/>
          <w:lang w:val="en-US"/>
        </w:rPr>
        <w:t>ените</w:t>
      </w:r>
      <w:proofErr w:type="spellEnd"/>
      <w:r>
        <w:rPr>
          <w:rFonts w:ascii="Verdana" w:hAnsi="Verdana" w:cs="Arial"/>
          <w:sz w:val="20"/>
          <w:lang w:val="en-US"/>
        </w:rPr>
        <w:t xml:space="preserve"> </w:t>
      </w:r>
      <w:proofErr w:type="spellStart"/>
      <w:r>
        <w:rPr>
          <w:rFonts w:ascii="Verdana" w:hAnsi="Verdana" w:cs="Arial"/>
          <w:sz w:val="20"/>
          <w:lang w:val="en-US"/>
        </w:rPr>
        <w:t>на</w:t>
      </w:r>
      <w:proofErr w:type="spellEnd"/>
      <w:r>
        <w:rPr>
          <w:rFonts w:ascii="Verdana" w:hAnsi="Verdana" w:cs="Arial"/>
          <w:sz w:val="20"/>
          <w:lang w:val="en-US"/>
        </w:rPr>
        <w:t xml:space="preserve"> </w:t>
      </w:r>
      <w:proofErr w:type="spellStart"/>
      <w:r>
        <w:rPr>
          <w:rFonts w:ascii="Verdana" w:hAnsi="Verdana" w:cs="Arial"/>
          <w:sz w:val="20"/>
          <w:lang w:val="en-US"/>
        </w:rPr>
        <w:t>електрическа</w:t>
      </w:r>
      <w:proofErr w:type="spellEnd"/>
      <w:r>
        <w:rPr>
          <w:rFonts w:ascii="Verdana" w:hAnsi="Verdana" w:cs="Arial"/>
          <w:sz w:val="20"/>
          <w:lang w:val="en-US"/>
        </w:rPr>
        <w:t xml:space="preserve"> </w:t>
      </w:r>
      <w:proofErr w:type="spellStart"/>
      <w:r>
        <w:rPr>
          <w:rFonts w:ascii="Verdana" w:hAnsi="Verdana" w:cs="Arial"/>
          <w:sz w:val="20"/>
          <w:lang w:val="en-US"/>
        </w:rPr>
        <w:t>енергия</w:t>
      </w:r>
      <w:proofErr w:type="spellEnd"/>
      <w:r>
        <w:rPr>
          <w:rFonts w:ascii="Verdana" w:hAnsi="Verdana" w:cs="Arial"/>
          <w:sz w:val="20"/>
          <w:lang w:val="en-US"/>
        </w:rPr>
        <w:t xml:space="preserve">. </w:t>
      </w:r>
      <w:proofErr w:type="spellStart"/>
      <w:r w:rsidRPr="00AF5CAA">
        <w:rPr>
          <w:rFonts w:ascii="Verdana" w:hAnsi="Verdana" w:cs="Arial"/>
          <w:sz w:val="20"/>
          <w:lang w:val="en-US"/>
        </w:rPr>
        <w:t>Всяка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от</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дейностите</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има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специфични</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характеристики</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които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дават</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възможност</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да</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се</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отделят</w:t>
      </w:r>
      <w:proofErr w:type="spellEnd"/>
      <w:r w:rsidRPr="00AF5CAA">
        <w:rPr>
          <w:rFonts w:ascii="Verdana" w:hAnsi="Verdana" w:cs="Arial"/>
          <w:sz w:val="20"/>
          <w:lang w:val="en-US"/>
        </w:rPr>
        <w:t xml:space="preserve"> и </w:t>
      </w:r>
      <w:proofErr w:type="spellStart"/>
      <w:r w:rsidRPr="00AF5CAA">
        <w:rPr>
          <w:rFonts w:ascii="Verdana" w:hAnsi="Verdana" w:cs="Arial"/>
          <w:sz w:val="20"/>
          <w:lang w:val="en-US"/>
        </w:rPr>
        <w:t>счетоводно</w:t>
      </w:r>
      <w:proofErr w:type="spellEnd"/>
      <w:r w:rsidRPr="00AF5CAA">
        <w:rPr>
          <w:rFonts w:ascii="Verdana" w:hAnsi="Verdana" w:cs="Arial"/>
          <w:sz w:val="20"/>
          <w:lang w:val="en-US"/>
        </w:rPr>
        <w:t xml:space="preserve">. </w:t>
      </w:r>
      <w:proofErr w:type="spellStart"/>
      <w:r w:rsidRPr="00AF5CAA">
        <w:rPr>
          <w:rFonts w:ascii="Verdana" w:hAnsi="Verdana" w:cs="Arial"/>
          <w:sz w:val="20"/>
          <w:lang w:val="en-US"/>
        </w:rPr>
        <w:t>Създадена</w:t>
      </w:r>
      <w:proofErr w:type="spellEnd"/>
      <w:r w:rsidRPr="00AF5CAA">
        <w:rPr>
          <w:rFonts w:ascii="Verdana" w:hAnsi="Verdana" w:cs="Arial"/>
          <w:sz w:val="20"/>
          <w:lang w:val="en-US"/>
        </w:rPr>
        <w:t xml:space="preserve"> е и </w:t>
      </w:r>
      <w:proofErr w:type="spellStart"/>
      <w:r w:rsidRPr="00AF5CAA">
        <w:rPr>
          <w:rFonts w:ascii="Verdana" w:hAnsi="Verdana" w:cs="Arial"/>
          <w:sz w:val="20"/>
          <w:lang w:val="en-US"/>
        </w:rPr>
        <w:t>съот</w:t>
      </w:r>
      <w:r>
        <w:rPr>
          <w:rFonts w:ascii="Verdana" w:hAnsi="Verdana" w:cs="Arial"/>
          <w:sz w:val="20"/>
          <w:lang w:val="en-US"/>
        </w:rPr>
        <w:t>ветната</w:t>
      </w:r>
      <w:proofErr w:type="spellEnd"/>
      <w:r>
        <w:rPr>
          <w:rFonts w:ascii="Verdana" w:hAnsi="Verdana" w:cs="Arial"/>
          <w:sz w:val="20"/>
          <w:lang w:val="en-US"/>
        </w:rPr>
        <w:t xml:space="preserve"> </w:t>
      </w:r>
      <w:proofErr w:type="spellStart"/>
      <w:r>
        <w:rPr>
          <w:rFonts w:ascii="Verdana" w:hAnsi="Verdana" w:cs="Arial"/>
          <w:sz w:val="20"/>
          <w:lang w:val="en-US"/>
        </w:rPr>
        <w:t>счетоводна</w:t>
      </w:r>
      <w:proofErr w:type="spellEnd"/>
      <w:r>
        <w:rPr>
          <w:rFonts w:ascii="Verdana" w:hAnsi="Verdana" w:cs="Arial"/>
          <w:sz w:val="20"/>
          <w:lang w:val="en-US"/>
        </w:rPr>
        <w:t xml:space="preserve"> </w:t>
      </w:r>
      <w:proofErr w:type="spellStart"/>
      <w:r>
        <w:rPr>
          <w:rFonts w:ascii="Verdana" w:hAnsi="Verdana" w:cs="Arial"/>
          <w:sz w:val="20"/>
          <w:lang w:val="en-US"/>
        </w:rPr>
        <w:t>аналитичност</w:t>
      </w:r>
      <w:proofErr w:type="spellEnd"/>
      <w:r>
        <w:rPr>
          <w:rFonts w:ascii="Verdana" w:hAnsi="Verdana" w:cs="Arial"/>
          <w:sz w:val="20"/>
        </w:rPr>
        <w:t>.</w:t>
      </w:r>
    </w:p>
    <w:p w14:paraId="4F7F711C" w14:textId="77777777" w:rsidR="00D56F61" w:rsidRPr="00155A50" w:rsidRDefault="00D56F61" w:rsidP="00D56F61">
      <w:pPr>
        <w:pStyle w:val="firstline"/>
        <w:spacing w:before="120" w:line="260" w:lineRule="atLeast"/>
        <w:jc w:val="both"/>
        <w:rPr>
          <w:rFonts w:ascii="Verdana" w:hAnsi="Verdana" w:cs="Arial"/>
          <w:sz w:val="20"/>
        </w:rPr>
      </w:pPr>
    </w:p>
    <w:p w14:paraId="4F7F711D" w14:textId="77777777" w:rsidR="007541AF" w:rsidRDefault="007541AF"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14:paraId="4F7F711E" w14:textId="77777777" w:rsidR="00D56F61" w:rsidRPr="00AB7507"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AB7507">
        <w:rPr>
          <w:rFonts w:ascii="Verdana" w:hAnsi="Verdana" w:cs="Arial"/>
          <w:b/>
          <w:sz w:val="20"/>
          <w:lang w:val="bg-BG"/>
        </w:rPr>
        <w:t>Преглед на дейността</w:t>
      </w:r>
    </w:p>
    <w:p w14:paraId="4F7F711F" w14:textId="77777777" w:rsidR="00D56F61" w:rsidRPr="00C05FDF"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C05FDF">
        <w:rPr>
          <w:rFonts w:ascii="Verdana" w:hAnsi="Verdana" w:cs="Arial"/>
          <w:bCs w:val="0"/>
          <w:i/>
          <w:sz w:val="20"/>
          <w:szCs w:val="20"/>
          <w:lang w:eastAsia="en-US"/>
        </w:rPr>
        <w:t>Резултати за текущия период</w:t>
      </w:r>
    </w:p>
    <w:p w14:paraId="4F7F7120" w14:textId="4324A2AF" w:rsidR="00D56F61" w:rsidRPr="00C05FDF" w:rsidRDefault="00D56F61" w:rsidP="00D56F61">
      <w:pPr>
        <w:pStyle w:val="firstline"/>
        <w:spacing w:before="120" w:beforeAutospacing="0" w:after="0" w:afterAutospacing="0" w:line="260" w:lineRule="atLeast"/>
        <w:jc w:val="both"/>
        <w:rPr>
          <w:rFonts w:ascii="Verdana" w:hAnsi="Verdana" w:cs="Arial"/>
          <w:bCs w:val="0"/>
          <w:sz w:val="20"/>
          <w:szCs w:val="20"/>
          <w:lang w:eastAsia="en-US"/>
        </w:rPr>
      </w:pPr>
      <w:r w:rsidRPr="00C05FDF">
        <w:rPr>
          <w:rFonts w:ascii="Verdana" w:hAnsi="Verdana" w:cs="Arial"/>
          <w:bCs w:val="0"/>
          <w:sz w:val="20"/>
          <w:szCs w:val="20"/>
          <w:lang w:eastAsia="en-US"/>
        </w:rPr>
        <w:t>Финансовият резултат на Дружеството за 2019 г. след данъци, е загуба в размер на  1</w:t>
      </w:r>
      <w:r w:rsidR="00F74151">
        <w:rPr>
          <w:rFonts w:ascii="Verdana" w:hAnsi="Verdana" w:cs="Arial"/>
          <w:bCs w:val="0"/>
          <w:sz w:val="20"/>
          <w:szCs w:val="20"/>
          <w:lang w:eastAsia="en-US"/>
        </w:rPr>
        <w:t> </w:t>
      </w:r>
      <w:r w:rsidRPr="00C05FDF">
        <w:rPr>
          <w:rFonts w:ascii="Verdana" w:hAnsi="Verdana" w:cs="Arial"/>
          <w:bCs w:val="0"/>
          <w:sz w:val="20"/>
          <w:szCs w:val="20"/>
          <w:lang w:eastAsia="en-US"/>
        </w:rPr>
        <w:t>201</w:t>
      </w:r>
      <w:r w:rsidR="00F74151">
        <w:rPr>
          <w:rFonts w:ascii="Verdana" w:hAnsi="Verdana" w:cs="Arial"/>
          <w:bCs w:val="0"/>
          <w:sz w:val="20"/>
          <w:szCs w:val="20"/>
          <w:lang w:eastAsia="en-US"/>
        </w:rPr>
        <w:t xml:space="preserve"> </w:t>
      </w:r>
      <w:r w:rsidRPr="00C05FDF">
        <w:rPr>
          <w:rFonts w:ascii="Verdana" w:hAnsi="Verdana" w:cs="Arial"/>
          <w:bCs w:val="0"/>
          <w:sz w:val="20"/>
          <w:szCs w:val="20"/>
          <w:lang w:eastAsia="en-US"/>
        </w:rPr>
        <w:t xml:space="preserve">хил.лв.  (2018 г. </w:t>
      </w:r>
      <w:r>
        <w:rPr>
          <w:rFonts w:ascii="Verdana" w:hAnsi="Verdana" w:cs="Arial"/>
          <w:bCs w:val="0"/>
          <w:sz w:val="20"/>
          <w:szCs w:val="20"/>
          <w:lang w:eastAsia="en-US"/>
        </w:rPr>
        <w:t>-</w:t>
      </w:r>
      <w:r w:rsidRPr="00C05FDF">
        <w:rPr>
          <w:rFonts w:ascii="Verdana" w:hAnsi="Verdana" w:cs="Arial"/>
          <w:bCs w:val="0"/>
          <w:sz w:val="20"/>
          <w:szCs w:val="20"/>
          <w:lang w:eastAsia="en-US"/>
        </w:rPr>
        <w:t>1 728 хил. лв.)</w:t>
      </w:r>
    </w:p>
    <w:p w14:paraId="4F7F7121" w14:textId="77777777" w:rsidR="00D56F61" w:rsidRDefault="00D56F61" w:rsidP="00D56F61">
      <w:pPr>
        <w:pStyle w:val="ListContinue"/>
        <w:spacing w:after="0" w:line="260" w:lineRule="atLeast"/>
        <w:ind w:left="0"/>
        <w:jc w:val="both"/>
        <w:rPr>
          <w:rFonts w:ascii="Verdana" w:hAnsi="Verdana" w:cs="Arial"/>
          <w:b/>
          <w:lang w:val="bg-BG"/>
        </w:rPr>
      </w:pPr>
    </w:p>
    <w:p w14:paraId="4F7F7122" w14:textId="77777777" w:rsidR="00D56F61" w:rsidRPr="00AB7507" w:rsidRDefault="00D56F61" w:rsidP="00D56F61">
      <w:pPr>
        <w:pStyle w:val="ListContinue"/>
        <w:spacing w:after="0" w:line="260" w:lineRule="atLeast"/>
        <w:ind w:left="0"/>
        <w:jc w:val="both"/>
        <w:rPr>
          <w:rFonts w:ascii="Verdana" w:hAnsi="Verdana" w:cs="Arial"/>
          <w:b/>
          <w:lang w:val="bg-BG"/>
        </w:rPr>
      </w:pPr>
      <w:r w:rsidRPr="00AB7507">
        <w:rPr>
          <w:rFonts w:ascii="Verdana" w:hAnsi="Verdana" w:cs="Arial"/>
          <w:b/>
          <w:lang w:val="bg-BG"/>
        </w:rPr>
        <w:t>Финансови инструменти</w:t>
      </w:r>
    </w:p>
    <w:p w14:paraId="4F7F7123" w14:textId="77777777" w:rsidR="00D56F61" w:rsidRDefault="00D56F61" w:rsidP="00D56F61">
      <w:pPr>
        <w:spacing w:line="260" w:lineRule="atLeast"/>
        <w:ind w:right="-1"/>
        <w:rPr>
          <w:rFonts w:ascii="Verdana" w:hAnsi="Verdana" w:cs="Arial"/>
          <w:sz w:val="20"/>
        </w:rPr>
      </w:pPr>
      <w:r w:rsidRPr="00C2255D">
        <w:rPr>
          <w:rFonts w:ascii="Verdana" w:hAnsi="Verdana" w:cs="Arial"/>
          <w:sz w:val="20"/>
        </w:rPr>
        <w:t>Балансовите стойности на финансовите активи и пасиви (финансовите инструменти) на Дружеството могат да бъдат представени в следните категории:</w:t>
      </w:r>
    </w:p>
    <w:p w14:paraId="4F7F7124" w14:textId="77777777" w:rsidR="00D56F61" w:rsidRPr="00C2255D" w:rsidRDefault="00D56F61" w:rsidP="00D56F61">
      <w:pPr>
        <w:spacing w:line="260" w:lineRule="atLeast"/>
        <w:ind w:right="-1"/>
        <w:rPr>
          <w:rFonts w:ascii="Verdana" w:hAnsi="Verdana" w:cs="Arial"/>
          <w:sz w:val="20"/>
        </w:rPr>
      </w:pP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/хил.</w:t>
      </w:r>
      <w:proofErr w:type="spellStart"/>
      <w:r>
        <w:rPr>
          <w:rFonts w:ascii="Verdana" w:hAnsi="Verdana" w:cs="Arial"/>
          <w:sz w:val="20"/>
        </w:rPr>
        <w:t>лв</w:t>
      </w:r>
      <w:proofErr w:type="spellEnd"/>
      <w:r>
        <w:rPr>
          <w:rFonts w:ascii="Verdana" w:hAnsi="Verdana" w:cs="Arial"/>
          <w:sz w:val="20"/>
        </w:rPr>
        <w:t>/</w:t>
      </w:r>
    </w:p>
    <w:tbl>
      <w:tblPr>
        <w:tblW w:w="5000" w:type="pct"/>
        <w:tblCellSpacing w:w="1440" w:type="nil"/>
        <w:tblBorders>
          <w:top w:val="outset" w:sz="6" w:space="0" w:color="auto"/>
          <w:bottom w:val="outset" w:sz="6" w:space="0" w:color="auto"/>
          <w:insideH w:val="outset" w:sz="6" w:space="0" w:color="auto"/>
        </w:tblBorders>
        <w:tblLook w:val="04A0" w:firstRow="1" w:lastRow="0" w:firstColumn="1" w:lastColumn="0" w:noHBand="0" w:noVBand="1"/>
      </w:tblPr>
      <w:tblGrid>
        <w:gridCol w:w="6179"/>
        <w:gridCol w:w="1745"/>
        <w:gridCol w:w="1759"/>
      </w:tblGrid>
      <w:tr w:rsidR="00D56F61" w14:paraId="4F7F7128" w14:textId="77777777" w:rsidTr="009972FF">
        <w:trPr>
          <w:trHeight w:val="255"/>
          <w:tblCellSpacing w:w="1440" w:type="nil"/>
        </w:trPr>
        <w:tc>
          <w:tcPr>
            <w:tcW w:w="3199" w:type="pct"/>
            <w:shd w:val="clear" w:color="000000" w:fill="FFFFFF"/>
            <w:noWrap/>
            <w:vAlign w:val="center"/>
          </w:tcPr>
          <w:p w14:paraId="4F7F7125" w14:textId="6F81F248" w:rsidR="00D56F61" w:rsidRPr="00AB7507" w:rsidRDefault="00D56F61" w:rsidP="009972FF">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Финансови</w:t>
            </w:r>
            <w:proofErr w:type="spellEnd"/>
            <w:r w:rsidR="00F74151">
              <w:rPr>
                <w:rFonts w:ascii="Verdana" w:hAnsi="Verdana" w:cs="Arial"/>
                <w:b/>
                <w:bCs/>
                <w:color w:val="000000"/>
                <w:sz w:val="20"/>
              </w:rPr>
              <w:t xml:space="preserve"> </w:t>
            </w:r>
            <w:proofErr w:type="spellStart"/>
            <w:r w:rsidRPr="00AB7507">
              <w:rPr>
                <w:rFonts w:ascii="Verdana" w:hAnsi="Verdana" w:cs="Arial"/>
                <w:b/>
                <w:bCs/>
                <w:color w:val="000000"/>
                <w:sz w:val="20"/>
                <w:lang w:val="en-US"/>
              </w:rPr>
              <w:t>активи</w:t>
            </w:r>
            <w:proofErr w:type="spellEnd"/>
          </w:p>
        </w:tc>
        <w:tc>
          <w:tcPr>
            <w:tcW w:w="885" w:type="pct"/>
            <w:shd w:val="clear" w:color="auto" w:fill="auto"/>
            <w:noWrap/>
            <w:vAlign w:val="center"/>
          </w:tcPr>
          <w:p w14:paraId="4F7F7126" w14:textId="77777777" w:rsidR="00D56F61" w:rsidRPr="008F20BE" w:rsidRDefault="00D56F61" w:rsidP="009972FF">
            <w:pPr>
              <w:jc w:val="center"/>
              <w:rPr>
                <w:rFonts w:ascii="Verdana" w:hAnsi="Verdana" w:cs="Arial"/>
                <w:b/>
                <w:bCs/>
                <w:sz w:val="20"/>
                <w:lang w:val="en-US"/>
              </w:rPr>
            </w:pPr>
            <w:r w:rsidRPr="008F20BE">
              <w:rPr>
                <w:rFonts w:ascii="Verdana" w:hAnsi="Verdana" w:cs="Arial"/>
                <w:b/>
                <w:bCs/>
                <w:sz w:val="20"/>
                <w:lang w:val="en-US"/>
              </w:rPr>
              <w:t>3</w:t>
            </w:r>
            <w:r w:rsidRPr="008F20BE">
              <w:rPr>
                <w:rFonts w:ascii="Verdana" w:hAnsi="Verdana" w:cs="Arial"/>
                <w:b/>
                <w:bCs/>
                <w:sz w:val="20"/>
              </w:rPr>
              <w:t>1</w:t>
            </w:r>
            <w:r w:rsidRPr="008F20BE">
              <w:rPr>
                <w:rFonts w:ascii="Verdana" w:hAnsi="Verdana" w:cs="Arial"/>
                <w:b/>
                <w:bCs/>
                <w:sz w:val="20"/>
                <w:lang w:val="en-US"/>
              </w:rPr>
              <w:t>.</w:t>
            </w:r>
            <w:r w:rsidRPr="008F20BE">
              <w:rPr>
                <w:rFonts w:ascii="Verdana" w:hAnsi="Verdana" w:cs="Arial"/>
                <w:b/>
                <w:bCs/>
                <w:sz w:val="20"/>
              </w:rPr>
              <w:t>12</w:t>
            </w:r>
            <w:r w:rsidRPr="008F20BE">
              <w:rPr>
                <w:rFonts w:ascii="Verdana" w:hAnsi="Verdana" w:cs="Arial"/>
                <w:b/>
                <w:bCs/>
                <w:sz w:val="20"/>
                <w:lang w:val="en-US"/>
              </w:rPr>
              <w:t>.201</w:t>
            </w:r>
            <w:r>
              <w:rPr>
                <w:rFonts w:ascii="Verdana" w:hAnsi="Verdana" w:cs="Arial"/>
                <w:b/>
                <w:bCs/>
                <w:sz w:val="20"/>
              </w:rPr>
              <w:t>9</w:t>
            </w:r>
            <w:r w:rsidRPr="008F20BE">
              <w:rPr>
                <w:rFonts w:ascii="Verdana" w:hAnsi="Verdana" w:cs="Arial"/>
                <w:b/>
                <w:bCs/>
                <w:sz w:val="20"/>
                <w:lang w:val="en-US"/>
              </w:rPr>
              <w:t xml:space="preserve"> г.</w:t>
            </w:r>
          </w:p>
        </w:tc>
        <w:tc>
          <w:tcPr>
            <w:tcW w:w="916" w:type="pct"/>
            <w:shd w:val="clear" w:color="000000" w:fill="FFFFFF"/>
            <w:noWrap/>
            <w:vAlign w:val="center"/>
          </w:tcPr>
          <w:p w14:paraId="4F7F7127" w14:textId="77777777" w:rsidR="00D56F61" w:rsidRPr="00AB7507" w:rsidRDefault="00D56F61" w:rsidP="009972FF">
            <w:pPr>
              <w:jc w:val="center"/>
              <w:rPr>
                <w:rFonts w:ascii="Verdana" w:hAnsi="Verdana" w:cs="Arial"/>
                <w:b/>
                <w:bCs/>
                <w:color w:val="000000"/>
                <w:sz w:val="20"/>
                <w:lang w:val="en-US"/>
              </w:rPr>
            </w:pPr>
            <w:r>
              <w:rPr>
                <w:rFonts w:ascii="Verdana" w:hAnsi="Verdana" w:cs="Arial"/>
                <w:b/>
                <w:bCs/>
                <w:color w:val="000000"/>
                <w:sz w:val="20"/>
                <w:lang w:val="en-US"/>
              </w:rPr>
              <w:t>3</w:t>
            </w:r>
            <w:r>
              <w:rPr>
                <w:rFonts w:ascii="Verdana" w:hAnsi="Verdana" w:cs="Arial"/>
                <w:b/>
                <w:bCs/>
                <w:color w:val="000000"/>
                <w:sz w:val="20"/>
              </w:rPr>
              <w:t>1</w:t>
            </w:r>
            <w:r>
              <w:rPr>
                <w:rFonts w:ascii="Verdana" w:hAnsi="Verdana" w:cs="Arial"/>
                <w:b/>
                <w:bCs/>
                <w:color w:val="000000"/>
                <w:sz w:val="20"/>
                <w:lang w:val="en-US"/>
              </w:rPr>
              <w:t>.</w:t>
            </w:r>
            <w:r>
              <w:rPr>
                <w:rFonts w:ascii="Verdana" w:hAnsi="Verdana" w:cs="Arial"/>
                <w:b/>
                <w:bCs/>
                <w:color w:val="000000"/>
                <w:sz w:val="20"/>
              </w:rPr>
              <w:t>12</w:t>
            </w:r>
            <w:r>
              <w:rPr>
                <w:rFonts w:ascii="Verdana" w:hAnsi="Verdana" w:cs="Arial"/>
                <w:b/>
                <w:bCs/>
                <w:color w:val="000000"/>
                <w:sz w:val="20"/>
                <w:lang w:val="en-US"/>
              </w:rPr>
              <w:t>.201</w:t>
            </w:r>
            <w:r>
              <w:rPr>
                <w:rFonts w:ascii="Verdana" w:hAnsi="Verdana" w:cs="Arial"/>
                <w:b/>
                <w:bCs/>
                <w:color w:val="000000"/>
                <w:sz w:val="20"/>
              </w:rPr>
              <w:t>8</w:t>
            </w:r>
            <w:r w:rsidRPr="00AB7507">
              <w:rPr>
                <w:rFonts w:ascii="Verdana" w:hAnsi="Verdana" w:cs="Arial"/>
                <w:b/>
                <w:bCs/>
                <w:color w:val="000000"/>
                <w:sz w:val="20"/>
                <w:lang w:val="en-US"/>
              </w:rPr>
              <w:t xml:space="preserve"> г.</w:t>
            </w:r>
          </w:p>
        </w:tc>
      </w:tr>
      <w:tr w:rsidR="00D56F61" w14:paraId="4F7F712C" w14:textId="77777777" w:rsidTr="009972FF">
        <w:trPr>
          <w:trHeight w:val="255"/>
          <w:tblCellSpacing w:w="1440" w:type="nil"/>
        </w:trPr>
        <w:tc>
          <w:tcPr>
            <w:tcW w:w="3199" w:type="pct"/>
            <w:shd w:val="clear" w:color="000000" w:fill="FFFFFF"/>
            <w:noWrap/>
            <w:vAlign w:val="center"/>
          </w:tcPr>
          <w:p w14:paraId="4F7F7129" w14:textId="77777777" w:rsidR="00D56F61" w:rsidRPr="00AB7507" w:rsidRDefault="00D56F61" w:rsidP="009972FF">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Кредити</w:t>
            </w:r>
            <w:proofErr w:type="spellEnd"/>
            <w:r w:rsidRPr="00AB7507">
              <w:rPr>
                <w:rFonts w:ascii="Verdana" w:hAnsi="Verdana" w:cs="Arial"/>
                <w:b/>
                <w:bCs/>
                <w:color w:val="000000"/>
                <w:sz w:val="20"/>
                <w:lang w:val="en-US"/>
              </w:rPr>
              <w:t xml:space="preserve"> и </w:t>
            </w:r>
            <w:proofErr w:type="spellStart"/>
            <w:r w:rsidRPr="00AB7507">
              <w:rPr>
                <w:rFonts w:ascii="Verdana" w:hAnsi="Verdana" w:cs="Arial"/>
                <w:b/>
                <w:bCs/>
                <w:color w:val="000000"/>
                <w:sz w:val="20"/>
                <w:lang w:val="en-US"/>
              </w:rPr>
              <w:t>вземания</w:t>
            </w:r>
            <w:proofErr w:type="spellEnd"/>
            <w:r w:rsidRPr="00AB7507">
              <w:rPr>
                <w:rFonts w:ascii="Verdana" w:hAnsi="Verdana" w:cs="Arial"/>
                <w:b/>
                <w:bCs/>
                <w:color w:val="000000"/>
                <w:sz w:val="20"/>
                <w:lang w:val="en-US"/>
              </w:rPr>
              <w:t xml:space="preserve">, в </w:t>
            </w:r>
            <w:proofErr w:type="spellStart"/>
            <w:r w:rsidRPr="00AB7507">
              <w:rPr>
                <w:rFonts w:ascii="Verdana" w:hAnsi="Verdana" w:cs="Arial"/>
                <w:b/>
                <w:bCs/>
                <w:color w:val="000000"/>
                <w:sz w:val="20"/>
                <w:lang w:val="en-US"/>
              </w:rPr>
              <w:t>т.ч</w:t>
            </w:r>
            <w:proofErr w:type="spellEnd"/>
            <w:r w:rsidRPr="00AB7507">
              <w:rPr>
                <w:rFonts w:ascii="Verdana" w:hAnsi="Verdana" w:cs="Arial"/>
                <w:b/>
                <w:bCs/>
                <w:color w:val="000000"/>
                <w:sz w:val="20"/>
                <w:lang w:val="en-US"/>
              </w:rPr>
              <w:t>.:</w:t>
            </w:r>
          </w:p>
        </w:tc>
        <w:tc>
          <w:tcPr>
            <w:tcW w:w="885" w:type="pct"/>
            <w:shd w:val="clear" w:color="auto" w:fill="auto"/>
            <w:noWrap/>
            <w:vAlign w:val="center"/>
          </w:tcPr>
          <w:p w14:paraId="4F7F712A" w14:textId="5F49E11D" w:rsidR="00D56F61" w:rsidRPr="008F20BE" w:rsidRDefault="00D56F61" w:rsidP="009972FF">
            <w:pPr>
              <w:jc w:val="center"/>
              <w:rPr>
                <w:rFonts w:ascii="Verdana" w:hAnsi="Verdana" w:cs="Arial"/>
                <w:b/>
                <w:bCs/>
                <w:sz w:val="20"/>
              </w:rPr>
            </w:pPr>
            <w:r>
              <w:rPr>
                <w:rFonts w:ascii="Verdana" w:hAnsi="Verdana" w:cs="Arial"/>
                <w:b/>
                <w:bCs/>
                <w:sz w:val="20"/>
              </w:rPr>
              <w:t>1 19</w:t>
            </w:r>
            <w:r w:rsidR="00F74151">
              <w:rPr>
                <w:rFonts w:ascii="Verdana" w:hAnsi="Verdana" w:cs="Arial"/>
                <w:b/>
                <w:bCs/>
                <w:sz w:val="20"/>
              </w:rPr>
              <w:t>5</w:t>
            </w:r>
          </w:p>
        </w:tc>
        <w:tc>
          <w:tcPr>
            <w:tcW w:w="916" w:type="pct"/>
            <w:shd w:val="clear" w:color="auto" w:fill="auto"/>
            <w:noWrap/>
            <w:vAlign w:val="center"/>
          </w:tcPr>
          <w:p w14:paraId="4F7F712B" w14:textId="77777777" w:rsidR="00D56F61" w:rsidRPr="00A92C5A" w:rsidRDefault="00D56F61" w:rsidP="009972FF">
            <w:pPr>
              <w:jc w:val="center"/>
              <w:rPr>
                <w:rFonts w:ascii="Verdana" w:hAnsi="Verdana" w:cs="Arial"/>
                <w:b/>
                <w:bCs/>
                <w:sz w:val="20"/>
              </w:rPr>
            </w:pPr>
            <w:r>
              <w:rPr>
                <w:rFonts w:ascii="Verdana" w:hAnsi="Verdana" w:cs="Arial"/>
                <w:b/>
                <w:bCs/>
                <w:sz w:val="20"/>
                <w:lang w:val="en-US"/>
              </w:rPr>
              <w:t xml:space="preserve">1 </w:t>
            </w:r>
            <w:r>
              <w:rPr>
                <w:rFonts w:ascii="Verdana" w:hAnsi="Verdana" w:cs="Arial"/>
                <w:b/>
                <w:bCs/>
                <w:sz w:val="20"/>
              </w:rPr>
              <w:t>323</w:t>
            </w:r>
          </w:p>
        </w:tc>
      </w:tr>
      <w:tr w:rsidR="00D56F61" w:rsidRPr="00BA09B6" w14:paraId="4F7F7130" w14:textId="77777777" w:rsidTr="009972FF">
        <w:trPr>
          <w:trHeight w:val="255"/>
          <w:tblCellSpacing w:w="1440" w:type="nil"/>
        </w:trPr>
        <w:tc>
          <w:tcPr>
            <w:tcW w:w="3199" w:type="pct"/>
            <w:shd w:val="clear" w:color="000000" w:fill="FFFFFF"/>
            <w:vAlign w:val="center"/>
          </w:tcPr>
          <w:p w14:paraId="4F7F712D" w14:textId="4038F63E" w:rsidR="00D56F61" w:rsidRPr="00BA09B6" w:rsidRDefault="00D56F61" w:rsidP="009972FF">
            <w:pPr>
              <w:jc w:val="left"/>
              <w:rPr>
                <w:rFonts w:ascii="Verdana" w:hAnsi="Verdana" w:cs="Arial"/>
                <w:color w:val="000000"/>
                <w:sz w:val="20"/>
                <w:lang w:val="en-US"/>
              </w:rPr>
            </w:pPr>
            <w:proofErr w:type="spellStart"/>
            <w:r w:rsidRPr="00BA09B6">
              <w:rPr>
                <w:rFonts w:ascii="Verdana" w:hAnsi="Verdana" w:cs="Arial"/>
                <w:color w:val="000000"/>
                <w:sz w:val="20"/>
                <w:lang w:val="en-US"/>
              </w:rPr>
              <w:t>Текущи</w:t>
            </w:r>
            <w:proofErr w:type="spellEnd"/>
            <w:r w:rsidR="00F74151">
              <w:rPr>
                <w:rFonts w:ascii="Verdana" w:hAnsi="Verdana" w:cs="Arial"/>
                <w:color w:val="000000"/>
                <w:sz w:val="20"/>
              </w:rPr>
              <w:t xml:space="preserve"> </w:t>
            </w:r>
            <w:proofErr w:type="spellStart"/>
            <w:r w:rsidRPr="00BA09B6">
              <w:rPr>
                <w:rFonts w:ascii="Verdana" w:hAnsi="Verdana" w:cs="Arial"/>
                <w:color w:val="000000"/>
                <w:sz w:val="20"/>
                <w:lang w:val="en-US"/>
              </w:rPr>
              <w:t>търговски</w:t>
            </w:r>
            <w:proofErr w:type="spellEnd"/>
            <w:r w:rsidRPr="00BA09B6">
              <w:rPr>
                <w:rFonts w:ascii="Verdana" w:hAnsi="Verdana" w:cs="Arial"/>
                <w:color w:val="000000"/>
                <w:sz w:val="20"/>
                <w:lang w:val="en-US"/>
              </w:rPr>
              <w:t xml:space="preserve"> и </w:t>
            </w:r>
            <w:proofErr w:type="spellStart"/>
            <w:r w:rsidRPr="00BA09B6">
              <w:rPr>
                <w:rFonts w:ascii="Verdana" w:hAnsi="Verdana" w:cs="Arial"/>
                <w:color w:val="000000"/>
                <w:sz w:val="20"/>
                <w:lang w:val="en-US"/>
              </w:rPr>
              <w:t>други</w:t>
            </w:r>
            <w:proofErr w:type="spellEnd"/>
            <w:r w:rsidR="00F74151">
              <w:rPr>
                <w:rFonts w:ascii="Verdana" w:hAnsi="Verdana" w:cs="Arial"/>
                <w:color w:val="000000"/>
                <w:sz w:val="20"/>
              </w:rPr>
              <w:t xml:space="preserve"> </w:t>
            </w:r>
            <w:proofErr w:type="spellStart"/>
            <w:r w:rsidRPr="00BA09B6">
              <w:rPr>
                <w:rFonts w:ascii="Verdana" w:hAnsi="Verdana" w:cs="Arial"/>
                <w:color w:val="000000"/>
                <w:sz w:val="20"/>
                <w:lang w:val="en-US"/>
              </w:rPr>
              <w:t>вземания</w:t>
            </w:r>
            <w:proofErr w:type="spellEnd"/>
          </w:p>
        </w:tc>
        <w:tc>
          <w:tcPr>
            <w:tcW w:w="885" w:type="pct"/>
            <w:shd w:val="clear" w:color="auto" w:fill="auto"/>
            <w:noWrap/>
            <w:vAlign w:val="center"/>
          </w:tcPr>
          <w:p w14:paraId="4F7F712E" w14:textId="3AD3434C" w:rsidR="00D56F61" w:rsidRPr="008F20BE" w:rsidRDefault="00D56F61" w:rsidP="009972FF">
            <w:pPr>
              <w:jc w:val="center"/>
              <w:rPr>
                <w:rFonts w:ascii="Verdana" w:hAnsi="Verdana" w:cs="Arial"/>
                <w:sz w:val="20"/>
              </w:rPr>
            </w:pPr>
            <w:r w:rsidRPr="008F20BE">
              <w:rPr>
                <w:rFonts w:ascii="Verdana" w:hAnsi="Verdana" w:cs="Arial"/>
                <w:sz w:val="20"/>
                <w:lang w:val="en-US"/>
              </w:rPr>
              <w:t xml:space="preserve">1 </w:t>
            </w:r>
            <w:r>
              <w:rPr>
                <w:rFonts w:ascii="Verdana" w:hAnsi="Verdana" w:cs="Arial"/>
                <w:sz w:val="20"/>
              </w:rPr>
              <w:t>19</w:t>
            </w:r>
            <w:r w:rsidR="00F74151">
              <w:rPr>
                <w:rFonts w:ascii="Verdana" w:hAnsi="Verdana" w:cs="Arial"/>
                <w:sz w:val="20"/>
              </w:rPr>
              <w:t>5</w:t>
            </w:r>
          </w:p>
        </w:tc>
        <w:tc>
          <w:tcPr>
            <w:tcW w:w="916" w:type="pct"/>
            <w:shd w:val="clear" w:color="auto" w:fill="auto"/>
            <w:noWrap/>
            <w:vAlign w:val="center"/>
          </w:tcPr>
          <w:p w14:paraId="4F7F712F" w14:textId="77777777" w:rsidR="00D56F61" w:rsidRPr="00A92C5A" w:rsidRDefault="00D56F61" w:rsidP="009972FF">
            <w:pPr>
              <w:jc w:val="center"/>
              <w:rPr>
                <w:rFonts w:ascii="Verdana" w:hAnsi="Verdana" w:cs="Arial"/>
                <w:sz w:val="20"/>
              </w:rPr>
            </w:pPr>
            <w:r>
              <w:rPr>
                <w:rFonts w:ascii="Verdana" w:hAnsi="Verdana" w:cs="Arial"/>
                <w:sz w:val="20"/>
                <w:lang w:val="en-US"/>
              </w:rPr>
              <w:t xml:space="preserve">1 </w:t>
            </w:r>
            <w:r>
              <w:rPr>
                <w:rFonts w:ascii="Verdana" w:hAnsi="Verdana" w:cs="Arial"/>
                <w:sz w:val="20"/>
              </w:rPr>
              <w:t>323</w:t>
            </w:r>
          </w:p>
        </w:tc>
      </w:tr>
      <w:tr w:rsidR="00D56F61" w:rsidRPr="00BA09B6" w14:paraId="4F7F7134" w14:textId="77777777" w:rsidTr="009972FF">
        <w:trPr>
          <w:trHeight w:val="255"/>
          <w:tblCellSpacing w:w="1440" w:type="nil"/>
        </w:trPr>
        <w:tc>
          <w:tcPr>
            <w:tcW w:w="3199" w:type="pct"/>
            <w:shd w:val="clear" w:color="000000" w:fill="FFFFFF"/>
            <w:vAlign w:val="center"/>
          </w:tcPr>
          <w:p w14:paraId="4F7F7131" w14:textId="03161A13" w:rsidR="00D56F61" w:rsidRPr="00BA09B6" w:rsidRDefault="00D56F61" w:rsidP="009972FF">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Парични</w:t>
            </w:r>
            <w:proofErr w:type="spellEnd"/>
            <w:r w:rsidR="00F74151">
              <w:rPr>
                <w:rFonts w:ascii="Verdana" w:hAnsi="Verdana" w:cs="Arial"/>
                <w:b/>
                <w:bCs/>
                <w:color w:val="000000"/>
                <w:sz w:val="20"/>
              </w:rPr>
              <w:t xml:space="preserve"> </w:t>
            </w:r>
            <w:proofErr w:type="spellStart"/>
            <w:r w:rsidRPr="00BA09B6">
              <w:rPr>
                <w:rFonts w:ascii="Verdana" w:hAnsi="Verdana" w:cs="Arial"/>
                <w:b/>
                <w:bCs/>
                <w:color w:val="000000"/>
                <w:sz w:val="20"/>
                <w:lang w:val="en-US"/>
              </w:rPr>
              <w:t>средства</w:t>
            </w:r>
            <w:proofErr w:type="spellEnd"/>
          </w:p>
        </w:tc>
        <w:tc>
          <w:tcPr>
            <w:tcW w:w="885" w:type="pct"/>
            <w:shd w:val="clear" w:color="auto" w:fill="auto"/>
            <w:noWrap/>
            <w:vAlign w:val="center"/>
          </w:tcPr>
          <w:p w14:paraId="4F7F7132" w14:textId="3139D27C" w:rsidR="00D56F61" w:rsidRPr="008F20BE" w:rsidRDefault="00D56F61" w:rsidP="009972FF">
            <w:pPr>
              <w:jc w:val="center"/>
              <w:rPr>
                <w:rFonts w:ascii="Verdana" w:hAnsi="Verdana" w:cs="Arial"/>
                <w:b/>
                <w:bCs/>
                <w:sz w:val="20"/>
              </w:rPr>
            </w:pPr>
            <w:r>
              <w:rPr>
                <w:rFonts w:ascii="Verdana" w:hAnsi="Verdana" w:cs="Arial"/>
                <w:b/>
                <w:bCs/>
                <w:sz w:val="20"/>
              </w:rPr>
              <w:t>7</w:t>
            </w:r>
            <w:r w:rsidR="00F74151">
              <w:rPr>
                <w:rFonts w:ascii="Verdana" w:hAnsi="Verdana" w:cs="Arial"/>
                <w:b/>
                <w:bCs/>
                <w:sz w:val="20"/>
              </w:rPr>
              <w:t>4</w:t>
            </w:r>
          </w:p>
        </w:tc>
        <w:tc>
          <w:tcPr>
            <w:tcW w:w="916" w:type="pct"/>
            <w:shd w:val="clear" w:color="auto" w:fill="auto"/>
            <w:noWrap/>
            <w:vAlign w:val="center"/>
          </w:tcPr>
          <w:p w14:paraId="4F7F7133" w14:textId="77777777" w:rsidR="00D56F61" w:rsidRPr="00BA09B6" w:rsidRDefault="00D56F61" w:rsidP="009972FF">
            <w:pPr>
              <w:jc w:val="center"/>
              <w:rPr>
                <w:rFonts w:ascii="Verdana" w:hAnsi="Verdana" w:cs="Arial"/>
                <w:b/>
                <w:bCs/>
                <w:sz w:val="20"/>
              </w:rPr>
            </w:pPr>
            <w:r>
              <w:rPr>
                <w:rFonts w:ascii="Verdana" w:hAnsi="Verdana" w:cs="Arial"/>
                <w:b/>
                <w:bCs/>
                <w:sz w:val="20"/>
              </w:rPr>
              <w:t>42</w:t>
            </w:r>
          </w:p>
        </w:tc>
      </w:tr>
      <w:tr w:rsidR="00D56F61" w:rsidRPr="00BA09B6" w14:paraId="4F7F7138" w14:textId="77777777" w:rsidTr="009972FF">
        <w:trPr>
          <w:trHeight w:val="255"/>
          <w:tblCellSpacing w:w="1440" w:type="nil"/>
        </w:trPr>
        <w:tc>
          <w:tcPr>
            <w:tcW w:w="3199" w:type="pct"/>
            <w:shd w:val="clear" w:color="000000" w:fill="F2F2F2"/>
            <w:noWrap/>
            <w:vAlign w:val="center"/>
          </w:tcPr>
          <w:p w14:paraId="4F7F7135" w14:textId="644B7074" w:rsidR="00D56F61" w:rsidRPr="00BA09B6" w:rsidRDefault="00D56F61" w:rsidP="009972FF">
            <w:pPr>
              <w:jc w:val="left"/>
              <w:rPr>
                <w:rFonts w:ascii="Verdana" w:hAnsi="Verdana" w:cs="Arial"/>
                <w:b/>
                <w:bCs/>
                <w:sz w:val="20"/>
                <w:lang w:val="en-US"/>
              </w:rPr>
            </w:pPr>
            <w:proofErr w:type="spellStart"/>
            <w:r w:rsidRPr="00BA09B6">
              <w:rPr>
                <w:rFonts w:ascii="Verdana" w:hAnsi="Verdana" w:cs="Arial"/>
                <w:b/>
                <w:bCs/>
                <w:sz w:val="20"/>
                <w:lang w:val="en-US"/>
              </w:rPr>
              <w:t>Общо</w:t>
            </w:r>
            <w:proofErr w:type="spellEnd"/>
            <w:r w:rsidR="00F74151">
              <w:rPr>
                <w:rFonts w:ascii="Verdana" w:hAnsi="Verdana" w:cs="Arial"/>
                <w:b/>
                <w:bCs/>
                <w:sz w:val="20"/>
              </w:rPr>
              <w:t xml:space="preserve"> </w:t>
            </w:r>
            <w:proofErr w:type="spellStart"/>
            <w:r w:rsidRPr="00BA09B6">
              <w:rPr>
                <w:rFonts w:ascii="Verdana" w:hAnsi="Verdana" w:cs="Arial"/>
                <w:b/>
                <w:bCs/>
                <w:sz w:val="20"/>
                <w:lang w:val="en-US"/>
              </w:rPr>
              <w:t>финансови</w:t>
            </w:r>
            <w:proofErr w:type="spellEnd"/>
            <w:r w:rsidR="00F74151">
              <w:rPr>
                <w:rFonts w:ascii="Verdana" w:hAnsi="Verdana" w:cs="Arial"/>
                <w:b/>
                <w:bCs/>
                <w:sz w:val="20"/>
              </w:rPr>
              <w:t xml:space="preserve"> </w:t>
            </w:r>
            <w:proofErr w:type="spellStart"/>
            <w:r w:rsidRPr="00BA09B6">
              <w:rPr>
                <w:rFonts w:ascii="Verdana" w:hAnsi="Verdana" w:cs="Arial"/>
                <w:b/>
                <w:bCs/>
                <w:sz w:val="20"/>
                <w:lang w:val="en-US"/>
              </w:rPr>
              <w:t>активи</w:t>
            </w:r>
            <w:proofErr w:type="spellEnd"/>
          </w:p>
        </w:tc>
        <w:tc>
          <w:tcPr>
            <w:tcW w:w="885" w:type="pct"/>
            <w:shd w:val="clear" w:color="000000" w:fill="F2F2F2"/>
            <w:noWrap/>
            <w:vAlign w:val="center"/>
          </w:tcPr>
          <w:p w14:paraId="4F7F7136" w14:textId="1F7A0AA3" w:rsidR="00D56F61" w:rsidRPr="008F20BE" w:rsidRDefault="00D56F61" w:rsidP="009972FF">
            <w:pPr>
              <w:jc w:val="center"/>
              <w:rPr>
                <w:rFonts w:ascii="Verdana" w:hAnsi="Verdana" w:cs="Arial"/>
                <w:b/>
                <w:bCs/>
                <w:sz w:val="20"/>
              </w:rPr>
            </w:pPr>
            <w:r w:rsidRPr="008F20BE">
              <w:rPr>
                <w:rFonts w:ascii="Verdana" w:hAnsi="Verdana" w:cs="Arial"/>
                <w:b/>
                <w:bCs/>
                <w:sz w:val="20"/>
                <w:lang w:val="en-US"/>
              </w:rPr>
              <w:t xml:space="preserve">1 </w:t>
            </w:r>
            <w:r>
              <w:rPr>
                <w:rFonts w:ascii="Verdana" w:hAnsi="Verdana" w:cs="Arial"/>
                <w:b/>
                <w:bCs/>
                <w:sz w:val="20"/>
              </w:rPr>
              <w:t>2</w:t>
            </w:r>
            <w:r w:rsidR="00F74151">
              <w:rPr>
                <w:rFonts w:ascii="Verdana" w:hAnsi="Verdana" w:cs="Arial"/>
                <w:b/>
                <w:bCs/>
                <w:sz w:val="20"/>
              </w:rPr>
              <w:t>69</w:t>
            </w:r>
          </w:p>
        </w:tc>
        <w:tc>
          <w:tcPr>
            <w:tcW w:w="916" w:type="pct"/>
            <w:shd w:val="clear" w:color="000000" w:fill="F2F2F2"/>
            <w:noWrap/>
            <w:vAlign w:val="center"/>
          </w:tcPr>
          <w:p w14:paraId="4F7F7137" w14:textId="77777777" w:rsidR="00D56F61" w:rsidRPr="00BA09B6" w:rsidRDefault="00D56F61" w:rsidP="009972FF">
            <w:pPr>
              <w:jc w:val="center"/>
              <w:rPr>
                <w:rFonts w:ascii="Verdana" w:hAnsi="Verdana" w:cs="Arial"/>
                <w:b/>
                <w:bCs/>
                <w:sz w:val="20"/>
              </w:rPr>
            </w:pPr>
            <w:r w:rsidRPr="00BA09B6">
              <w:rPr>
                <w:rFonts w:ascii="Verdana" w:hAnsi="Verdana" w:cs="Arial"/>
                <w:b/>
                <w:bCs/>
                <w:sz w:val="20"/>
                <w:lang w:val="en-US"/>
              </w:rPr>
              <w:t xml:space="preserve">1 </w:t>
            </w:r>
            <w:r>
              <w:rPr>
                <w:rFonts w:ascii="Verdana" w:hAnsi="Verdana" w:cs="Arial"/>
                <w:b/>
                <w:bCs/>
                <w:sz w:val="20"/>
              </w:rPr>
              <w:t>365</w:t>
            </w:r>
          </w:p>
        </w:tc>
      </w:tr>
      <w:tr w:rsidR="00D56F61" w:rsidRPr="00BA09B6" w14:paraId="4F7F713C" w14:textId="77777777" w:rsidTr="009972FF">
        <w:trPr>
          <w:trHeight w:val="255"/>
          <w:tblCellSpacing w:w="1440" w:type="nil"/>
        </w:trPr>
        <w:tc>
          <w:tcPr>
            <w:tcW w:w="3199" w:type="pct"/>
            <w:shd w:val="clear" w:color="000000" w:fill="FFFFFF"/>
            <w:noWrap/>
            <w:vAlign w:val="center"/>
          </w:tcPr>
          <w:p w14:paraId="4F7F7139" w14:textId="3D25FA5E" w:rsidR="00D56F61" w:rsidRPr="00BA09B6" w:rsidRDefault="00D56F61" w:rsidP="009972FF">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Финансови</w:t>
            </w:r>
            <w:proofErr w:type="spellEnd"/>
            <w:r w:rsidR="00F74151">
              <w:rPr>
                <w:rFonts w:ascii="Verdana" w:hAnsi="Verdana" w:cs="Arial"/>
                <w:b/>
                <w:bCs/>
                <w:color w:val="000000"/>
                <w:sz w:val="20"/>
              </w:rPr>
              <w:t xml:space="preserve"> </w:t>
            </w:r>
            <w:proofErr w:type="spellStart"/>
            <w:r w:rsidRPr="00BA09B6">
              <w:rPr>
                <w:rFonts w:ascii="Verdana" w:hAnsi="Verdana" w:cs="Arial"/>
                <w:b/>
                <w:bCs/>
                <w:color w:val="000000"/>
                <w:sz w:val="20"/>
                <w:lang w:val="en-US"/>
              </w:rPr>
              <w:t>пасиви</w:t>
            </w:r>
            <w:proofErr w:type="spellEnd"/>
          </w:p>
        </w:tc>
        <w:tc>
          <w:tcPr>
            <w:tcW w:w="885" w:type="pct"/>
            <w:shd w:val="clear" w:color="000000" w:fill="FFFFFF"/>
            <w:noWrap/>
            <w:vAlign w:val="center"/>
          </w:tcPr>
          <w:p w14:paraId="4F7F713A" w14:textId="77777777" w:rsidR="00D56F61" w:rsidRPr="001365E1" w:rsidRDefault="00D56F61" w:rsidP="009972FF">
            <w:pPr>
              <w:jc w:val="center"/>
              <w:rPr>
                <w:rFonts w:ascii="Verdana" w:hAnsi="Verdana" w:cs="Arial"/>
                <w:b/>
                <w:bCs/>
                <w:sz w:val="20"/>
                <w:lang w:val="en-US"/>
              </w:rPr>
            </w:pPr>
            <w:r w:rsidRPr="001365E1">
              <w:rPr>
                <w:rFonts w:ascii="Verdana" w:hAnsi="Verdana" w:cs="Arial"/>
                <w:b/>
                <w:bCs/>
                <w:sz w:val="20"/>
                <w:lang w:val="en-US"/>
              </w:rPr>
              <w:t>3</w:t>
            </w:r>
            <w:r w:rsidRPr="001365E1">
              <w:rPr>
                <w:rFonts w:ascii="Verdana" w:hAnsi="Verdana" w:cs="Arial"/>
                <w:b/>
                <w:bCs/>
                <w:sz w:val="20"/>
              </w:rPr>
              <w:t>1</w:t>
            </w:r>
            <w:r w:rsidRPr="001365E1">
              <w:rPr>
                <w:rFonts w:ascii="Verdana" w:hAnsi="Verdana" w:cs="Arial"/>
                <w:b/>
                <w:bCs/>
                <w:sz w:val="20"/>
                <w:lang w:val="en-US"/>
              </w:rPr>
              <w:t>.</w:t>
            </w:r>
            <w:r w:rsidRPr="001365E1">
              <w:rPr>
                <w:rFonts w:ascii="Verdana" w:hAnsi="Verdana" w:cs="Arial"/>
                <w:b/>
                <w:bCs/>
                <w:sz w:val="20"/>
              </w:rPr>
              <w:t>12</w:t>
            </w:r>
            <w:r w:rsidRPr="001365E1">
              <w:rPr>
                <w:rFonts w:ascii="Verdana" w:hAnsi="Verdana" w:cs="Arial"/>
                <w:b/>
                <w:bCs/>
                <w:sz w:val="20"/>
                <w:lang w:val="en-US"/>
              </w:rPr>
              <w:t>.201</w:t>
            </w:r>
            <w:r>
              <w:rPr>
                <w:rFonts w:ascii="Verdana" w:hAnsi="Verdana" w:cs="Arial"/>
                <w:b/>
                <w:bCs/>
                <w:sz w:val="20"/>
              </w:rPr>
              <w:t>9</w:t>
            </w:r>
            <w:r w:rsidRPr="001365E1">
              <w:rPr>
                <w:rFonts w:ascii="Verdana" w:hAnsi="Verdana" w:cs="Arial"/>
                <w:b/>
                <w:bCs/>
                <w:sz w:val="20"/>
                <w:lang w:val="en-US"/>
              </w:rPr>
              <w:t xml:space="preserve"> г.</w:t>
            </w:r>
          </w:p>
        </w:tc>
        <w:tc>
          <w:tcPr>
            <w:tcW w:w="916" w:type="pct"/>
            <w:shd w:val="clear" w:color="000000" w:fill="FFFFFF"/>
            <w:noWrap/>
            <w:vAlign w:val="center"/>
          </w:tcPr>
          <w:p w14:paraId="4F7F713B" w14:textId="77777777" w:rsidR="00D56F61" w:rsidRPr="00BA09B6" w:rsidRDefault="00D56F61" w:rsidP="009972FF">
            <w:pPr>
              <w:jc w:val="center"/>
              <w:rPr>
                <w:rFonts w:ascii="Verdana" w:hAnsi="Verdana" w:cs="Arial"/>
                <w:b/>
                <w:bCs/>
                <w:color w:val="000000"/>
                <w:sz w:val="20"/>
                <w:lang w:val="en-US"/>
              </w:rPr>
            </w:pPr>
            <w:r w:rsidRPr="00BA09B6">
              <w:rPr>
                <w:rFonts w:ascii="Verdana" w:hAnsi="Verdana" w:cs="Arial"/>
                <w:b/>
                <w:bCs/>
                <w:color w:val="000000"/>
                <w:sz w:val="20"/>
                <w:lang w:val="en-US"/>
              </w:rPr>
              <w:t>3</w:t>
            </w:r>
            <w:r>
              <w:rPr>
                <w:rFonts w:ascii="Verdana" w:hAnsi="Verdana" w:cs="Arial"/>
                <w:b/>
                <w:bCs/>
                <w:color w:val="000000"/>
                <w:sz w:val="20"/>
              </w:rPr>
              <w:t>1</w:t>
            </w:r>
            <w:r w:rsidRPr="00BA09B6">
              <w:rPr>
                <w:rFonts w:ascii="Verdana" w:hAnsi="Verdana" w:cs="Arial"/>
                <w:b/>
                <w:bCs/>
                <w:color w:val="000000"/>
                <w:sz w:val="20"/>
                <w:lang w:val="en-US"/>
              </w:rPr>
              <w:t>.</w:t>
            </w:r>
            <w:r>
              <w:rPr>
                <w:rFonts w:ascii="Verdana" w:hAnsi="Verdana" w:cs="Arial"/>
                <w:b/>
                <w:bCs/>
                <w:color w:val="000000"/>
                <w:sz w:val="20"/>
              </w:rPr>
              <w:t>12</w:t>
            </w:r>
            <w:r w:rsidRPr="00BA09B6">
              <w:rPr>
                <w:rFonts w:ascii="Verdana" w:hAnsi="Verdana" w:cs="Arial"/>
                <w:b/>
                <w:bCs/>
                <w:color w:val="000000"/>
                <w:sz w:val="20"/>
                <w:lang w:val="en-US"/>
              </w:rPr>
              <w:t>.201</w:t>
            </w:r>
            <w:r>
              <w:rPr>
                <w:rFonts w:ascii="Verdana" w:hAnsi="Verdana" w:cs="Arial"/>
                <w:b/>
                <w:bCs/>
                <w:color w:val="000000"/>
                <w:sz w:val="20"/>
              </w:rPr>
              <w:t>8</w:t>
            </w:r>
            <w:r w:rsidRPr="00BA09B6">
              <w:rPr>
                <w:rFonts w:ascii="Verdana" w:hAnsi="Verdana" w:cs="Arial"/>
                <w:b/>
                <w:bCs/>
                <w:color w:val="000000"/>
                <w:sz w:val="20"/>
                <w:lang w:val="en-US"/>
              </w:rPr>
              <w:t xml:space="preserve"> г.</w:t>
            </w:r>
          </w:p>
        </w:tc>
      </w:tr>
      <w:tr w:rsidR="00D56F61" w:rsidRPr="00BA09B6" w14:paraId="4F7F7140" w14:textId="77777777" w:rsidTr="009972FF">
        <w:trPr>
          <w:trHeight w:val="255"/>
          <w:tblCellSpacing w:w="1440" w:type="nil"/>
        </w:trPr>
        <w:tc>
          <w:tcPr>
            <w:tcW w:w="3199" w:type="pct"/>
            <w:shd w:val="clear" w:color="000000" w:fill="FFFFFF"/>
            <w:vAlign w:val="center"/>
          </w:tcPr>
          <w:p w14:paraId="4F7F713D" w14:textId="03E78EF6" w:rsidR="00D56F61" w:rsidRPr="00BA09B6" w:rsidRDefault="00D56F61" w:rsidP="009972FF">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Текущи</w:t>
            </w:r>
            <w:proofErr w:type="spellEnd"/>
            <w:r w:rsidR="00F74151">
              <w:rPr>
                <w:rFonts w:ascii="Verdana" w:hAnsi="Verdana" w:cs="Arial"/>
                <w:b/>
                <w:bCs/>
                <w:color w:val="000000"/>
                <w:sz w:val="20"/>
              </w:rPr>
              <w:t xml:space="preserve"> </w:t>
            </w:r>
            <w:proofErr w:type="spellStart"/>
            <w:r w:rsidRPr="00BA09B6">
              <w:rPr>
                <w:rFonts w:ascii="Verdana" w:hAnsi="Verdana" w:cs="Arial"/>
                <w:b/>
                <w:bCs/>
                <w:color w:val="000000"/>
                <w:sz w:val="20"/>
                <w:lang w:val="en-US"/>
              </w:rPr>
              <w:t>търговски</w:t>
            </w:r>
            <w:proofErr w:type="spellEnd"/>
            <w:r w:rsidRPr="00BA09B6">
              <w:rPr>
                <w:rFonts w:ascii="Verdana" w:hAnsi="Verdana" w:cs="Arial"/>
                <w:b/>
                <w:bCs/>
                <w:color w:val="000000"/>
                <w:sz w:val="20"/>
                <w:lang w:val="en-US"/>
              </w:rPr>
              <w:t xml:space="preserve"> и </w:t>
            </w:r>
            <w:proofErr w:type="spellStart"/>
            <w:r w:rsidRPr="00BA09B6">
              <w:rPr>
                <w:rFonts w:ascii="Verdana" w:hAnsi="Verdana" w:cs="Arial"/>
                <w:b/>
                <w:bCs/>
                <w:color w:val="000000"/>
                <w:sz w:val="20"/>
                <w:lang w:val="en-US"/>
              </w:rPr>
              <w:t>други</w:t>
            </w:r>
            <w:proofErr w:type="spellEnd"/>
            <w:r w:rsidR="00F74151">
              <w:rPr>
                <w:rFonts w:ascii="Verdana" w:hAnsi="Verdana" w:cs="Arial"/>
                <w:b/>
                <w:bCs/>
                <w:color w:val="000000"/>
                <w:sz w:val="20"/>
              </w:rPr>
              <w:t xml:space="preserve"> </w:t>
            </w:r>
            <w:proofErr w:type="spellStart"/>
            <w:r w:rsidRPr="00BA09B6">
              <w:rPr>
                <w:rFonts w:ascii="Verdana" w:hAnsi="Verdana" w:cs="Arial"/>
                <w:b/>
                <w:bCs/>
                <w:color w:val="000000"/>
                <w:sz w:val="20"/>
                <w:lang w:val="en-US"/>
              </w:rPr>
              <w:t>задължения</w:t>
            </w:r>
            <w:proofErr w:type="spellEnd"/>
          </w:p>
        </w:tc>
        <w:tc>
          <w:tcPr>
            <w:tcW w:w="885" w:type="pct"/>
            <w:shd w:val="clear" w:color="auto" w:fill="auto"/>
            <w:noWrap/>
            <w:vAlign w:val="center"/>
          </w:tcPr>
          <w:p w14:paraId="4F7F713E" w14:textId="6486719D" w:rsidR="00D56F61" w:rsidRPr="001365E1" w:rsidRDefault="00D56F61" w:rsidP="009972FF">
            <w:pPr>
              <w:jc w:val="center"/>
              <w:rPr>
                <w:rFonts w:ascii="Verdana" w:hAnsi="Verdana" w:cs="Arial"/>
                <w:b/>
                <w:bCs/>
                <w:sz w:val="20"/>
              </w:rPr>
            </w:pPr>
            <w:r>
              <w:rPr>
                <w:rFonts w:ascii="Verdana" w:hAnsi="Verdana" w:cs="Arial"/>
                <w:b/>
                <w:bCs/>
                <w:sz w:val="20"/>
              </w:rPr>
              <w:t>2 01</w:t>
            </w:r>
            <w:r w:rsidR="00F74151">
              <w:rPr>
                <w:rFonts w:ascii="Verdana" w:hAnsi="Verdana" w:cs="Arial"/>
                <w:b/>
                <w:bCs/>
                <w:sz w:val="20"/>
              </w:rPr>
              <w:t>8</w:t>
            </w:r>
          </w:p>
        </w:tc>
        <w:tc>
          <w:tcPr>
            <w:tcW w:w="916" w:type="pct"/>
            <w:shd w:val="clear" w:color="auto" w:fill="auto"/>
            <w:noWrap/>
            <w:vAlign w:val="center"/>
          </w:tcPr>
          <w:p w14:paraId="4F7F713F" w14:textId="77777777" w:rsidR="00D56F61" w:rsidRPr="00BA09B6" w:rsidRDefault="00D56F61" w:rsidP="009972FF">
            <w:pPr>
              <w:jc w:val="center"/>
              <w:rPr>
                <w:rFonts w:ascii="Verdana" w:hAnsi="Verdana" w:cs="Arial"/>
                <w:b/>
                <w:bCs/>
                <w:sz w:val="20"/>
              </w:rPr>
            </w:pPr>
            <w:r>
              <w:rPr>
                <w:rFonts w:ascii="Verdana" w:hAnsi="Verdana" w:cs="Arial"/>
                <w:b/>
                <w:bCs/>
                <w:sz w:val="20"/>
              </w:rPr>
              <w:t>4 860</w:t>
            </w:r>
          </w:p>
        </w:tc>
      </w:tr>
      <w:tr w:rsidR="00D56F61" w:rsidRPr="00BA09B6" w14:paraId="4F7F7144" w14:textId="77777777" w:rsidTr="009972FF">
        <w:trPr>
          <w:trHeight w:val="255"/>
          <w:tblCellSpacing w:w="1440" w:type="nil"/>
        </w:trPr>
        <w:tc>
          <w:tcPr>
            <w:tcW w:w="3199" w:type="pct"/>
            <w:shd w:val="clear" w:color="000000" w:fill="FFFFFF"/>
            <w:vAlign w:val="center"/>
          </w:tcPr>
          <w:p w14:paraId="4F7F7141" w14:textId="4BC05A55" w:rsidR="00D56F61" w:rsidRPr="00BA09B6" w:rsidRDefault="00D56F61" w:rsidP="009972FF">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Задължения</w:t>
            </w:r>
            <w:proofErr w:type="spellEnd"/>
            <w:r w:rsidR="00F74151">
              <w:rPr>
                <w:rFonts w:ascii="Verdana" w:hAnsi="Verdana" w:cs="Arial"/>
                <w:b/>
                <w:bCs/>
                <w:color w:val="000000"/>
                <w:sz w:val="20"/>
              </w:rPr>
              <w:t xml:space="preserve"> </w:t>
            </w:r>
            <w:proofErr w:type="spellStart"/>
            <w:r w:rsidRPr="00BA09B6">
              <w:rPr>
                <w:rFonts w:ascii="Verdana" w:hAnsi="Verdana" w:cs="Arial"/>
                <w:b/>
                <w:bCs/>
                <w:color w:val="000000"/>
                <w:sz w:val="20"/>
                <w:lang w:val="en-US"/>
              </w:rPr>
              <w:t>по</w:t>
            </w:r>
            <w:proofErr w:type="spellEnd"/>
            <w:r w:rsidR="00F74151">
              <w:rPr>
                <w:rFonts w:ascii="Verdana" w:hAnsi="Verdana" w:cs="Arial"/>
                <w:b/>
                <w:bCs/>
                <w:color w:val="000000"/>
                <w:sz w:val="20"/>
              </w:rPr>
              <w:t xml:space="preserve"> </w:t>
            </w:r>
            <w:proofErr w:type="spellStart"/>
            <w:r w:rsidRPr="00BA09B6">
              <w:rPr>
                <w:rFonts w:ascii="Verdana" w:hAnsi="Verdana" w:cs="Arial"/>
                <w:b/>
                <w:bCs/>
                <w:color w:val="000000"/>
                <w:sz w:val="20"/>
                <w:lang w:val="en-US"/>
              </w:rPr>
              <w:t>кредити</w:t>
            </w:r>
            <w:proofErr w:type="spellEnd"/>
            <w:r w:rsidRPr="00BA09B6">
              <w:rPr>
                <w:rFonts w:ascii="Verdana" w:hAnsi="Verdana" w:cs="Arial"/>
                <w:b/>
                <w:bCs/>
                <w:color w:val="000000"/>
                <w:sz w:val="20"/>
                <w:lang w:val="en-US"/>
              </w:rPr>
              <w:t xml:space="preserve">, в </w:t>
            </w:r>
            <w:proofErr w:type="spellStart"/>
            <w:r w:rsidRPr="00BA09B6">
              <w:rPr>
                <w:rFonts w:ascii="Verdana" w:hAnsi="Verdana" w:cs="Arial"/>
                <w:b/>
                <w:bCs/>
                <w:color w:val="000000"/>
                <w:sz w:val="20"/>
                <w:lang w:val="en-US"/>
              </w:rPr>
              <w:t>т.ч</w:t>
            </w:r>
            <w:proofErr w:type="spellEnd"/>
            <w:r w:rsidRPr="00BA09B6">
              <w:rPr>
                <w:rFonts w:ascii="Verdana" w:hAnsi="Verdana" w:cs="Arial"/>
                <w:b/>
                <w:bCs/>
                <w:color w:val="000000"/>
                <w:sz w:val="20"/>
                <w:lang w:val="en-US"/>
              </w:rPr>
              <w:t>.:</w:t>
            </w:r>
          </w:p>
        </w:tc>
        <w:tc>
          <w:tcPr>
            <w:tcW w:w="885" w:type="pct"/>
            <w:shd w:val="clear" w:color="auto" w:fill="auto"/>
            <w:noWrap/>
            <w:vAlign w:val="center"/>
          </w:tcPr>
          <w:p w14:paraId="4F7F7142" w14:textId="70B6B1AA" w:rsidR="00D56F61" w:rsidRPr="001365E1" w:rsidRDefault="00D56F61" w:rsidP="009972FF">
            <w:pPr>
              <w:jc w:val="center"/>
              <w:rPr>
                <w:rFonts w:ascii="Verdana" w:hAnsi="Verdana" w:cs="Arial"/>
                <w:b/>
                <w:bCs/>
                <w:sz w:val="20"/>
              </w:rPr>
            </w:pPr>
            <w:r>
              <w:rPr>
                <w:rFonts w:ascii="Verdana" w:hAnsi="Verdana" w:cs="Arial"/>
                <w:b/>
                <w:bCs/>
                <w:sz w:val="20"/>
              </w:rPr>
              <w:t>4</w:t>
            </w:r>
            <w:r w:rsidR="00F74151">
              <w:rPr>
                <w:rFonts w:ascii="Verdana" w:hAnsi="Verdana" w:cs="Arial"/>
                <w:b/>
                <w:bCs/>
                <w:sz w:val="20"/>
              </w:rPr>
              <w:t>09</w:t>
            </w:r>
          </w:p>
        </w:tc>
        <w:tc>
          <w:tcPr>
            <w:tcW w:w="916" w:type="pct"/>
            <w:shd w:val="clear" w:color="auto" w:fill="auto"/>
            <w:noWrap/>
            <w:vAlign w:val="center"/>
          </w:tcPr>
          <w:p w14:paraId="4F7F7143" w14:textId="77777777" w:rsidR="00D56F61" w:rsidRPr="00BA09B6" w:rsidRDefault="00D56F61" w:rsidP="009972FF">
            <w:pPr>
              <w:jc w:val="center"/>
              <w:rPr>
                <w:rFonts w:ascii="Verdana" w:hAnsi="Verdana" w:cs="Arial"/>
                <w:b/>
                <w:bCs/>
                <w:sz w:val="20"/>
              </w:rPr>
            </w:pPr>
            <w:r>
              <w:rPr>
                <w:rFonts w:ascii="Verdana" w:hAnsi="Verdana" w:cs="Arial"/>
                <w:b/>
                <w:bCs/>
                <w:sz w:val="20"/>
              </w:rPr>
              <w:t>1 198</w:t>
            </w:r>
          </w:p>
        </w:tc>
      </w:tr>
      <w:tr w:rsidR="00D56F61" w:rsidRPr="00BA09B6" w14:paraId="4F7F7148" w14:textId="77777777" w:rsidTr="009972FF">
        <w:trPr>
          <w:trHeight w:val="255"/>
          <w:tblCellSpacing w:w="1440" w:type="nil"/>
        </w:trPr>
        <w:tc>
          <w:tcPr>
            <w:tcW w:w="3199" w:type="pct"/>
            <w:shd w:val="clear" w:color="000000" w:fill="FFFFFF"/>
            <w:vAlign w:val="center"/>
          </w:tcPr>
          <w:p w14:paraId="4F7F7145" w14:textId="77777777" w:rsidR="00D56F61" w:rsidRPr="00BA09B6" w:rsidRDefault="00D56F61" w:rsidP="009972FF">
            <w:pPr>
              <w:jc w:val="left"/>
              <w:rPr>
                <w:rFonts w:ascii="Verdana" w:hAnsi="Verdana" w:cs="Arial"/>
                <w:color w:val="000000"/>
                <w:sz w:val="20"/>
                <w:lang w:val="en-US"/>
              </w:rPr>
            </w:pPr>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Нетекущи</w:t>
            </w:r>
            <w:proofErr w:type="spellEnd"/>
          </w:p>
        </w:tc>
        <w:tc>
          <w:tcPr>
            <w:tcW w:w="885" w:type="pct"/>
            <w:shd w:val="clear" w:color="auto" w:fill="auto"/>
            <w:noWrap/>
            <w:vAlign w:val="center"/>
          </w:tcPr>
          <w:p w14:paraId="4F7F7146" w14:textId="77777777" w:rsidR="00D56F61" w:rsidRPr="001365E1" w:rsidRDefault="00D56F61" w:rsidP="009972FF">
            <w:pPr>
              <w:jc w:val="center"/>
              <w:rPr>
                <w:rFonts w:ascii="Verdana" w:hAnsi="Verdana" w:cs="Arial"/>
                <w:sz w:val="20"/>
              </w:rPr>
            </w:pPr>
            <w:r>
              <w:rPr>
                <w:rFonts w:ascii="Verdana" w:hAnsi="Verdana" w:cs="Arial"/>
                <w:sz w:val="20"/>
              </w:rPr>
              <w:t>379</w:t>
            </w:r>
          </w:p>
        </w:tc>
        <w:tc>
          <w:tcPr>
            <w:tcW w:w="916" w:type="pct"/>
            <w:shd w:val="clear" w:color="auto" w:fill="auto"/>
            <w:noWrap/>
            <w:vAlign w:val="center"/>
          </w:tcPr>
          <w:p w14:paraId="4F7F7147" w14:textId="77777777" w:rsidR="00D56F61" w:rsidRPr="00BA09B6" w:rsidRDefault="00D56F61" w:rsidP="009972FF">
            <w:pPr>
              <w:jc w:val="center"/>
              <w:rPr>
                <w:rFonts w:ascii="Verdana" w:hAnsi="Verdana" w:cs="Arial"/>
                <w:sz w:val="20"/>
              </w:rPr>
            </w:pPr>
            <w:r>
              <w:rPr>
                <w:rFonts w:ascii="Verdana" w:hAnsi="Verdana" w:cs="Arial"/>
                <w:sz w:val="20"/>
              </w:rPr>
              <w:t>30</w:t>
            </w:r>
          </w:p>
        </w:tc>
      </w:tr>
      <w:tr w:rsidR="00D56F61" w:rsidRPr="00BA09B6" w14:paraId="4F7F714C" w14:textId="77777777" w:rsidTr="009972FF">
        <w:trPr>
          <w:trHeight w:val="255"/>
          <w:tblCellSpacing w:w="1440" w:type="nil"/>
        </w:trPr>
        <w:tc>
          <w:tcPr>
            <w:tcW w:w="3199" w:type="pct"/>
            <w:shd w:val="clear" w:color="000000" w:fill="FFFFFF"/>
            <w:vAlign w:val="center"/>
          </w:tcPr>
          <w:p w14:paraId="4F7F7149" w14:textId="77777777" w:rsidR="00D56F61" w:rsidRPr="00BA09B6" w:rsidRDefault="00D56F61" w:rsidP="009972FF">
            <w:pPr>
              <w:jc w:val="left"/>
              <w:rPr>
                <w:rFonts w:ascii="Verdana" w:hAnsi="Verdana" w:cs="Arial"/>
                <w:color w:val="000000"/>
                <w:sz w:val="20"/>
                <w:lang w:val="en-US"/>
              </w:rPr>
            </w:pPr>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Текущи</w:t>
            </w:r>
            <w:proofErr w:type="spellEnd"/>
          </w:p>
        </w:tc>
        <w:tc>
          <w:tcPr>
            <w:tcW w:w="885" w:type="pct"/>
            <w:shd w:val="clear" w:color="auto" w:fill="auto"/>
            <w:noWrap/>
            <w:vAlign w:val="center"/>
          </w:tcPr>
          <w:p w14:paraId="4F7F714A" w14:textId="1CC9C27E" w:rsidR="00D56F61" w:rsidRPr="001365E1" w:rsidRDefault="00D56F61" w:rsidP="009972FF">
            <w:pPr>
              <w:jc w:val="center"/>
              <w:rPr>
                <w:rFonts w:ascii="Verdana" w:hAnsi="Verdana" w:cs="Arial"/>
                <w:sz w:val="20"/>
              </w:rPr>
            </w:pPr>
            <w:r>
              <w:rPr>
                <w:rFonts w:ascii="Verdana" w:hAnsi="Verdana" w:cs="Arial"/>
                <w:sz w:val="20"/>
              </w:rPr>
              <w:t>3</w:t>
            </w:r>
            <w:r w:rsidR="00F74151">
              <w:rPr>
                <w:rFonts w:ascii="Verdana" w:hAnsi="Verdana" w:cs="Arial"/>
                <w:sz w:val="20"/>
              </w:rPr>
              <w:t>0</w:t>
            </w:r>
          </w:p>
        </w:tc>
        <w:tc>
          <w:tcPr>
            <w:tcW w:w="916" w:type="pct"/>
            <w:shd w:val="clear" w:color="auto" w:fill="auto"/>
            <w:noWrap/>
            <w:vAlign w:val="center"/>
          </w:tcPr>
          <w:p w14:paraId="4F7F714B" w14:textId="77777777" w:rsidR="00D56F61" w:rsidRPr="00BA09B6" w:rsidRDefault="00D56F61" w:rsidP="009972FF">
            <w:pPr>
              <w:jc w:val="center"/>
              <w:rPr>
                <w:rFonts w:ascii="Verdana" w:hAnsi="Verdana" w:cs="Arial"/>
                <w:sz w:val="20"/>
              </w:rPr>
            </w:pPr>
            <w:r>
              <w:rPr>
                <w:rFonts w:ascii="Verdana" w:hAnsi="Verdana" w:cs="Arial"/>
                <w:sz w:val="20"/>
              </w:rPr>
              <w:t>1 168</w:t>
            </w:r>
          </w:p>
        </w:tc>
      </w:tr>
      <w:tr w:rsidR="00D56F61" w14:paraId="4F7F7150" w14:textId="77777777" w:rsidTr="009972FF">
        <w:trPr>
          <w:trHeight w:val="255"/>
          <w:tblCellSpacing w:w="1440" w:type="nil"/>
        </w:trPr>
        <w:tc>
          <w:tcPr>
            <w:tcW w:w="3199" w:type="pct"/>
            <w:shd w:val="clear" w:color="000000" w:fill="F2F2F2"/>
            <w:noWrap/>
            <w:vAlign w:val="center"/>
          </w:tcPr>
          <w:p w14:paraId="4F7F714D" w14:textId="77777777" w:rsidR="00D56F61" w:rsidRPr="00BA09B6" w:rsidRDefault="00D56F61" w:rsidP="009972FF">
            <w:pPr>
              <w:jc w:val="left"/>
              <w:rPr>
                <w:rFonts w:ascii="Verdana" w:hAnsi="Verdana" w:cs="Arial"/>
                <w:b/>
                <w:bCs/>
                <w:sz w:val="20"/>
                <w:lang w:val="en-US"/>
              </w:rPr>
            </w:pPr>
            <w:proofErr w:type="spellStart"/>
            <w:r w:rsidRPr="00BA09B6">
              <w:rPr>
                <w:rFonts w:ascii="Verdana" w:hAnsi="Verdana" w:cs="Arial"/>
                <w:b/>
                <w:bCs/>
                <w:sz w:val="20"/>
                <w:lang w:val="en-US"/>
              </w:rPr>
              <w:t>Общофинансовипасиви</w:t>
            </w:r>
            <w:proofErr w:type="spellEnd"/>
          </w:p>
        </w:tc>
        <w:tc>
          <w:tcPr>
            <w:tcW w:w="885" w:type="pct"/>
            <w:shd w:val="clear" w:color="000000" w:fill="F2F2F2"/>
            <w:noWrap/>
            <w:vAlign w:val="center"/>
          </w:tcPr>
          <w:p w14:paraId="4F7F714E" w14:textId="5783D9D0" w:rsidR="00D56F61" w:rsidRPr="001365E1" w:rsidRDefault="00D56F61" w:rsidP="009972FF">
            <w:pPr>
              <w:jc w:val="center"/>
              <w:rPr>
                <w:rFonts w:ascii="Verdana" w:hAnsi="Verdana" w:cs="Arial"/>
                <w:b/>
                <w:bCs/>
                <w:sz w:val="20"/>
              </w:rPr>
            </w:pPr>
            <w:r>
              <w:rPr>
                <w:rFonts w:ascii="Verdana" w:hAnsi="Verdana" w:cs="Arial"/>
                <w:b/>
                <w:bCs/>
                <w:sz w:val="20"/>
              </w:rPr>
              <w:t>2 4</w:t>
            </w:r>
            <w:r w:rsidR="00F74151">
              <w:rPr>
                <w:rFonts w:ascii="Verdana" w:hAnsi="Verdana" w:cs="Arial"/>
                <w:b/>
                <w:bCs/>
                <w:sz w:val="20"/>
              </w:rPr>
              <w:t>27</w:t>
            </w:r>
          </w:p>
        </w:tc>
        <w:tc>
          <w:tcPr>
            <w:tcW w:w="916" w:type="pct"/>
            <w:shd w:val="clear" w:color="000000" w:fill="F2F2F2"/>
            <w:noWrap/>
            <w:vAlign w:val="center"/>
          </w:tcPr>
          <w:p w14:paraId="4F7F714F" w14:textId="77777777" w:rsidR="00D56F61" w:rsidRPr="00BA09B6" w:rsidRDefault="00D56F61" w:rsidP="009972FF">
            <w:pPr>
              <w:jc w:val="center"/>
              <w:rPr>
                <w:rFonts w:ascii="Verdana" w:hAnsi="Verdana" w:cs="Arial"/>
                <w:b/>
                <w:bCs/>
                <w:sz w:val="20"/>
              </w:rPr>
            </w:pPr>
            <w:r>
              <w:rPr>
                <w:rFonts w:ascii="Verdana" w:hAnsi="Verdana" w:cs="Arial"/>
                <w:b/>
                <w:bCs/>
                <w:sz w:val="20"/>
              </w:rPr>
              <w:t>6 058</w:t>
            </w:r>
          </w:p>
        </w:tc>
      </w:tr>
    </w:tbl>
    <w:p w14:paraId="4F7F7151" w14:textId="77777777" w:rsidR="00D56F61" w:rsidRDefault="00D56F61" w:rsidP="00D56F61">
      <w:pPr>
        <w:spacing w:line="260" w:lineRule="atLeast"/>
        <w:rPr>
          <w:rFonts w:ascii="Verdana" w:hAnsi="Verdana" w:cs="Arial"/>
          <w:sz w:val="20"/>
          <w:highlight w:val="yellow"/>
        </w:rPr>
      </w:pPr>
    </w:p>
    <w:p w14:paraId="4F7F7152" w14:textId="49EE6833" w:rsidR="00D56F61" w:rsidRDefault="00D56F61" w:rsidP="00D56F61">
      <w:pPr>
        <w:spacing w:line="260" w:lineRule="atLeast"/>
        <w:rPr>
          <w:rFonts w:ascii="Verdana" w:hAnsi="Verdana" w:cs="Arial"/>
          <w:sz w:val="20"/>
        </w:rPr>
      </w:pPr>
      <w:r w:rsidRPr="00971C10">
        <w:rPr>
          <w:rFonts w:ascii="Verdana" w:hAnsi="Verdana" w:cs="Arial"/>
          <w:sz w:val="20"/>
        </w:rPr>
        <w:t>В приложенията към финансовия отч</w:t>
      </w:r>
      <w:r>
        <w:rPr>
          <w:rFonts w:ascii="Verdana" w:hAnsi="Verdana" w:cs="Arial"/>
          <w:sz w:val="20"/>
        </w:rPr>
        <w:t>ет на Дружеството към 31.12.2019</w:t>
      </w:r>
      <w:r w:rsidR="00562D0B">
        <w:rPr>
          <w:rFonts w:ascii="Verdana" w:hAnsi="Verdana" w:cs="Arial"/>
          <w:sz w:val="20"/>
        </w:rPr>
        <w:t xml:space="preserve"> </w:t>
      </w:r>
      <w:r w:rsidRPr="00971C10">
        <w:rPr>
          <w:rFonts w:ascii="Verdana" w:hAnsi="Verdana" w:cs="Arial"/>
          <w:sz w:val="20"/>
        </w:rPr>
        <w:t>г. е представена допълнителна информация</w:t>
      </w:r>
      <w:r>
        <w:rPr>
          <w:rFonts w:ascii="Verdana" w:hAnsi="Verdana" w:cs="Arial"/>
          <w:sz w:val="20"/>
        </w:rPr>
        <w:t>,</w:t>
      </w:r>
      <w:r w:rsidRPr="00971C10">
        <w:rPr>
          <w:rFonts w:ascii="Verdana" w:hAnsi="Verdana" w:cs="Arial"/>
          <w:sz w:val="20"/>
        </w:rPr>
        <w:t xml:space="preserve"> относно оценяването и представянето на финансовите инструменти.</w:t>
      </w:r>
    </w:p>
    <w:p w14:paraId="4F7F7153" w14:textId="77777777" w:rsidR="00D56F61" w:rsidRDefault="00D56F61" w:rsidP="00D56F61">
      <w:pPr>
        <w:spacing w:line="260" w:lineRule="atLeast"/>
        <w:rPr>
          <w:rFonts w:ascii="Verdana" w:hAnsi="Verdana" w:cs="Arial"/>
          <w:sz w:val="20"/>
        </w:rPr>
      </w:pPr>
    </w:p>
    <w:p w14:paraId="4F7F7154" w14:textId="77777777" w:rsidR="00D56F61" w:rsidRPr="00650B72" w:rsidRDefault="00D56F61" w:rsidP="00D56F61">
      <w:pPr>
        <w:spacing w:line="260" w:lineRule="atLeast"/>
        <w:rPr>
          <w:rFonts w:ascii="Verdana" w:hAnsi="Verdana" w:cs="Arial"/>
          <w:b/>
          <w:sz w:val="20"/>
        </w:rPr>
      </w:pPr>
      <w:r w:rsidRPr="00650B72">
        <w:rPr>
          <w:rFonts w:ascii="Verdana" w:hAnsi="Verdana" w:cs="Arial"/>
          <w:b/>
          <w:sz w:val="20"/>
        </w:rPr>
        <w:t>Финансов отчет и анализ</w:t>
      </w:r>
    </w:p>
    <w:p w14:paraId="4F7F7155" w14:textId="77777777" w:rsidR="00D56F61" w:rsidRDefault="00D56F61" w:rsidP="00D56F61">
      <w:pPr>
        <w:spacing w:line="260" w:lineRule="atLeast"/>
        <w:rPr>
          <w:rFonts w:ascii="Verdana" w:hAnsi="Verdana" w:cs="Arial"/>
          <w:sz w:val="20"/>
        </w:rPr>
      </w:pPr>
      <w:r>
        <w:rPr>
          <w:rFonts w:ascii="Verdana" w:hAnsi="Verdana" w:cs="Arial"/>
          <w:sz w:val="20"/>
        </w:rPr>
        <w:t>Основните показатели, характеризиращи дейността на Дружеството са :</w:t>
      </w:r>
    </w:p>
    <w:p w14:paraId="4F7F7156" w14:textId="77777777" w:rsidR="00D56F61" w:rsidRDefault="00D56F61" w:rsidP="00D56F61">
      <w:pPr>
        <w:spacing w:line="260" w:lineRule="atLeast"/>
        <w:rPr>
          <w:rFonts w:ascii="Verdana" w:hAnsi="Verdana" w:cs="Arial"/>
          <w:sz w:val="20"/>
        </w:rPr>
      </w:pPr>
    </w:p>
    <w:p w14:paraId="4F7F7157" w14:textId="77777777" w:rsidR="00D56F61" w:rsidRPr="00650B72" w:rsidRDefault="00D56F61" w:rsidP="00D56F61">
      <w:pPr>
        <w:numPr>
          <w:ilvl w:val="0"/>
          <w:numId w:val="23"/>
        </w:numPr>
        <w:spacing w:line="260" w:lineRule="atLeast"/>
        <w:rPr>
          <w:rFonts w:ascii="Verdana" w:hAnsi="Verdana" w:cs="Arial"/>
          <w:sz w:val="20"/>
        </w:rPr>
      </w:pPr>
      <w:r>
        <w:rPr>
          <w:rFonts w:ascii="Verdana" w:hAnsi="Verdana" w:cs="Arial"/>
          <w:sz w:val="20"/>
        </w:rPr>
        <w:t>Финансова автономност</w:t>
      </w:r>
    </w:p>
    <w:p w14:paraId="4F7F7158" w14:textId="77777777" w:rsidR="00D56F61" w:rsidRPr="00155A50" w:rsidRDefault="00D56F61" w:rsidP="00D56F61">
      <w:pPr>
        <w:spacing w:line="260" w:lineRule="atLeast"/>
        <w:ind w:left="8496"/>
        <w:rPr>
          <w:rFonts w:ascii="Verdana" w:hAnsi="Verdana" w:cs="Arial"/>
          <w:sz w:val="20"/>
        </w:rPr>
      </w:pPr>
      <w:r>
        <w:rPr>
          <w:rFonts w:ascii="Verdana" w:hAnsi="Verdana" w:cs="Arial"/>
          <w:sz w:val="20"/>
        </w:rPr>
        <w:t>Табл.3</w:t>
      </w:r>
    </w:p>
    <w:tbl>
      <w:tblPr>
        <w:tblW w:w="9713" w:type="dxa"/>
        <w:tblInd w:w="65" w:type="dxa"/>
        <w:tblCellMar>
          <w:left w:w="70" w:type="dxa"/>
          <w:right w:w="70" w:type="dxa"/>
        </w:tblCellMar>
        <w:tblLook w:val="04A0" w:firstRow="1" w:lastRow="0" w:firstColumn="1" w:lastColumn="0" w:noHBand="0" w:noVBand="1"/>
      </w:tblPr>
      <w:tblGrid>
        <w:gridCol w:w="6526"/>
        <w:gridCol w:w="1559"/>
        <w:gridCol w:w="1628"/>
      </w:tblGrid>
      <w:tr w:rsidR="00D56F61" w:rsidRPr="001365E1" w14:paraId="4F7F715C" w14:textId="77777777" w:rsidTr="009972FF">
        <w:trPr>
          <w:trHeight w:val="255"/>
        </w:trPr>
        <w:tc>
          <w:tcPr>
            <w:tcW w:w="6526" w:type="dxa"/>
            <w:tcBorders>
              <w:top w:val="single" w:sz="4" w:space="0" w:color="auto"/>
              <w:left w:val="single" w:sz="4" w:space="0" w:color="auto"/>
              <w:bottom w:val="single" w:sz="4" w:space="0" w:color="auto"/>
              <w:right w:val="nil"/>
            </w:tcBorders>
            <w:shd w:val="clear" w:color="000000" w:fill="95B3D7"/>
            <w:noWrap/>
            <w:vAlign w:val="bottom"/>
          </w:tcPr>
          <w:p w14:paraId="4F7F7159" w14:textId="77777777" w:rsidR="00D56F61" w:rsidRPr="001365E1" w:rsidRDefault="00D56F61" w:rsidP="009972FF">
            <w:pPr>
              <w:jc w:val="left"/>
              <w:rPr>
                <w:rFonts w:ascii="Arial" w:hAnsi="Arial" w:cs="Arial"/>
                <w:sz w:val="20"/>
                <w:lang w:eastAsia="bg-BG"/>
              </w:rPr>
            </w:pPr>
            <w:r w:rsidRPr="001365E1">
              <w:rPr>
                <w:rFonts w:ascii="Arial" w:hAnsi="Arial" w:cs="Arial"/>
                <w:sz w:val="20"/>
                <w:lang w:eastAsia="bg-BG"/>
              </w:rPr>
              <w:t> </w:t>
            </w:r>
          </w:p>
        </w:tc>
        <w:tc>
          <w:tcPr>
            <w:tcW w:w="1559" w:type="dxa"/>
            <w:tcBorders>
              <w:top w:val="single" w:sz="4" w:space="0" w:color="auto"/>
              <w:left w:val="nil"/>
              <w:bottom w:val="single" w:sz="4" w:space="0" w:color="auto"/>
              <w:right w:val="nil"/>
            </w:tcBorders>
            <w:shd w:val="clear" w:color="000000" w:fill="95B3D7"/>
            <w:noWrap/>
            <w:vAlign w:val="bottom"/>
          </w:tcPr>
          <w:p w14:paraId="4F7F715A" w14:textId="77777777" w:rsidR="00D56F61" w:rsidRPr="001365E1" w:rsidRDefault="00D56F61" w:rsidP="009972FF">
            <w:pPr>
              <w:jc w:val="center"/>
              <w:rPr>
                <w:rFonts w:ascii="Arial" w:hAnsi="Arial" w:cs="Arial"/>
                <w:b/>
                <w:bCs/>
                <w:sz w:val="20"/>
                <w:lang w:eastAsia="bg-BG"/>
              </w:rPr>
            </w:pPr>
            <w:r>
              <w:rPr>
                <w:rFonts w:ascii="Arial" w:hAnsi="Arial" w:cs="Arial"/>
                <w:b/>
                <w:bCs/>
                <w:sz w:val="20"/>
                <w:lang w:eastAsia="bg-BG"/>
              </w:rPr>
              <w:t>2019</w:t>
            </w:r>
            <w:r w:rsidRPr="001365E1">
              <w:rPr>
                <w:rFonts w:ascii="Arial" w:hAnsi="Arial" w:cs="Arial"/>
                <w:b/>
                <w:bCs/>
                <w:sz w:val="20"/>
                <w:lang w:eastAsia="bg-BG"/>
              </w:rPr>
              <w:t xml:space="preserve"> г.</w:t>
            </w:r>
          </w:p>
        </w:tc>
        <w:tc>
          <w:tcPr>
            <w:tcW w:w="1628" w:type="dxa"/>
            <w:tcBorders>
              <w:top w:val="single" w:sz="4" w:space="0" w:color="auto"/>
              <w:left w:val="nil"/>
              <w:bottom w:val="single" w:sz="4" w:space="0" w:color="auto"/>
              <w:right w:val="single" w:sz="4" w:space="0" w:color="auto"/>
            </w:tcBorders>
            <w:shd w:val="clear" w:color="000000" w:fill="95B3D7"/>
            <w:noWrap/>
            <w:vAlign w:val="bottom"/>
          </w:tcPr>
          <w:p w14:paraId="4F7F715B" w14:textId="77777777" w:rsidR="00D56F61" w:rsidRPr="001365E1" w:rsidRDefault="00D56F61" w:rsidP="009972FF">
            <w:pPr>
              <w:jc w:val="center"/>
              <w:rPr>
                <w:rFonts w:ascii="Arial" w:hAnsi="Arial" w:cs="Arial"/>
                <w:b/>
                <w:bCs/>
                <w:sz w:val="20"/>
                <w:lang w:eastAsia="bg-BG"/>
              </w:rPr>
            </w:pPr>
            <w:r>
              <w:rPr>
                <w:rFonts w:ascii="Arial" w:hAnsi="Arial" w:cs="Arial"/>
                <w:b/>
                <w:bCs/>
                <w:sz w:val="20"/>
                <w:lang w:eastAsia="bg-BG"/>
              </w:rPr>
              <w:t>2018</w:t>
            </w:r>
            <w:r w:rsidRPr="001365E1">
              <w:rPr>
                <w:rFonts w:ascii="Arial" w:hAnsi="Arial" w:cs="Arial"/>
                <w:b/>
                <w:bCs/>
                <w:sz w:val="20"/>
                <w:lang w:eastAsia="bg-BG"/>
              </w:rPr>
              <w:t xml:space="preserve"> г.</w:t>
            </w:r>
          </w:p>
        </w:tc>
      </w:tr>
      <w:tr w:rsidR="00562D0B" w:rsidRPr="001365E1" w14:paraId="4F7F7160" w14:textId="77777777" w:rsidTr="00771479">
        <w:trPr>
          <w:trHeight w:val="255"/>
        </w:trPr>
        <w:tc>
          <w:tcPr>
            <w:tcW w:w="6526" w:type="dxa"/>
            <w:tcBorders>
              <w:top w:val="nil"/>
              <w:left w:val="single" w:sz="4" w:space="0" w:color="auto"/>
              <w:bottom w:val="single" w:sz="4" w:space="0" w:color="auto"/>
              <w:right w:val="single" w:sz="4" w:space="0" w:color="auto"/>
            </w:tcBorders>
            <w:shd w:val="clear" w:color="000000" w:fill="DCE6F1"/>
            <w:noWrap/>
            <w:vAlign w:val="bottom"/>
          </w:tcPr>
          <w:p w14:paraId="4F7F715D" w14:textId="77777777" w:rsidR="00562D0B" w:rsidRPr="001365E1" w:rsidRDefault="00562D0B" w:rsidP="00562D0B">
            <w:pPr>
              <w:jc w:val="left"/>
              <w:rPr>
                <w:rFonts w:ascii="Arial" w:hAnsi="Arial" w:cs="Arial"/>
                <w:sz w:val="20"/>
                <w:lang w:eastAsia="bg-BG"/>
              </w:rPr>
            </w:pPr>
            <w:proofErr w:type="spellStart"/>
            <w:r w:rsidRPr="001365E1">
              <w:rPr>
                <w:rFonts w:ascii="Arial" w:hAnsi="Arial" w:cs="Arial"/>
                <w:sz w:val="20"/>
                <w:lang w:eastAsia="bg-BG"/>
              </w:rPr>
              <w:t>Коеф</w:t>
            </w:r>
            <w:proofErr w:type="spellEnd"/>
            <w:r w:rsidRPr="001365E1">
              <w:rPr>
                <w:rFonts w:ascii="Arial" w:hAnsi="Arial" w:cs="Arial"/>
                <w:sz w:val="20"/>
                <w:lang w:eastAsia="bg-BG"/>
              </w:rPr>
              <w:t xml:space="preserve">. на финансова автономност </w:t>
            </w:r>
          </w:p>
        </w:tc>
        <w:tc>
          <w:tcPr>
            <w:tcW w:w="1559" w:type="dxa"/>
            <w:tcBorders>
              <w:top w:val="nil"/>
              <w:left w:val="nil"/>
              <w:bottom w:val="single" w:sz="4" w:space="0" w:color="auto"/>
              <w:right w:val="single" w:sz="4" w:space="0" w:color="auto"/>
            </w:tcBorders>
            <w:shd w:val="clear" w:color="000000" w:fill="DCE6F1"/>
            <w:noWrap/>
          </w:tcPr>
          <w:p w14:paraId="4F7F715E" w14:textId="3C59B792" w:rsidR="00562D0B" w:rsidRPr="001365E1" w:rsidRDefault="00562D0B" w:rsidP="006C7DEF">
            <w:pPr>
              <w:jc w:val="center"/>
              <w:rPr>
                <w:rFonts w:ascii="Arial" w:hAnsi="Arial" w:cs="Arial"/>
                <w:sz w:val="20"/>
                <w:lang w:eastAsia="bg-BG"/>
              </w:rPr>
            </w:pPr>
            <w:r w:rsidRPr="00562D0B">
              <w:rPr>
                <w:rFonts w:ascii="Arial" w:hAnsi="Arial" w:cs="Arial"/>
                <w:sz w:val="20"/>
                <w:lang w:eastAsia="bg-BG"/>
              </w:rPr>
              <w:t>1,3876</w:t>
            </w:r>
          </w:p>
        </w:tc>
        <w:tc>
          <w:tcPr>
            <w:tcW w:w="1628" w:type="dxa"/>
            <w:tcBorders>
              <w:top w:val="nil"/>
              <w:left w:val="nil"/>
              <w:bottom w:val="single" w:sz="4" w:space="0" w:color="auto"/>
              <w:right w:val="single" w:sz="4" w:space="0" w:color="auto"/>
            </w:tcBorders>
            <w:shd w:val="clear" w:color="000000" w:fill="DCE6F1"/>
            <w:noWrap/>
          </w:tcPr>
          <w:p w14:paraId="4F7F715F" w14:textId="58E4270B" w:rsidR="00562D0B" w:rsidRPr="001365E1" w:rsidRDefault="00562D0B" w:rsidP="006C7DEF">
            <w:pPr>
              <w:jc w:val="center"/>
              <w:rPr>
                <w:rFonts w:ascii="Arial" w:hAnsi="Arial" w:cs="Arial"/>
                <w:sz w:val="20"/>
                <w:lang w:eastAsia="bg-BG"/>
              </w:rPr>
            </w:pPr>
            <w:r w:rsidRPr="00562D0B">
              <w:rPr>
                <w:rFonts w:ascii="Arial" w:hAnsi="Arial" w:cs="Arial"/>
                <w:sz w:val="20"/>
                <w:lang w:eastAsia="bg-BG"/>
              </w:rPr>
              <w:t>(0,3790)</w:t>
            </w:r>
          </w:p>
        </w:tc>
      </w:tr>
      <w:tr w:rsidR="00562D0B" w:rsidRPr="001365E1" w14:paraId="4F7F7164" w14:textId="77777777" w:rsidTr="00771479">
        <w:trPr>
          <w:trHeight w:val="255"/>
        </w:trPr>
        <w:tc>
          <w:tcPr>
            <w:tcW w:w="6526" w:type="dxa"/>
            <w:tcBorders>
              <w:top w:val="nil"/>
              <w:left w:val="single" w:sz="4" w:space="0" w:color="auto"/>
              <w:bottom w:val="single" w:sz="4" w:space="0" w:color="auto"/>
              <w:right w:val="single" w:sz="4" w:space="0" w:color="auto"/>
            </w:tcBorders>
            <w:shd w:val="clear" w:color="000000" w:fill="DCE6F1"/>
            <w:noWrap/>
            <w:vAlign w:val="bottom"/>
          </w:tcPr>
          <w:p w14:paraId="4F7F7161" w14:textId="77777777" w:rsidR="00562D0B" w:rsidRPr="001365E1" w:rsidRDefault="00562D0B" w:rsidP="00562D0B">
            <w:pPr>
              <w:jc w:val="left"/>
              <w:rPr>
                <w:rFonts w:ascii="Arial" w:hAnsi="Arial" w:cs="Arial"/>
                <w:sz w:val="20"/>
                <w:lang w:eastAsia="bg-BG"/>
              </w:rPr>
            </w:pPr>
            <w:proofErr w:type="spellStart"/>
            <w:r w:rsidRPr="001365E1">
              <w:rPr>
                <w:rFonts w:ascii="Arial" w:hAnsi="Arial" w:cs="Arial"/>
                <w:sz w:val="20"/>
                <w:lang w:eastAsia="bg-BG"/>
              </w:rPr>
              <w:t>Коеф</w:t>
            </w:r>
            <w:proofErr w:type="spellEnd"/>
            <w:r w:rsidRPr="001365E1">
              <w:rPr>
                <w:rFonts w:ascii="Arial" w:hAnsi="Arial" w:cs="Arial"/>
                <w:sz w:val="20"/>
                <w:lang w:eastAsia="bg-BG"/>
              </w:rPr>
              <w:t xml:space="preserve">. на задлъжнялост   </w:t>
            </w:r>
          </w:p>
        </w:tc>
        <w:tc>
          <w:tcPr>
            <w:tcW w:w="1559" w:type="dxa"/>
            <w:tcBorders>
              <w:top w:val="nil"/>
              <w:left w:val="nil"/>
              <w:bottom w:val="single" w:sz="4" w:space="0" w:color="auto"/>
              <w:right w:val="single" w:sz="4" w:space="0" w:color="auto"/>
            </w:tcBorders>
            <w:shd w:val="clear" w:color="000000" w:fill="DCE6F1"/>
            <w:noWrap/>
          </w:tcPr>
          <w:p w14:paraId="4F7F7162" w14:textId="6DA5897A" w:rsidR="00562D0B" w:rsidRPr="001365E1" w:rsidRDefault="00562D0B" w:rsidP="006C7DEF">
            <w:pPr>
              <w:jc w:val="center"/>
              <w:rPr>
                <w:rFonts w:ascii="Arial" w:hAnsi="Arial" w:cs="Arial"/>
                <w:sz w:val="20"/>
                <w:lang w:eastAsia="bg-BG"/>
              </w:rPr>
            </w:pPr>
            <w:r w:rsidRPr="00562D0B">
              <w:rPr>
                <w:rFonts w:ascii="Arial" w:hAnsi="Arial" w:cs="Arial"/>
                <w:sz w:val="20"/>
                <w:lang w:eastAsia="bg-BG"/>
              </w:rPr>
              <w:t>0,7207</w:t>
            </w:r>
          </w:p>
        </w:tc>
        <w:tc>
          <w:tcPr>
            <w:tcW w:w="1628" w:type="dxa"/>
            <w:tcBorders>
              <w:top w:val="nil"/>
              <w:left w:val="nil"/>
              <w:bottom w:val="single" w:sz="4" w:space="0" w:color="auto"/>
              <w:right w:val="single" w:sz="4" w:space="0" w:color="auto"/>
            </w:tcBorders>
            <w:shd w:val="clear" w:color="000000" w:fill="DCE6F1"/>
            <w:noWrap/>
          </w:tcPr>
          <w:p w14:paraId="4F7F7163" w14:textId="02980549" w:rsidR="00562D0B" w:rsidRPr="001365E1" w:rsidRDefault="00562D0B" w:rsidP="006C7DEF">
            <w:pPr>
              <w:jc w:val="center"/>
              <w:rPr>
                <w:rFonts w:ascii="Arial" w:hAnsi="Arial" w:cs="Arial"/>
                <w:sz w:val="20"/>
                <w:lang w:eastAsia="bg-BG"/>
              </w:rPr>
            </w:pPr>
            <w:r w:rsidRPr="00562D0B">
              <w:rPr>
                <w:rFonts w:ascii="Arial" w:hAnsi="Arial" w:cs="Arial"/>
                <w:sz w:val="20"/>
                <w:lang w:eastAsia="bg-BG"/>
              </w:rPr>
              <w:t>(2,6382)</w:t>
            </w:r>
          </w:p>
        </w:tc>
      </w:tr>
    </w:tbl>
    <w:p w14:paraId="4F7F7165" w14:textId="77777777" w:rsidR="00D56F61" w:rsidRDefault="00D56F61" w:rsidP="00D56F61">
      <w:pPr>
        <w:spacing w:line="260" w:lineRule="atLeast"/>
        <w:ind w:left="720"/>
        <w:rPr>
          <w:rFonts w:ascii="Verdana" w:hAnsi="Verdana" w:cs="Arial"/>
          <w:sz w:val="20"/>
        </w:rPr>
      </w:pPr>
      <w:r>
        <w:rPr>
          <w:noProof/>
          <w:lang w:eastAsia="bg-BG"/>
        </w:rPr>
        <w:lastRenderedPageBreak/>
        <w:drawing>
          <wp:inline distT="0" distB="0" distL="0" distR="0" wp14:anchorId="4F7F84CF" wp14:editId="4F7F84D0">
            <wp:extent cx="4419600" cy="2895600"/>
            <wp:effectExtent l="0" t="0" r="19050" b="19050"/>
            <wp:docPr id="11"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5A00-0000126C2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7F7166" w14:textId="77777777" w:rsidR="00D56F61" w:rsidRDefault="00D56F61" w:rsidP="00D56F61">
      <w:pPr>
        <w:spacing w:line="260" w:lineRule="atLeast"/>
        <w:rPr>
          <w:rFonts w:ascii="Verdana" w:hAnsi="Verdana" w:cs="Arial"/>
          <w:sz w:val="20"/>
        </w:rPr>
      </w:pPr>
    </w:p>
    <w:p w14:paraId="4F7F7167" w14:textId="77777777" w:rsidR="00D56F61" w:rsidRDefault="00D56F61" w:rsidP="00D56F61">
      <w:pPr>
        <w:spacing w:line="260" w:lineRule="atLeast"/>
        <w:ind w:left="720"/>
        <w:rPr>
          <w:rFonts w:ascii="Verdana" w:hAnsi="Verdana" w:cs="Arial"/>
          <w:sz w:val="20"/>
        </w:rPr>
      </w:pPr>
    </w:p>
    <w:p w14:paraId="4F7F7168" w14:textId="77777777" w:rsidR="00D56F61" w:rsidRDefault="00D56F61" w:rsidP="00D56F61">
      <w:pPr>
        <w:numPr>
          <w:ilvl w:val="0"/>
          <w:numId w:val="23"/>
        </w:numPr>
        <w:spacing w:line="260" w:lineRule="atLeast"/>
        <w:rPr>
          <w:rFonts w:ascii="Verdana" w:hAnsi="Verdana" w:cs="Arial"/>
          <w:sz w:val="20"/>
        </w:rPr>
      </w:pPr>
      <w:r w:rsidRPr="00F82713">
        <w:rPr>
          <w:rFonts w:ascii="Verdana" w:hAnsi="Verdana" w:cs="Arial"/>
          <w:sz w:val="20"/>
        </w:rPr>
        <w:t>Ликвидност</w:t>
      </w:r>
    </w:p>
    <w:p w14:paraId="4F7F7169" w14:textId="77777777" w:rsidR="00D56F61" w:rsidRDefault="00D56F61" w:rsidP="00D56F61">
      <w:pPr>
        <w:spacing w:line="260" w:lineRule="atLeast"/>
        <w:ind w:left="7080"/>
        <w:rPr>
          <w:rFonts w:ascii="Verdana" w:hAnsi="Verdana" w:cs="Arial"/>
          <w:sz w:val="20"/>
        </w:rPr>
      </w:pPr>
      <w:r>
        <w:rPr>
          <w:rFonts w:ascii="Verdana" w:hAnsi="Verdana" w:cs="Arial"/>
          <w:sz w:val="20"/>
        </w:rPr>
        <w:t>Табл.4</w:t>
      </w:r>
    </w:p>
    <w:tbl>
      <w:tblPr>
        <w:tblW w:w="7802" w:type="dxa"/>
        <w:tblInd w:w="65" w:type="dxa"/>
        <w:tblCellMar>
          <w:left w:w="70" w:type="dxa"/>
          <w:right w:w="70" w:type="dxa"/>
        </w:tblCellMar>
        <w:tblLook w:val="04A0" w:firstRow="1" w:lastRow="0" w:firstColumn="1" w:lastColumn="0" w:noHBand="0" w:noVBand="1"/>
      </w:tblPr>
      <w:tblGrid>
        <w:gridCol w:w="4825"/>
        <w:gridCol w:w="1559"/>
        <w:gridCol w:w="1418"/>
      </w:tblGrid>
      <w:tr w:rsidR="00D56F61" w:rsidRPr="000F5C89" w14:paraId="4F7F716D" w14:textId="77777777" w:rsidTr="009972FF">
        <w:trPr>
          <w:trHeight w:val="255"/>
        </w:trPr>
        <w:tc>
          <w:tcPr>
            <w:tcW w:w="4825" w:type="dxa"/>
            <w:tcBorders>
              <w:top w:val="single" w:sz="4" w:space="0" w:color="auto"/>
              <w:left w:val="single" w:sz="4" w:space="0" w:color="auto"/>
              <w:bottom w:val="single" w:sz="4" w:space="0" w:color="auto"/>
              <w:right w:val="nil"/>
            </w:tcBorders>
            <w:shd w:val="clear" w:color="000000" w:fill="95B3D7"/>
            <w:noWrap/>
            <w:vAlign w:val="bottom"/>
            <w:hideMark/>
          </w:tcPr>
          <w:p w14:paraId="4F7F716A" w14:textId="77777777" w:rsidR="00D56F61" w:rsidRPr="000F5C89" w:rsidRDefault="00D56F61" w:rsidP="009972FF">
            <w:pPr>
              <w:jc w:val="left"/>
              <w:rPr>
                <w:rFonts w:ascii="Arial" w:hAnsi="Arial" w:cs="Arial"/>
                <w:sz w:val="20"/>
                <w:lang w:eastAsia="bg-BG"/>
              </w:rPr>
            </w:pPr>
            <w:r w:rsidRPr="000F5C89">
              <w:rPr>
                <w:rFonts w:ascii="Arial" w:hAnsi="Arial" w:cs="Arial"/>
                <w:sz w:val="20"/>
                <w:lang w:eastAsia="bg-BG"/>
              </w:rPr>
              <w:t> </w:t>
            </w:r>
          </w:p>
        </w:tc>
        <w:tc>
          <w:tcPr>
            <w:tcW w:w="1559" w:type="dxa"/>
            <w:tcBorders>
              <w:top w:val="single" w:sz="4" w:space="0" w:color="auto"/>
              <w:left w:val="nil"/>
              <w:bottom w:val="single" w:sz="4" w:space="0" w:color="auto"/>
              <w:right w:val="nil"/>
            </w:tcBorders>
            <w:shd w:val="clear" w:color="000000" w:fill="95B3D7"/>
            <w:noWrap/>
            <w:vAlign w:val="bottom"/>
            <w:hideMark/>
          </w:tcPr>
          <w:p w14:paraId="4F7F716B" w14:textId="77777777" w:rsidR="00D56F61" w:rsidRPr="000F5C89" w:rsidRDefault="00D56F61" w:rsidP="009972FF">
            <w:pPr>
              <w:jc w:val="center"/>
              <w:rPr>
                <w:rFonts w:ascii="Arial" w:hAnsi="Arial" w:cs="Arial"/>
                <w:b/>
                <w:bCs/>
                <w:sz w:val="20"/>
                <w:lang w:eastAsia="bg-BG"/>
              </w:rPr>
            </w:pPr>
            <w:r w:rsidRPr="000F5C89">
              <w:rPr>
                <w:rFonts w:ascii="Arial" w:hAnsi="Arial" w:cs="Arial"/>
                <w:b/>
                <w:bCs/>
                <w:sz w:val="20"/>
                <w:lang w:eastAsia="bg-BG"/>
              </w:rPr>
              <w:t>2019 г.</w:t>
            </w:r>
          </w:p>
        </w:tc>
        <w:tc>
          <w:tcPr>
            <w:tcW w:w="1418" w:type="dxa"/>
            <w:tcBorders>
              <w:top w:val="single" w:sz="4" w:space="0" w:color="auto"/>
              <w:left w:val="nil"/>
              <w:bottom w:val="single" w:sz="4" w:space="0" w:color="auto"/>
              <w:right w:val="single" w:sz="4" w:space="0" w:color="auto"/>
            </w:tcBorders>
            <w:shd w:val="clear" w:color="000000" w:fill="95B3D7"/>
            <w:noWrap/>
            <w:vAlign w:val="bottom"/>
            <w:hideMark/>
          </w:tcPr>
          <w:p w14:paraId="4F7F716C" w14:textId="77777777" w:rsidR="00D56F61" w:rsidRPr="000F5C89" w:rsidRDefault="00D56F61" w:rsidP="009972FF">
            <w:pPr>
              <w:jc w:val="center"/>
              <w:rPr>
                <w:rFonts w:ascii="Arial" w:hAnsi="Arial" w:cs="Arial"/>
                <w:b/>
                <w:bCs/>
                <w:sz w:val="20"/>
                <w:lang w:eastAsia="bg-BG"/>
              </w:rPr>
            </w:pPr>
            <w:r w:rsidRPr="000F5C89">
              <w:rPr>
                <w:rFonts w:ascii="Arial" w:hAnsi="Arial" w:cs="Arial"/>
                <w:b/>
                <w:bCs/>
                <w:sz w:val="20"/>
                <w:lang w:eastAsia="bg-BG"/>
              </w:rPr>
              <w:t>2018 г.</w:t>
            </w:r>
          </w:p>
        </w:tc>
      </w:tr>
      <w:tr w:rsidR="006C7DEF" w:rsidRPr="000F5C89" w14:paraId="4F7F7171" w14:textId="77777777" w:rsidTr="00771479">
        <w:trPr>
          <w:trHeight w:val="255"/>
        </w:trPr>
        <w:tc>
          <w:tcPr>
            <w:tcW w:w="4825" w:type="dxa"/>
            <w:tcBorders>
              <w:top w:val="nil"/>
              <w:left w:val="single" w:sz="4" w:space="0" w:color="auto"/>
              <w:bottom w:val="single" w:sz="4" w:space="0" w:color="auto"/>
              <w:right w:val="single" w:sz="4" w:space="0" w:color="auto"/>
            </w:tcBorders>
            <w:shd w:val="clear" w:color="000000" w:fill="DCE6F1"/>
            <w:noWrap/>
            <w:vAlign w:val="bottom"/>
            <w:hideMark/>
          </w:tcPr>
          <w:p w14:paraId="4F7F716E" w14:textId="77777777" w:rsidR="006C7DEF" w:rsidRPr="000F5C89" w:rsidRDefault="006C7DEF" w:rsidP="006C7DEF">
            <w:pPr>
              <w:jc w:val="left"/>
              <w:rPr>
                <w:rFonts w:ascii="Arial" w:hAnsi="Arial" w:cs="Arial"/>
                <w:sz w:val="20"/>
                <w:lang w:eastAsia="bg-BG"/>
              </w:rPr>
            </w:pPr>
            <w:proofErr w:type="spellStart"/>
            <w:r w:rsidRPr="000F5C89">
              <w:rPr>
                <w:rFonts w:ascii="Arial" w:hAnsi="Arial" w:cs="Arial"/>
                <w:sz w:val="20"/>
                <w:lang w:eastAsia="bg-BG"/>
              </w:rPr>
              <w:t>Коеф</w:t>
            </w:r>
            <w:proofErr w:type="spellEnd"/>
            <w:r w:rsidRPr="000F5C89">
              <w:rPr>
                <w:rFonts w:ascii="Arial" w:hAnsi="Arial" w:cs="Arial"/>
                <w:sz w:val="20"/>
                <w:lang w:eastAsia="bg-BG"/>
              </w:rPr>
              <w:t xml:space="preserve">. на обща ликвидност                </w:t>
            </w:r>
          </w:p>
        </w:tc>
        <w:tc>
          <w:tcPr>
            <w:tcW w:w="1559" w:type="dxa"/>
            <w:tcBorders>
              <w:top w:val="nil"/>
              <w:left w:val="nil"/>
              <w:bottom w:val="single" w:sz="4" w:space="0" w:color="auto"/>
              <w:right w:val="single" w:sz="4" w:space="0" w:color="auto"/>
            </w:tcBorders>
            <w:shd w:val="clear" w:color="000000" w:fill="DCE6F1"/>
            <w:noWrap/>
            <w:hideMark/>
          </w:tcPr>
          <w:p w14:paraId="4F7F716F" w14:textId="5EBC0B47"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0,7185</w:t>
            </w:r>
          </w:p>
        </w:tc>
        <w:tc>
          <w:tcPr>
            <w:tcW w:w="1418" w:type="dxa"/>
            <w:tcBorders>
              <w:top w:val="nil"/>
              <w:left w:val="nil"/>
              <w:bottom w:val="single" w:sz="4" w:space="0" w:color="auto"/>
              <w:right w:val="single" w:sz="4" w:space="0" w:color="auto"/>
            </w:tcBorders>
            <w:shd w:val="clear" w:color="000000" w:fill="DCE6F1"/>
            <w:noWrap/>
            <w:hideMark/>
          </w:tcPr>
          <w:p w14:paraId="4F7F7170" w14:textId="5BCDEFB3"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0,2505</w:t>
            </w:r>
          </w:p>
        </w:tc>
      </w:tr>
      <w:tr w:rsidR="006C7DEF" w:rsidRPr="000F5C89" w14:paraId="4F7F7175" w14:textId="77777777" w:rsidTr="00771479">
        <w:trPr>
          <w:trHeight w:val="255"/>
        </w:trPr>
        <w:tc>
          <w:tcPr>
            <w:tcW w:w="4825" w:type="dxa"/>
            <w:tcBorders>
              <w:top w:val="nil"/>
              <w:left w:val="single" w:sz="4" w:space="0" w:color="auto"/>
              <w:bottom w:val="single" w:sz="4" w:space="0" w:color="auto"/>
              <w:right w:val="single" w:sz="4" w:space="0" w:color="auto"/>
            </w:tcBorders>
            <w:shd w:val="clear" w:color="000000" w:fill="DCE6F1"/>
            <w:noWrap/>
            <w:vAlign w:val="bottom"/>
            <w:hideMark/>
          </w:tcPr>
          <w:p w14:paraId="4F7F7172" w14:textId="77777777" w:rsidR="006C7DEF" w:rsidRPr="000F5C89" w:rsidRDefault="006C7DEF" w:rsidP="006C7DEF">
            <w:pPr>
              <w:jc w:val="left"/>
              <w:rPr>
                <w:rFonts w:ascii="Arial" w:hAnsi="Arial" w:cs="Arial"/>
                <w:sz w:val="20"/>
                <w:lang w:eastAsia="bg-BG"/>
              </w:rPr>
            </w:pPr>
            <w:proofErr w:type="spellStart"/>
            <w:r w:rsidRPr="000F5C89">
              <w:rPr>
                <w:rFonts w:ascii="Arial" w:hAnsi="Arial" w:cs="Arial"/>
                <w:sz w:val="20"/>
                <w:lang w:eastAsia="bg-BG"/>
              </w:rPr>
              <w:t>Коеф</w:t>
            </w:r>
            <w:proofErr w:type="spellEnd"/>
            <w:r w:rsidRPr="000F5C89">
              <w:rPr>
                <w:rFonts w:ascii="Arial" w:hAnsi="Arial" w:cs="Arial"/>
                <w:sz w:val="20"/>
                <w:lang w:eastAsia="bg-BG"/>
              </w:rPr>
              <w:t xml:space="preserve">. на бърза ликвидност  </w:t>
            </w:r>
          </w:p>
        </w:tc>
        <w:tc>
          <w:tcPr>
            <w:tcW w:w="1559" w:type="dxa"/>
            <w:tcBorders>
              <w:top w:val="nil"/>
              <w:left w:val="nil"/>
              <w:bottom w:val="single" w:sz="4" w:space="0" w:color="auto"/>
              <w:right w:val="single" w:sz="4" w:space="0" w:color="auto"/>
            </w:tcBorders>
            <w:shd w:val="clear" w:color="000000" w:fill="DCE6F1"/>
            <w:noWrap/>
            <w:hideMark/>
          </w:tcPr>
          <w:p w14:paraId="4F7F7173" w14:textId="4F428B48"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0,6433</w:t>
            </w:r>
          </w:p>
        </w:tc>
        <w:tc>
          <w:tcPr>
            <w:tcW w:w="1418" w:type="dxa"/>
            <w:tcBorders>
              <w:top w:val="nil"/>
              <w:left w:val="nil"/>
              <w:bottom w:val="single" w:sz="4" w:space="0" w:color="auto"/>
              <w:right w:val="single" w:sz="4" w:space="0" w:color="auto"/>
            </w:tcBorders>
            <w:shd w:val="clear" w:color="000000" w:fill="DCE6F1"/>
            <w:noWrap/>
            <w:hideMark/>
          </w:tcPr>
          <w:p w14:paraId="4F7F7174" w14:textId="0463B320"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0,2218</w:t>
            </w:r>
          </w:p>
        </w:tc>
      </w:tr>
      <w:tr w:rsidR="006C7DEF" w:rsidRPr="000F5C89" w14:paraId="4F7F7179" w14:textId="77777777" w:rsidTr="00771479">
        <w:trPr>
          <w:trHeight w:val="255"/>
        </w:trPr>
        <w:tc>
          <w:tcPr>
            <w:tcW w:w="4825" w:type="dxa"/>
            <w:tcBorders>
              <w:top w:val="nil"/>
              <w:left w:val="single" w:sz="4" w:space="0" w:color="auto"/>
              <w:bottom w:val="single" w:sz="4" w:space="0" w:color="auto"/>
              <w:right w:val="single" w:sz="4" w:space="0" w:color="auto"/>
            </w:tcBorders>
            <w:shd w:val="clear" w:color="000000" w:fill="DCE6F1"/>
            <w:noWrap/>
            <w:vAlign w:val="bottom"/>
            <w:hideMark/>
          </w:tcPr>
          <w:p w14:paraId="4F7F7176" w14:textId="77777777" w:rsidR="006C7DEF" w:rsidRPr="000F5C89" w:rsidRDefault="006C7DEF" w:rsidP="006C7DEF">
            <w:pPr>
              <w:jc w:val="left"/>
              <w:rPr>
                <w:rFonts w:ascii="Arial" w:hAnsi="Arial" w:cs="Arial"/>
                <w:sz w:val="20"/>
                <w:lang w:eastAsia="bg-BG"/>
              </w:rPr>
            </w:pPr>
            <w:proofErr w:type="spellStart"/>
            <w:r w:rsidRPr="000F5C89">
              <w:rPr>
                <w:rFonts w:ascii="Arial" w:hAnsi="Arial" w:cs="Arial"/>
                <w:sz w:val="20"/>
                <w:lang w:eastAsia="bg-BG"/>
              </w:rPr>
              <w:t>Коеф</w:t>
            </w:r>
            <w:proofErr w:type="spellEnd"/>
            <w:r w:rsidRPr="000F5C89">
              <w:rPr>
                <w:rFonts w:ascii="Arial" w:hAnsi="Arial" w:cs="Arial"/>
                <w:sz w:val="20"/>
                <w:lang w:eastAsia="bg-BG"/>
              </w:rPr>
              <w:t>. на незабавна ликвидност</w:t>
            </w:r>
          </w:p>
        </w:tc>
        <w:tc>
          <w:tcPr>
            <w:tcW w:w="1559" w:type="dxa"/>
            <w:tcBorders>
              <w:top w:val="nil"/>
              <w:left w:val="nil"/>
              <w:bottom w:val="single" w:sz="4" w:space="0" w:color="auto"/>
              <w:right w:val="single" w:sz="4" w:space="0" w:color="auto"/>
            </w:tcBorders>
            <w:shd w:val="clear" w:color="000000" w:fill="DCE6F1"/>
            <w:noWrap/>
            <w:hideMark/>
          </w:tcPr>
          <w:p w14:paraId="4F7F7177" w14:textId="236F6839"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0,0344</w:t>
            </w:r>
          </w:p>
        </w:tc>
        <w:tc>
          <w:tcPr>
            <w:tcW w:w="1418" w:type="dxa"/>
            <w:tcBorders>
              <w:top w:val="nil"/>
              <w:left w:val="nil"/>
              <w:bottom w:val="single" w:sz="4" w:space="0" w:color="auto"/>
              <w:right w:val="single" w:sz="4" w:space="0" w:color="auto"/>
            </w:tcBorders>
            <w:shd w:val="clear" w:color="000000" w:fill="DCE6F1"/>
            <w:noWrap/>
            <w:hideMark/>
          </w:tcPr>
          <w:p w14:paraId="4F7F7178" w14:textId="468764FC"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0,0068</w:t>
            </w:r>
          </w:p>
        </w:tc>
      </w:tr>
      <w:tr w:rsidR="006C7DEF" w:rsidRPr="000F5C89" w14:paraId="4F7F717D" w14:textId="77777777" w:rsidTr="00771479">
        <w:trPr>
          <w:trHeight w:val="255"/>
        </w:trPr>
        <w:tc>
          <w:tcPr>
            <w:tcW w:w="4825" w:type="dxa"/>
            <w:tcBorders>
              <w:top w:val="nil"/>
              <w:left w:val="single" w:sz="4" w:space="0" w:color="auto"/>
              <w:bottom w:val="single" w:sz="4" w:space="0" w:color="auto"/>
              <w:right w:val="single" w:sz="4" w:space="0" w:color="auto"/>
            </w:tcBorders>
            <w:shd w:val="clear" w:color="000000" w:fill="DCE6F1"/>
            <w:noWrap/>
            <w:vAlign w:val="bottom"/>
            <w:hideMark/>
          </w:tcPr>
          <w:p w14:paraId="4F7F717A" w14:textId="77777777" w:rsidR="006C7DEF" w:rsidRPr="000F5C89" w:rsidRDefault="006C7DEF" w:rsidP="006C7DEF">
            <w:pPr>
              <w:jc w:val="left"/>
              <w:rPr>
                <w:rFonts w:ascii="Arial" w:hAnsi="Arial" w:cs="Arial"/>
                <w:sz w:val="20"/>
                <w:lang w:eastAsia="bg-BG"/>
              </w:rPr>
            </w:pPr>
            <w:proofErr w:type="spellStart"/>
            <w:r w:rsidRPr="000F5C89">
              <w:rPr>
                <w:rFonts w:ascii="Arial" w:hAnsi="Arial" w:cs="Arial"/>
                <w:sz w:val="20"/>
                <w:lang w:eastAsia="bg-BG"/>
              </w:rPr>
              <w:t>Коеф</w:t>
            </w:r>
            <w:proofErr w:type="spellEnd"/>
            <w:r w:rsidRPr="000F5C89">
              <w:rPr>
                <w:rFonts w:ascii="Arial" w:hAnsi="Arial" w:cs="Arial"/>
                <w:sz w:val="20"/>
                <w:lang w:eastAsia="bg-BG"/>
              </w:rPr>
              <w:t xml:space="preserve">. на абсолютна ликвидност      </w:t>
            </w:r>
          </w:p>
        </w:tc>
        <w:tc>
          <w:tcPr>
            <w:tcW w:w="1559" w:type="dxa"/>
            <w:tcBorders>
              <w:top w:val="nil"/>
              <w:left w:val="nil"/>
              <w:bottom w:val="single" w:sz="4" w:space="0" w:color="auto"/>
              <w:right w:val="single" w:sz="4" w:space="0" w:color="auto"/>
            </w:tcBorders>
            <w:shd w:val="clear" w:color="000000" w:fill="DCE6F1"/>
            <w:noWrap/>
            <w:hideMark/>
          </w:tcPr>
          <w:p w14:paraId="4F7F717B" w14:textId="6EC08DB9"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0,0344</w:t>
            </w:r>
          </w:p>
        </w:tc>
        <w:tc>
          <w:tcPr>
            <w:tcW w:w="1418" w:type="dxa"/>
            <w:tcBorders>
              <w:top w:val="nil"/>
              <w:left w:val="nil"/>
              <w:bottom w:val="single" w:sz="4" w:space="0" w:color="auto"/>
              <w:right w:val="single" w:sz="4" w:space="0" w:color="auto"/>
            </w:tcBorders>
            <w:shd w:val="clear" w:color="000000" w:fill="DCE6F1"/>
            <w:noWrap/>
            <w:hideMark/>
          </w:tcPr>
          <w:p w14:paraId="4F7F717C" w14:textId="53A88345" w:rsidR="006C7DEF" w:rsidRPr="000F5C89" w:rsidRDefault="006C7DEF" w:rsidP="006C7DEF">
            <w:pPr>
              <w:jc w:val="center"/>
              <w:rPr>
                <w:rFonts w:ascii="Arial" w:hAnsi="Arial" w:cs="Arial"/>
                <w:sz w:val="20"/>
                <w:lang w:eastAsia="bg-BG"/>
              </w:rPr>
            </w:pPr>
            <w:r w:rsidRPr="006C7DEF">
              <w:rPr>
                <w:rFonts w:ascii="Arial" w:hAnsi="Arial" w:cs="Arial"/>
                <w:sz w:val="20"/>
                <w:lang w:eastAsia="bg-BG"/>
              </w:rPr>
              <w:t>0,0068</w:t>
            </w:r>
          </w:p>
        </w:tc>
      </w:tr>
    </w:tbl>
    <w:p w14:paraId="4F7F717E" w14:textId="77777777" w:rsidR="00D56F61" w:rsidRPr="00F82713" w:rsidRDefault="00D56F61" w:rsidP="00D56F61">
      <w:pPr>
        <w:spacing w:line="260" w:lineRule="atLeast"/>
        <w:ind w:left="720"/>
        <w:rPr>
          <w:rFonts w:ascii="Verdana" w:hAnsi="Verdana" w:cs="Arial"/>
          <w:sz w:val="20"/>
        </w:rPr>
      </w:pPr>
    </w:p>
    <w:p w14:paraId="4F7F7180" w14:textId="77777777" w:rsidR="00D56F61" w:rsidRDefault="00D56F61" w:rsidP="00D56F61">
      <w:pPr>
        <w:spacing w:line="260" w:lineRule="atLeast"/>
        <w:rPr>
          <w:noProof/>
          <w:lang w:eastAsia="bg-BG"/>
        </w:rPr>
      </w:pPr>
    </w:p>
    <w:p w14:paraId="4F7F7181" w14:textId="77777777" w:rsidR="00D56F61" w:rsidRDefault="00D56F61" w:rsidP="00D56F61">
      <w:pPr>
        <w:spacing w:line="260" w:lineRule="atLeast"/>
        <w:rPr>
          <w:rFonts w:ascii="Verdana" w:hAnsi="Verdana" w:cs="Arial"/>
          <w:sz w:val="20"/>
        </w:rPr>
      </w:pPr>
      <w:r>
        <w:rPr>
          <w:noProof/>
          <w:lang w:eastAsia="bg-BG"/>
        </w:rPr>
        <w:drawing>
          <wp:inline distT="0" distB="0" distL="0" distR="0" wp14:anchorId="4F7F84D1" wp14:editId="4F7F84D2">
            <wp:extent cx="4610100" cy="2762250"/>
            <wp:effectExtent l="0" t="0" r="19050" b="19050"/>
            <wp:docPr id="12"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5A00-0000136C2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7F7182" w14:textId="77777777" w:rsidR="00D56F61" w:rsidRDefault="00D56F61" w:rsidP="00D56F61">
      <w:pPr>
        <w:spacing w:line="260" w:lineRule="atLeast"/>
        <w:rPr>
          <w:rFonts w:ascii="Verdana" w:hAnsi="Verdana" w:cs="Arial"/>
          <w:sz w:val="20"/>
        </w:rPr>
      </w:pPr>
    </w:p>
    <w:p w14:paraId="4F7F7183" w14:textId="77777777" w:rsidR="00D56F61" w:rsidRDefault="00D56F61" w:rsidP="00D56F61">
      <w:pPr>
        <w:numPr>
          <w:ilvl w:val="0"/>
          <w:numId w:val="23"/>
        </w:numPr>
        <w:spacing w:line="260" w:lineRule="atLeast"/>
        <w:rPr>
          <w:rFonts w:ascii="Verdana" w:hAnsi="Verdana" w:cs="Arial"/>
          <w:sz w:val="20"/>
        </w:rPr>
      </w:pPr>
      <w:r w:rsidRPr="00F82713">
        <w:rPr>
          <w:rFonts w:ascii="Verdana" w:hAnsi="Verdana" w:cs="Arial"/>
          <w:sz w:val="20"/>
        </w:rPr>
        <w:t xml:space="preserve">Ефективност </w:t>
      </w:r>
    </w:p>
    <w:p w14:paraId="4F7F7184" w14:textId="77777777" w:rsidR="00D56F61" w:rsidRPr="00F82713" w:rsidRDefault="00D56F61" w:rsidP="00D56F61">
      <w:pPr>
        <w:spacing w:line="260" w:lineRule="atLeast"/>
        <w:ind w:left="7080"/>
        <w:rPr>
          <w:rFonts w:ascii="Verdana" w:hAnsi="Verdana" w:cs="Arial"/>
          <w:sz w:val="20"/>
        </w:rPr>
      </w:pPr>
      <w:r>
        <w:rPr>
          <w:rFonts w:ascii="Verdana" w:hAnsi="Verdana" w:cs="Arial"/>
          <w:sz w:val="20"/>
        </w:rPr>
        <w:t>Табл.5</w:t>
      </w:r>
    </w:p>
    <w:tbl>
      <w:tblPr>
        <w:tblW w:w="7802" w:type="dxa"/>
        <w:tblInd w:w="65" w:type="dxa"/>
        <w:tblCellMar>
          <w:left w:w="70" w:type="dxa"/>
          <w:right w:w="70" w:type="dxa"/>
        </w:tblCellMar>
        <w:tblLook w:val="04A0" w:firstRow="1" w:lastRow="0" w:firstColumn="1" w:lastColumn="0" w:noHBand="0" w:noVBand="1"/>
      </w:tblPr>
      <w:tblGrid>
        <w:gridCol w:w="4068"/>
        <w:gridCol w:w="1607"/>
        <w:gridCol w:w="2127"/>
      </w:tblGrid>
      <w:tr w:rsidR="00D56F61" w:rsidRPr="000F5C89" w14:paraId="4F7F7188" w14:textId="77777777" w:rsidTr="009972FF">
        <w:trPr>
          <w:trHeight w:val="255"/>
        </w:trPr>
        <w:tc>
          <w:tcPr>
            <w:tcW w:w="4068" w:type="dxa"/>
            <w:tcBorders>
              <w:top w:val="single" w:sz="4" w:space="0" w:color="auto"/>
              <w:left w:val="single" w:sz="4" w:space="0" w:color="auto"/>
              <w:bottom w:val="single" w:sz="4" w:space="0" w:color="auto"/>
              <w:right w:val="nil"/>
            </w:tcBorders>
            <w:shd w:val="clear" w:color="000000" w:fill="95B3D7"/>
            <w:noWrap/>
            <w:vAlign w:val="bottom"/>
            <w:hideMark/>
          </w:tcPr>
          <w:p w14:paraId="4F7F7185" w14:textId="77777777" w:rsidR="00D56F61" w:rsidRPr="000F5C89" w:rsidRDefault="00D56F61" w:rsidP="009972FF">
            <w:pPr>
              <w:jc w:val="left"/>
              <w:rPr>
                <w:rFonts w:ascii="Arial" w:hAnsi="Arial" w:cs="Arial"/>
                <w:sz w:val="20"/>
                <w:lang w:eastAsia="bg-BG"/>
              </w:rPr>
            </w:pPr>
            <w:r w:rsidRPr="000F5C89">
              <w:rPr>
                <w:rFonts w:ascii="Arial" w:hAnsi="Arial" w:cs="Arial"/>
                <w:sz w:val="20"/>
                <w:lang w:eastAsia="bg-BG"/>
              </w:rPr>
              <w:t> </w:t>
            </w:r>
          </w:p>
        </w:tc>
        <w:tc>
          <w:tcPr>
            <w:tcW w:w="1607" w:type="dxa"/>
            <w:tcBorders>
              <w:top w:val="single" w:sz="4" w:space="0" w:color="auto"/>
              <w:left w:val="nil"/>
              <w:bottom w:val="single" w:sz="4" w:space="0" w:color="auto"/>
              <w:right w:val="nil"/>
            </w:tcBorders>
            <w:shd w:val="clear" w:color="000000" w:fill="95B3D7"/>
            <w:noWrap/>
            <w:vAlign w:val="bottom"/>
            <w:hideMark/>
          </w:tcPr>
          <w:p w14:paraId="4F7F7186" w14:textId="77777777" w:rsidR="00D56F61" w:rsidRPr="000F5C89" w:rsidRDefault="00D56F61" w:rsidP="009972FF">
            <w:pPr>
              <w:jc w:val="center"/>
              <w:rPr>
                <w:rFonts w:ascii="Arial" w:hAnsi="Arial" w:cs="Arial"/>
                <w:b/>
                <w:bCs/>
                <w:sz w:val="20"/>
                <w:lang w:eastAsia="bg-BG"/>
              </w:rPr>
            </w:pPr>
            <w:r w:rsidRPr="000F5C89">
              <w:rPr>
                <w:rFonts w:ascii="Arial" w:hAnsi="Arial" w:cs="Arial"/>
                <w:b/>
                <w:bCs/>
                <w:sz w:val="20"/>
                <w:lang w:eastAsia="bg-BG"/>
              </w:rPr>
              <w:t>2019 г.</w:t>
            </w:r>
          </w:p>
        </w:tc>
        <w:tc>
          <w:tcPr>
            <w:tcW w:w="2127" w:type="dxa"/>
            <w:tcBorders>
              <w:top w:val="single" w:sz="4" w:space="0" w:color="auto"/>
              <w:left w:val="nil"/>
              <w:bottom w:val="single" w:sz="4" w:space="0" w:color="auto"/>
              <w:right w:val="single" w:sz="4" w:space="0" w:color="auto"/>
            </w:tcBorders>
            <w:shd w:val="clear" w:color="000000" w:fill="95B3D7"/>
            <w:noWrap/>
            <w:vAlign w:val="bottom"/>
            <w:hideMark/>
          </w:tcPr>
          <w:p w14:paraId="4F7F7187" w14:textId="77777777" w:rsidR="00D56F61" w:rsidRPr="000F5C89" w:rsidRDefault="00D56F61" w:rsidP="009972FF">
            <w:pPr>
              <w:jc w:val="center"/>
              <w:rPr>
                <w:rFonts w:ascii="Arial" w:hAnsi="Arial" w:cs="Arial"/>
                <w:b/>
                <w:bCs/>
                <w:sz w:val="20"/>
                <w:lang w:eastAsia="bg-BG"/>
              </w:rPr>
            </w:pPr>
            <w:r w:rsidRPr="000F5C89">
              <w:rPr>
                <w:rFonts w:ascii="Arial" w:hAnsi="Arial" w:cs="Arial"/>
                <w:b/>
                <w:bCs/>
                <w:sz w:val="20"/>
                <w:lang w:eastAsia="bg-BG"/>
              </w:rPr>
              <w:t>2018 г.</w:t>
            </w:r>
          </w:p>
        </w:tc>
      </w:tr>
      <w:tr w:rsidR="00D56F61" w:rsidRPr="000F5C89" w14:paraId="4F7F718C" w14:textId="77777777" w:rsidTr="009972FF">
        <w:trPr>
          <w:trHeight w:val="255"/>
        </w:trPr>
        <w:tc>
          <w:tcPr>
            <w:tcW w:w="4068" w:type="dxa"/>
            <w:tcBorders>
              <w:top w:val="nil"/>
              <w:left w:val="single" w:sz="4" w:space="0" w:color="auto"/>
              <w:bottom w:val="single" w:sz="4" w:space="0" w:color="auto"/>
              <w:right w:val="single" w:sz="4" w:space="0" w:color="auto"/>
            </w:tcBorders>
            <w:shd w:val="clear" w:color="000000" w:fill="DCE6F1"/>
            <w:noWrap/>
            <w:vAlign w:val="bottom"/>
            <w:hideMark/>
          </w:tcPr>
          <w:p w14:paraId="4F7F7189" w14:textId="77777777" w:rsidR="00D56F61" w:rsidRPr="000F5C89" w:rsidRDefault="00D56F61" w:rsidP="009972FF">
            <w:pPr>
              <w:jc w:val="left"/>
              <w:rPr>
                <w:rFonts w:ascii="Arial" w:hAnsi="Arial" w:cs="Arial"/>
                <w:sz w:val="20"/>
                <w:lang w:eastAsia="bg-BG"/>
              </w:rPr>
            </w:pPr>
            <w:r w:rsidRPr="000F5C89">
              <w:rPr>
                <w:rFonts w:ascii="Arial" w:hAnsi="Arial" w:cs="Arial"/>
                <w:sz w:val="20"/>
                <w:lang w:eastAsia="bg-BG"/>
              </w:rPr>
              <w:t>Ефективност на разходите</w:t>
            </w:r>
          </w:p>
        </w:tc>
        <w:tc>
          <w:tcPr>
            <w:tcW w:w="1607" w:type="dxa"/>
            <w:tcBorders>
              <w:top w:val="nil"/>
              <w:left w:val="nil"/>
              <w:bottom w:val="single" w:sz="4" w:space="0" w:color="auto"/>
              <w:right w:val="single" w:sz="4" w:space="0" w:color="auto"/>
            </w:tcBorders>
            <w:shd w:val="clear" w:color="000000" w:fill="DCE6F1"/>
            <w:noWrap/>
            <w:vAlign w:val="bottom"/>
            <w:hideMark/>
          </w:tcPr>
          <w:p w14:paraId="4F7F718A" w14:textId="7BB32FDF" w:rsidR="00D56F61" w:rsidRPr="000F5C89" w:rsidRDefault="00D56F61" w:rsidP="00A31D4A">
            <w:pPr>
              <w:jc w:val="center"/>
              <w:rPr>
                <w:rFonts w:ascii="Arial" w:hAnsi="Arial" w:cs="Arial"/>
                <w:sz w:val="20"/>
                <w:lang w:eastAsia="bg-BG"/>
              </w:rPr>
            </w:pPr>
            <w:r w:rsidRPr="000F5C89">
              <w:rPr>
                <w:rFonts w:ascii="Arial" w:hAnsi="Arial" w:cs="Arial"/>
                <w:sz w:val="20"/>
                <w:lang w:eastAsia="bg-BG"/>
              </w:rPr>
              <w:t>0.8040</w:t>
            </w:r>
          </w:p>
        </w:tc>
        <w:tc>
          <w:tcPr>
            <w:tcW w:w="2127" w:type="dxa"/>
            <w:tcBorders>
              <w:top w:val="nil"/>
              <w:left w:val="nil"/>
              <w:bottom w:val="single" w:sz="4" w:space="0" w:color="auto"/>
              <w:right w:val="single" w:sz="4" w:space="0" w:color="auto"/>
            </w:tcBorders>
            <w:shd w:val="clear" w:color="000000" w:fill="DCE6F1"/>
            <w:noWrap/>
            <w:vAlign w:val="bottom"/>
            <w:hideMark/>
          </w:tcPr>
          <w:p w14:paraId="4F7F718B" w14:textId="59287673" w:rsidR="00D56F61" w:rsidRPr="000F5C89" w:rsidRDefault="00D56F61" w:rsidP="00A31D4A">
            <w:pPr>
              <w:jc w:val="center"/>
              <w:rPr>
                <w:rFonts w:ascii="Arial" w:hAnsi="Arial" w:cs="Arial"/>
                <w:sz w:val="20"/>
                <w:lang w:eastAsia="bg-BG"/>
              </w:rPr>
            </w:pPr>
            <w:r w:rsidRPr="000F5C89">
              <w:rPr>
                <w:rFonts w:ascii="Arial" w:hAnsi="Arial" w:cs="Arial"/>
                <w:sz w:val="20"/>
                <w:lang w:eastAsia="bg-BG"/>
              </w:rPr>
              <w:t>0.7916</w:t>
            </w:r>
          </w:p>
        </w:tc>
      </w:tr>
      <w:tr w:rsidR="00D56F61" w:rsidRPr="000F5C89" w14:paraId="4F7F7190" w14:textId="77777777" w:rsidTr="009972FF">
        <w:trPr>
          <w:trHeight w:val="255"/>
        </w:trPr>
        <w:tc>
          <w:tcPr>
            <w:tcW w:w="4068" w:type="dxa"/>
            <w:tcBorders>
              <w:top w:val="nil"/>
              <w:left w:val="single" w:sz="4" w:space="0" w:color="auto"/>
              <w:bottom w:val="single" w:sz="4" w:space="0" w:color="auto"/>
              <w:right w:val="single" w:sz="4" w:space="0" w:color="auto"/>
            </w:tcBorders>
            <w:shd w:val="clear" w:color="000000" w:fill="DCE6F1"/>
            <w:noWrap/>
            <w:vAlign w:val="bottom"/>
            <w:hideMark/>
          </w:tcPr>
          <w:p w14:paraId="4F7F718D" w14:textId="77777777" w:rsidR="00D56F61" w:rsidRPr="000F5C89" w:rsidRDefault="00D56F61" w:rsidP="009972FF">
            <w:pPr>
              <w:jc w:val="left"/>
              <w:rPr>
                <w:rFonts w:ascii="Arial" w:hAnsi="Arial" w:cs="Arial"/>
                <w:sz w:val="20"/>
                <w:lang w:eastAsia="bg-BG"/>
              </w:rPr>
            </w:pPr>
            <w:r w:rsidRPr="000F5C89">
              <w:rPr>
                <w:rFonts w:ascii="Arial" w:hAnsi="Arial" w:cs="Arial"/>
                <w:sz w:val="20"/>
                <w:lang w:eastAsia="bg-BG"/>
              </w:rPr>
              <w:t>Ефективност на приходите</w:t>
            </w:r>
          </w:p>
        </w:tc>
        <w:tc>
          <w:tcPr>
            <w:tcW w:w="1607" w:type="dxa"/>
            <w:tcBorders>
              <w:top w:val="nil"/>
              <w:left w:val="nil"/>
              <w:bottom w:val="single" w:sz="4" w:space="0" w:color="auto"/>
              <w:right w:val="single" w:sz="4" w:space="0" w:color="auto"/>
            </w:tcBorders>
            <w:shd w:val="clear" w:color="000000" w:fill="DCE6F1"/>
            <w:noWrap/>
            <w:vAlign w:val="bottom"/>
            <w:hideMark/>
          </w:tcPr>
          <w:p w14:paraId="4F7F718E" w14:textId="556EED71" w:rsidR="00D56F61" w:rsidRPr="000F5C89" w:rsidRDefault="00D56F61" w:rsidP="00A31D4A">
            <w:pPr>
              <w:jc w:val="center"/>
              <w:rPr>
                <w:rFonts w:ascii="Arial" w:hAnsi="Arial" w:cs="Arial"/>
                <w:sz w:val="20"/>
                <w:lang w:eastAsia="bg-BG"/>
              </w:rPr>
            </w:pPr>
            <w:r w:rsidRPr="000F5C89">
              <w:rPr>
                <w:rFonts w:ascii="Arial" w:hAnsi="Arial" w:cs="Arial"/>
                <w:sz w:val="20"/>
                <w:lang w:eastAsia="bg-BG"/>
              </w:rPr>
              <w:t>1.2437</w:t>
            </w:r>
          </w:p>
        </w:tc>
        <w:tc>
          <w:tcPr>
            <w:tcW w:w="2127" w:type="dxa"/>
            <w:tcBorders>
              <w:top w:val="nil"/>
              <w:left w:val="nil"/>
              <w:bottom w:val="single" w:sz="4" w:space="0" w:color="auto"/>
              <w:right w:val="single" w:sz="4" w:space="0" w:color="auto"/>
            </w:tcBorders>
            <w:shd w:val="clear" w:color="000000" w:fill="DCE6F1"/>
            <w:noWrap/>
            <w:vAlign w:val="bottom"/>
            <w:hideMark/>
          </w:tcPr>
          <w:p w14:paraId="4F7F718F" w14:textId="2D65A084" w:rsidR="00D56F61" w:rsidRPr="000F5C89" w:rsidRDefault="00D56F61" w:rsidP="00A31D4A">
            <w:pPr>
              <w:jc w:val="center"/>
              <w:rPr>
                <w:rFonts w:ascii="Arial" w:hAnsi="Arial" w:cs="Arial"/>
                <w:sz w:val="20"/>
                <w:lang w:eastAsia="bg-BG"/>
              </w:rPr>
            </w:pPr>
            <w:r w:rsidRPr="000F5C89">
              <w:rPr>
                <w:rFonts w:ascii="Arial" w:hAnsi="Arial" w:cs="Arial"/>
                <w:sz w:val="20"/>
                <w:lang w:eastAsia="bg-BG"/>
              </w:rPr>
              <w:t>1.2633</w:t>
            </w:r>
          </w:p>
        </w:tc>
      </w:tr>
    </w:tbl>
    <w:p w14:paraId="4F7F7191" w14:textId="77777777" w:rsidR="00D56F61" w:rsidRDefault="00D56F61" w:rsidP="00D56F61">
      <w:pPr>
        <w:spacing w:line="260" w:lineRule="atLeast"/>
        <w:rPr>
          <w:rFonts w:ascii="Verdana" w:hAnsi="Verdana" w:cs="Arial"/>
          <w:sz w:val="20"/>
          <w:highlight w:val="magenta"/>
        </w:rPr>
      </w:pPr>
    </w:p>
    <w:p w14:paraId="4F7F7192" w14:textId="77777777" w:rsidR="00D56F61" w:rsidRDefault="00D56F61" w:rsidP="00D56F61">
      <w:pPr>
        <w:spacing w:line="260" w:lineRule="atLeast"/>
        <w:rPr>
          <w:rFonts w:ascii="Verdana" w:hAnsi="Verdana" w:cs="Arial"/>
          <w:sz w:val="20"/>
          <w:highlight w:val="magenta"/>
        </w:rPr>
      </w:pPr>
      <w:r>
        <w:rPr>
          <w:noProof/>
          <w:lang w:eastAsia="bg-BG"/>
        </w:rPr>
        <w:drawing>
          <wp:inline distT="0" distB="0" distL="0" distR="0" wp14:anchorId="4F7F84D3" wp14:editId="4F7F84D4">
            <wp:extent cx="4614333" cy="2764367"/>
            <wp:effectExtent l="0" t="0" r="15240" b="17145"/>
            <wp:docPr id="13" name="Chart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5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7F7193" w14:textId="77777777" w:rsidR="00D56F61" w:rsidRDefault="00D56F61" w:rsidP="00D56F61">
      <w:pPr>
        <w:spacing w:line="260" w:lineRule="atLeast"/>
        <w:rPr>
          <w:rFonts w:ascii="Verdana" w:hAnsi="Verdana" w:cs="Arial"/>
          <w:sz w:val="20"/>
          <w:highlight w:val="magenta"/>
        </w:rPr>
      </w:pPr>
    </w:p>
    <w:p w14:paraId="4F7F7194" w14:textId="77777777" w:rsidR="00D56F61" w:rsidRDefault="00D56F61" w:rsidP="00D56F61">
      <w:pPr>
        <w:numPr>
          <w:ilvl w:val="0"/>
          <w:numId w:val="23"/>
        </w:numPr>
        <w:spacing w:line="260" w:lineRule="atLeast"/>
        <w:rPr>
          <w:rFonts w:ascii="Verdana" w:hAnsi="Verdana" w:cs="Arial"/>
          <w:sz w:val="20"/>
        </w:rPr>
      </w:pPr>
      <w:r w:rsidRPr="00F82713">
        <w:rPr>
          <w:rFonts w:ascii="Verdana" w:hAnsi="Verdana" w:cs="Arial"/>
          <w:sz w:val="20"/>
        </w:rPr>
        <w:t>Рентабилност</w:t>
      </w:r>
    </w:p>
    <w:p w14:paraId="4F7F7195" w14:textId="77777777" w:rsidR="00D56F61" w:rsidRPr="00F82713" w:rsidRDefault="00D56F61" w:rsidP="00D56F61">
      <w:pPr>
        <w:spacing w:line="260" w:lineRule="atLeast"/>
        <w:ind w:left="6372"/>
        <w:rPr>
          <w:rFonts w:ascii="Verdana" w:hAnsi="Verdana" w:cs="Arial"/>
          <w:sz w:val="20"/>
        </w:rPr>
      </w:pPr>
      <w:r>
        <w:rPr>
          <w:rFonts w:ascii="Verdana" w:hAnsi="Verdana" w:cs="Arial"/>
          <w:sz w:val="20"/>
        </w:rPr>
        <w:t>Табл.6</w:t>
      </w:r>
    </w:p>
    <w:tbl>
      <w:tblPr>
        <w:tblW w:w="7235" w:type="dxa"/>
        <w:tblInd w:w="65" w:type="dxa"/>
        <w:tblCellMar>
          <w:left w:w="70" w:type="dxa"/>
          <w:right w:w="70" w:type="dxa"/>
        </w:tblCellMar>
        <w:tblLook w:val="04A0" w:firstRow="1" w:lastRow="0" w:firstColumn="1" w:lastColumn="0" w:noHBand="0" w:noVBand="1"/>
      </w:tblPr>
      <w:tblGrid>
        <w:gridCol w:w="4068"/>
        <w:gridCol w:w="1749"/>
        <w:gridCol w:w="1418"/>
      </w:tblGrid>
      <w:tr w:rsidR="00D56F61" w:rsidRPr="000F5C89" w14:paraId="4F7F7199" w14:textId="77777777" w:rsidTr="009972FF">
        <w:trPr>
          <w:trHeight w:val="255"/>
        </w:trPr>
        <w:tc>
          <w:tcPr>
            <w:tcW w:w="4068" w:type="dxa"/>
            <w:tcBorders>
              <w:top w:val="single" w:sz="4" w:space="0" w:color="auto"/>
              <w:left w:val="single" w:sz="4" w:space="0" w:color="auto"/>
              <w:bottom w:val="single" w:sz="4" w:space="0" w:color="auto"/>
              <w:right w:val="nil"/>
            </w:tcBorders>
            <w:shd w:val="clear" w:color="000000" w:fill="95B3D7"/>
            <w:noWrap/>
            <w:vAlign w:val="bottom"/>
            <w:hideMark/>
          </w:tcPr>
          <w:p w14:paraId="4F7F7196" w14:textId="77777777" w:rsidR="00D56F61" w:rsidRPr="000F5C89" w:rsidRDefault="00D56F61" w:rsidP="009972FF">
            <w:pPr>
              <w:jc w:val="left"/>
              <w:rPr>
                <w:rFonts w:ascii="Arial" w:hAnsi="Arial" w:cs="Arial"/>
                <w:sz w:val="20"/>
                <w:lang w:eastAsia="bg-BG"/>
              </w:rPr>
            </w:pPr>
            <w:r w:rsidRPr="000F5C89">
              <w:rPr>
                <w:rFonts w:ascii="Arial" w:hAnsi="Arial" w:cs="Arial"/>
                <w:sz w:val="20"/>
                <w:lang w:eastAsia="bg-BG"/>
              </w:rPr>
              <w:t> </w:t>
            </w:r>
          </w:p>
        </w:tc>
        <w:tc>
          <w:tcPr>
            <w:tcW w:w="1749" w:type="dxa"/>
            <w:tcBorders>
              <w:top w:val="single" w:sz="4" w:space="0" w:color="auto"/>
              <w:left w:val="nil"/>
              <w:bottom w:val="single" w:sz="4" w:space="0" w:color="auto"/>
              <w:right w:val="nil"/>
            </w:tcBorders>
            <w:shd w:val="clear" w:color="000000" w:fill="95B3D7"/>
            <w:noWrap/>
            <w:vAlign w:val="bottom"/>
            <w:hideMark/>
          </w:tcPr>
          <w:p w14:paraId="4F7F7197" w14:textId="77777777" w:rsidR="00D56F61" w:rsidRPr="000F5C89" w:rsidRDefault="00D56F61" w:rsidP="009972FF">
            <w:pPr>
              <w:jc w:val="center"/>
              <w:rPr>
                <w:rFonts w:ascii="Arial" w:hAnsi="Arial" w:cs="Arial"/>
                <w:b/>
                <w:bCs/>
                <w:sz w:val="20"/>
                <w:lang w:eastAsia="bg-BG"/>
              </w:rPr>
            </w:pPr>
            <w:r w:rsidRPr="000F5C89">
              <w:rPr>
                <w:rFonts w:ascii="Arial" w:hAnsi="Arial" w:cs="Arial"/>
                <w:b/>
                <w:bCs/>
                <w:sz w:val="20"/>
                <w:lang w:eastAsia="bg-BG"/>
              </w:rPr>
              <w:t>2019 г.</w:t>
            </w:r>
          </w:p>
        </w:tc>
        <w:tc>
          <w:tcPr>
            <w:tcW w:w="1418" w:type="dxa"/>
            <w:tcBorders>
              <w:top w:val="single" w:sz="4" w:space="0" w:color="auto"/>
              <w:left w:val="nil"/>
              <w:bottom w:val="single" w:sz="4" w:space="0" w:color="auto"/>
              <w:right w:val="single" w:sz="4" w:space="0" w:color="auto"/>
            </w:tcBorders>
            <w:shd w:val="clear" w:color="000000" w:fill="95B3D7"/>
            <w:noWrap/>
            <w:vAlign w:val="bottom"/>
            <w:hideMark/>
          </w:tcPr>
          <w:p w14:paraId="4F7F7198" w14:textId="77777777" w:rsidR="00D56F61" w:rsidRPr="000F5C89" w:rsidRDefault="00D56F61" w:rsidP="009972FF">
            <w:pPr>
              <w:jc w:val="center"/>
              <w:rPr>
                <w:rFonts w:ascii="Arial" w:hAnsi="Arial" w:cs="Arial"/>
                <w:b/>
                <w:bCs/>
                <w:sz w:val="20"/>
                <w:lang w:eastAsia="bg-BG"/>
              </w:rPr>
            </w:pPr>
            <w:r w:rsidRPr="000F5C89">
              <w:rPr>
                <w:rFonts w:ascii="Arial" w:hAnsi="Arial" w:cs="Arial"/>
                <w:b/>
                <w:bCs/>
                <w:sz w:val="20"/>
                <w:lang w:eastAsia="bg-BG"/>
              </w:rPr>
              <w:t>2018 г.</w:t>
            </w:r>
          </w:p>
        </w:tc>
      </w:tr>
      <w:tr w:rsidR="00A31D4A" w:rsidRPr="000F5C89" w14:paraId="4F7F719D" w14:textId="77777777" w:rsidTr="009972FF">
        <w:trPr>
          <w:trHeight w:val="255"/>
        </w:trPr>
        <w:tc>
          <w:tcPr>
            <w:tcW w:w="4068" w:type="dxa"/>
            <w:tcBorders>
              <w:top w:val="nil"/>
              <w:left w:val="single" w:sz="4" w:space="0" w:color="auto"/>
              <w:bottom w:val="single" w:sz="4" w:space="0" w:color="auto"/>
              <w:right w:val="single" w:sz="4" w:space="0" w:color="auto"/>
            </w:tcBorders>
            <w:shd w:val="clear" w:color="000000" w:fill="DCE6F1"/>
            <w:noWrap/>
            <w:vAlign w:val="bottom"/>
            <w:hideMark/>
          </w:tcPr>
          <w:p w14:paraId="4F7F719A" w14:textId="77777777" w:rsidR="00A31D4A" w:rsidRPr="000F5C89" w:rsidRDefault="00A31D4A" w:rsidP="00A31D4A">
            <w:pPr>
              <w:jc w:val="left"/>
              <w:rPr>
                <w:rFonts w:ascii="Arial" w:hAnsi="Arial" w:cs="Arial"/>
                <w:sz w:val="20"/>
                <w:lang w:eastAsia="bg-BG"/>
              </w:rPr>
            </w:pPr>
            <w:r w:rsidRPr="000F5C89">
              <w:rPr>
                <w:rFonts w:ascii="Arial" w:hAnsi="Arial" w:cs="Arial"/>
                <w:sz w:val="20"/>
                <w:lang w:eastAsia="bg-BG"/>
              </w:rPr>
              <w:t>Рентабилност на собствения капитал</w:t>
            </w:r>
          </w:p>
        </w:tc>
        <w:tc>
          <w:tcPr>
            <w:tcW w:w="1749" w:type="dxa"/>
            <w:tcBorders>
              <w:top w:val="nil"/>
              <w:left w:val="nil"/>
              <w:bottom w:val="single" w:sz="4" w:space="0" w:color="auto"/>
              <w:right w:val="single" w:sz="4" w:space="0" w:color="auto"/>
            </w:tcBorders>
            <w:shd w:val="clear" w:color="000000" w:fill="DCE6F1"/>
            <w:noWrap/>
            <w:vAlign w:val="bottom"/>
            <w:hideMark/>
          </w:tcPr>
          <w:p w14:paraId="4F7F719B" w14:textId="5C644BDB" w:rsidR="00A31D4A" w:rsidRPr="000F5C89" w:rsidRDefault="00A31D4A" w:rsidP="00273CE0">
            <w:pPr>
              <w:jc w:val="center"/>
              <w:rPr>
                <w:rFonts w:ascii="Arial" w:hAnsi="Arial" w:cs="Arial"/>
                <w:sz w:val="20"/>
                <w:lang w:eastAsia="bg-BG"/>
              </w:rPr>
            </w:pPr>
            <w:r>
              <w:rPr>
                <w:rFonts w:ascii="Arial" w:hAnsi="Arial" w:cs="Arial"/>
                <w:sz w:val="20"/>
                <w:lang w:eastAsia="bg-BG"/>
              </w:rPr>
              <w:t>0,2870</w:t>
            </w:r>
          </w:p>
        </w:tc>
        <w:tc>
          <w:tcPr>
            <w:tcW w:w="1418" w:type="dxa"/>
            <w:tcBorders>
              <w:top w:val="nil"/>
              <w:left w:val="nil"/>
              <w:bottom w:val="single" w:sz="4" w:space="0" w:color="auto"/>
              <w:right w:val="single" w:sz="4" w:space="0" w:color="auto"/>
            </w:tcBorders>
            <w:shd w:val="clear" w:color="000000" w:fill="DCE6F1"/>
            <w:noWrap/>
            <w:vAlign w:val="bottom"/>
            <w:hideMark/>
          </w:tcPr>
          <w:p w14:paraId="4F7F719C" w14:textId="51212F76" w:rsidR="00A31D4A" w:rsidRPr="000F5C89" w:rsidRDefault="00A31D4A" w:rsidP="00273CE0">
            <w:pPr>
              <w:jc w:val="center"/>
              <w:rPr>
                <w:rFonts w:ascii="Arial" w:hAnsi="Arial" w:cs="Arial"/>
                <w:sz w:val="20"/>
                <w:lang w:eastAsia="bg-BG"/>
              </w:rPr>
            </w:pPr>
            <w:r>
              <w:rPr>
                <w:rFonts w:ascii="Arial" w:hAnsi="Arial" w:cs="Arial"/>
                <w:sz w:val="20"/>
                <w:lang w:eastAsia="bg-BG"/>
              </w:rPr>
              <w:t>0,7338</w:t>
            </w:r>
          </w:p>
        </w:tc>
      </w:tr>
      <w:tr w:rsidR="00A31D4A" w:rsidRPr="000F5C89" w14:paraId="4F7F71A1" w14:textId="77777777" w:rsidTr="009972FF">
        <w:trPr>
          <w:trHeight w:val="255"/>
        </w:trPr>
        <w:tc>
          <w:tcPr>
            <w:tcW w:w="4068" w:type="dxa"/>
            <w:tcBorders>
              <w:top w:val="nil"/>
              <w:left w:val="single" w:sz="4" w:space="0" w:color="auto"/>
              <w:bottom w:val="single" w:sz="4" w:space="0" w:color="auto"/>
              <w:right w:val="single" w:sz="4" w:space="0" w:color="auto"/>
            </w:tcBorders>
            <w:shd w:val="clear" w:color="000000" w:fill="DCE6F1"/>
            <w:noWrap/>
            <w:vAlign w:val="bottom"/>
            <w:hideMark/>
          </w:tcPr>
          <w:p w14:paraId="4F7F719E" w14:textId="77777777" w:rsidR="00A31D4A" w:rsidRPr="000F5C89" w:rsidRDefault="00A31D4A" w:rsidP="00A31D4A">
            <w:pPr>
              <w:jc w:val="left"/>
              <w:rPr>
                <w:rFonts w:ascii="Arial" w:hAnsi="Arial" w:cs="Arial"/>
                <w:sz w:val="20"/>
                <w:lang w:eastAsia="bg-BG"/>
              </w:rPr>
            </w:pPr>
            <w:r w:rsidRPr="000F5C89">
              <w:rPr>
                <w:rFonts w:ascii="Arial" w:hAnsi="Arial" w:cs="Arial"/>
                <w:sz w:val="20"/>
                <w:lang w:eastAsia="bg-BG"/>
              </w:rPr>
              <w:t>Рентабилност на активите</w:t>
            </w:r>
          </w:p>
        </w:tc>
        <w:tc>
          <w:tcPr>
            <w:tcW w:w="1749" w:type="dxa"/>
            <w:tcBorders>
              <w:top w:val="nil"/>
              <w:left w:val="nil"/>
              <w:bottom w:val="single" w:sz="4" w:space="0" w:color="auto"/>
              <w:right w:val="single" w:sz="4" w:space="0" w:color="auto"/>
            </w:tcBorders>
            <w:shd w:val="clear" w:color="000000" w:fill="DCE6F1"/>
            <w:noWrap/>
            <w:vAlign w:val="bottom"/>
            <w:hideMark/>
          </w:tcPr>
          <w:p w14:paraId="4F7F719F" w14:textId="436F2690" w:rsidR="00A31D4A" w:rsidRPr="000F5C89" w:rsidRDefault="00A31D4A" w:rsidP="00273CE0">
            <w:pPr>
              <w:jc w:val="center"/>
              <w:rPr>
                <w:rFonts w:ascii="Arial" w:hAnsi="Arial" w:cs="Arial"/>
                <w:sz w:val="20"/>
                <w:lang w:eastAsia="bg-BG"/>
              </w:rPr>
            </w:pPr>
            <w:r>
              <w:rPr>
                <w:rFonts w:ascii="Arial" w:hAnsi="Arial" w:cs="Arial"/>
                <w:sz w:val="20"/>
                <w:lang w:eastAsia="bg-BG"/>
              </w:rPr>
              <w:t>0,1668</w:t>
            </w:r>
          </w:p>
        </w:tc>
        <w:tc>
          <w:tcPr>
            <w:tcW w:w="1418" w:type="dxa"/>
            <w:tcBorders>
              <w:top w:val="nil"/>
              <w:left w:val="nil"/>
              <w:bottom w:val="single" w:sz="4" w:space="0" w:color="auto"/>
              <w:right w:val="single" w:sz="4" w:space="0" w:color="auto"/>
            </w:tcBorders>
            <w:shd w:val="clear" w:color="000000" w:fill="DCE6F1"/>
            <w:noWrap/>
            <w:vAlign w:val="bottom"/>
            <w:hideMark/>
          </w:tcPr>
          <w:p w14:paraId="4F7F71A0" w14:textId="1A272920" w:rsidR="00A31D4A" w:rsidRPr="000F5C89" w:rsidRDefault="00A31D4A" w:rsidP="00273CE0">
            <w:pPr>
              <w:jc w:val="center"/>
              <w:rPr>
                <w:rFonts w:ascii="Arial" w:hAnsi="Arial" w:cs="Arial"/>
                <w:sz w:val="20"/>
                <w:lang w:eastAsia="bg-BG"/>
              </w:rPr>
            </w:pPr>
            <w:r>
              <w:rPr>
                <w:rFonts w:ascii="Arial" w:hAnsi="Arial" w:cs="Arial"/>
                <w:sz w:val="20"/>
                <w:lang w:eastAsia="bg-BG"/>
              </w:rPr>
              <w:t>(0,4479)</w:t>
            </w:r>
          </w:p>
        </w:tc>
      </w:tr>
      <w:tr w:rsidR="00A31D4A" w:rsidRPr="000F5C89" w14:paraId="4F7F71A5" w14:textId="77777777" w:rsidTr="00A31D4A">
        <w:trPr>
          <w:trHeight w:val="255"/>
        </w:trPr>
        <w:tc>
          <w:tcPr>
            <w:tcW w:w="4068" w:type="dxa"/>
            <w:tcBorders>
              <w:top w:val="nil"/>
              <w:left w:val="single" w:sz="4" w:space="0" w:color="auto"/>
              <w:bottom w:val="single" w:sz="4" w:space="0" w:color="auto"/>
              <w:right w:val="single" w:sz="4" w:space="0" w:color="auto"/>
            </w:tcBorders>
            <w:shd w:val="clear" w:color="000000" w:fill="DCE6F1"/>
            <w:noWrap/>
            <w:vAlign w:val="bottom"/>
            <w:hideMark/>
          </w:tcPr>
          <w:p w14:paraId="4F7F71A2" w14:textId="77777777" w:rsidR="00A31D4A" w:rsidRPr="000F5C89" w:rsidRDefault="00A31D4A" w:rsidP="00A31D4A">
            <w:pPr>
              <w:jc w:val="left"/>
              <w:rPr>
                <w:rFonts w:ascii="Arial" w:hAnsi="Arial" w:cs="Arial"/>
                <w:sz w:val="20"/>
                <w:lang w:eastAsia="bg-BG"/>
              </w:rPr>
            </w:pPr>
            <w:r w:rsidRPr="000F5C89">
              <w:rPr>
                <w:rFonts w:ascii="Arial" w:hAnsi="Arial" w:cs="Arial"/>
                <w:sz w:val="20"/>
                <w:lang w:eastAsia="bg-BG"/>
              </w:rPr>
              <w:t>Рентабилност на пасивите</w:t>
            </w:r>
          </w:p>
        </w:tc>
        <w:tc>
          <w:tcPr>
            <w:tcW w:w="1749" w:type="dxa"/>
            <w:tcBorders>
              <w:top w:val="nil"/>
              <w:left w:val="nil"/>
              <w:bottom w:val="single" w:sz="4" w:space="0" w:color="auto"/>
              <w:right w:val="single" w:sz="4" w:space="0" w:color="auto"/>
            </w:tcBorders>
            <w:shd w:val="clear" w:color="000000" w:fill="DCE6F1"/>
            <w:noWrap/>
            <w:vAlign w:val="bottom"/>
            <w:hideMark/>
          </w:tcPr>
          <w:p w14:paraId="4F7F71A3" w14:textId="11FF4E7C" w:rsidR="00A31D4A" w:rsidRPr="000F5C89" w:rsidRDefault="00A31D4A" w:rsidP="00273CE0">
            <w:pPr>
              <w:jc w:val="center"/>
              <w:rPr>
                <w:rFonts w:ascii="Arial" w:hAnsi="Arial" w:cs="Arial"/>
                <w:sz w:val="20"/>
                <w:lang w:eastAsia="bg-BG"/>
              </w:rPr>
            </w:pPr>
            <w:r>
              <w:rPr>
                <w:rFonts w:ascii="Arial" w:hAnsi="Arial" w:cs="Arial"/>
                <w:sz w:val="20"/>
                <w:lang w:eastAsia="bg-BG"/>
              </w:rPr>
              <w:t>0,3983</w:t>
            </w:r>
          </w:p>
        </w:tc>
        <w:tc>
          <w:tcPr>
            <w:tcW w:w="1418" w:type="dxa"/>
            <w:tcBorders>
              <w:top w:val="nil"/>
              <w:left w:val="nil"/>
              <w:bottom w:val="single" w:sz="4" w:space="0" w:color="auto"/>
              <w:right w:val="single" w:sz="4" w:space="0" w:color="auto"/>
            </w:tcBorders>
            <w:shd w:val="clear" w:color="000000" w:fill="DCE6F1"/>
            <w:noWrap/>
            <w:vAlign w:val="bottom"/>
            <w:hideMark/>
          </w:tcPr>
          <w:p w14:paraId="4F7F71A4" w14:textId="0A729622" w:rsidR="00A31D4A" w:rsidRPr="000F5C89" w:rsidRDefault="00A31D4A" w:rsidP="00273CE0">
            <w:pPr>
              <w:jc w:val="center"/>
              <w:rPr>
                <w:rFonts w:ascii="Arial" w:hAnsi="Arial" w:cs="Arial"/>
                <w:sz w:val="20"/>
                <w:lang w:eastAsia="bg-BG"/>
              </w:rPr>
            </w:pPr>
            <w:r>
              <w:rPr>
                <w:rFonts w:ascii="Arial" w:hAnsi="Arial" w:cs="Arial"/>
                <w:sz w:val="20"/>
                <w:lang w:eastAsia="bg-BG"/>
              </w:rPr>
              <w:t>(0,2781)</w:t>
            </w:r>
          </w:p>
        </w:tc>
      </w:tr>
      <w:tr w:rsidR="00A31D4A" w:rsidRPr="000F5C89" w14:paraId="4F7F71A9" w14:textId="77777777" w:rsidTr="00A31D4A">
        <w:trPr>
          <w:trHeight w:val="255"/>
        </w:trPr>
        <w:tc>
          <w:tcPr>
            <w:tcW w:w="4068"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F7F71A6" w14:textId="77777777" w:rsidR="00A31D4A" w:rsidRPr="000F5C89" w:rsidRDefault="00A31D4A" w:rsidP="00A31D4A">
            <w:pPr>
              <w:jc w:val="left"/>
              <w:rPr>
                <w:rFonts w:ascii="Arial" w:hAnsi="Arial" w:cs="Arial"/>
                <w:sz w:val="20"/>
                <w:lang w:eastAsia="bg-BG"/>
              </w:rPr>
            </w:pPr>
            <w:r w:rsidRPr="000F5C89">
              <w:rPr>
                <w:rFonts w:ascii="Arial" w:hAnsi="Arial" w:cs="Arial"/>
                <w:sz w:val="20"/>
                <w:lang w:eastAsia="bg-BG"/>
              </w:rPr>
              <w:t>Рентабилност на приходите от продажби</w:t>
            </w:r>
          </w:p>
        </w:tc>
        <w:tc>
          <w:tcPr>
            <w:tcW w:w="1749" w:type="dxa"/>
            <w:tcBorders>
              <w:top w:val="single" w:sz="4" w:space="0" w:color="auto"/>
              <w:left w:val="nil"/>
              <w:bottom w:val="single" w:sz="4" w:space="0" w:color="auto"/>
              <w:right w:val="single" w:sz="4" w:space="0" w:color="auto"/>
            </w:tcBorders>
            <w:shd w:val="clear" w:color="000000" w:fill="DCE6F1"/>
            <w:noWrap/>
            <w:vAlign w:val="bottom"/>
            <w:hideMark/>
          </w:tcPr>
          <w:p w14:paraId="4F7F71A7" w14:textId="4E079E54" w:rsidR="00A31D4A" w:rsidRPr="000F5C89" w:rsidRDefault="00A31D4A" w:rsidP="00273CE0">
            <w:pPr>
              <w:jc w:val="center"/>
              <w:rPr>
                <w:rFonts w:ascii="Arial" w:hAnsi="Arial" w:cs="Arial"/>
                <w:sz w:val="20"/>
                <w:lang w:eastAsia="bg-BG"/>
              </w:rPr>
            </w:pPr>
            <w:r>
              <w:rPr>
                <w:rFonts w:ascii="Arial" w:hAnsi="Arial" w:cs="Arial"/>
                <w:sz w:val="20"/>
                <w:lang w:eastAsia="bg-BG"/>
              </w:rPr>
              <w:t>0,2063</w:t>
            </w:r>
          </w:p>
        </w:tc>
        <w:tc>
          <w:tcPr>
            <w:tcW w:w="1418" w:type="dxa"/>
            <w:tcBorders>
              <w:top w:val="single" w:sz="4" w:space="0" w:color="auto"/>
              <w:left w:val="nil"/>
              <w:bottom w:val="single" w:sz="4" w:space="0" w:color="auto"/>
              <w:right w:val="single" w:sz="4" w:space="0" w:color="auto"/>
            </w:tcBorders>
            <w:shd w:val="clear" w:color="000000" w:fill="DCE6F1"/>
            <w:noWrap/>
            <w:vAlign w:val="bottom"/>
            <w:hideMark/>
          </w:tcPr>
          <w:p w14:paraId="4F7F71A8" w14:textId="1551ED83" w:rsidR="00A31D4A" w:rsidRPr="000F5C89" w:rsidRDefault="00A31D4A" w:rsidP="00273CE0">
            <w:pPr>
              <w:jc w:val="center"/>
              <w:rPr>
                <w:rFonts w:ascii="Arial" w:hAnsi="Arial" w:cs="Arial"/>
                <w:sz w:val="20"/>
                <w:lang w:eastAsia="bg-BG"/>
              </w:rPr>
            </w:pPr>
            <w:r>
              <w:rPr>
                <w:rFonts w:ascii="Arial" w:hAnsi="Arial" w:cs="Arial"/>
                <w:sz w:val="20"/>
                <w:lang w:eastAsia="bg-BG"/>
              </w:rPr>
              <w:t>(0,3444)</w:t>
            </w:r>
          </w:p>
        </w:tc>
      </w:tr>
    </w:tbl>
    <w:p w14:paraId="4F7F71AE" w14:textId="02863870" w:rsidR="00D56F61" w:rsidRDefault="00D56F61" w:rsidP="00D56F61">
      <w:pPr>
        <w:spacing w:line="260" w:lineRule="atLeast"/>
        <w:rPr>
          <w:rFonts w:ascii="Verdana" w:hAnsi="Verdana" w:cs="Arial"/>
          <w:sz w:val="20"/>
          <w:highlight w:val="magenta"/>
        </w:rPr>
      </w:pPr>
    </w:p>
    <w:p w14:paraId="4F7F71AF" w14:textId="33E6378F" w:rsidR="00D56F61" w:rsidRDefault="00A31D4A" w:rsidP="00D56F61">
      <w:pPr>
        <w:spacing w:line="260" w:lineRule="atLeast"/>
        <w:rPr>
          <w:noProof/>
          <w:lang w:eastAsia="bg-BG"/>
        </w:rPr>
      </w:pPr>
      <w:r>
        <w:rPr>
          <w:noProof/>
          <w:lang w:eastAsia="bg-BG"/>
        </w:rPr>
        <w:drawing>
          <wp:inline distT="0" distB="0" distL="0" distR="0" wp14:anchorId="21EE2651" wp14:editId="4840C233">
            <wp:extent cx="4614333" cy="3044824"/>
            <wp:effectExtent l="0" t="0" r="0" b="3810"/>
            <wp:docPr id="14" name="Chart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5A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7F71B0" w14:textId="77777777" w:rsidR="00D56F61" w:rsidRDefault="00D56F61" w:rsidP="00D56F61">
      <w:pPr>
        <w:spacing w:line="260" w:lineRule="atLeast"/>
        <w:rPr>
          <w:noProof/>
          <w:lang w:eastAsia="bg-BG"/>
        </w:rPr>
      </w:pPr>
    </w:p>
    <w:p w14:paraId="4F7F71B1"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14:paraId="4F7F71B2"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14:paraId="4F7F71B3"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14:paraId="4F7F71B4"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BF3C91">
        <w:rPr>
          <w:rFonts w:ascii="Verdana" w:hAnsi="Verdana" w:cs="Arial"/>
          <w:b/>
          <w:sz w:val="20"/>
          <w:lang w:val="bg-BG"/>
        </w:rPr>
        <w:lastRenderedPageBreak/>
        <w:t xml:space="preserve">Фактори, оказали въздействие </w:t>
      </w:r>
      <w:r>
        <w:rPr>
          <w:rFonts w:ascii="Verdana" w:hAnsi="Verdana" w:cs="Arial"/>
          <w:b/>
          <w:sz w:val="20"/>
          <w:lang w:val="bg-BG"/>
        </w:rPr>
        <w:t>върху финансовото състояние на Д</w:t>
      </w:r>
      <w:r w:rsidRPr="00BF3C91">
        <w:rPr>
          <w:rFonts w:ascii="Verdana" w:hAnsi="Verdana" w:cs="Arial"/>
          <w:b/>
          <w:sz w:val="20"/>
          <w:lang w:val="bg-BG"/>
        </w:rPr>
        <w:t xml:space="preserve">ружеството и </w:t>
      </w:r>
      <w:r w:rsidRPr="00964ECD">
        <w:rPr>
          <w:rFonts w:ascii="Verdana" w:hAnsi="Verdana" w:cs="Arial"/>
          <w:b/>
          <w:sz w:val="20"/>
          <w:lang w:val="bg-BG"/>
        </w:rPr>
        <w:t>основни параметри в дейността през 2019 г.</w:t>
      </w:r>
    </w:p>
    <w:p w14:paraId="5495AE14" w14:textId="77777777" w:rsidR="00A61851" w:rsidRPr="00A61851" w:rsidRDefault="00A61851" w:rsidP="00A61851">
      <w:pPr>
        <w:spacing w:beforeLines="60" w:before="144" w:afterLines="60" w:after="144"/>
        <w:rPr>
          <w:rFonts w:ascii="Verdana" w:hAnsi="Verdana"/>
          <w:sz w:val="20"/>
        </w:rPr>
      </w:pPr>
      <w:r w:rsidRPr="00A61851">
        <w:rPr>
          <w:rFonts w:ascii="Verdana" w:hAnsi="Verdana"/>
          <w:sz w:val="20"/>
        </w:rPr>
        <w:t>Към 31.12.2019 г. Дружеството има 6,3 млн.лв. загуби от дейността. Основната причина за лошия финансов резултат е, че одобряваните от КЕВР в продължение на години цени, без основателни аргументи, са значително по-ниски от заявяваните от „Топлофикация – Разград“ АД. Това принуждава Дружеството да работи на загуба.</w:t>
      </w:r>
    </w:p>
    <w:p w14:paraId="0D440A3D" w14:textId="77777777" w:rsidR="00A61851" w:rsidRPr="00A61851" w:rsidRDefault="00A61851" w:rsidP="00A61851">
      <w:pPr>
        <w:spacing w:beforeLines="60" w:before="144" w:afterLines="60" w:after="144"/>
        <w:rPr>
          <w:rFonts w:ascii="Verdana" w:hAnsi="Verdana"/>
          <w:sz w:val="20"/>
        </w:rPr>
      </w:pPr>
      <w:r w:rsidRPr="00A61851">
        <w:rPr>
          <w:rFonts w:ascii="Verdana" w:hAnsi="Verdana"/>
          <w:sz w:val="20"/>
        </w:rPr>
        <w:t>Към момента Дружеството води следните дела с КЕВР както следва:</w:t>
      </w:r>
    </w:p>
    <w:p w14:paraId="064978E4" w14:textId="77777777" w:rsidR="00A61851" w:rsidRPr="00A61851" w:rsidRDefault="00A61851" w:rsidP="00A61851">
      <w:pPr>
        <w:numPr>
          <w:ilvl w:val="0"/>
          <w:numId w:val="39"/>
        </w:numPr>
        <w:jc w:val="left"/>
        <w:rPr>
          <w:rFonts w:ascii="Verdana" w:hAnsi="Verdana"/>
          <w:sz w:val="20"/>
        </w:rPr>
      </w:pPr>
      <w:r w:rsidRPr="00A61851">
        <w:rPr>
          <w:rFonts w:ascii="Verdana" w:hAnsi="Verdana"/>
          <w:sz w:val="20"/>
        </w:rPr>
        <w:t>дело №8825 по описа за 2017 г.на АС – София срещу Решение на КЕВР № Ц-18/01.07.2017 г., с което се утвърждават пределни цени на топлинна енергия и преференциални цени на електрическа енергия. По това дело Съдът отменя Решението на КЕВР на първа инстанция;</w:t>
      </w:r>
    </w:p>
    <w:p w14:paraId="4BAF752E" w14:textId="77777777" w:rsidR="00A61851" w:rsidRPr="00A61851" w:rsidRDefault="00A61851" w:rsidP="00A61851">
      <w:pPr>
        <w:numPr>
          <w:ilvl w:val="0"/>
          <w:numId w:val="39"/>
        </w:numPr>
        <w:spacing w:beforeLines="60" w:before="144" w:afterLines="60" w:after="144"/>
        <w:rPr>
          <w:rFonts w:ascii="Verdana" w:hAnsi="Verdana"/>
          <w:sz w:val="20"/>
        </w:rPr>
      </w:pPr>
      <w:r w:rsidRPr="00A61851">
        <w:rPr>
          <w:rFonts w:ascii="Verdana" w:hAnsi="Verdana"/>
          <w:sz w:val="20"/>
        </w:rPr>
        <w:t>дело №7739 по описа за 2018 г. на АС – София град срещу Решение на КЕВР №Ц-10/01.07.2018 г., с което се утвърждават пределни цени на топлинна енергия и преференциални цени на електрическа енергия. По това дело Съдът отменя Решението на КЕВР на първа инстанция;</w:t>
      </w:r>
    </w:p>
    <w:p w14:paraId="252F41F3" w14:textId="77777777" w:rsidR="00A61851" w:rsidRPr="00A61851" w:rsidRDefault="00A61851" w:rsidP="00A61851">
      <w:pPr>
        <w:numPr>
          <w:ilvl w:val="0"/>
          <w:numId w:val="39"/>
        </w:numPr>
        <w:spacing w:beforeLines="60" w:before="144" w:afterLines="60" w:after="144"/>
        <w:rPr>
          <w:rFonts w:ascii="Verdana" w:hAnsi="Verdana"/>
          <w:color w:val="008000"/>
          <w:sz w:val="20"/>
        </w:rPr>
      </w:pPr>
      <w:r w:rsidRPr="00A61851">
        <w:rPr>
          <w:rFonts w:ascii="Verdana" w:hAnsi="Verdana"/>
          <w:sz w:val="20"/>
        </w:rPr>
        <w:t>дело №8656 по описа за 2019 г. на АС - гр. София срещу решение на КЕВР №Ц-18/01.07.2019 г, с което се утвърждават пределни цени на топлинна енергия и преференциални цени на електрическа енергия.</w:t>
      </w:r>
    </w:p>
    <w:p w14:paraId="4F7F71B5" w14:textId="77777777" w:rsidR="00D56F61" w:rsidRPr="00964ECD" w:rsidRDefault="00D56F61" w:rsidP="00D56F61">
      <w:pPr>
        <w:spacing w:line="260" w:lineRule="atLeast"/>
        <w:rPr>
          <w:rFonts w:ascii="Verdana" w:hAnsi="Verdana" w:cs="Arial"/>
          <w:sz w:val="20"/>
        </w:rPr>
      </w:pPr>
      <w:r w:rsidRPr="00964ECD">
        <w:rPr>
          <w:rFonts w:ascii="Verdana" w:hAnsi="Verdana" w:cs="Arial"/>
          <w:sz w:val="20"/>
        </w:rPr>
        <w:t>През 2019 г. основните фактори, оказали влияние върху финансовото състояние на Дружеството са свързани с :</w:t>
      </w:r>
    </w:p>
    <w:p w14:paraId="4F7F71B6" w14:textId="77777777" w:rsidR="00D56F61" w:rsidRPr="00C2255D" w:rsidRDefault="00D56F61" w:rsidP="00D56F61">
      <w:pPr>
        <w:numPr>
          <w:ilvl w:val="0"/>
          <w:numId w:val="25"/>
        </w:numPr>
        <w:spacing w:line="260" w:lineRule="atLeast"/>
        <w:rPr>
          <w:rFonts w:ascii="Verdana" w:hAnsi="Verdana" w:cs="Arial"/>
          <w:sz w:val="20"/>
        </w:rPr>
      </w:pPr>
      <w:r>
        <w:rPr>
          <w:rFonts w:ascii="Verdana" w:hAnsi="Verdana" w:cs="Arial"/>
          <w:sz w:val="20"/>
        </w:rPr>
        <w:t>Увеличение на уставния капитал с решение на едноличния собственика, който от 2 099 хил. лв., става на 7 000 хил. лв., след издаване на нови 4 900 829 броя обикновени поименни налични акции с право на глас и с номинал 1 лев.</w:t>
      </w:r>
      <w:r w:rsidRPr="0007516E">
        <w:rPr>
          <w:rFonts w:ascii="Verdana" w:hAnsi="Verdana"/>
          <w:sz w:val="20"/>
        </w:rPr>
        <w:t>След направената промяна в ра</w:t>
      </w:r>
      <w:r>
        <w:rPr>
          <w:rFonts w:ascii="Verdana" w:hAnsi="Verdana"/>
          <w:sz w:val="20"/>
        </w:rPr>
        <w:t>з</w:t>
      </w:r>
      <w:r w:rsidRPr="0007516E">
        <w:rPr>
          <w:rFonts w:ascii="Verdana" w:hAnsi="Verdana"/>
          <w:sz w:val="20"/>
        </w:rPr>
        <w:t xml:space="preserve">мера на капитала на Дружеството, собствения капитал на Дружеството става </w:t>
      </w:r>
      <w:proofErr w:type="spellStart"/>
      <w:r w:rsidRPr="0007516E">
        <w:rPr>
          <w:rFonts w:ascii="Verdana" w:hAnsi="Verdana"/>
          <w:sz w:val="20"/>
        </w:rPr>
        <w:t>положителен</w:t>
      </w:r>
      <w:r>
        <w:rPr>
          <w:rFonts w:ascii="Verdana" w:hAnsi="Verdana"/>
          <w:sz w:val="20"/>
        </w:rPr>
        <w:t>а</w:t>
      </w:r>
      <w:proofErr w:type="spellEnd"/>
      <w:r>
        <w:rPr>
          <w:rFonts w:ascii="Verdana" w:hAnsi="Verdana"/>
          <w:sz w:val="20"/>
        </w:rPr>
        <w:t xml:space="preserve"> величина.</w:t>
      </w:r>
    </w:p>
    <w:p w14:paraId="4F7F71B7" w14:textId="77777777" w:rsidR="00D56F61" w:rsidRPr="004B791E" w:rsidRDefault="00D56F61" w:rsidP="00D56F61">
      <w:pPr>
        <w:pStyle w:val="ListParagraph"/>
        <w:numPr>
          <w:ilvl w:val="0"/>
          <w:numId w:val="25"/>
        </w:numPr>
        <w:spacing w:line="260" w:lineRule="atLeast"/>
        <w:rPr>
          <w:rFonts w:ascii="Verdana" w:hAnsi="Verdana" w:cs="Arial"/>
          <w:sz w:val="20"/>
          <w:lang w:val="en-US"/>
        </w:rPr>
      </w:pPr>
      <w:r w:rsidRPr="00C2255D">
        <w:rPr>
          <w:rFonts w:ascii="Verdana" w:hAnsi="Verdana" w:cs="Arial"/>
          <w:sz w:val="20"/>
        </w:rPr>
        <w:t>Невъзможност за навременно обслужване на текущите задължения, водещо до увеличаване на неустойките за забавено плащане.</w:t>
      </w:r>
    </w:p>
    <w:p w14:paraId="4F7F71B8" w14:textId="77777777" w:rsidR="00D56F61" w:rsidRPr="00C05FDF" w:rsidRDefault="00D56F61" w:rsidP="00D56F61">
      <w:pPr>
        <w:pStyle w:val="ListParagraph"/>
        <w:numPr>
          <w:ilvl w:val="0"/>
          <w:numId w:val="25"/>
        </w:numPr>
        <w:spacing w:line="260" w:lineRule="atLeast"/>
        <w:rPr>
          <w:rFonts w:ascii="Verdana" w:hAnsi="Verdana" w:cs="Arial"/>
          <w:sz w:val="20"/>
          <w:lang w:val="en-US"/>
        </w:rPr>
      </w:pPr>
      <w:r>
        <w:rPr>
          <w:rFonts w:ascii="Verdana" w:hAnsi="Verdana" w:cs="Arial"/>
          <w:sz w:val="20"/>
        </w:rPr>
        <w:t>Направена оценка на дълготрайните материални активи на Дружеството към 01.</w:t>
      </w:r>
      <w:proofErr w:type="spellStart"/>
      <w:r>
        <w:rPr>
          <w:rFonts w:ascii="Verdana" w:hAnsi="Verdana" w:cs="Arial"/>
          <w:sz w:val="20"/>
        </w:rPr>
        <w:t>01</w:t>
      </w:r>
      <w:proofErr w:type="spellEnd"/>
      <w:r>
        <w:rPr>
          <w:rFonts w:ascii="Verdana" w:hAnsi="Verdana" w:cs="Arial"/>
          <w:sz w:val="20"/>
        </w:rPr>
        <w:t>.2019 г.</w:t>
      </w:r>
    </w:p>
    <w:p w14:paraId="4F7F71B9" w14:textId="77777777" w:rsidR="00D56F61" w:rsidRPr="00C2255D" w:rsidRDefault="00D56F61" w:rsidP="00D56F61">
      <w:pPr>
        <w:pStyle w:val="ListParagraph"/>
        <w:numPr>
          <w:ilvl w:val="0"/>
          <w:numId w:val="25"/>
        </w:numPr>
        <w:spacing w:line="260" w:lineRule="atLeast"/>
        <w:rPr>
          <w:rFonts w:ascii="Verdana" w:hAnsi="Verdana" w:cs="Arial"/>
          <w:sz w:val="20"/>
          <w:lang w:val="en-US"/>
        </w:rPr>
      </w:pPr>
      <w:r>
        <w:rPr>
          <w:rFonts w:ascii="Verdana" w:hAnsi="Verdana" w:cs="Arial"/>
          <w:sz w:val="20"/>
        </w:rPr>
        <w:t xml:space="preserve">Липса на ясен механизъм при утвърждаването на цените на топлинна и електрическа енергия. Забелязва се непризнаване на присъщи за дейността разходи в процеса на ценообразуване. Това води до невъзможност за генериране на паричен ресурс, въз основа на който Дружеството да планира извършването на важни ремонтни дейности по ключови съоръжения. През годините се отчита все по-висока </w:t>
      </w:r>
      <w:proofErr w:type="spellStart"/>
      <w:r>
        <w:rPr>
          <w:rFonts w:ascii="Verdana" w:hAnsi="Verdana" w:cs="Arial"/>
          <w:sz w:val="20"/>
        </w:rPr>
        <w:t>аварийност</w:t>
      </w:r>
      <w:proofErr w:type="spellEnd"/>
      <w:r>
        <w:rPr>
          <w:rFonts w:ascii="Verdana" w:hAnsi="Verdana" w:cs="Arial"/>
          <w:sz w:val="20"/>
        </w:rPr>
        <w:t xml:space="preserve"> на ключови производствени съоръжения – ИКПТЕЕ, както и все по-чести аварии на участъци от </w:t>
      </w:r>
      <w:proofErr w:type="spellStart"/>
      <w:r>
        <w:rPr>
          <w:rFonts w:ascii="Verdana" w:hAnsi="Verdana" w:cs="Arial"/>
          <w:sz w:val="20"/>
        </w:rPr>
        <w:t>топлопреносната</w:t>
      </w:r>
      <w:proofErr w:type="spellEnd"/>
      <w:r>
        <w:rPr>
          <w:rFonts w:ascii="Verdana" w:hAnsi="Verdana" w:cs="Arial"/>
          <w:sz w:val="20"/>
        </w:rPr>
        <w:t xml:space="preserve"> мрежа. Всичко това поставя под риск възможността за изпълнение на лицензионните задължения на Дружеството.</w:t>
      </w:r>
    </w:p>
    <w:p w14:paraId="4F7F71BA" w14:textId="77777777" w:rsidR="00D56F61" w:rsidRDefault="00D56F61" w:rsidP="00D56F61">
      <w:pPr>
        <w:numPr>
          <w:ilvl w:val="0"/>
          <w:numId w:val="25"/>
        </w:numPr>
        <w:spacing w:line="260" w:lineRule="atLeast"/>
        <w:rPr>
          <w:rFonts w:ascii="Verdana" w:hAnsi="Verdana" w:cs="Arial"/>
          <w:sz w:val="20"/>
        </w:rPr>
      </w:pPr>
      <w:r w:rsidRPr="00C2255D">
        <w:rPr>
          <w:rFonts w:ascii="Verdana" w:hAnsi="Verdana" w:cs="Arial"/>
          <w:sz w:val="20"/>
        </w:rPr>
        <w:t>Липса на конкретна</w:t>
      </w:r>
      <w:r>
        <w:rPr>
          <w:rFonts w:ascii="Verdana" w:hAnsi="Verdana" w:cs="Arial"/>
          <w:sz w:val="20"/>
        </w:rPr>
        <w:t xml:space="preserve"> и постоянна</w:t>
      </w:r>
      <w:r w:rsidRPr="00C2255D">
        <w:rPr>
          <w:rFonts w:ascii="Verdana" w:hAnsi="Verdana" w:cs="Arial"/>
          <w:sz w:val="20"/>
        </w:rPr>
        <w:t xml:space="preserve"> държавна политика в Сектора - непрекъсната промяна в основните нормативни документи.</w:t>
      </w:r>
    </w:p>
    <w:p w14:paraId="4F7F71BB" w14:textId="77777777" w:rsidR="00D56F61" w:rsidRPr="00156EDE" w:rsidRDefault="00D56F61" w:rsidP="00D56F61">
      <w:pPr>
        <w:pStyle w:val="HTMLPreformatted"/>
        <w:numPr>
          <w:ilvl w:val="0"/>
          <w:numId w:val="25"/>
        </w:numPr>
        <w:jc w:val="both"/>
        <w:rPr>
          <w:rFonts w:ascii="Verdana" w:eastAsia="Calibri" w:hAnsi="Verdana" w:cs="Courier New"/>
          <w:sz w:val="20"/>
          <w:szCs w:val="22"/>
        </w:rPr>
      </w:pPr>
      <w:r>
        <w:rPr>
          <w:rFonts w:ascii="Verdana" w:eastAsia="Calibri" w:hAnsi="Verdana" w:cs="Courier New"/>
          <w:sz w:val="20"/>
          <w:szCs w:val="22"/>
        </w:rPr>
        <w:t>Излизане на свободния пазар за търговия с електрическа енергия. Към момента Дружеството продава произведената от него електрическа енергия чрез координатор на балансираща група. Излизането на свободен пазар създава предпоставки за търсене на по-висока изкупна цена на произвежданата електрическа енергия, спрямо утвърдената от КЕВР, което от своя страна рефлектира положително върху приходите на Дружеството.</w:t>
      </w:r>
    </w:p>
    <w:p w14:paraId="4F7F71BC" w14:textId="77777777" w:rsidR="00D56F61" w:rsidRPr="00BF41B7" w:rsidRDefault="00D56F61" w:rsidP="00D56F61">
      <w:pPr>
        <w:pStyle w:val="HTMLPreformatted"/>
        <w:numPr>
          <w:ilvl w:val="0"/>
          <w:numId w:val="25"/>
        </w:numPr>
        <w:jc w:val="both"/>
        <w:rPr>
          <w:rFonts w:ascii="Verdana" w:eastAsia="Calibri" w:hAnsi="Verdana" w:cs="Courier New"/>
          <w:sz w:val="20"/>
          <w:szCs w:val="22"/>
        </w:rPr>
      </w:pPr>
      <w:r w:rsidRPr="00156EDE">
        <w:rPr>
          <w:rFonts w:ascii="Verdana" w:hAnsi="Verdana" w:cs="Arial"/>
          <w:sz w:val="20"/>
        </w:rPr>
        <w:t>Излизане от Европейската схемата за търговия с емисии на парникови газове (ЕСТЕ) считано от 30.12.2019 г. Това бе постиг</w:t>
      </w:r>
      <w:r>
        <w:rPr>
          <w:rFonts w:ascii="Verdana" w:hAnsi="Verdana" w:cs="Arial"/>
          <w:sz w:val="20"/>
        </w:rPr>
        <w:t>н</w:t>
      </w:r>
      <w:r w:rsidRPr="00156EDE">
        <w:rPr>
          <w:rFonts w:ascii="Verdana" w:hAnsi="Verdana" w:cs="Arial"/>
          <w:sz w:val="20"/>
        </w:rPr>
        <w:t xml:space="preserve">ато чрез извеждане от експлоатация на резервни мощности, следствие извършване на настройка на </w:t>
      </w:r>
      <w:proofErr w:type="spellStart"/>
      <w:r w:rsidRPr="00156EDE">
        <w:rPr>
          <w:rFonts w:ascii="Verdana" w:hAnsi="Verdana" w:cs="Arial"/>
          <w:sz w:val="20"/>
        </w:rPr>
        <w:t>водогрейни</w:t>
      </w:r>
      <w:proofErr w:type="spellEnd"/>
      <w:r w:rsidRPr="00156EDE">
        <w:rPr>
          <w:rFonts w:ascii="Verdana" w:hAnsi="Verdana" w:cs="Arial"/>
          <w:sz w:val="20"/>
        </w:rPr>
        <w:t xml:space="preserve"> котли за работа с резервно гориво "мазут". По този начин се постигна </w:t>
      </w:r>
      <w:r w:rsidRPr="00156EDE">
        <w:rPr>
          <w:rFonts w:ascii="Verdana" w:hAnsi="Verdana" w:cs="Arial"/>
          <w:sz w:val="20"/>
        </w:rPr>
        <w:lastRenderedPageBreak/>
        <w:t>намаляване на общата номинална топлинна мощност на територията на Централата до 18,422 MW. Допълнително бяха изградени два броя изнесени котелни, същите с характер на върхови мощности. Тази промяна ще доведе до елиминиране на разхода за квоти за емисии на парникови газове, който през годините формира значителен дял от общите разходи на Дружеството.</w:t>
      </w:r>
    </w:p>
    <w:p w14:paraId="4F7F71BD" w14:textId="77777777" w:rsidR="00D56F61" w:rsidRPr="00156EDE" w:rsidRDefault="00D56F61" w:rsidP="00D56F61">
      <w:pPr>
        <w:pStyle w:val="HTMLPreformatted"/>
        <w:ind w:left="720"/>
        <w:jc w:val="both"/>
        <w:rPr>
          <w:rFonts w:ascii="Verdana" w:eastAsia="Calibri" w:hAnsi="Verdana" w:cs="Courier New"/>
          <w:sz w:val="20"/>
          <w:szCs w:val="22"/>
        </w:rPr>
      </w:pPr>
    </w:p>
    <w:p w14:paraId="4F7F71BE"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b/>
          <w:sz w:val="20"/>
          <w:lang w:val="bg-BG"/>
        </w:rPr>
      </w:pPr>
      <w:r>
        <w:rPr>
          <w:rFonts w:ascii="Verdana" w:hAnsi="Verdana" w:cs="Arial"/>
          <w:b/>
          <w:sz w:val="20"/>
          <w:lang w:val="bg-BG"/>
        </w:rPr>
        <w:t xml:space="preserve">Стопански цели </w:t>
      </w:r>
    </w:p>
    <w:p w14:paraId="4F7F71BF" w14:textId="77777777" w:rsidR="00D56F61" w:rsidRDefault="00D56F61" w:rsidP="00D56F61">
      <w:pPr>
        <w:spacing w:line="260" w:lineRule="atLeast"/>
        <w:rPr>
          <w:rFonts w:ascii="Verdana" w:hAnsi="Verdana" w:cs="Arial"/>
          <w:i/>
          <w:sz w:val="20"/>
        </w:rPr>
      </w:pPr>
    </w:p>
    <w:p w14:paraId="4F7F71C0" w14:textId="77777777" w:rsidR="00D56F61" w:rsidRPr="00C2255D" w:rsidRDefault="00D56F61" w:rsidP="00D56F61">
      <w:pPr>
        <w:spacing w:line="260" w:lineRule="atLeast"/>
        <w:rPr>
          <w:rFonts w:ascii="Verdana" w:hAnsi="Verdana" w:cs="Arial"/>
          <w:i/>
          <w:sz w:val="20"/>
        </w:rPr>
      </w:pPr>
      <w:r w:rsidRPr="00C2255D">
        <w:rPr>
          <w:rFonts w:ascii="Verdana" w:hAnsi="Verdana" w:cs="Arial"/>
          <w:i/>
          <w:sz w:val="20"/>
        </w:rPr>
        <w:t>Предвиждано развитие на Дружеството</w:t>
      </w:r>
    </w:p>
    <w:p w14:paraId="4F7F71C1"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Ръководството не предвижда промени в развитието на основната дейност на Дружеството.</w:t>
      </w:r>
    </w:p>
    <w:p w14:paraId="4F7F71C2" w14:textId="77777777" w:rsidR="00D56F61" w:rsidRPr="005E69AD" w:rsidRDefault="00D56F61" w:rsidP="00D56F61">
      <w:pPr>
        <w:spacing w:line="260" w:lineRule="atLeast"/>
        <w:rPr>
          <w:rFonts w:ascii="Verdana" w:hAnsi="Verdana" w:cs="Arial"/>
          <w:bCs/>
          <w:sz w:val="20"/>
        </w:rPr>
      </w:pPr>
    </w:p>
    <w:p w14:paraId="4F7F71C3" w14:textId="77777777" w:rsidR="00D56F61" w:rsidRPr="00C2255D" w:rsidRDefault="00D56F61" w:rsidP="00D56F61">
      <w:pPr>
        <w:spacing w:line="260" w:lineRule="atLeast"/>
        <w:rPr>
          <w:rFonts w:ascii="Verdana" w:hAnsi="Verdana" w:cs="Arial"/>
          <w:bCs/>
          <w:i/>
          <w:sz w:val="20"/>
        </w:rPr>
      </w:pPr>
      <w:r w:rsidRPr="00C2255D">
        <w:rPr>
          <w:rFonts w:ascii="Verdana" w:hAnsi="Verdana" w:cs="Arial"/>
          <w:bCs/>
          <w:i/>
          <w:sz w:val="20"/>
        </w:rPr>
        <w:t>Развитие на персонала</w:t>
      </w:r>
    </w:p>
    <w:p w14:paraId="4F7F71C4"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По отношение развитиет</w:t>
      </w:r>
      <w:r>
        <w:rPr>
          <w:rFonts w:ascii="Verdana" w:hAnsi="Verdana" w:cs="Arial"/>
          <w:sz w:val="20"/>
        </w:rPr>
        <w:t>о на пер</w:t>
      </w:r>
      <w:r w:rsidRPr="00C2255D">
        <w:rPr>
          <w:rFonts w:ascii="Verdana" w:hAnsi="Verdana" w:cs="Arial"/>
          <w:sz w:val="20"/>
        </w:rPr>
        <w:t>с</w:t>
      </w:r>
      <w:r>
        <w:rPr>
          <w:rFonts w:ascii="Verdana" w:hAnsi="Verdana" w:cs="Arial"/>
          <w:sz w:val="20"/>
        </w:rPr>
        <w:t>о</w:t>
      </w:r>
      <w:r w:rsidRPr="00C2255D">
        <w:rPr>
          <w:rFonts w:ascii="Verdana" w:hAnsi="Verdana" w:cs="Arial"/>
          <w:sz w:val="20"/>
        </w:rPr>
        <w:t xml:space="preserve">нала не се очаква драстично увеличаване или намаляване на персонала на </w:t>
      </w:r>
      <w:r>
        <w:rPr>
          <w:rFonts w:ascii="Verdana" w:hAnsi="Verdana" w:cs="Arial"/>
          <w:sz w:val="20"/>
        </w:rPr>
        <w:t>Д</w:t>
      </w:r>
      <w:r w:rsidRPr="00C2255D">
        <w:rPr>
          <w:rFonts w:ascii="Verdana" w:hAnsi="Verdana" w:cs="Arial"/>
          <w:sz w:val="20"/>
        </w:rPr>
        <w:t>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Arial"/>
          <w:sz w:val="20"/>
        </w:rPr>
        <w:t xml:space="preserve">ията на заетите лица. Отчита се тенденция, свързана с намаляване на </w:t>
      </w:r>
      <w:r w:rsidRPr="00C2255D">
        <w:rPr>
          <w:rFonts w:ascii="Verdana" w:hAnsi="Verdana" w:cs="Arial"/>
          <w:sz w:val="20"/>
        </w:rPr>
        <w:t>квалифицирана</w:t>
      </w:r>
      <w:r>
        <w:rPr>
          <w:rFonts w:ascii="Verdana" w:hAnsi="Verdana" w:cs="Arial"/>
          <w:sz w:val="20"/>
        </w:rPr>
        <w:t>та</w:t>
      </w:r>
      <w:r w:rsidRPr="00C2255D">
        <w:rPr>
          <w:rFonts w:ascii="Verdana" w:hAnsi="Verdana" w:cs="Arial"/>
          <w:sz w:val="20"/>
        </w:rPr>
        <w:t xml:space="preserve"> работна сила.</w:t>
      </w:r>
    </w:p>
    <w:p w14:paraId="4F7F71C5" w14:textId="77777777" w:rsidR="00D56F61" w:rsidRPr="00C2255D" w:rsidRDefault="00D56F61" w:rsidP="00D56F61">
      <w:pPr>
        <w:spacing w:line="260" w:lineRule="atLeast"/>
        <w:rPr>
          <w:rFonts w:ascii="Verdana" w:hAnsi="Verdana" w:cs="Arial"/>
          <w:bCs/>
          <w:sz w:val="20"/>
        </w:rPr>
      </w:pPr>
    </w:p>
    <w:p w14:paraId="4F7F71C6" w14:textId="77777777" w:rsidR="00D56F61" w:rsidRPr="00C2255D" w:rsidRDefault="00D56F61" w:rsidP="00D56F61">
      <w:pPr>
        <w:spacing w:line="260" w:lineRule="atLeast"/>
        <w:rPr>
          <w:rFonts w:ascii="Verdana" w:hAnsi="Verdana" w:cs="Arial"/>
          <w:bCs/>
          <w:i/>
          <w:sz w:val="20"/>
        </w:rPr>
      </w:pPr>
      <w:r w:rsidRPr="00C2255D">
        <w:rPr>
          <w:rFonts w:ascii="Verdana" w:hAnsi="Verdana" w:cs="Arial"/>
          <w:bCs/>
          <w:i/>
          <w:sz w:val="20"/>
        </w:rPr>
        <w:t>Очаквани инвестиции</w:t>
      </w:r>
    </w:p>
    <w:p w14:paraId="4F7F71C7" w14:textId="77777777" w:rsidR="00D56F61"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През 2020</w:t>
      </w:r>
      <w:r w:rsidRPr="00C2255D">
        <w:rPr>
          <w:rFonts w:ascii="Verdana" w:hAnsi="Verdana" w:cs="Arial"/>
          <w:sz w:val="20"/>
          <w:lang w:val="bg-BG"/>
        </w:rPr>
        <w:t xml:space="preserve"> г. Дружеството очаква да направи инвестиции</w:t>
      </w:r>
      <w:r>
        <w:rPr>
          <w:rFonts w:ascii="Verdana" w:hAnsi="Verdana" w:cs="Arial"/>
          <w:sz w:val="20"/>
          <w:lang w:val="bg-BG"/>
        </w:rPr>
        <w:t xml:space="preserve"> в размер на 382</w:t>
      </w:r>
      <w:r w:rsidRPr="00BF3E24">
        <w:rPr>
          <w:rFonts w:ascii="Verdana" w:hAnsi="Verdana" w:cs="Arial"/>
          <w:sz w:val="20"/>
          <w:lang w:val="bg-BG"/>
        </w:rPr>
        <w:t xml:space="preserve"> хил.</w:t>
      </w:r>
      <w:proofErr w:type="spellStart"/>
      <w:r>
        <w:rPr>
          <w:rFonts w:ascii="Verdana" w:hAnsi="Verdana" w:cs="Arial"/>
          <w:sz w:val="20"/>
          <w:lang w:val="bg-BG"/>
        </w:rPr>
        <w:t>лв</w:t>
      </w:r>
      <w:proofErr w:type="spellEnd"/>
      <w:r>
        <w:rPr>
          <w:rFonts w:ascii="Verdana" w:hAnsi="Verdana" w:cs="Arial"/>
          <w:sz w:val="20"/>
          <w:lang w:val="bg-BG"/>
        </w:rPr>
        <w:t>, както  следа:</w:t>
      </w:r>
    </w:p>
    <w:p w14:paraId="4F7F71C8" w14:textId="77777777" w:rsidR="00D56F61" w:rsidRDefault="00D56F61" w:rsidP="00D56F61">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 xml:space="preserve">подмяна на </w:t>
      </w:r>
      <w:proofErr w:type="spellStart"/>
      <w:r>
        <w:rPr>
          <w:rFonts w:ascii="Verdana" w:hAnsi="Verdana" w:cs="Arial"/>
          <w:sz w:val="20"/>
          <w:lang w:val="bg-BG"/>
        </w:rPr>
        <w:t>учатъци</w:t>
      </w:r>
      <w:proofErr w:type="spellEnd"/>
      <w:r>
        <w:rPr>
          <w:rFonts w:ascii="Verdana" w:hAnsi="Verdana" w:cs="Arial"/>
          <w:sz w:val="20"/>
          <w:lang w:val="bg-BG"/>
        </w:rPr>
        <w:t xml:space="preserve"> от </w:t>
      </w:r>
      <w:proofErr w:type="spellStart"/>
      <w:r>
        <w:rPr>
          <w:rFonts w:ascii="Verdana" w:hAnsi="Verdana" w:cs="Arial"/>
          <w:sz w:val="20"/>
          <w:lang w:val="bg-BG"/>
        </w:rPr>
        <w:t>топлопреносната</w:t>
      </w:r>
      <w:proofErr w:type="spellEnd"/>
      <w:r>
        <w:rPr>
          <w:rFonts w:ascii="Verdana" w:hAnsi="Verdana" w:cs="Arial"/>
          <w:sz w:val="20"/>
          <w:lang w:val="bg-BG"/>
        </w:rPr>
        <w:t xml:space="preserve"> мрежа – 110 хил. лв.</w:t>
      </w:r>
    </w:p>
    <w:p w14:paraId="4F7F71C9" w14:textId="77777777" w:rsidR="00D56F61" w:rsidRDefault="00D56F61" w:rsidP="00D56F61">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подмяна на абонатни станции</w:t>
      </w:r>
      <w:r>
        <w:rPr>
          <w:rFonts w:ascii="Verdana" w:hAnsi="Verdana" w:cs="Arial"/>
          <w:sz w:val="20"/>
          <w:lang w:val="bg-BG"/>
        </w:rPr>
        <w:t xml:space="preserve"> - 38 хил. лв.,</w:t>
      </w:r>
    </w:p>
    <w:p w14:paraId="4F7F71CA" w14:textId="77777777" w:rsidR="00D56F61" w:rsidRDefault="00D56F61" w:rsidP="00D56F61">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комуникационна техника ключови производствени съоръжения в командна зала – 4 хил.лв.</w:t>
      </w:r>
    </w:p>
    <w:p w14:paraId="67BDFF70" w14:textId="77777777" w:rsidR="00A61851" w:rsidRPr="00A61851" w:rsidRDefault="00A61851" w:rsidP="00A61851">
      <w:pPr>
        <w:pStyle w:val="ListParagraph"/>
        <w:numPr>
          <w:ilvl w:val="0"/>
          <w:numId w:val="25"/>
        </w:numPr>
        <w:rPr>
          <w:rFonts w:ascii="Verdana" w:hAnsi="Verdana" w:cs="Arial"/>
          <w:sz w:val="20"/>
        </w:rPr>
      </w:pPr>
      <w:r w:rsidRPr="00A61851">
        <w:rPr>
          <w:rFonts w:ascii="Verdana" w:hAnsi="Verdana" w:cs="Arial"/>
          <w:sz w:val="20"/>
        </w:rPr>
        <w:t xml:space="preserve">изнесени мощности 1 </w:t>
      </w:r>
      <w:proofErr w:type="spellStart"/>
      <w:r w:rsidRPr="00A61851">
        <w:rPr>
          <w:rFonts w:ascii="Verdana" w:hAnsi="Verdana" w:cs="Arial"/>
          <w:sz w:val="20"/>
        </w:rPr>
        <w:t>МВт</w:t>
      </w:r>
      <w:proofErr w:type="spellEnd"/>
      <w:r w:rsidRPr="00A61851">
        <w:rPr>
          <w:rFonts w:ascii="Verdana" w:hAnsi="Verdana" w:cs="Arial"/>
          <w:sz w:val="20"/>
        </w:rPr>
        <w:t xml:space="preserve">. „М. </w:t>
      </w:r>
      <w:proofErr w:type="spellStart"/>
      <w:r w:rsidRPr="00A61851">
        <w:rPr>
          <w:rFonts w:ascii="Verdana" w:hAnsi="Verdana" w:cs="Arial"/>
          <w:sz w:val="20"/>
        </w:rPr>
        <w:t>Палаузов</w:t>
      </w:r>
      <w:proofErr w:type="spellEnd"/>
      <w:r w:rsidRPr="00A61851">
        <w:rPr>
          <w:rFonts w:ascii="Verdana" w:hAnsi="Verdana" w:cs="Arial"/>
          <w:sz w:val="20"/>
        </w:rPr>
        <w:t>“ – 180 хил. лв.</w:t>
      </w:r>
    </w:p>
    <w:p w14:paraId="4F7F71CC" w14:textId="77777777" w:rsidR="00D56F61" w:rsidRDefault="00D56F61" w:rsidP="00D56F61">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proofErr w:type="spellStart"/>
      <w:r>
        <w:rPr>
          <w:rFonts w:ascii="Verdana" w:hAnsi="Verdana" w:cs="Arial"/>
          <w:sz w:val="20"/>
          <w:lang w:val="bg-BG"/>
        </w:rPr>
        <w:t>утилизатор</w:t>
      </w:r>
      <w:proofErr w:type="spellEnd"/>
      <w:r>
        <w:rPr>
          <w:rFonts w:ascii="Verdana" w:hAnsi="Verdana" w:cs="Arial"/>
          <w:sz w:val="20"/>
          <w:lang w:val="bg-BG"/>
        </w:rPr>
        <w:t xml:space="preserve"> </w:t>
      </w:r>
      <w:proofErr w:type="spellStart"/>
      <w:r>
        <w:rPr>
          <w:rFonts w:ascii="Verdana" w:hAnsi="Verdana" w:cs="Arial"/>
          <w:sz w:val="20"/>
          <w:lang w:val="bg-BG"/>
        </w:rPr>
        <w:t>водогрейни</w:t>
      </w:r>
      <w:proofErr w:type="spellEnd"/>
      <w:r>
        <w:rPr>
          <w:rFonts w:ascii="Verdana" w:hAnsi="Verdana" w:cs="Arial"/>
          <w:sz w:val="20"/>
          <w:lang w:val="bg-BG"/>
        </w:rPr>
        <w:t xml:space="preserve"> котли – 50 хил. лв.</w:t>
      </w:r>
    </w:p>
    <w:p w14:paraId="4F7F71CD" w14:textId="77777777" w:rsidR="00D56F61"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p>
    <w:p w14:paraId="4F7F71CE" w14:textId="77777777" w:rsidR="00D56F61" w:rsidRPr="007460BA" w:rsidRDefault="00D56F61" w:rsidP="00D56F61">
      <w:pPr>
        <w:rPr>
          <w:rFonts w:ascii="Verdana" w:hAnsi="Verdana"/>
          <w:b/>
          <w:sz w:val="20"/>
        </w:rPr>
      </w:pPr>
      <w:r w:rsidRPr="007460BA">
        <w:rPr>
          <w:rFonts w:ascii="Verdana" w:hAnsi="Verdana"/>
          <w:b/>
          <w:sz w:val="20"/>
        </w:rPr>
        <w:t>Промени в резултат на МСФО 9 – Класификации:</w:t>
      </w:r>
    </w:p>
    <w:p w14:paraId="4F7F71CF" w14:textId="77777777" w:rsidR="00D56F61" w:rsidRDefault="00D56F61" w:rsidP="00D56F61">
      <w:pPr>
        <w:rPr>
          <w:rFonts w:ascii="Verdana" w:hAnsi="Verdana"/>
          <w:sz w:val="20"/>
        </w:rPr>
      </w:pPr>
    </w:p>
    <w:p w14:paraId="4F7F71D0" w14:textId="77777777" w:rsidR="00D56F61" w:rsidRDefault="00D56F61" w:rsidP="00D56F61">
      <w:pPr>
        <w:rPr>
          <w:rFonts w:ascii="Verdana" w:hAnsi="Verdana"/>
          <w:sz w:val="20"/>
        </w:rPr>
      </w:pPr>
      <w:r>
        <w:rPr>
          <w:rFonts w:ascii="Verdana" w:hAnsi="Verdana"/>
          <w:sz w:val="20"/>
        </w:rPr>
        <w:t>Дружеството е възприело следния подход за класификация на активи при преминаване от категории на МСС 39 към категории МСФО 9:</w:t>
      </w:r>
    </w:p>
    <w:p w14:paraId="4F7F71D1" w14:textId="77777777" w:rsidR="00D56F61" w:rsidRDefault="00D56F61" w:rsidP="00D56F61">
      <w:pPr>
        <w:spacing w:line="260" w:lineRule="atLeast"/>
        <w:rPr>
          <w:rFonts w:ascii="Verdana" w:hAnsi="Verdana" w:cs="Arial"/>
          <w:sz w:val="20"/>
        </w:rPr>
      </w:pPr>
    </w:p>
    <w:p w14:paraId="4F7F71D2" w14:textId="77777777" w:rsidR="00D56F61" w:rsidRDefault="00D56F61" w:rsidP="00D56F61">
      <w:pPr>
        <w:rPr>
          <w:rFonts w:ascii="Verdana" w:hAnsi="Verdana"/>
          <w:sz w:val="20"/>
        </w:rPr>
      </w:pPr>
      <w:r>
        <w:rPr>
          <w:rFonts w:ascii="Verdana" w:hAnsi="Verdana"/>
          <w:sz w:val="20"/>
        </w:rPr>
        <w:t>Към 31.12.2019 г.</w:t>
      </w:r>
      <w:r w:rsidRPr="009208BF">
        <w:rPr>
          <w:rFonts w:ascii="Verdana" w:hAnsi="Verdana"/>
          <w:sz w:val="20"/>
        </w:rPr>
        <w:t xml:space="preserve">, </w:t>
      </w:r>
      <w:r>
        <w:rPr>
          <w:rFonts w:ascii="Verdana" w:hAnsi="Verdana"/>
          <w:sz w:val="20"/>
        </w:rPr>
        <w:t xml:space="preserve">при наличие на историческа информация за движение на вземанията за период от една година, Дружеството запазва и допълнително детайлизира обособените от предходния период групи вземания и прилага метод за определяне на </w:t>
      </w:r>
      <w:proofErr w:type="spellStart"/>
      <w:r>
        <w:rPr>
          <w:rFonts w:ascii="Verdana" w:hAnsi="Verdana"/>
          <w:sz w:val="20"/>
        </w:rPr>
        <w:t>обезценка</w:t>
      </w:r>
      <w:proofErr w:type="spellEnd"/>
      <w:r>
        <w:rPr>
          <w:rFonts w:ascii="Verdana" w:hAnsi="Verdana"/>
          <w:sz w:val="20"/>
        </w:rPr>
        <w:t xml:space="preserve"> на база наличната историческа информация за движението през годината. Разглежданите групи вземания са както следва:</w:t>
      </w:r>
    </w:p>
    <w:p w14:paraId="4F7F71D3" w14:textId="77777777" w:rsidR="00D56F61" w:rsidRDefault="00D56F61" w:rsidP="00D56F61">
      <w:pPr>
        <w:rPr>
          <w:rFonts w:ascii="Verdana" w:hAnsi="Verdana"/>
          <w:sz w:val="20"/>
        </w:rPr>
      </w:pPr>
    </w:p>
    <w:p w14:paraId="4F7F71D4" w14:textId="77777777" w:rsidR="00D56F61" w:rsidRPr="00914521" w:rsidRDefault="00D56F61" w:rsidP="00D56F61">
      <w:pPr>
        <w:pStyle w:val="ListParagraph"/>
        <w:numPr>
          <w:ilvl w:val="0"/>
          <w:numId w:val="32"/>
        </w:numPr>
        <w:spacing w:after="200" w:line="276" w:lineRule="auto"/>
        <w:rPr>
          <w:rFonts w:ascii="Verdana" w:hAnsi="Verdana"/>
          <w:sz w:val="20"/>
          <w:lang w:val="en-US"/>
        </w:rPr>
      </w:pPr>
      <w:r w:rsidRPr="00914521">
        <w:rPr>
          <w:rFonts w:ascii="Verdana" w:hAnsi="Verdana"/>
          <w:sz w:val="20"/>
        </w:rPr>
        <w:t>Вземания от продажба на топлинна енергия – главници;</w:t>
      </w:r>
    </w:p>
    <w:p w14:paraId="4F7F71D5" w14:textId="77777777" w:rsidR="00D56F61" w:rsidRPr="00914521" w:rsidRDefault="00D56F61" w:rsidP="00D56F61">
      <w:pPr>
        <w:pStyle w:val="ListParagraph"/>
        <w:numPr>
          <w:ilvl w:val="0"/>
          <w:numId w:val="32"/>
        </w:numPr>
        <w:spacing w:after="200" w:line="276" w:lineRule="auto"/>
        <w:rPr>
          <w:rFonts w:ascii="Verdana" w:hAnsi="Verdana"/>
          <w:sz w:val="20"/>
        </w:rPr>
      </w:pPr>
      <w:r w:rsidRPr="00914521">
        <w:rPr>
          <w:rFonts w:ascii="Verdana" w:hAnsi="Verdana"/>
          <w:sz w:val="20"/>
        </w:rPr>
        <w:t>Вземания продажба на топлинна енергия – неустойки;</w:t>
      </w:r>
    </w:p>
    <w:p w14:paraId="4F7F71D6" w14:textId="77777777" w:rsidR="00D56F61" w:rsidRPr="00914521" w:rsidRDefault="00D56F61" w:rsidP="00D56F61">
      <w:pPr>
        <w:pStyle w:val="ListParagraph"/>
        <w:numPr>
          <w:ilvl w:val="0"/>
          <w:numId w:val="32"/>
        </w:numPr>
        <w:spacing w:after="200" w:line="276" w:lineRule="auto"/>
        <w:rPr>
          <w:rFonts w:ascii="Verdana" w:hAnsi="Verdana"/>
          <w:sz w:val="20"/>
        </w:rPr>
      </w:pPr>
      <w:r w:rsidRPr="00914521">
        <w:rPr>
          <w:rFonts w:ascii="Verdana" w:hAnsi="Verdana"/>
          <w:sz w:val="20"/>
        </w:rPr>
        <w:t>Съдебни вземания от топлинна енергия – главници;</w:t>
      </w:r>
    </w:p>
    <w:p w14:paraId="4F7F71D7" w14:textId="77777777" w:rsidR="00D56F61" w:rsidRPr="00914521" w:rsidRDefault="00D56F61" w:rsidP="00D56F61">
      <w:pPr>
        <w:pStyle w:val="ListParagraph"/>
        <w:numPr>
          <w:ilvl w:val="0"/>
          <w:numId w:val="32"/>
        </w:numPr>
        <w:spacing w:after="200" w:line="276" w:lineRule="auto"/>
        <w:rPr>
          <w:rFonts w:ascii="Verdana" w:hAnsi="Verdana"/>
          <w:sz w:val="20"/>
        </w:rPr>
      </w:pPr>
      <w:r w:rsidRPr="00914521">
        <w:rPr>
          <w:rFonts w:ascii="Verdana" w:hAnsi="Verdana"/>
          <w:sz w:val="20"/>
        </w:rPr>
        <w:t>Съдебни вземания от топлинна енергия – неустойки;</w:t>
      </w:r>
    </w:p>
    <w:p w14:paraId="4F7F71D8" w14:textId="77777777" w:rsidR="00D56F61" w:rsidRPr="00914521" w:rsidRDefault="00D56F61" w:rsidP="00D56F61">
      <w:pPr>
        <w:pStyle w:val="ListParagraph"/>
        <w:numPr>
          <w:ilvl w:val="0"/>
          <w:numId w:val="32"/>
        </w:numPr>
        <w:spacing w:after="200" w:line="276" w:lineRule="auto"/>
        <w:rPr>
          <w:rFonts w:ascii="Verdana" w:hAnsi="Verdana"/>
          <w:sz w:val="20"/>
        </w:rPr>
      </w:pPr>
      <w:r w:rsidRPr="00914521">
        <w:rPr>
          <w:rFonts w:ascii="Verdana" w:hAnsi="Verdana"/>
          <w:sz w:val="20"/>
        </w:rPr>
        <w:t xml:space="preserve">Вземания по съдебни такси и </w:t>
      </w:r>
      <w:proofErr w:type="spellStart"/>
      <w:r w:rsidRPr="00914521">
        <w:rPr>
          <w:rFonts w:ascii="Verdana" w:hAnsi="Verdana"/>
          <w:sz w:val="20"/>
        </w:rPr>
        <w:t>юрисконсултски</w:t>
      </w:r>
      <w:proofErr w:type="spellEnd"/>
      <w:r w:rsidRPr="00914521">
        <w:rPr>
          <w:rFonts w:ascii="Verdana" w:hAnsi="Verdana"/>
          <w:sz w:val="20"/>
        </w:rPr>
        <w:t xml:space="preserve"> възнаграждения;</w:t>
      </w:r>
    </w:p>
    <w:p w14:paraId="4F7F71D9" w14:textId="77777777" w:rsidR="00D56F61" w:rsidRPr="00914521" w:rsidRDefault="00D56F61" w:rsidP="00D56F61">
      <w:pPr>
        <w:pStyle w:val="ListParagraph"/>
        <w:numPr>
          <w:ilvl w:val="0"/>
          <w:numId w:val="32"/>
        </w:numPr>
        <w:spacing w:after="200" w:line="276" w:lineRule="auto"/>
        <w:rPr>
          <w:rFonts w:ascii="Verdana" w:hAnsi="Verdana"/>
          <w:sz w:val="20"/>
        </w:rPr>
      </w:pPr>
      <w:r w:rsidRPr="00914521">
        <w:rPr>
          <w:rFonts w:ascii="Verdana" w:hAnsi="Verdana"/>
          <w:sz w:val="20"/>
        </w:rPr>
        <w:t>Вземания от електрическа енергия;</w:t>
      </w:r>
    </w:p>
    <w:p w14:paraId="4F7F71DA" w14:textId="77777777" w:rsidR="00D56F61" w:rsidRDefault="00D56F61" w:rsidP="00D56F61">
      <w:pPr>
        <w:pStyle w:val="ListParagraph"/>
        <w:numPr>
          <w:ilvl w:val="0"/>
          <w:numId w:val="32"/>
        </w:numPr>
        <w:spacing w:after="200" w:line="276" w:lineRule="auto"/>
        <w:rPr>
          <w:rFonts w:ascii="Verdana" w:hAnsi="Verdana"/>
          <w:sz w:val="20"/>
        </w:rPr>
      </w:pPr>
      <w:r w:rsidRPr="00914521">
        <w:rPr>
          <w:rFonts w:ascii="Verdana" w:hAnsi="Verdana"/>
          <w:sz w:val="20"/>
        </w:rPr>
        <w:t xml:space="preserve">Вземания от нерегулирана дейност. </w:t>
      </w:r>
    </w:p>
    <w:p w14:paraId="253E35F0" w14:textId="77777777" w:rsidR="00A61851" w:rsidRDefault="00A61851">
      <w:pPr>
        <w:spacing w:after="160" w:line="259" w:lineRule="auto"/>
        <w:jc w:val="left"/>
        <w:rPr>
          <w:rFonts w:ascii="Verdana" w:hAnsi="Verdana"/>
          <w:sz w:val="20"/>
        </w:rPr>
      </w:pPr>
      <w:r>
        <w:rPr>
          <w:rFonts w:ascii="Verdana" w:hAnsi="Verdana"/>
          <w:sz w:val="20"/>
        </w:rPr>
        <w:br w:type="page"/>
      </w:r>
    </w:p>
    <w:p w14:paraId="4F7F71DB" w14:textId="1D56C7DD" w:rsidR="00D56F61" w:rsidRPr="00BF41B7" w:rsidRDefault="00D56F61" w:rsidP="00D56F61">
      <w:pPr>
        <w:pStyle w:val="NoSpacing"/>
        <w:ind w:left="8496"/>
      </w:pPr>
      <w:r w:rsidRPr="004B791E">
        <w:rPr>
          <w:rFonts w:ascii="Verdana" w:hAnsi="Verdana"/>
          <w:sz w:val="20"/>
        </w:rPr>
        <w:lastRenderedPageBreak/>
        <w:t>Табл.7</w:t>
      </w:r>
    </w:p>
    <w:tbl>
      <w:tblPr>
        <w:tblStyle w:val="TableGrid"/>
        <w:tblW w:w="9747" w:type="dxa"/>
        <w:tblLayout w:type="fixed"/>
        <w:tblLook w:val="04A0" w:firstRow="1" w:lastRow="0" w:firstColumn="1" w:lastColumn="0" w:noHBand="0" w:noVBand="1"/>
      </w:tblPr>
      <w:tblGrid>
        <w:gridCol w:w="392"/>
        <w:gridCol w:w="3827"/>
        <w:gridCol w:w="1701"/>
        <w:gridCol w:w="1843"/>
        <w:gridCol w:w="1984"/>
      </w:tblGrid>
      <w:tr w:rsidR="00D56F61" w:rsidRPr="00446EBD" w14:paraId="4F7F71DF" w14:textId="77777777" w:rsidTr="009972FF">
        <w:tc>
          <w:tcPr>
            <w:tcW w:w="392" w:type="dxa"/>
            <w:vMerge w:val="restart"/>
            <w:vAlign w:val="center"/>
          </w:tcPr>
          <w:p w14:paraId="4F7F71DC" w14:textId="77777777" w:rsidR="00D56F61" w:rsidRPr="00446EBD" w:rsidRDefault="00D56F61" w:rsidP="009972FF">
            <w:pPr>
              <w:jc w:val="center"/>
              <w:rPr>
                <w:rFonts w:ascii="Verdana" w:hAnsi="Verdana"/>
                <w:b/>
              </w:rPr>
            </w:pPr>
            <w:r w:rsidRPr="00446EBD">
              <w:rPr>
                <w:rFonts w:ascii="Verdana" w:hAnsi="Verdana"/>
                <w:b/>
              </w:rPr>
              <w:t>№</w:t>
            </w:r>
          </w:p>
        </w:tc>
        <w:tc>
          <w:tcPr>
            <w:tcW w:w="3827" w:type="dxa"/>
            <w:vMerge w:val="restart"/>
            <w:vAlign w:val="center"/>
          </w:tcPr>
          <w:p w14:paraId="4F7F71DD" w14:textId="77777777" w:rsidR="00D56F61" w:rsidRPr="00446EBD" w:rsidRDefault="00D56F61" w:rsidP="009972FF">
            <w:pPr>
              <w:jc w:val="center"/>
              <w:rPr>
                <w:rFonts w:ascii="Verdana" w:hAnsi="Verdana"/>
                <w:b/>
              </w:rPr>
            </w:pPr>
            <w:r w:rsidRPr="00446EBD">
              <w:rPr>
                <w:rFonts w:ascii="Verdana" w:hAnsi="Verdana"/>
                <w:b/>
              </w:rPr>
              <w:t>Видове вземания</w:t>
            </w:r>
          </w:p>
        </w:tc>
        <w:tc>
          <w:tcPr>
            <w:tcW w:w="5528" w:type="dxa"/>
            <w:gridSpan w:val="3"/>
          </w:tcPr>
          <w:p w14:paraId="4F7F71DE" w14:textId="77777777" w:rsidR="00D56F61" w:rsidRPr="00446EBD" w:rsidRDefault="00D56F61" w:rsidP="009972FF">
            <w:pPr>
              <w:jc w:val="center"/>
              <w:rPr>
                <w:rFonts w:ascii="Verdana" w:hAnsi="Verdana"/>
                <w:b/>
              </w:rPr>
            </w:pPr>
            <w:r w:rsidRPr="00446EBD">
              <w:rPr>
                <w:rFonts w:ascii="Verdana" w:hAnsi="Verdana"/>
                <w:b/>
              </w:rPr>
              <w:t xml:space="preserve">Възрастова група - % </w:t>
            </w:r>
            <w:proofErr w:type="spellStart"/>
            <w:r w:rsidRPr="00446EBD">
              <w:rPr>
                <w:rFonts w:ascii="Verdana" w:hAnsi="Verdana"/>
                <w:b/>
              </w:rPr>
              <w:t>обезценка</w:t>
            </w:r>
            <w:proofErr w:type="spellEnd"/>
          </w:p>
        </w:tc>
      </w:tr>
      <w:tr w:rsidR="00D56F61" w:rsidRPr="00446EBD" w14:paraId="4F7F71E5" w14:textId="77777777" w:rsidTr="009972FF">
        <w:tc>
          <w:tcPr>
            <w:tcW w:w="392" w:type="dxa"/>
            <w:vMerge/>
          </w:tcPr>
          <w:p w14:paraId="4F7F71E0" w14:textId="77777777" w:rsidR="00D56F61" w:rsidRPr="00446EBD" w:rsidRDefault="00D56F61" w:rsidP="009972FF">
            <w:pPr>
              <w:rPr>
                <w:rFonts w:ascii="Verdana" w:hAnsi="Verdana"/>
              </w:rPr>
            </w:pPr>
          </w:p>
        </w:tc>
        <w:tc>
          <w:tcPr>
            <w:tcW w:w="3827" w:type="dxa"/>
            <w:vMerge/>
          </w:tcPr>
          <w:p w14:paraId="4F7F71E1" w14:textId="77777777" w:rsidR="00D56F61" w:rsidRPr="00446EBD" w:rsidRDefault="00D56F61" w:rsidP="009972FF">
            <w:pPr>
              <w:rPr>
                <w:rFonts w:ascii="Verdana" w:hAnsi="Verdana"/>
              </w:rPr>
            </w:pPr>
          </w:p>
        </w:tc>
        <w:tc>
          <w:tcPr>
            <w:tcW w:w="1701" w:type="dxa"/>
            <w:vAlign w:val="center"/>
          </w:tcPr>
          <w:p w14:paraId="4F7F71E2" w14:textId="77777777" w:rsidR="00D56F61" w:rsidRPr="00446EBD" w:rsidRDefault="00D56F61" w:rsidP="009972FF">
            <w:pPr>
              <w:jc w:val="center"/>
              <w:rPr>
                <w:rFonts w:ascii="Verdana" w:hAnsi="Verdana"/>
                <w:b/>
              </w:rPr>
            </w:pPr>
            <w:r w:rsidRPr="00446EBD">
              <w:rPr>
                <w:rFonts w:ascii="Verdana" w:hAnsi="Verdana"/>
                <w:b/>
              </w:rPr>
              <w:t>Текущ отоплителен сезон</w:t>
            </w:r>
          </w:p>
        </w:tc>
        <w:tc>
          <w:tcPr>
            <w:tcW w:w="1843" w:type="dxa"/>
            <w:vAlign w:val="center"/>
          </w:tcPr>
          <w:p w14:paraId="4F7F71E3" w14:textId="77777777" w:rsidR="00D56F61" w:rsidRPr="00446EBD" w:rsidRDefault="00D56F61" w:rsidP="009972FF">
            <w:pPr>
              <w:jc w:val="center"/>
              <w:rPr>
                <w:rFonts w:ascii="Verdana" w:hAnsi="Verdana"/>
                <w:b/>
              </w:rPr>
            </w:pPr>
            <w:r w:rsidRPr="00446EBD">
              <w:rPr>
                <w:rFonts w:ascii="Verdana" w:hAnsi="Verdana"/>
                <w:b/>
              </w:rPr>
              <w:t>До една година</w:t>
            </w:r>
          </w:p>
        </w:tc>
        <w:tc>
          <w:tcPr>
            <w:tcW w:w="1984" w:type="dxa"/>
            <w:vAlign w:val="center"/>
          </w:tcPr>
          <w:p w14:paraId="4F7F71E4" w14:textId="77777777" w:rsidR="00D56F61" w:rsidRPr="00446EBD" w:rsidRDefault="00D56F61" w:rsidP="009972FF">
            <w:pPr>
              <w:jc w:val="center"/>
              <w:rPr>
                <w:rFonts w:ascii="Verdana" w:hAnsi="Verdana"/>
                <w:b/>
              </w:rPr>
            </w:pPr>
            <w:r w:rsidRPr="00446EBD">
              <w:rPr>
                <w:rFonts w:ascii="Verdana" w:hAnsi="Verdana"/>
                <w:b/>
              </w:rPr>
              <w:t>Над една година</w:t>
            </w:r>
          </w:p>
        </w:tc>
      </w:tr>
      <w:tr w:rsidR="00D56F61" w:rsidRPr="00446EBD" w14:paraId="4F7F71EB" w14:textId="77777777" w:rsidTr="009972FF">
        <w:tc>
          <w:tcPr>
            <w:tcW w:w="392" w:type="dxa"/>
            <w:vMerge/>
          </w:tcPr>
          <w:p w14:paraId="4F7F71E6" w14:textId="77777777" w:rsidR="00D56F61" w:rsidRPr="00446EBD" w:rsidRDefault="00D56F61" w:rsidP="009972FF">
            <w:pPr>
              <w:rPr>
                <w:rFonts w:ascii="Verdana" w:hAnsi="Verdana"/>
              </w:rPr>
            </w:pPr>
          </w:p>
        </w:tc>
        <w:tc>
          <w:tcPr>
            <w:tcW w:w="3827" w:type="dxa"/>
            <w:vMerge/>
          </w:tcPr>
          <w:p w14:paraId="4F7F71E7" w14:textId="77777777" w:rsidR="00D56F61" w:rsidRPr="00446EBD" w:rsidRDefault="00D56F61" w:rsidP="009972FF">
            <w:pPr>
              <w:rPr>
                <w:rFonts w:ascii="Verdana" w:hAnsi="Verdana"/>
              </w:rPr>
            </w:pPr>
          </w:p>
        </w:tc>
        <w:tc>
          <w:tcPr>
            <w:tcW w:w="1701" w:type="dxa"/>
          </w:tcPr>
          <w:p w14:paraId="4F7F71E8" w14:textId="77777777" w:rsidR="00D56F61" w:rsidRPr="00446EBD" w:rsidRDefault="00D56F61" w:rsidP="009972FF">
            <w:pPr>
              <w:jc w:val="center"/>
              <w:rPr>
                <w:rFonts w:ascii="Verdana" w:hAnsi="Verdana"/>
              </w:rPr>
            </w:pPr>
            <w:r w:rsidRPr="00446EBD">
              <w:rPr>
                <w:rFonts w:ascii="Verdana" w:hAnsi="Verdana"/>
              </w:rPr>
              <w:t>31.10 – 31.12.2019 г.</w:t>
            </w:r>
          </w:p>
        </w:tc>
        <w:tc>
          <w:tcPr>
            <w:tcW w:w="1843" w:type="dxa"/>
          </w:tcPr>
          <w:p w14:paraId="4F7F71E9" w14:textId="77777777" w:rsidR="00D56F61" w:rsidRPr="00446EBD" w:rsidRDefault="00D56F61" w:rsidP="009972FF">
            <w:pPr>
              <w:jc w:val="center"/>
              <w:rPr>
                <w:rFonts w:ascii="Verdana" w:hAnsi="Verdana"/>
              </w:rPr>
            </w:pPr>
            <w:r w:rsidRPr="00446EBD">
              <w:rPr>
                <w:rFonts w:ascii="Verdana" w:hAnsi="Verdana"/>
              </w:rPr>
              <w:t>01.01 – 30.10.2019 г.</w:t>
            </w:r>
          </w:p>
        </w:tc>
        <w:tc>
          <w:tcPr>
            <w:tcW w:w="1984" w:type="dxa"/>
            <w:vAlign w:val="center"/>
          </w:tcPr>
          <w:p w14:paraId="4F7F71EA" w14:textId="77777777" w:rsidR="00D56F61" w:rsidRPr="00446EBD" w:rsidRDefault="00D56F61" w:rsidP="009972FF">
            <w:pPr>
              <w:jc w:val="center"/>
              <w:rPr>
                <w:rFonts w:ascii="Verdana" w:hAnsi="Verdana"/>
              </w:rPr>
            </w:pPr>
            <w:r w:rsidRPr="00446EBD">
              <w:rPr>
                <w:rFonts w:ascii="Verdana" w:hAnsi="Verdana"/>
              </w:rPr>
              <w:t>До 31.12.2018 г.</w:t>
            </w:r>
          </w:p>
        </w:tc>
      </w:tr>
      <w:tr w:rsidR="00D56F61" w:rsidRPr="00446EBD" w14:paraId="4F7F71F1" w14:textId="77777777" w:rsidTr="009972FF">
        <w:tc>
          <w:tcPr>
            <w:tcW w:w="392" w:type="dxa"/>
            <w:vAlign w:val="center"/>
          </w:tcPr>
          <w:p w14:paraId="4F7F71EC" w14:textId="77777777" w:rsidR="00D56F61" w:rsidRPr="00446EBD" w:rsidRDefault="00D56F61" w:rsidP="009972FF">
            <w:pPr>
              <w:rPr>
                <w:rFonts w:ascii="Verdana" w:hAnsi="Verdana"/>
              </w:rPr>
            </w:pPr>
            <w:r w:rsidRPr="00446EBD">
              <w:rPr>
                <w:rFonts w:ascii="Verdana" w:hAnsi="Verdana"/>
              </w:rPr>
              <w:t>1</w:t>
            </w:r>
          </w:p>
        </w:tc>
        <w:tc>
          <w:tcPr>
            <w:tcW w:w="3827" w:type="dxa"/>
            <w:vAlign w:val="center"/>
          </w:tcPr>
          <w:p w14:paraId="4F7F71ED" w14:textId="77777777" w:rsidR="00D56F61" w:rsidRPr="00446EBD" w:rsidRDefault="00D56F61" w:rsidP="009972FF">
            <w:pPr>
              <w:rPr>
                <w:rFonts w:ascii="Verdana" w:hAnsi="Verdana"/>
              </w:rPr>
            </w:pPr>
            <w:r w:rsidRPr="00446EBD">
              <w:rPr>
                <w:rFonts w:ascii="Verdana" w:hAnsi="Verdana"/>
              </w:rPr>
              <w:t>Вземания от продажба на топлинна енергия – главници</w:t>
            </w:r>
          </w:p>
        </w:tc>
        <w:tc>
          <w:tcPr>
            <w:tcW w:w="1701" w:type="dxa"/>
            <w:vAlign w:val="center"/>
          </w:tcPr>
          <w:p w14:paraId="4F7F71EE" w14:textId="77777777" w:rsidR="00D56F61" w:rsidRPr="00446EBD" w:rsidRDefault="00D56F61" w:rsidP="009972FF">
            <w:pPr>
              <w:jc w:val="center"/>
              <w:rPr>
                <w:rFonts w:ascii="Verdana" w:hAnsi="Verdana"/>
              </w:rPr>
            </w:pPr>
            <w:r w:rsidRPr="00446EBD">
              <w:rPr>
                <w:rFonts w:ascii="Verdana" w:hAnsi="Verdana"/>
              </w:rPr>
              <w:t>1,23</w:t>
            </w:r>
          </w:p>
        </w:tc>
        <w:tc>
          <w:tcPr>
            <w:tcW w:w="1843" w:type="dxa"/>
            <w:vAlign w:val="center"/>
          </w:tcPr>
          <w:p w14:paraId="4F7F71EF" w14:textId="77777777" w:rsidR="00D56F61" w:rsidRPr="00446EBD" w:rsidRDefault="00D56F61" w:rsidP="009972FF">
            <w:pPr>
              <w:jc w:val="center"/>
              <w:rPr>
                <w:rFonts w:ascii="Verdana" w:hAnsi="Verdana"/>
              </w:rPr>
            </w:pPr>
            <w:r w:rsidRPr="00446EBD">
              <w:rPr>
                <w:rFonts w:ascii="Verdana" w:hAnsi="Verdana"/>
              </w:rPr>
              <w:t>0,00</w:t>
            </w:r>
          </w:p>
        </w:tc>
        <w:tc>
          <w:tcPr>
            <w:tcW w:w="1984" w:type="dxa"/>
            <w:vAlign w:val="center"/>
          </w:tcPr>
          <w:p w14:paraId="4F7F71F0" w14:textId="77777777" w:rsidR="00D56F61" w:rsidRPr="00446EBD" w:rsidRDefault="00D56F61" w:rsidP="009972FF">
            <w:pPr>
              <w:jc w:val="center"/>
              <w:rPr>
                <w:rFonts w:ascii="Verdana" w:hAnsi="Verdana"/>
              </w:rPr>
            </w:pPr>
            <w:r w:rsidRPr="00446EBD">
              <w:rPr>
                <w:rFonts w:ascii="Verdana" w:hAnsi="Verdana"/>
              </w:rPr>
              <w:t>0,00</w:t>
            </w:r>
          </w:p>
        </w:tc>
      </w:tr>
      <w:tr w:rsidR="00D56F61" w:rsidRPr="00446EBD" w14:paraId="4F7F71F7" w14:textId="77777777" w:rsidTr="009972FF">
        <w:tc>
          <w:tcPr>
            <w:tcW w:w="392" w:type="dxa"/>
            <w:vAlign w:val="center"/>
          </w:tcPr>
          <w:p w14:paraId="4F7F71F2" w14:textId="77777777" w:rsidR="00D56F61" w:rsidRPr="00446EBD" w:rsidRDefault="00D56F61" w:rsidP="009972FF">
            <w:pPr>
              <w:rPr>
                <w:rFonts w:ascii="Verdana" w:hAnsi="Verdana"/>
              </w:rPr>
            </w:pPr>
            <w:r w:rsidRPr="00446EBD">
              <w:rPr>
                <w:rFonts w:ascii="Verdana" w:hAnsi="Verdana"/>
              </w:rPr>
              <w:t>2</w:t>
            </w:r>
          </w:p>
        </w:tc>
        <w:tc>
          <w:tcPr>
            <w:tcW w:w="3827" w:type="dxa"/>
            <w:vAlign w:val="center"/>
          </w:tcPr>
          <w:p w14:paraId="4F7F71F3" w14:textId="77777777" w:rsidR="00D56F61" w:rsidRPr="00446EBD" w:rsidRDefault="00D56F61" w:rsidP="009972FF">
            <w:pPr>
              <w:rPr>
                <w:rFonts w:ascii="Verdana" w:hAnsi="Verdana"/>
              </w:rPr>
            </w:pPr>
            <w:r w:rsidRPr="00446EBD">
              <w:rPr>
                <w:rFonts w:ascii="Verdana" w:hAnsi="Verdana"/>
              </w:rPr>
              <w:t>Вземания от продажба на топлинна енергия – неустойки</w:t>
            </w:r>
          </w:p>
        </w:tc>
        <w:tc>
          <w:tcPr>
            <w:tcW w:w="1701" w:type="dxa"/>
            <w:vAlign w:val="center"/>
          </w:tcPr>
          <w:p w14:paraId="4F7F71F4" w14:textId="77777777" w:rsidR="00D56F61" w:rsidRPr="00446EBD" w:rsidRDefault="00D56F61" w:rsidP="009972FF">
            <w:pPr>
              <w:jc w:val="center"/>
              <w:rPr>
                <w:rFonts w:ascii="Verdana" w:hAnsi="Verdana"/>
              </w:rPr>
            </w:pPr>
            <w:r w:rsidRPr="00446EBD">
              <w:rPr>
                <w:rFonts w:ascii="Verdana" w:hAnsi="Verdana"/>
              </w:rPr>
              <w:t>99,87</w:t>
            </w:r>
          </w:p>
        </w:tc>
        <w:tc>
          <w:tcPr>
            <w:tcW w:w="1843" w:type="dxa"/>
            <w:vAlign w:val="center"/>
          </w:tcPr>
          <w:p w14:paraId="4F7F71F5" w14:textId="77777777" w:rsidR="00D56F61" w:rsidRPr="00446EBD" w:rsidRDefault="00D56F61" w:rsidP="009972FF">
            <w:pPr>
              <w:jc w:val="center"/>
              <w:rPr>
                <w:rFonts w:ascii="Verdana" w:hAnsi="Verdana"/>
              </w:rPr>
            </w:pPr>
            <w:r w:rsidRPr="00446EBD">
              <w:rPr>
                <w:rFonts w:ascii="Verdana" w:hAnsi="Verdana"/>
              </w:rPr>
              <w:t>100</w:t>
            </w:r>
          </w:p>
        </w:tc>
        <w:tc>
          <w:tcPr>
            <w:tcW w:w="1984" w:type="dxa"/>
            <w:vAlign w:val="center"/>
          </w:tcPr>
          <w:p w14:paraId="4F7F71F6" w14:textId="77777777" w:rsidR="00D56F61" w:rsidRPr="00446EBD" w:rsidRDefault="00D56F61" w:rsidP="009972FF">
            <w:pPr>
              <w:jc w:val="center"/>
              <w:rPr>
                <w:rFonts w:ascii="Verdana" w:hAnsi="Verdana"/>
              </w:rPr>
            </w:pPr>
            <w:r w:rsidRPr="00446EBD">
              <w:rPr>
                <w:rFonts w:ascii="Verdana" w:hAnsi="Verdana"/>
              </w:rPr>
              <w:t>99,55</w:t>
            </w:r>
          </w:p>
        </w:tc>
      </w:tr>
      <w:tr w:rsidR="00D56F61" w:rsidRPr="00446EBD" w14:paraId="4F7F71FD" w14:textId="77777777" w:rsidTr="009972FF">
        <w:tc>
          <w:tcPr>
            <w:tcW w:w="392" w:type="dxa"/>
            <w:vAlign w:val="center"/>
          </w:tcPr>
          <w:p w14:paraId="4F7F71F8" w14:textId="77777777" w:rsidR="00D56F61" w:rsidRPr="00446EBD" w:rsidRDefault="00D56F61" w:rsidP="009972FF">
            <w:pPr>
              <w:rPr>
                <w:rFonts w:ascii="Verdana" w:hAnsi="Verdana"/>
              </w:rPr>
            </w:pPr>
            <w:r w:rsidRPr="00446EBD">
              <w:rPr>
                <w:rFonts w:ascii="Verdana" w:hAnsi="Verdana"/>
              </w:rPr>
              <w:t>3</w:t>
            </w:r>
          </w:p>
        </w:tc>
        <w:tc>
          <w:tcPr>
            <w:tcW w:w="3827" w:type="dxa"/>
            <w:vAlign w:val="center"/>
          </w:tcPr>
          <w:p w14:paraId="4F7F71F9" w14:textId="77777777" w:rsidR="00D56F61" w:rsidRPr="00446EBD" w:rsidRDefault="00D56F61" w:rsidP="009972FF">
            <w:pPr>
              <w:rPr>
                <w:rFonts w:ascii="Verdana" w:hAnsi="Verdana"/>
              </w:rPr>
            </w:pPr>
            <w:r w:rsidRPr="00446EBD">
              <w:rPr>
                <w:rFonts w:ascii="Verdana" w:hAnsi="Verdana"/>
              </w:rPr>
              <w:t>Съдебни вземания от топлинна енергия – главници</w:t>
            </w:r>
          </w:p>
        </w:tc>
        <w:tc>
          <w:tcPr>
            <w:tcW w:w="1701" w:type="dxa"/>
            <w:vAlign w:val="center"/>
          </w:tcPr>
          <w:p w14:paraId="4F7F71FA" w14:textId="77777777" w:rsidR="00D56F61" w:rsidRPr="00446EBD" w:rsidRDefault="00D56F61" w:rsidP="009972FF">
            <w:pPr>
              <w:jc w:val="center"/>
              <w:rPr>
                <w:rFonts w:ascii="Verdana" w:hAnsi="Verdana"/>
              </w:rPr>
            </w:pPr>
            <w:r w:rsidRPr="00446EBD">
              <w:rPr>
                <w:rFonts w:ascii="Verdana" w:hAnsi="Verdana"/>
              </w:rPr>
              <w:t>-</w:t>
            </w:r>
          </w:p>
        </w:tc>
        <w:tc>
          <w:tcPr>
            <w:tcW w:w="1843" w:type="dxa"/>
            <w:vAlign w:val="center"/>
          </w:tcPr>
          <w:p w14:paraId="4F7F71FB" w14:textId="77777777" w:rsidR="00D56F61" w:rsidRPr="00446EBD" w:rsidRDefault="00D56F61" w:rsidP="009972FF">
            <w:pPr>
              <w:jc w:val="center"/>
              <w:rPr>
                <w:rFonts w:ascii="Verdana" w:hAnsi="Verdana"/>
              </w:rPr>
            </w:pPr>
            <w:r w:rsidRPr="00446EBD">
              <w:rPr>
                <w:rFonts w:ascii="Verdana" w:hAnsi="Verdana"/>
              </w:rPr>
              <w:t>56,16</w:t>
            </w:r>
          </w:p>
        </w:tc>
        <w:tc>
          <w:tcPr>
            <w:tcW w:w="1984" w:type="dxa"/>
            <w:vAlign w:val="center"/>
          </w:tcPr>
          <w:p w14:paraId="4F7F71FC" w14:textId="77777777" w:rsidR="00D56F61" w:rsidRPr="00446EBD" w:rsidRDefault="00D56F61" w:rsidP="009972FF">
            <w:pPr>
              <w:jc w:val="center"/>
              <w:rPr>
                <w:rFonts w:ascii="Verdana" w:hAnsi="Verdana"/>
              </w:rPr>
            </w:pPr>
            <w:r w:rsidRPr="00446EBD">
              <w:rPr>
                <w:rFonts w:ascii="Verdana" w:hAnsi="Verdana"/>
              </w:rPr>
              <w:t>79,06</w:t>
            </w:r>
          </w:p>
        </w:tc>
      </w:tr>
      <w:tr w:rsidR="00D56F61" w:rsidRPr="00446EBD" w14:paraId="4F7F7203" w14:textId="77777777" w:rsidTr="009972FF">
        <w:tc>
          <w:tcPr>
            <w:tcW w:w="392" w:type="dxa"/>
            <w:vAlign w:val="center"/>
          </w:tcPr>
          <w:p w14:paraId="4F7F71FE" w14:textId="77777777" w:rsidR="00D56F61" w:rsidRPr="00446EBD" w:rsidRDefault="00D56F61" w:rsidP="009972FF">
            <w:pPr>
              <w:rPr>
                <w:rFonts w:ascii="Verdana" w:hAnsi="Verdana"/>
              </w:rPr>
            </w:pPr>
            <w:r w:rsidRPr="00446EBD">
              <w:rPr>
                <w:rFonts w:ascii="Verdana" w:hAnsi="Verdana"/>
              </w:rPr>
              <w:t>4</w:t>
            </w:r>
          </w:p>
        </w:tc>
        <w:tc>
          <w:tcPr>
            <w:tcW w:w="3827" w:type="dxa"/>
            <w:vAlign w:val="center"/>
          </w:tcPr>
          <w:p w14:paraId="4F7F71FF" w14:textId="77777777" w:rsidR="00D56F61" w:rsidRPr="00446EBD" w:rsidRDefault="00D56F61" w:rsidP="009972FF">
            <w:pPr>
              <w:rPr>
                <w:rFonts w:ascii="Verdana" w:hAnsi="Verdana"/>
              </w:rPr>
            </w:pPr>
            <w:r w:rsidRPr="00446EBD">
              <w:rPr>
                <w:rFonts w:ascii="Verdana" w:hAnsi="Verdana"/>
              </w:rPr>
              <w:t>Съдебни вземания от топлинна енергия – неустойки</w:t>
            </w:r>
          </w:p>
        </w:tc>
        <w:tc>
          <w:tcPr>
            <w:tcW w:w="1701" w:type="dxa"/>
            <w:vAlign w:val="center"/>
          </w:tcPr>
          <w:p w14:paraId="4F7F7200" w14:textId="77777777" w:rsidR="00D56F61" w:rsidRPr="00446EBD" w:rsidRDefault="00D56F61" w:rsidP="009972FF">
            <w:pPr>
              <w:jc w:val="center"/>
              <w:rPr>
                <w:rFonts w:ascii="Verdana" w:hAnsi="Verdana"/>
              </w:rPr>
            </w:pPr>
            <w:r w:rsidRPr="00446EBD">
              <w:rPr>
                <w:rFonts w:ascii="Verdana" w:hAnsi="Verdana"/>
              </w:rPr>
              <w:t>0,98</w:t>
            </w:r>
          </w:p>
        </w:tc>
        <w:tc>
          <w:tcPr>
            <w:tcW w:w="1843" w:type="dxa"/>
            <w:vAlign w:val="center"/>
          </w:tcPr>
          <w:p w14:paraId="4F7F7201" w14:textId="77777777" w:rsidR="00D56F61" w:rsidRPr="00446EBD" w:rsidRDefault="00D56F61" w:rsidP="009972FF">
            <w:pPr>
              <w:jc w:val="center"/>
              <w:rPr>
                <w:rFonts w:ascii="Verdana" w:hAnsi="Verdana"/>
              </w:rPr>
            </w:pPr>
            <w:r w:rsidRPr="00446EBD">
              <w:rPr>
                <w:rFonts w:ascii="Verdana" w:hAnsi="Verdana"/>
              </w:rPr>
              <w:t>70,63</w:t>
            </w:r>
          </w:p>
        </w:tc>
        <w:tc>
          <w:tcPr>
            <w:tcW w:w="1984" w:type="dxa"/>
            <w:vAlign w:val="center"/>
          </w:tcPr>
          <w:p w14:paraId="4F7F7202" w14:textId="77777777" w:rsidR="00D56F61" w:rsidRPr="00446EBD" w:rsidRDefault="00D56F61" w:rsidP="009972FF">
            <w:pPr>
              <w:jc w:val="center"/>
              <w:rPr>
                <w:rFonts w:ascii="Verdana" w:hAnsi="Verdana"/>
              </w:rPr>
            </w:pPr>
            <w:r w:rsidRPr="00446EBD">
              <w:rPr>
                <w:rFonts w:ascii="Verdana" w:hAnsi="Verdana"/>
              </w:rPr>
              <w:t>93,92</w:t>
            </w:r>
          </w:p>
        </w:tc>
      </w:tr>
      <w:tr w:rsidR="00D56F61" w:rsidRPr="00446EBD" w14:paraId="4F7F7209" w14:textId="77777777" w:rsidTr="009972FF">
        <w:tc>
          <w:tcPr>
            <w:tcW w:w="392" w:type="dxa"/>
            <w:vAlign w:val="center"/>
          </w:tcPr>
          <w:p w14:paraId="4F7F7204" w14:textId="77777777" w:rsidR="00D56F61" w:rsidRPr="00446EBD" w:rsidRDefault="00D56F61" w:rsidP="009972FF">
            <w:pPr>
              <w:rPr>
                <w:rFonts w:ascii="Verdana" w:hAnsi="Verdana"/>
              </w:rPr>
            </w:pPr>
            <w:r w:rsidRPr="00446EBD">
              <w:rPr>
                <w:rFonts w:ascii="Verdana" w:hAnsi="Verdana"/>
              </w:rPr>
              <w:t>5</w:t>
            </w:r>
          </w:p>
        </w:tc>
        <w:tc>
          <w:tcPr>
            <w:tcW w:w="3827" w:type="dxa"/>
            <w:vAlign w:val="center"/>
          </w:tcPr>
          <w:p w14:paraId="4F7F7205" w14:textId="77777777" w:rsidR="00D56F61" w:rsidRPr="00446EBD" w:rsidRDefault="00D56F61" w:rsidP="009972FF">
            <w:pPr>
              <w:rPr>
                <w:rFonts w:ascii="Verdana" w:hAnsi="Verdana"/>
              </w:rPr>
            </w:pPr>
            <w:r w:rsidRPr="00446EBD">
              <w:rPr>
                <w:rFonts w:ascii="Verdana" w:hAnsi="Verdana"/>
              </w:rPr>
              <w:t xml:space="preserve">Вземания по съдебни такси и </w:t>
            </w:r>
            <w:proofErr w:type="spellStart"/>
            <w:r w:rsidRPr="00446EBD">
              <w:rPr>
                <w:rFonts w:ascii="Verdana" w:hAnsi="Verdana"/>
              </w:rPr>
              <w:t>юрисконсултски</w:t>
            </w:r>
            <w:proofErr w:type="spellEnd"/>
            <w:r w:rsidRPr="00446EBD">
              <w:rPr>
                <w:rFonts w:ascii="Verdana" w:hAnsi="Verdana"/>
              </w:rPr>
              <w:t xml:space="preserve"> възнаграждения</w:t>
            </w:r>
          </w:p>
        </w:tc>
        <w:tc>
          <w:tcPr>
            <w:tcW w:w="1701" w:type="dxa"/>
            <w:vAlign w:val="center"/>
          </w:tcPr>
          <w:p w14:paraId="4F7F7206" w14:textId="77777777" w:rsidR="00D56F61" w:rsidRPr="00446EBD" w:rsidRDefault="00D56F61" w:rsidP="009972FF">
            <w:pPr>
              <w:jc w:val="center"/>
              <w:rPr>
                <w:rFonts w:ascii="Verdana" w:hAnsi="Verdana"/>
              </w:rPr>
            </w:pPr>
            <w:r w:rsidRPr="00446EBD">
              <w:rPr>
                <w:rFonts w:ascii="Verdana" w:hAnsi="Verdana"/>
              </w:rPr>
              <w:t>60,82</w:t>
            </w:r>
          </w:p>
        </w:tc>
        <w:tc>
          <w:tcPr>
            <w:tcW w:w="1843" w:type="dxa"/>
            <w:vAlign w:val="center"/>
          </w:tcPr>
          <w:p w14:paraId="4F7F7207" w14:textId="77777777" w:rsidR="00D56F61" w:rsidRPr="00446EBD" w:rsidRDefault="00D56F61" w:rsidP="009972FF">
            <w:pPr>
              <w:jc w:val="center"/>
              <w:rPr>
                <w:rFonts w:ascii="Verdana" w:hAnsi="Verdana"/>
              </w:rPr>
            </w:pPr>
            <w:r w:rsidRPr="00446EBD">
              <w:rPr>
                <w:rFonts w:ascii="Verdana" w:hAnsi="Verdana"/>
              </w:rPr>
              <w:t>74,85</w:t>
            </w:r>
          </w:p>
        </w:tc>
        <w:tc>
          <w:tcPr>
            <w:tcW w:w="1984" w:type="dxa"/>
            <w:vAlign w:val="center"/>
          </w:tcPr>
          <w:p w14:paraId="4F7F7208" w14:textId="77777777" w:rsidR="00D56F61" w:rsidRPr="00446EBD" w:rsidRDefault="00D56F61" w:rsidP="009972FF">
            <w:pPr>
              <w:jc w:val="center"/>
              <w:rPr>
                <w:rFonts w:ascii="Verdana" w:hAnsi="Verdana"/>
              </w:rPr>
            </w:pPr>
            <w:r w:rsidRPr="00446EBD">
              <w:rPr>
                <w:rFonts w:ascii="Verdana" w:hAnsi="Verdana"/>
              </w:rPr>
              <w:t>73,68</w:t>
            </w:r>
          </w:p>
        </w:tc>
      </w:tr>
      <w:tr w:rsidR="00D56F61" w:rsidRPr="00446EBD" w14:paraId="4F7F720F" w14:textId="77777777" w:rsidTr="009972FF">
        <w:tc>
          <w:tcPr>
            <w:tcW w:w="392" w:type="dxa"/>
            <w:vAlign w:val="center"/>
          </w:tcPr>
          <w:p w14:paraId="4F7F720A" w14:textId="77777777" w:rsidR="00D56F61" w:rsidRPr="00446EBD" w:rsidRDefault="00D56F61" w:rsidP="009972FF">
            <w:pPr>
              <w:rPr>
                <w:rFonts w:ascii="Verdana" w:hAnsi="Verdana"/>
              </w:rPr>
            </w:pPr>
            <w:r w:rsidRPr="00446EBD">
              <w:rPr>
                <w:rFonts w:ascii="Verdana" w:hAnsi="Verdana"/>
              </w:rPr>
              <w:t>6</w:t>
            </w:r>
          </w:p>
        </w:tc>
        <w:tc>
          <w:tcPr>
            <w:tcW w:w="3827" w:type="dxa"/>
            <w:vAlign w:val="center"/>
          </w:tcPr>
          <w:p w14:paraId="4F7F720B" w14:textId="77777777" w:rsidR="00D56F61" w:rsidRPr="00446EBD" w:rsidRDefault="00D56F61" w:rsidP="009972FF">
            <w:pPr>
              <w:rPr>
                <w:rFonts w:ascii="Verdana" w:hAnsi="Verdana"/>
              </w:rPr>
            </w:pPr>
            <w:r w:rsidRPr="00446EBD">
              <w:rPr>
                <w:rFonts w:ascii="Verdana" w:hAnsi="Verdana"/>
              </w:rPr>
              <w:t>Вземания от електрическа енергия</w:t>
            </w:r>
          </w:p>
        </w:tc>
        <w:tc>
          <w:tcPr>
            <w:tcW w:w="1701" w:type="dxa"/>
            <w:vAlign w:val="center"/>
          </w:tcPr>
          <w:p w14:paraId="4F7F720C" w14:textId="77777777" w:rsidR="00D56F61" w:rsidRPr="00446EBD" w:rsidRDefault="00D56F61" w:rsidP="009972FF">
            <w:pPr>
              <w:jc w:val="center"/>
              <w:rPr>
                <w:rFonts w:ascii="Verdana" w:hAnsi="Verdana"/>
              </w:rPr>
            </w:pPr>
            <w:r w:rsidRPr="00446EBD">
              <w:rPr>
                <w:rFonts w:ascii="Verdana" w:hAnsi="Verdana"/>
              </w:rPr>
              <w:t>0,00</w:t>
            </w:r>
          </w:p>
        </w:tc>
        <w:tc>
          <w:tcPr>
            <w:tcW w:w="1843" w:type="dxa"/>
            <w:vAlign w:val="center"/>
          </w:tcPr>
          <w:p w14:paraId="4F7F720D" w14:textId="77777777" w:rsidR="00D56F61" w:rsidRPr="00446EBD" w:rsidRDefault="00D56F61" w:rsidP="009972FF">
            <w:pPr>
              <w:jc w:val="center"/>
              <w:rPr>
                <w:rFonts w:ascii="Verdana" w:hAnsi="Verdana"/>
              </w:rPr>
            </w:pPr>
            <w:r w:rsidRPr="00446EBD">
              <w:rPr>
                <w:rFonts w:ascii="Verdana" w:hAnsi="Verdana"/>
              </w:rPr>
              <w:t>-</w:t>
            </w:r>
          </w:p>
        </w:tc>
        <w:tc>
          <w:tcPr>
            <w:tcW w:w="1984" w:type="dxa"/>
            <w:vAlign w:val="center"/>
          </w:tcPr>
          <w:p w14:paraId="4F7F720E" w14:textId="77777777" w:rsidR="00D56F61" w:rsidRPr="00446EBD" w:rsidRDefault="00D56F61" w:rsidP="009972FF">
            <w:pPr>
              <w:jc w:val="center"/>
              <w:rPr>
                <w:rFonts w:ascii="Verdana" w:hAnsi="Verdana"/>
              </w:rPr>
            </w:pPr>
            <w:r w:rsidRPr="00446EBD">
              <w:rPr>
                <w:rFonts w:ascii="Verdana" w:hAnsi="Verdana"/>
              </w:rPr>
              <w:t>-</w:t>
            </w:r>
          </w:p>
        </w:tc>
      </w:tr>
      <w:tr w:rsidR="00D56F61" w:rsidRPr="00446EBD" w14:paraId="4F7F7215" w14:textId="77777777" w:rsidTr="009972FF">
        <w:tc>
          <w:tcPr>
            <w:tcW w:w="392" w:type="dxa"/>
            <w:vAlign w:val="center"/>
          </w:tcPr>
          <w:p w14:paraId="4F7F7210" w14:textId="77777777" w:rsidR="00D56F61" w:rsidRPr="00446EBD" w:rsidRDefault="00D56F61" w:rsidP="009972FF">
            <w:pPr>
              <w:rPr>
                <w:rFonts w:ascii="Verdana" w:hAnsi="Verdana"/>
              </w:rPr>
            </w:pPr>
            <w:r w:rsidRPr="00446EBD">
              <w:rPr>
                <w:rFonts w:ascii="Verdana" w:hAnsi="Verdana"/>
              </w:rPr>
              <w:t>7</w:t>
            </w:r>
          </w:p>
        </w:tc>
        <w:tc>
          <w:tcPr>
            <w:tcW w:w="3827" w:type="dxa"/>
            <w:vAlign w:val="center"/>
          </w:tcPr>
          <w:p w14:paraId="4F7F7211" w14:textId="77777777" w:rsidR="00D56F61" w:rsidRPr="00446EBD" w:rsidRDefault="00D56F61" w:rsidP="009972FF">
            <w:pPr>
              <w:rPr>
                <w:rFonts w:ascii="Verdana" w:hAnsi="Verdana"/>
              </w:rPr>
            </w:pPr>
            <w:r w:rsidRPr="00446EBD">
              <w:rPr>
                <w:rFonts w:ascii="Verdana" w:hAnsi="Verdana"/>
              </w:rPr>
              <w:t>Вземания от нерегулирана дейност</w:t>
            </w:r>
          </w:p>
        </w:tc>
        <w:tc>
          <w:tcPr>
            <w:tcW w:w="1701" w:type="dxa"/>
            <w:vAlign w:val="center"/>
          </w:tcPr>
          <w:p w14:paraId="4F7F7212" w14:textId="77777777" w:rsidR="00D56F61" w:rsidRPr="00446EBD" w:rsidRDefault="00D56F61" w:rsidP="009972FF">
            <w:pPr>
              <w:jc w:val="center"/>
              <w:rPr>
                <w:rFonts w:ascii="Verdana" w:hAnsi="Verdana"/>
              </w:rPr>
            </w:pPr>
            <w:r w:rsidRPr="00446EBD">
              <w:rPr>
                <w:rFonts w:ascii="Verdana" w:hAnsi="Verdana"/>
              </w:rPr>
              <w:t>0,00</w:t>
            </w:r>
          </w:p>
        </w:tc>
        <w:tc>
          <w:tcPr>
            <w:tcW w:w="1843" w:type="dxa"/>
            <w:vAlign w:val="center"/>
          </w:tcPr>
          <w:p w14:paraId="4F7F7213" w14:textId="77777777" w:rsidR="00D56F61" w:rsidRPr="00446EBD" w:rsidRDefault="00D56F61" w:rsidP="009972FF">
            <w:pPr>
              <w:jc w:val="center"/>
              <w:rPr>
                <w:rFonts w:ascii="Verdana" w:hAnsi="Verdana"/>
              </w:rPr>
            </w:pPr>
            <w:r w:rsidRPr="00446EBD">
              <w:rPr>
                <w:rFonts w:ascii="Verdana" w:hAnsi="Verdana"/>
              </w:rPr>
              <w:t>-</w:t>
            </w:r>
          </w:p>
        </w:tc>
        <w:tc>
          <w:tcPr>
            <w:tcW w:w="1984" w:type="dxa"/>
            <w:vAlign w:val="center"/>
          </w:tcPr>
          <w:p w14:paraId="4F7F7214" w14:textId="77777777" w:rsidR="00D56F61" w:rsidRPr="00446EBD" w:rsidRDefault="00D56F61" w:rsidP="009972FF">
            <w:pPr>
              <w:jc w:val="center"/>
              <w:rPr>
                <w:rFonts w:ascii="Verdana" w:hAnsi="Verdana"/>
              </w:rPr>
            </w:pPr>
            <w:r w:rsidRPr="00446EBD">
              <w:rPr>
                <w:rFonts w:ascii="Verdana" w:hAnsi="Verdana"/>
              </w:rPr>
              <w:t>-</w:t>
            </w:r>
          </w:p>
        </w:tc>
      </w:tr>
    </w:tbl>
    <w:p w14:paraId="4F7F7216" w14:textId="77777777" w:rsidR="00D56F61" w:rsidRDefault="00D56F61" w:rsidP="00D56F61">
      <w:pPr>
        <w:rPr>
          <w:rFonts w:ascii="Verdana" w:hAnsi="Verdana"/>
          <w:sz w:val="20"/>
        </w:rPr>
      </w:pPr>
    </w:p>
    <w:p w14:paraId="4F7F7218" w14:textId="77777777" w:rsidR="00D56F61" w:rsidRDefault="00D56F61" w:rsidP="00D56F61">
      <w:pPr>
        <w:rPr>
          <w:rFonts w:ascii="Verdana" w:hAnsi="Verdana"/>
          <w:sz w:val="20"/>
        </w:rPr>
      </w:pPr>
      <w:r w:rsidRPr="00A836A3">
        <w:rPr>
          <w:rFonts w:ascii="Verdana" w:hAnsi="Verdana"/>
          <w:sz w:val="20"/>
        </w:rPr>
        <w:t xml:space="preserve">За </w:t>
      </w:r>
      <w:r>
        <w:rPr>
          <w:rFonts w:ascii="Verdana" w:hAnsi="Verdana"/>
          <w:sz w:val="20"/>
        </w:rPr>
        <w:t xml:space="preserve">всяка група  вземания е определен процент на </w:t>
      </w:r>
      <w:proofErr w:type="spellStart"/>
      <w:r>
        <w:rPr>
          <w:rFonts w:ascii="Verdana" w:hAnsi="Verdana"/>
          <w:sz w:val="20"/>
        </w:rPr>
        <w:t>обезценка</w:t>
      </w:r>
      <w:proofErr w:type="spellEnd"/>
      <w:r>
        <w:rPr>
          <w:rFonts w:ascii="Verdana" w:hAnsi="Verdana"/>
          <w:sz w:val="20"/>
        </w:rPr>
        <w:t>, изчислен както следва:</w:t>
      </w:r>
    </w:p>
    <w:p w14:paraId="4F7F721A" w14:textId="77777777" w:rsidR="00D56F61" w:rsidRDefault="00D56F61" w:rsidP="00446EBD">
      <w:pPr>
        <w:spacing w:before="120"/>
        <w:jc w:val="center"/>
        <w:rPr>
          <w:rFonts w:ascii="Verdana" w:hAnsi="Verdana"/>
          <w:b/>
          <w:sz w:val="20"/>
        </w:rPr>
      </w:pPr>
      <w:r w:rsidRPr="00A836A3">
        <w:rPr>
          <w:rFonts w:ascii="Verdana" w:hAnsi="Verdana"/>
          <w:b/>
          <w:sz w:val="20"/>
        </w:rPr>
        <w:t xml:space="preserve">% на </w:t>
      </w:r>
      <w:proofErr w:type="spellStart"/>
      <w:r w:rsidRPr="00A836A3">
        <w:rPr>
          <w:rFonts w:ascii="Verdana" w:hAnsi="Verdana"/>
          <w:b/>
          <w:sz w:val="20"/>
        </w:rPr>
        <w:t>обезценка</w:t>
      </w:r>
      <w:proofErr w:type="spellEnd"/>
      <w:r w:rsidRPr="00A836A3">
        <w:rPr>
          <w:rFonts w:ascii="Verdana" w:hAnsi="Verdana"/>
          <w:b/>
          <w:sz w:val="20"/>
        </w:rPr>
        <w:t xml:space="preserve"> = 100-%на </w:t>
      </w:r>
      <w:proofErr w:type="spellStart"/>
      <w:r w:rsidRPr="00A836A3">
        <w:rPr>
          <w:rFonts w:ascii="Verdana" w:hAnsi="Verdana"/>
          <w:b/>
          <w:sz w:val="20"/>
        </w:rPr>
        <w:t>събираемост</w:t>
      </w:r>
      <w:proofErr w:type="spellEnd"/>
    </w:p>
    <w:p w14:paraId="4F7F721B" w14:textId="77777777" w:rsidR="00D56F61" w:rsidRPr="00A836A3" w:rsidRDefault="00D56F61" w:rsidP="00D56F61">
      <w:pPr>
        <w:jc w:val="center"/>
        <w:rPr>
          <w:rFonts w:ascii="Verdana" w:hAnsi="Verdana"/>
          <w:b/>
          <w:sz w:val="20"/>
        </w:rPr>
      </w:pPr>
    </w:p>
    <w:p w14:paraId="4F7F721C" w14:textId="17F5AE35" w:rsidR="00D56F61" w:rsidRDefault="00D56F61" w:rsidP="00D56F61">
      <w:pPr>
        <w:rPr>
          <w:rFonts w:ascii="Verdana" w:hAnsi="Verdana"/>
          <w:sz w:val="20"/>
        </w:rPr>
      </w:pPr>
      <w:r>
        <w:rPr>
          <w:rFonts w:ascii="Verdana" w:hAnsi="Verdana"/>
          <w:sz w:val="20"/>
        </w:rPr>
        <w:t>В дадения случай (за 2019 г.)</w:t>
      </w:r>
      <w:r w:rsidR="00E05188">
        <w:rPr>
          <w:rFonts w:ascii="Verdana" w:hAnsi="Verdana"/>
          <w:sz w:val="20"/>
        </w:rPr>
        <w:t>, процентът</w:t>
      </w:r>
      <w:r>
        <w:rPr>
          <w:rFonts w:ascii="Verdana" w:hAnsi="Verdana"/>
          <w:sz w:val="20"/>
        </w:rPr>
        <w:t xml:space="preserve"> на </w:t>
      </w:r>
      <w:proofErr w:type="spellStart"/>
      <w:r>
        <w:rPr>
          <w:rFonts w:ascii="Verdana" w:hAnsi="Verdana"/>
          <w:sz w:val="20"/>
        </w:rPr>
        <w:t>събираемост</w:t>
      </w:r>
      <w:proofErr w:type="spellEnd"/>
      <w:r>
        <w:rPr>
          <w:rFonts w:ascii="Verdana" w:hAnsi="Verdana"/>
          <w:sz w:val="20"/>
        </w:rPr>
        <w:t xml:space="preserve"> е формиран на база отчетеното движение по групи през 2019 г. </w:t>
      </w:r>
    </w:p>
    <w:p w14:paraId="4F7F721D" w14:textId="329F1C25" w:rsidR="00D56F61" w:rsidRPr="00F65A90" w:rsidRDefault="00D56F61" w:rsidP="00D56F61">
      <w:pPr>
        <w:rPr>
          <w:rFonts w:ascii="Verdana" w:hAnsi="Verdana"/>
          <w:sz w:val="20"/>
        </w:rPr>
      </w:pPr>
      <w:r>
        <w:rPr>
          <w:rFonts w:ascii="Verdana" w:hAnsi="Verdana"/>
          <w:sz w:val="20"/>
        </w:rPr>
        <w:t xml:space="preserve">Вземанията от електрическа енергия и нерегулирана дейност се характеризират с навременно събиране, като поради тази причина </w:t>
      </w:r>
      <w:r w:rsidR="00E05188">
        <w:rPr>
          <w:rFonts w:ascii="Verdana" w:hAnsi="Verdana"/>
          <w:sz w:val="20"/>
        </w:rPr>
        <w:t>процентът</w:t>
      </w:r>
      <w:r>
        <w:rPr>
          <w:rFonts w:ascii="Verdana" w:hAnsi="Verdana"/>
          <w:sz w:val="20"/>
        </w:rPr>
        <w:t xml:space="preserve"> на </w:t>
      </w:r>
      <w:proofErr w:type="spellStart"/>
      <w:r>
        <w:rPr>
          <w:rFonts w:ascii="Verdana" w:hAnsi="Verdana"/>
          <w:sz w:val="20"/>
        </w:rPr>
        <w:t>обезценка</w:t>
      </w:r>
      <w:proofErr w:type="spellEnd"/>
      <w:r>
        <w:rPr>
          <w:rFonts w:ascii="Verdana" w:hAnsi="Verdana"/>
          <w:sz w:val="20"/>
        </w:rPr>
        <w:t xml:space="preserve"> при тях е 0.</w:t>
      </w:r>
    </w:p>
    <w:p w14:paraId="4F7F721E" w14:textId="2E13E4F7" w:rsidR="00D56F61" w:rsidRDefault="00D56F61" w:rsidP="00D56F61">
      <w:pPr>
        <w:rPr>
          <w:rFonts w:ascii="Verdana" w:hAnsi="Verdana"/>
          <w:b/>
          <w:sz w:val="20"/>
        </w:rPr>
      </w:pPr>
      <w:proofErr w:type="spellStart"/>
      <w:r w:rsidRPr="00F65A90">
        <w:rPr>
          <w:rFonts w:ascii="Verdana" w:hAnsi="Verdana"/>
          <w:sz w:val="20"/>
        </w:rPr>
        <w:t>Новоформираната</w:t>
      </w:r>
      <w:proofErr w:type="spellEnd"/>
      <w:r w:rsidRPr="00F65A90">
        <w:rPr>
          <w:rFonts w:ascii="Verdana" w:hAnsi="Verdana"/>
          <w:sz w:val="20"/>
        </w:rPr>
        <w:t xml:space="preserve"> </w:t>
      </w:r>
      <w:proofErr w:type="spellStart"/>
      <w:r w:rsidRPr="00F65A90">
        <w:rPr>
          <w:rFonts w:ascii="Verdana" w:hAnsi="Verdana"/>
          <w:sz w:val="20"/>
        </w:rPr>
        <w:t>обезценка</w:t>
      </w:r>
      <w:proofErr w:type="spellEnd"/>
      <w:r>
        <w:rPr>
          <w:rFonts w:ascii="Verdana" w:hAnsi="Verdana"/>
          <w:sz w:val="20"/>
        </w:rPr>
        <w:t xml:space="preserve"> на вземанията</w:t>
      </w:r>
      <w:r w:rsidRPr="00F65A90">
        <w:rPr>
          <w:rFonts w:ascii="Verdana" w:hAnsi="Verdana"/>
          <w:sz w:val="20"/>
        </w:rPr>
        <w:t xml:space="preserve"> е в размер на </w:t>
      </w:r>
      <w:r w:rsidRPr="00F65A90">
        <w:rPr>
          <w:rFonts w:ascii="Verdana" w:hAnsi="Verdana"/>
          <w:b/>
          <w:sz w:val="20"/>
        </w:rPr>
        <w:t>373</w:t>
      </w:r>
      <w:r w:rsidR="00CC3B85">
        <w:rPr>
          <w:rFonts w:ascii="Verdana" w:hAnsi="Verdana"/>
          <w:b/>
          <w:sz w:val="20"/>
        </w:rPr>
        <w:t> </w:t>
      </w:r>
      <w:r w:rsidRPr="00F65A90">
        <w:rPr>
          <w:rFonts w:ascii="Verdana" w:hAnsi="Verdana"/>
          <w:b/>
          <w:sz w:val="20"/>
        </w:rPr>
        <w:t>618</w:t>
      </w:r>
      <w:r w:rsidR="00CC3B85">
        <w:rPr>
          <w:rFonts w:ascii="Verdana" w:hAnsi="Verdana"/>
          <w:b/>
          <w:sz w:val="20"/>
        </w:rPr>
        <w:t>,</w:t>
      </w:r>
      <w:r w:rsidRPr="00F65A90">
        <w:rPr>
          <w:rFonts w:ascii="Verdana" w:hAnsi="Verdana"/>
          <w:b/>
          <w:sz w:val="20"/>
        </w:rPr>
        <w:t>56 лв.</w:t>
      </w:r>
    </w:p>
    <w:p w14:paraId="4F7F721F" w14:textId="77777777" w:rsidR="00D56F61" w:rsidRDefault="00D56F61" w:rsidP="00D56F61">
      <w:pPr>
        <w:rPr>
          <w:rFonts w:ascii="Verdana" w:hAnsi="Verdana"/>
          <w:sz w:val="20"/>
        </w:rPr>
      </w:pPr>
      <w:r w:rsidRPr="00A10031">
        <w:rPr>
          <w:rFonts w:ascii="Verdana" w:hAnsi="Verdana"/>
          <w:sz w:val="20"/>
        </w:rPr>
        <w:t xml:space="preserve">Извършена е и </w:t>
      </w:r>
      <w:proofErr w:type="spellStart"/>
      <w:r w:rsidRPr="00A10031">
        <w:rPr>
          <w:rFonts w:ascii="Verdana" w:hAnsi="Verdana"/>
          <w:sz w:val="20"/>
        </w:rPr>
        <w:t>обезценка</w:t>
      </w:r>
      <w:proofErr w:type="spellEnd"/>
      <w:r w:rsidRPr="00A10031">
        <w:rPr>
          <w:rFonts w:ascii="Verdana" w:hAnsi="Verdana"/>
          <w:sz w:val="20"/>
        </w:rPr>
        <w:t xml:space="preserve"> на материалните запаси в размер на </w:t>
      </w:r>
      <w:r w:rsidRPr="00A10031">
        <w:rPr>
          <w:rFonts w:ascii="Verdana" w:hAnsi="Verdana"/>
          <w:b/>
          <w:sz w:val="20"/>
        </w:rPr>
        <w:t>33 396,59 лв.</w:t>
      </w:r>
      <w:r w:rsidRPr="00A10031">
        <w:rPr>
          <w:rFonts w:ascii="Verdana" w:hAnsi="Verdana"/>
          <w:sz w:val="20"/>
        </w:rPr>
        <w:t xml:space="preserve"> с процент на </w:t>
      </w:r>
      <w:proofErr w:type="spellStart"/>
      <w:r w:rsidRPr="00A10031">
        <w:rPr>
          <w:rFonts w:ascii="Verdana" w:hAnsi="Verdana"/>
          <w:sz w:val="20"/>
        </w:rPr>
        <w:t>обезценка</w:t>
      </w:r>
      <w:proofErr w:type="spellEnd"/>
      <w:r w:rsidRPr="00A10031">
        <w:rPr>
          <w:rFonts w:ascii="Verdana" w:hAnsi="Verdana"/>
          <w:sz w:val="20"/>
        </w:rPr>
        <w:t xml:space="preserve"> – 80. За обезценените материални запаси е констатирано, че са обездвижени за период от една </w:t>
      </w:r>
      <w:r>
        <w:rPr>
          <w:rFonts w:ascii="Verdana" w:hAnsi="Verdana"/>
          <w:sz w:val="20"/>
        </w:rPr>
        <w:t>до три</w:t>
      </w:r>
      <w:r w:rsidRPr="00A10031">
        <w:rPr>
          <w:rFonts w:ascii="Verdana" w:hAnsi="Verdana"/>
          <w:sz w:val="20"/>
        </w:rPr>
        <w:t xml:space="preserve"> години, като същите са морално остарели и не се очаква да бъдат използвани по предназначение при реализиране на дейността на Дружеството.</w:t>
      </w:r>
    </w:p>
    <w:p w14:paraId="4F7F7220" w14:textId="77777777" w:rsidR="00D56F61" w:rsidRPr="003F0D81" w:rsidRDefault="00D56F61" w:rsidP="00D56F61">
      <w:pPr>
        <w:spacing w:line="260" w:lineRule="atLeast"/>
        <w:rPr>
          <w:rFonts w:ascii="Verdana" w:hAnsi="Verdana" w:cs="Arial"/>
          <w:sz w:val="20"/>
        </w:rPr>
      </w:pPr>
      <w:r>
        <w:rPr>
          <w:rFonts w:ascii="Verdana" w:hAnsi="Verdana" w:cs="Arial"/>
          <w:sz w:val="20"/>
        </w:rPr>
        <w:t xml:space="preserve">Кредитната загуба от </w:t>
      </w:r>
      <w:proofErr w:type="spellStart"/>
      <w:r>
        <w:rPr>
          <w:rFonts w:ascii="Verdana" w:hAnsi="Verdana" w:cs="Arial"/>
          <w:sz w:val="20"/>
        </w:rPr>
        <w:t>обезценка</w:t>
      </w:r>
      <w:proofErr w:type="spellEnd"/>
      <w:r>
        <w:rPr>
          <w:rFonts w:ascii="Verdana" w:hAnsi="Verdana" w:cs="Arial"/>
          <w:sz w:val="20"/>
        </w:rPr>
        <w:t xml:space="preserve"> на финансови активи, намираща отражение във финансовия резултат е </w:t>
      </w:r>
      <w:r w:rsidRPr="00CF76C8">
        <w:rPr>
          <w:rFonts w:ascii="Verdana" w:hAnsi="Verdana" w:cs="Arial"/>
          <w:b/>
          <w:sz w:val="20"/>
        </w:rPr>
        <w:t>407 015,15 лв.</w:t>
      </w:r>
    </w:p>
    <w:p w14:paraId="4F7F7221"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p>
    <w:p w14:paraId="4F7F7222" w14:textId="77777777" w:rsidR="00D56F61" w:rsidRPr="00C2255D" w:rsidRDefault="00D56F61" w:rsidP="00D56F61">
      <w:pPr>
        <w:spacing w:before="120" w:line="260" w:lineRule="atLeast"/>
        <w:rPr>
          <w:rFonts w:ascii="Verdana" w:hAnsi="Verdana" w:cs="Arial"/>
          <w:b/>
          <w:sz w:val="20"/>
        </w:rPr>
      </w:pPr>
      <w:r w:rsidRPr="00C2255D">
        <w:rPr>
          <w:rFonts w:ascii="Verdana" w:hAnsi="Verdana" w:cs="Arial"/>
          <w:b/>
          <w:sz w:val="20"/>
        </w:rPr>
        <w:t>Важни събития, настъпили след датата на изготвяне на финансовия отчет</w:t>
      </w:r>
    </w:p>
    <w:p w14:paraId="4F7F7223" w14:textId="77777777" w:rsidR="00D56F61" w:rsidRDefault="00D56F61" w:rsidP="00D56F61">
      <w:pPr>
        <w:spacing w:line="260" w:lineRule="atLeast"/>
        <w:rPr>
          <w:rFonts w:ascii="Verdana" w:hAnsi="Verdana" w:cs="Arial"/>
          <w:bCs/>
          <w:sz w:val="20"/>
        </w:rPr>
      </w:pPr>
      <w:r>
        <w:rPr>
          <w:rFonts w:ascii="Verdana" w:hAnsi="Verdana" w:cs="Arial"/>
          <w:bCs/>
          <w:sz w:val="20"/>
        </w:rPr>
        <w:t>Събитията след датата на изготвяне на финансовия отчет, които биха рефлектирали съществено върху резултата на Дружеството през следващия отчетен период са свързани отчитането на рязък спад в цената на квотите за емисии на парникови газове през м. Март, спрямо заложената при формиране на разхода за 2019г.</w:t>
      </w:r>
    </w:p>
    <w:p w14:paraId="4F7F7224" w14:textId="77777777" w:rsidR="00D56F61" w:rsidRDefault="00D56F61" w:rsidP="00D56F61">
      <w:pPr>
        <w:spacing w:line="260" w:lineRule="atLeast"/>
        <w:rPr>
          <w:rFonts w:ascii="Verdana" w:hAnsi="Verdana" w:cs="Arial"/>
          <w:bCs/>
          <w:sz w:val="20"/>
        </w:rPr>
      </w:pPr>
    </w:p>
    <w:p w14:paraId="4F7F7225" w14:textId="77777777" w:rsidR="00D56F61" w:rsidRPr="00692B62" w:rsidRDefault="00D56F61" w:rsidP="00D56F61">
      <w:pPr>
        <w:spacing w:line="260" w:lineRule="atLeast"/>
        <w:rPr>
          <w:rFonts w:ascii="Verdana" w:hAnsi="Verdana" w:cs="Arial"/>
          <w:b/>
          <w:bCs/>
          <w:sz w:val="20"/>
        </w:rPr>
      </w:pPr>
      <w:r w:rsidRPr="00692B62">
        <w:rPr>
          <w:rFonts w:ascii="Verdana" w:hAnsi="Verdana" w:cs="Arial"/>
          <w:b/>
          <w:bCs/>
          <w:sz w:val="20"/>
        </w:rPr>
        <w:t>Информация по чл.</w:t>
      </w:r>
      <w:r>
        <w:rPr>
          <w:rFonts w:ascii="Verdana" w:hAnsi="Verdana" w:cs="Arial"/>
          <w:b/>
          <w:bCs/>
          <w:sz w:val="20"/>
        </w:rPr>
        <w:t xml:space="preserve"> 187 </w:t>
      </w:r>
      <w:r w:rsidRPr="00692B62">
        <w:rPr>
          <w:rFonts w:ascii="Verdana" w:hAnsi="Verdana" w:cs="Arial"/>
          <w:b/>
          <w:bCs/>
          <w:sz w:val="20"/>
        </w:rPr>
        <w:t>от Търговския закон</w:t>
      </w:r>
    </w:p>
    <w:p w14:paraId="4F7F7226" w14:textId="77777777" w:rsidR="00D56F61" w:rsidRDefault="00D56F61" w:rsidP="00D56F61">
      <w:pPr>
        <w:spacing w:line="260" w:lineRule="atLeast"/>
        <w:rPr>
          <w:rFonts w:ascii="Verdana" w:hAnsi="Verdana" w:cs="Arial"/>
          <w:bCs/>
          <w:sz w:val="20"/>
        </w:rPr>
      </w:pPr>
      <w:r>
        <w:rPr>
          <w:rFonts w:ascii="Verdana" w:hAnsi="Verdana" w:cs="Arial"/>
          <w:bCs/>
          <w:sz w:val="20"/>
        </w:rPr>
        <w:t>През 2019 г. не са придобивани и прехвърляни собствени акции от Дружеството. Дружеството не притежава собствени акции от капитала си.</w:t>
      </w:r>
    </w:p>
    <w:p w14:paraId="4F7F7227" w14:textId="77777777" w:rsidR="00D56F61" w:rsidRDefault="00D56F61" w:rsidP="00D56F61">
      <w:pPr>
        <w:spacing w:line="260" w:lineRule="atLeast"/>
        <w:rPr>
          <w:rFonts w:ascii="Verdana" w:hAnsi="Verdana" w:cs="Arial"/>
          <w:bCs/>
          <w:sz w:val="20"/>
        </w:rPr>
      </w:pPr>
    </w:p>
    <w:p w14:paraId="4F7F7228" w14:textId="77777777" w:rsidR="00D56F61" w:rsidRPr="00692B62" w:rsidRDefault="00D56F61" w:rsidP="00D56F61">
      <w:pPr>
        <w:spacing w:line="260" w:lineRule="atLeast"/>
        <w:rPr>
          <w:rFonts w:ascii="Verdana" w:hAnsi="Verdana" w:cs="Arial"/>
          <w:b/>
          <w:bCs/>
          <w:sz w:val="20"/>
        </w:rPr>
      </w:pPr>
      <w:r w:rsidRPr="00692B62">
        <w:rPr>
          <w:rFonts w:ascii="Verdana" w:hAnsi="Verdana" w:cs="Arial"/>
          <w:b/>
          <w:bCs/>
          <w:sz w:val="20"/>
        </w:rPr>
        <w:t>Информация по чл.247, ал. 2 от Търговския закон</w:t>
      </w:r>
    </w:p>
    <w:p w14:paraId="4F7F7229" w14:textId="77777777" w:rsidR="00D56F61" w:rsidRPr="007C0F31" w:rsidRDefault="00D56F61" w:rsidP="00D56F61">
      <w:pPr>
        <w:ind w:right="181"/>
        <w:rPr>
          <w:rFonts w:ascii="Verdana" w:hAnsi="Verdana" w:cs="Courier New"/>
          <w:sz w:val="20"/>
        </w:rPr>
      </w:pPr>
      <w:r>
        <w:rPr>
          <w:rFonts w:ascii="Verdana" w:hAnsi="Verdana" w:cs="Arial"/>
          <w:bCs/>
          <w:sz w:val="20"/>
        </w:rPr>
        <w:t>Възнагражденията, получени общо през 2019 г. от членовете на Съвета на Директорите са в размер на близо 83 хил.лв.</w:t>
      </w:r>
    </w:p>
    <w:p w14:paraId="4F7F722A" w14:textId="77777777" w:rsidR="00D56F61" w:rsidRPr="00D4273B" w:rsidRDefault="00D56F61" w:rsidP="00D56F61">
      <w:pPr>
        <w:spacing w:line="260" w:lineRule="atLeast"/>
        <w:rPr>
          <w:rFonts w:ascii="Verdana" w:hAnsi="Verdana" w:cs="Arial"/>
          <w:bCs/>
          <w:sz w:val="20"/>
        </w:rPr>
      </w:pPr>
    </w:p>
    <w:p w14:paraId="4F7F722B" w14:textId="77777777" w:rsidR="00D56F61" w:rsidRPr="003F5986" w:rsidRDefault="00D56F61" w:rsidP="00D56F61">
      <w:pPr>
        <w:spacing w:line="260" w:lineRule="atLeast"/>
        <w:rPr>
          <w:rFonts w:ascii="Verdana" w:hAnsi="Verdana" w:cs="Arial"/>
          <w:b/>
          <w:sz w:val="20"/>
        </w:rPr>
      </w:pPr>
      <w:r>
        <w:rPr>
          <w:rFonts w:ascii="Verdana" w:hAnsi="Verdana" w:cs="Arial"/>
          <w:b/>
          <w:sz w:val="20"/>
        </w:rPr>
        <w:lastRenderedPageBreak/>
        <w:t xml:space="preserve">През 2019 г., както бе описано по-горе </w:t>
      </w:r>
      <w:r w:rsidRPr="003F5986">
        <w:rPr>
          <w:rFonts w:ascii="Verdana" w:hAnsi="Verdana" w:cs="Arial"/>
          <w:b/>
          <w:sz w:val="20"/>
        </w:rPr>
        <w:t>са настъпили промени в броя притежавани акции от капитала на Дружеството.</w:t>
      </w:r>
    </w:p>
    <w:p w14:paraId="4F7F722C" w14:textId="77777777" w:rsidR="00D56F61" w:rsidRDefault="00D56F61" w:rsidP="00D56F61">
      <w:pPr>
        <w:spacing w:line="260" w:lineRule="atLeast"/>
        <w:rPr>
          <w:rFonts w:ascii="Verdana" w:hAnsi="Verdana" w:cs="Arial"/>
          <w:sz w:val="20"/>
        </w:rPr>
      </w:pPr>
      <w:r w:rsidRPr="00C2255D">
        <w:rPr>
          <w:rFonts w:ascii="Verdana" w:hAnsi="Verdana" w:cs="Arial"/>
          <w:sz w:val="20"/>
        </w:rPr>
        <w:t>В устава на Дружеството не са предвидени специални права, по силата на които членовете на Съвета да придобиват ак</w:t>
      </w:r>
      <w:r>
        <w:rPr>
          <w:rFonts w:ascii="Verdana" w:hAnsi="Verdana" w:cs="Arial"/>
          <w:sz w:val="20"/>
        </w:rPr>
        <w:t>ции и облигации на Дружеството.</w:t>
      </w:r>
    </w:p>
    <w:p w14:paraId="4F7F722D" w14:textId="77777777" w:rsidR="00D56F61" w:rsidRDefault="00D56F61" w:rsidP="00D56F61">
      <w:pPr>
        <w:spacing w:line="260" w:lineRule="atLeast"/>
        <w:rPr>
          <w:rFonts w:ascii="Verdana" w:hAnsi="Verdana" w:cs="Arial"/>
          <w:sz w:val="20"/>
        </w:rPr>
      </w:pPr>
    </w:p>
    <w:p w14:paraId="4F7F722E" w14:textId="77777777" w:rsidR="00D56F61" w:rsidRPr="00C2255D" w:rsidRDefault="00D56F61" w:rsidP="00D56F61">
      <w:pPr>
        <w:spacing w:line="260" w:lineRule="atLeast"/>
        <w:rPr>
          <w:rFonts w:ascii="Verdana" w:hAnsi="Verdana" w:cs="Arial"/>
          <w:sz w:val="20"/>
        </w:rPr>
      </w:pPr>
      <w:r w:rsidRPr="00155A50">
        <w:rPr>
          <w:rFonts w:ascii="Verdana" w:hAnsi="Verdana" w:cs="Arial"/>
          <w:sz w:val="20"/>
        </w:rPr>
        <w:t xml:space="preserve">През изминалата 2019г. членовете на Съвета на директорите  на Дружеството или свързани с тях </w:t>
      </w:r>
      <w:proofErr w:type="spellStart"/>
      <w:r w:rsidRPr="00155A50">
        <w:rPr>
          <w:rFonts w:ascii="Verdana" w:hAnsi="Verdana" w:cs="Arial"/>
          <w:sz w:val="20"/>
        </w:rPr>
        <w:t>лицане</w:t>
      </w:r>
      <w:proofErr w:type="spellEnd"/>
      <w:r w:rsidRPr="00155A50">
        <w:rPr>
          <w:rFonts w:ascii="Verdana" w:hAnsi="Verdana" w:cs="Arial"/>
          <w:sz w:val="20"/>
        </w:rPr>
        <w:t xml:space="preserve"> са сключвали договори по смисъла на чл. 240б от Търговския закон.</w:t>
      </w:r>
    </w:p>
    <w:p w14:paraId="4F7F722F" w14:textId="77777777" w:rsidR="00D56F61" w:rsidRPr="005B1422" w:rsidRDefault="00D56F61" w:rsidP="00D56F61">
      <w:pPr>
        <w:spacing w:before="120" w:line="260" w:lineRule="atLeast"/>
        <w:rPr>
          <w:rFonts w:ascii="Verdana" w:hAnsi="Verdana" w:cs="Arial"/>
          <w:b/>
          <w:sz w:val="20"/>
        </w:rPr>
      </w:pPr>
      <w:r>
        <w:rPr>
          <w:rFonts w:ascii="Verdana" w:hAnsi="Verdana" w:cs="Arial"/>
          <w:b/>
          <w:sz w:val="20"/>
        </w:rPr>
        <w:t>Към 31.12.2019</w:t>
      </w:r>
      <w:r w:rsidRPr="003F5986">
        <w:rPr>
          <w:rFonts w:ascii="Verdana" w:hAnsi="Verdana" w:cs="Arial"/>
          <w:b/>
          <w:sz w:val="20"/>
        </w:rPr>
        <w:t xml:space="preserve"> г. Съветът на директори</w:t>
      </w:r>
      <w:r>
        <w:rPr>
          <w:rFonts w:ascii="Verdana" w:hAnsi="Verdana" w:cs="Arial"/>
          <w:b/>
          <w:sz w:val="20"/>
        </w:rPr>
        <w:t xml:space="preserve">те на „Топлофикация - Разград” </w:t>
      </w:r>
      <w:r w:rsidRPr="003F5986">
        <w:rPr>
          <w:rFonts w:ascii="Verdana" w:hAnsi="Verdana" w:cs="Arial"/>
          <w:b/>
          <w:sz w:val="20"/>
        </w:rPr>
        <w:t xml:space="preserve">АД има </w:t>
      </w:r>
      <w:r w:rsidRPr="005B1422">
        <w:rPr>
          <w:rFonts w:ascii="Verdana" w:hAnsi="Verdana" w:cs="Arial"/>
          <w:b/>
          <w:sz w:val="20"/>
        </w:rPr>
        <w:t>следния състав:</w:t>
      </w:r>
    </w:p>
    <w:p w14:paraId="4F7F7230" w14:textId="77777777" w:rsidR="00D56F61" w:rsidRPr="00C2255D" w:rsidRDefault="00D56F61" w:rsidP="00D56F61">
      <w:pPr>
        <w:spacing w:line="260" w:lineRule="atLeast"/>
        <w:rPr>
          <w:rFonts w:ascii="Verdana" w:hAnsi="Verdana" w:cs="Arial"/>
          <w:sz w:val="20"/>
        </w:rPr>
      </w:pPr>
      <w:r w:rsidRPr="005B1422">
        <w:rPr>
          <w:rFonts w:ascii="Verdana" w:hAnsi="Verdana" w:cs="Arial"/>
          <w:sz w:val="20"/>
        </w:rPr>
        <w:t>1. Овергаз Холдинг АД, представлявано от Сергей Тодоров Андреев – Председател на Съвета на директорите;</w:t>
      </w:r>
    </w:p>
    <w:p w14:paraId="4F7F7231"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2. Пламен Георгиев Дончев - Зам.-председател на Съвета на директорите;</w:t>
      </w:r>
    </w:p>
    <w:p w14:paraId="4F7F7232"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 xml:space="preserve">3. Петко Любенов </w:t>
      </w:r>
      <w:proofErr w:type="spellStart"/>
      <w:r w:rsidRPr="00C2255D">
        <w:rPr>
          <w:rFonts w:ascii="Verdana" w:hAnsi="Verdana" w:cs="Arial"/>
          <w:sz w:val="20"/>
        </w:rPr>
        <w:t>Милевски</w:t>
      </w:r>
      <w:proofErr w:type="spellEnd"/>
      <w:r w:rsidRPr="00C2255D">
        <w:rPr>
          <w:rFonts w:ascii="Verdana" w:hAnsi="Verdana" w:cs="Arial"/>
          <w:sz w:val="20"/>
        </w:rPr>
        <w:t xml:space="preserve"> – Член на Съвета на директорите;</w:t>
      </w:r>
    </w:p>
    <w:p w14:paraId="4F7F7233"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4. Ивайло Станков Чавдаров – Член на Съвета на директорите;</w:t>
      </w:r>
    </w:p>
    <w:p w14:paraId="4F7F7234" w14:textId="77777777" w:rsidR="00D56F61" w:rsidRDefault="00D56F61" w:rsidP="00D56F61">
      <w:pPr>
        <w:spacing w:line="260" w:lineRule="atLeast"/>
        <w:rPr>
          <w:rFonts w:ascii="Verdana" w:hAnsi="Verdana" w:cs="Arial"/>
          <w:sz w:val="20"/>
        </w:rPr>
      </w:pPr>
      <w:r w:rsidRPr="00C2255D">
        <w:rPr>
          <w:rFonts w:ascii="Verdana" w:hAnsi="Verdana" w:cs="Arial"/>
          <w:sz w:val="20"/>
        </w:rPr>
        <w:t>5. Михаил Николаев Ковачев – Изпълнителен директор.</w:t>
      </w:r>
    </w:p>
    <w:p w14:paraId="4F7F7235" w14:textId="77777777" w:rsidR="00D56F61" w:rsidRDefault="00D56F61" w:rsidP="00D56F61">
      <w:pPr>
        <w:spacing w:line="260" w:lineRule="atLeast"/>
        <w:rPr>
          <w:rFonts w:ascii="Verdana" w:hAnsi="Verdana" w:cs="Arial"/>
          <w:sz w:val="20"/>
        </w:rPr>
      </w:pPr>
    </w:p>
    <w:p w14:paraId="4F7F7236" w14:textId="77777777" w:rsidR="00D56F61" w:rsidRDefault="00D56F61" w:rsidP="00D56F61">
      <w:pPr>
        <w:rPr>
          <w:rFonts w:ascii="Verdana" w:hAnsi="Verdana"/>
          <w:b/>
          <w:sz w:val="20"/>
          <w:lang w:val="ru-RU" w:eastAsia="bg-BG"/>
        </w:rPr>
      </w:pPr>
    </w:p>
    <w:p w14:paraId="4F7F7237" w14:textId="77777777" w:rsidR="00D56F61" w:rsidRDefault="00D56F61" w:rsidP="00D56F61">
      <w:pPr>
        <w:rPr>
          <w:rFonts w:ascii="Verdana" w:hAnsi="Verdana"/>
          <w:b/>
          <w:sz w:val="20"/>
          <w:lang w:val="ru-RU" w:eastAsia="bg-BG"/>
        </w:rPr>
      </w:pPr>
    </w:p>
    <w:p w14:paraId="4F7F7238" w14:textId="77777777" w:rsidR="00D56F61" w:rsidRDefault="00D56F61" w:rsidP="00D56F61">
      <w:pPr>
        <w:rPr>
          <w:rFonts w:ascii="Verdana" w:hAnsi="Verdana"/>
          <w:b/>
          <w:sz w:val="20"/>
          <w:lang w:val="ru-RU" w:eastAsia="bg-BG"/>
        </w:rPr>
      </w:pPr>
    </w:p>
    <w:p w14:paraId="4F7F7239" w14:textId="77777777" w:rsidR="00D56F61" w:rsidRPr="00775D75" w:rsidRDefault="00D56F61" w:rsidP="00D56F61">
      <w:pPr>
        <w:rPr>
          <w:rFonts w:ascii="Verdana" w:hAnsi="Verdana"/>
          <w:b/>
          <w:sz w:val="20"/>
          <w:lang w:val="ru-RU" w:eastAsia="bg-BG"/>
        </w:rPr>
      </w:pPr>
      <w:r w:rsidRPr="00775D75">
        <w:rPr>
          <w:rFonts w:ascii="Verdana" w:hAnsi="Verdana"/>
          <w:b/>
          <w:sz w:val="20"/>
          <w:lang w:val="ru-RU" w:eastAsia="bg-BG"/>
        </w:rPr>
        <w:t xml:space="preserve">Информация за участие в търговски дружества на членовете на Съвета на директорите </w:t>
      </w:r>
      <w:proofErr w:type="spellStart"/>
      <w:r w:rsidRPr="00775D75">
        <w:rPr>
          <w:rFonts w:ascii="Verdana" w:hAnsi="Verdana"/>
          <w:b/>
          <w:sz w:val="20"/>
          <w:lang w:val="en-US" w:eastAsia="bg-BG"/>
        </w:rPr>
        <w:t>посмисъланачл</w:t>
      </w:r>
      <w:proofErr w:type="spellEnd"/>
      <w:r w:rsidRPr="00775D75">
        <w:rPr>
          <w:rFonts w:ascii="Verdana" w:hAnsi="Verdana"/>
          <w:b/>
          <w:sz w:val="20"/>
          <w:lang w:val="en-US" w:eastAsia="bg-BG"/>
        </w:rPr>
        <w:t xml:space="preserve">. 247, </w:t>
      </w:r>
      <w:proofErr w:type="spellStart"/>
      <w:r w:rsidRPr="00775D75">
        <w:rPr>
          <w:rFonts w:ascii="Verdana" w:hAnsi="Verdana"/>
          <w:b/>
          <w:sz w:val="20"/>
          <w:lang w:val="en-US" w:eastAsia="bg-BG"/>
        </w:rPr>
        <w:t>ал</w:t>
      </w:r>
      <w:proofErr w:type="spellEnd"/>
      <w:r w:rsidRPr="00775D75">
        <w:rPr>
          <w:rFonts w:ascii="Verdana" w:hAnsi="Verdana"/>
          <w:b/>
          <w:sz w:val="20"/>
          <w:lang w:val="en-US" w:eastAsia="bg-BG"/>
        </w:rPr>
        <w:t xml:space="preserve">. 2, т.4 </w:t>
      </w:r>
      <w:proofErr w:type="spellStart"/>
      <w:r w:rsidRPr="00775D75">
        <w:rPr>
          <w:rFonts w:ascii="Verdana" w:hAnsi="Verdana"/>
          <w:b/>
          <w:sz w:val="20"/>
          <w:lang w:val="en-US" w:eastAsia="bg-BG"/>
        </w:rPr>
        <w:t>от</w:t>
      </w:r>
      <w:proofErr w:type="spellEnd"/>
      <w:r w:rsidRPr="00775D75">
        <w:rPr>
          <w:rFonts w:ascii="Verdana" w:hAnsi="Verdana"/>
          <w:b/>
          <w:sz w:val="20"/>
          <w:lang w:val="en-US" w:eastAsia="bg-BG"/>
        </w:rPr>
        <w:t xml:space="preserve"> ТЗ </w:t>
      </w:r>
      <w:r w:rsidRPr="00775D75">
        <w:rPr>
          <w:rFonts w:ascii="Verdana" w:hAnsi="Verdana"/>
          <w:b/>
          <w:sz w:val="20"/>
          <w:lang w:val="ru-RU" w:eastAsia="bg-BG"/>
        </w:rPr>
        <w:t>- притежаване на повече от 25 на сто от капитала на друго дружество, както и участие в управлението на други дружества или кооперации, като прокуристи, управители или членове на съвети:</w:t>
      </w:r>
    </w:p>
    <w:p w14:paraId="4F7F723A" w14:textId="77777777" w:rsidR="00D56F61" w:rsidRDefault="00D56F61" w:rsidP="00D56F61">
      <w:pPr>
        <w:rPr>
          <w:rFonts w:ascii="Verdana" w:hAnsi="Verdana"/>
          <w:b/>
          <w:sz w:val="20"/>
          <w:highlight w:val="red"/>
          <w:lang w:val="ru-RU" w:eastAsia="bg-BG"/>
        </w:rPr>
      </w:pPr>
    </w:p>
    <w:p w14:paraId="4F7F723B" w14:textId="77777777" w:rsidR="00D56F61" w:rsidRPr="00172CA7" w:rsidRDefault="00D56F61" w:rsidP="00D56F61">
      <w:pPr>
        <w:rPr>
          <w:rFonts w:ascii="Verdana" w:hAnsi="Verdana"/>
          <w:b/>
          <w:sz w:val="20"/>
          <w:lang w:eastAsia="bg-BG"/>
        </w:rPr>
      </w:pPr>
      <w:r w:rsidRPr="00172CA7">
        <w:rPr>
          <w:rFonts w:ascii="Verdana" w:hAnsi="Verdana"/>
          <w:b/>
          <w:sz w:val="20"/>
          <w:lang w:val="en-US" w:eastAsia="bg-BG"/>
        </w:rPr>
        <w:t xml:space="preserve">I. </w:t>
      </w:r>
      <w:r w:rsidRPr="00172CA7">
        <w:rPr>
          <w:rFonts w:ascii="Verdana" w:hAnsi="Verdana"/>
          <w:b/>
          <w:sz w:val="20"/>
          <w:lang w:eastAsia="bg-BG"/>
        </w:rPr>
        <w:t>Информация за членовете на Съвета на директорите по чл.247, ал.2, т.4 от ТЗ</w:t>
      </w:r>
    </w:p>
    <w:p w14:paraId="4F7F723C" w14:textId="77777777" w:rsidR="00D56F61" w:rsidRPr="00172CA7" w:rsidRDefault="00D56F61" w:rsidP="00D56F61">
      <w:pPr>
        <w:rPr>
          <w:rFonts w:ascii="Verdana" w:hAnsi="Verdana"/>
          <w:sz w:val="20"/>
          <w:lang w:eastAsia="bg-BG"/>
        </w:rPr>
      </w:pPr>
    </w:p>
    <w:p w14:paraId="4F7F723D" w14:textId="77777777" w:rsidR="00D56F61" w:rsidRPr="00172CA7" w:rsidRDefault="00D56F61" w:rsidP="00D56F61">
      <w:pPr>
        <w:rPr>
          <w:rFonts w:ascii="Verdana" w:hAnsi="Verdana"/>
          <w:sz w:val="20"/>
          <w:lang w:eastAsia="bg-BG"/>
        </w:rPr>
      </w:pPr>
      <w:r w:rsidRPr="00172CA7">
        <w:rPr>
          <w:rFonts w:ascii="Verdana" w:hAnsi="Verdana"/>
          <w:sz w:val="20"/>
          <w:lang w:eastAsia="bg-BG"/>
        </w:rPr>
        <w:t>Към 31.12.201</w:t>
      </w:r>
      <w:r>
        <w:rPr>
          <w:rFonts w:ascii="Verdana" w:hAnsi="Verdana"/>
          <w:sz w:val="20"/>
          <w:lang w:eastAsia="bg-BG"/>
        </w:rPr>
        <w:t>9</w:t>
      </w:r>
      <w:r w:rsidRPr="00172CA7">
        <w:rPr>
          <w:rFonts w:ascii="Verdana" w:hAnsi="Verdana"/>
          <w:sz w:val="20"/>
          <w:lang w:eastAsia="bg-BG"/>
        </w:rPr>
        <w:t xml:space="preserve"> г. Съветът на директори</w:t>
      </w:r>
      <w:r>
        <w:rPr>
          <w:rFonts w:ascii="Verdana" w:hAnsi="Verdana"/>
          <w:sz w:val="20"/>
          <w:lang w:eastAsia="bg-BG"/>
        </w:rPr>
        <w:t xml:space="preserve">те на „Топлофикация - Разград” </w:t>
      </w:r>
      <w:r w:rsidRPr="00172CA7">
        <w:rPr>
          <w:rFonts w:ascii="Verdana" w:hAnsi="Verdana"/>
          <w:sz w:val="20"/>
          <w:lang w:eastAsia="bg-BG"/>
        </w:rPr>
        <w:t>АД има следния състав:</w:t>
      </w:r>
    </w:p>
    <w:p w14:paraId="4F7F723E" w14:textId="77777777" w:rsidR="00D56F61" w:rsidRPr="00172CA7" w:rsidRDefault="00D56F61" w:rsidP="004C229B">
      <w:pPr>
        <w:rPr>
          <w:lang w:eastAsia="bg-BG"/>
        </w:rPr>
      </w:pPr>
    </w:p>
    <w:p w14:paraId="4F7F723F" w14:textId="77777777" w:rsidR="00D56F61" w:rsidRPr="00172CA7" w:rsidRDefault="00D56F61" w:rsidP="00D56F61">
      <w:pPr>
        <w:tabs>
          <w:tab w:val="left" w:pos="969"/>
        </w:tabs>
        <w:ind w:right="-143"/>
        <w:rPr>
          <w:rFonts w:ascii="Verdana" w:hAnsi="Verdana"/>
          <w:b/>
          <w:sz w:val="20"/>
          <w:lang w:val="en-US" w:eastAsia="bg-BG"/>
        </w:rPr>
      </w:pPr>
      <w:r w:rsidRPr="00172CA7">
        <w:rPr>
          <w:rFonts w:ascii="Verdana" w:hAnsi="Verdana"/>
          <w:b/>
          <w:sz w:val="20"/>
          <w:lang w:eastAsia="bg-BG"/>
        </w:rPr>
        <w:t xml:space="preserve">1. „Овергаз Холдинг” АД, представлявано от </w:t>
      </w:r>
      <w:r>
        <w:rPr>
          <w:rFonts w:ascii="Verdana" w:hAnsi="Verdana"/>
          <w:b/>
          <w:sz w:val="20"/>
          <w:lang w:eastAsia="bg-BG"/>
        </w:rPr>
        <w:t>Сергей Тодоров Андреев</w:t>
      </w:r>
      <w:r w:rsidRPr="00172CA7">
        <w:rPr>
          <w:rFonts w:ascii="Verdana" w:hAnsi="Verdana"/>
          <w:b/>
          <w:sz w:val="20"/>
          <w:lang w:val="en-US" w:eastAsia="bg-BG"/>
        </w:rPr>
        <w:t xml:space="preserve"> – </w:t>
      </w:r>
      <w:r w:rsidRPr="00172CA7">
        <w:rPr>
          <w:rFonts w:ascii="Verdana" w:hAnsi="Verdana"/>
          <w:b/>
          <w:sz w:val="20"/>
          <w:lang w:eastAsia="bg-BG"/>
        </w:rPr>
        <w:t>Председател на Съвета на директорите</w:t>
      </w:r>
      <w:r w:rsidRPr="00172CA7">
        <w:rPr>
          <w:rFonts w:ascii="Verdana" w:hAnsi="Verdana"/>
          <w:b/>
          <w:sz w:val="20"/>
          <w:lang w:val="en-US" w:eastAsia="bg-BG"/>
        </w:rPr>
        <w:t>;</w:t>
      </w:r>
    </w:p>
    <w:p w14:paraId="4F7F7240" w14:textId="77777777" w:rsidR="00D56F61" w:rsidRPr="00172CA7" w:rsidRDefault="00D56F61" w:rsidP="00D56F61">
      <w:pPr>
        <w:tabs>
          <w:tab w:val="left" w:pos="969"/>
        </w:tabs>
        <w:ind w:right="-1"/>
        <w:rPr>
          <w:rFonts w:ascii="Verdana" w:hAnsi="Verdana"/>
          <w:b/>
          <w:sz w:val="20"/>
          <w:lang w:eastAsia="bg-BG"/>
        </w:rPr>
      </w:pPr>
      <w:r w:rsidRPr="00172CA7">
        <w:rPr>
          <w:rFonts w:ascii="Verdana" w:hAnsi="Verdana"/>
          <w:b/>
          <w:sz w:val="20"/>
          <w:lang w:eastAsia="bg-BG"/>
        </w:rPr>
        <w:t>2. Пламен Георгиев Дончев - Зам.-председател на Съвета на директорите;</w:t>
      </w:r>
    </w:p>
    <w:p w14:paraId="4F7F7241" w14:textId="77777777" w:rsidR="00D56F61" w:rsidRPr="00172CA7" w:rsidRDefault="00D56F61" w:rsidP="00D56F61">
      <w:pPr>
        <w:tabs>
          <w:tab w:val="left" w:pos="969"/>
        </w:tabs>
        <w:ind w:right="-1"/>
        <w:rPr>
          <w:rFonts w:ascii="Verdana" w:hAnsi="Verdana"/>
          <w:b/>
          <w:sz w:val="20"/>
          <w:lang w:eastAsia="bg-BG"/>
        </w:rPr>
      </w:pPr>
      <w:r w:rsidRPr="00172CA7">
        <w:rPr>
          <w:rFonts w:ascii="Verdana" w:hAnsi="Verdana"/>
          <w:b/>
          <w:sz w:val="20"/>
          <w:lang w:eastAsia="bg-BG"/>
        </w:rPr>
        <w:t xml:space="preserve">3. Петко Любенов </w:t>
      </w:r>
      <w:proofErr w:type="spellStart"/>
      <w:r w:rsidRPr="00172CA7">
        <w:rPr>
          <w:rFonts w:ascii="Verdana" w:hAnsi="Verdana"/>
          <w:b/>
          <w:sz w:val="20"/>
          <w:lang w:eastAsia="bg-BG"/>
        </w:rPr>
        <w:t>Милевски</w:t>
      </w:r>
      <w:proofErr w:type="spellEnd"/>
      <w:r w:rsidRPr="00172CA7">
        <w:rPr>
          <w:rFonts w:ascii="Verdana" w:hAnsi="Verdana"/>
          <w:b/>
          <w:sz w:val="20"/>
          <w:lang w:eastAsia="bg-BG"/>
        </w:rPr>
        <w:t xml:space="preserve"> – Член на Съвета на директорите;</w:t>
      </w:r>
    </w:p>
    <w:p w14:paraId="4F7F7242" w14:textId="77777777" w:rsidR="00D56F61" w:rsidRPr="00172CA7" w:rsidRDefault="00D56F61" w:rsidP="00D56F61">
      <w:pPr>
        <w:tabs>
          <w:tab w:val="left" w:pos="969"/>
        </w:tabs>
        <w:ind w:right="-1"/>
        <w:rPr>
          <w:rFonts w:ascii="Verdana" w:hAnsi="Verdana"/>
          <w:b/>
          <w:sz w:val="20"/>
          <w:lang w:eastAsia="bg-BG"/>
        </w:rPr>
      </w:pPr>
      <w:r w:rsidRPr="00172CA7">
        <w:rPr>
          <w:rFonts w:ascii="Verdana" w:hAnsi="Verdana"/>
          <w:b/>
          <w:sz w:val="20"/>
          <w:lang w:eastAsia="bg-BG"/>
        </w:rPr>
        <w:t>4. Ивайло Станков Чавдаров – Член на Съвета на директорите;</w:t>
      </w:r>
    </w:p>
    <w:p w14:paraId="4F7F7243" w14:textId="77777777" w:rsidR="00D56F61" w:rsidRPr="00172CA7" w:rsidRDefault="00D56F61" w:rsidP="00D56F61">
      <w:pPr>
        <w:rPr>
          <w:rFonts w:ascii="Verdana" w:hAnsi="Verdana"/>
          <w:b/>
          <w:sz w:val="20"/>
          <w:lang w:eastAsia="bg-BG"/>
        </w:rPr>
      </w:pPr>
      <w:r w:rsidRPr="00172CA7">
        <w:rPr>
          <w:rFonts w:ascii="Verdana" w:hAnsi="Verdana"/>
          <w:b/>
          <w:sz w:val="20"/>
          <w:lang w:eastAsia="bg-BG"/>
        </w:rPr>
        <w:t>5. Михаил Николаев Ковачев – Изпълнителен директор.</w:t>
      </w:r>
    </w:p>
    <w:p w14:paraId="4F7F7244" w14:textId="77777777" w:rsidR="00D56F61" w:rsidRPr="00172CA7" w:rsidRDefault="00D56F61" w:rsidP="00D56F61">
      <w:pPr>
        <w:rPr>
          <w:rFonts w:ascii="Verdana" w:hAnsi="Verdana"/>
          <w:sz w:val="20"/>
          <w:lang w:val="ru-RU" w:eastAsia="bg-BG"/>
        </w:rPr>
      </w:pPr>
    </w:p>
    <w:p w14:paraId="4F7F7245" w14:textId="77777777" w:rsidR="00D56F61" w:rsidRPr="00172CA7" w:rsidRDefault="00D56F61" w:rsidP="00D56F61">
      <w:pPr>
        <w:rPr>
          <w:rFonts w:ascii="Verdana" w:hAnsi="Verdana"/>
          <w:sz w:val="20"/>
          <w:lang w:val="ru-RU" w:eastAsia="bg-BG"/>
        </w:rPr>
      </w:pPr>
      <w:r w:rsidRPr="00172CA7">
        <w:rPr>
          <w:rFonts w:ascii="Verdana" w:hAnsi="Verdana"/>
          <w:b/>
          <w:sz w:val="20"/>
          <w:lang w:val="ru-RU" w:eastAsia="bg-BG"/>
        </w:rPr>
        <w:t>Информация за участие в търговски дружества</w:t>
      </w:r>
      <w:r w:rsidRPr="00172CA7">
        <w:rPr>
          <w:rFonts w:ascii="Verdana" w:hAnsi="Verdana"/>
          <w:sz w:val="20"/>
          <w:lang w:val="ru-RU" w:eastAsia="bg-BG"/>
        </w:rPr>
        <w:t xml:space="preserve"> на членовете на Съвета на директорите - притежаване на повече от 25 на сто от капитала на друго дружество, както и участие в управлението на други дружества като членове на съвети:</w:t>
      </w:r>
    </w:p>
    <w:p w14:paraId="4F7F7246" w14:textId="77777777" w:rsidR="00D56F61" w:rsidRPr="00172CA7" w:rsidRDefault="00D56F61" w:rsidP="00D56F61">
      <w:pPr>
        <w:keepNext/>
        <w:rPr>
          <w:rFonts w:ascii="Verdana" w:hAnsi="Verdana"/>
          <w:sz w:val="20"/>
          <w:lang w:eastAsia="bg-BG"/>
        </w:rPr>
      </w:pPr>
    </w:p>
    <w:p w14:paraId="4F7F7247" w14:textId="77777777" w:rsidR="00D56F61" w:rsidRPr="00172CA7" w:rsidRDefault="00D56F61" w:rsidP="00D56F61">
      <w:pPr>
        <w:keepNext/>
        <w:rPr>
          <w:rFonts w:ascii="Verdana" w:hAnsi="Verdana"/>
          <w:sz w:val="20"/>
          <w:lang w:eastAsia="bg-BG"/>
        </w:rPr>
      </w:pPr>
      <w:r w:rsidRPr="00172CA7">
        <w:rPr>
          <w:rFonts w:ascii="Verdana" w:hAnsi="Verdana"/>
          <w:b/>
          <w:sz w:val="20"/>
          <w:lang w:eastAsia="bg-BG"/>
        </w:rPr>
        <w:t xml:space="preserve">1/ „ОВЕРГАЗ ХОЛДИНГ” АД, </w:t>
      </w:r>
      <w:r w:rsidRPr="00172CA7">
        <w:rPr>
          <w:rFonts w:ascii="Verdana" w:hAnsi="Verdana"/>
          <w:sz w:val="20"/>
          <w:lang w:eastAsia="bg-BG"/>
        </w:rPr>
        <w:t xml:space="preserve">със седалище и адрес на управление: гр. Ямбол, ул. „Цар Симеон” №14А, с адрес за кореспонденция: гр. София, район „Лозенец”, ул. „Филип </w:t>
      </w:r>
      <w:proofErr w:type="spellStart"/>
      <w:r w:rsidRPr="00172CA7">
        <w:rPr>
          <w:rFonts w:ascii="Verdana" w:hAnsi="Verdana"/>
          <w:sz w:val="20"/>
          <w:lang w:eastAsia="bg-BG"/>
        </w:rPr>
        <w:t>Кутев</w:t>
      </w:r>
      <w:proofErr w:type="spellEnd"/>
      <w:r w:rsidRPr="00172CA7">
        <w:rPr>
          <w:rFonts w:ascii="Verdana" w:hAnsi="Verdana"/>
          <w:sz w:val="20"/>
          <w:lang w:eastAsia="bg-BG"/>
        </w:rPr>
        <w:t>” №5</w:t>
      </w:r>
      <w:r w:rsidRPr="00172CA7">
        <w:rPr>
          <w:rFonts w:ascii="Verdana" w:hAnsi="Verdana"/>
          <w:b/>
          <w:sz w:val="20"/>
          <w:lang w:eastAsia="bg-BG"/>
        </w:rPr>
        <w:t xml:space="preserve"> - </w:t>
      </w:r>
      <w:r w:rsidRPr="00172CA7">
        <w:rPr>
          <w:rFonts w:ascii="Verdana" w:hAnsi="Verdana" w:cs="Arial"/>
          <w:b/>
          <w:sz w:val="20"/>
          <w:lang w:eastAsia="bg-BG"/>
        </w:rPr>
        <w:t>Председател на СД</w:t>
      </w:r>
      <w:r w:rsidRPr="00172CA7">
        <w:rPr>
          <w:rFonts w:ascii="Verdana" w:hAnsi="Verdana"/>
          <w:b/>
          <w:sz w:val="20"/>
          <w:lang w:eastAsia="bg-BG"/>
        </w:rPr>
        <w:t>:</w:t>
      </w:r>
    </w:p>
    <w:p w14:paraId="4F7F7248" w14:textId="77777777" w:rsidR="00D56F61" w:rsidRPr="00172CA7" w:rsidRDefault="00D56F61" w:rsidP="00D56F61">
      <w:pPr>
        <w:rPr>
          <w:rFonts w:ascii="Verdana" w:hAnsi="Verdana"/>
          <w:b/>
          <w:sz w:val="20"/>
          <w:lang w:val="en-US" w:eastAsia="bg-BG"/>
        </w:rPr>
      </w:pPr>
    </w:p>
    <w:p w14:paraId="4F7F7249" w14:textId="77777777" w:rsidR="00D56F61" w:rsidRPr="00172CA7" w:rsidRDefault="00D56F61" w:rsidP="00D56F61">
      <w:pPr>
        <w:rPr>
          <w:rFonts w:ascii="Verdana" w:hAnsi="Verdana"/>
          <w:b/>
          <w:sz w:val="20"/>
          <w:u w:val="single"/>
          <w:lang w:val="en-US"/>
        </w:rPr>
      </w:pPr>
      <w:r w:rsidRPr="00172CA7">
        <w:rPr>
          <w:rFonts w:ascii="Verdana" w:hAnsi="Verdana"/>
          <w:b/>
          <w:sz w:val="20"/>
          <w:u w:val="single"/>
        </w:rPr>
        <w:t>1. Не участва като неограничено отговорен съдружник в търговски дружества.</w:t>
      </w:r>
    </w:p>
    <w:p w14:paraId="4F7F724A" w14:textId="77777777" w:rsidR="00D56F61" w:rsidRPr="00172CA7" w:rsidRDefault="00D56F61" w:rsidP="00D56F61">
      <w:pPr>
        <w:rPr>
          <w:rFonts w:ascii="Verdana" w:hAnsi="Verdana"/>
          <w:b/>
          <w:sz w:val="20"/>
          <w:u w:val="single"/>
          <w:lang w:val="en-US"/>
        </w:rPr>
      </w:pPr>
    </w:p>
    <w:p w14:paraId="4F7F724B" w14:textId="77777777" w:rsidR="00D56F61" w:rsidRPr="00172CA7" w:rsidRDefault="00D56F61" w:rsidP="00D56F61">
      <w:pPr>
        <w:rPr>
          <w:rFonts w:ascii="Verdana" w:hAnsi="Verdana"/>
          <w:b/>
          <w:sz w:val="20"/>
          <w:u w:val="single"/>
          <w:lang w:val="en-US"/>
        </w:rPr>
      </w:pPr>
      <w:r w:rsidRPr="00172CA7">
        <w:rPr>
          <w:rFonts w:ascii="Verdana" w:hAnsi="Verdana"/>
          <w:b/>
          <w:sz w:val="20"/>
          <w:u w:val="single"/>
        </w:rPr>
        <w:t>2. Притежава повече от 25 на сто от капитала на следните дружества:</w:t>
      </w:r>
    </w:p>
    <w:p w14:paraId="4F7F724C" w14:textId="77777777" w:rsidR="00D56F61" w:rsidRPr="00172CA7" w:rsidRDefault="00D56F61" w:rsidP="00D56F61">
      <w:pPr>
        <w:rPr>
          <w:rFonts w:ascii="Verdana" w:hAnsi="Verdana"/>
          <w:b/>
          <w:color w:val="FF0000"/>
          <w:sz w:val="20"/>
          <w:lang w:val="en-US"/>
        </w:rPr>
      </w:pPr>
    </w:p>
    <w:p w14:paraId="4F7F724D"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Газтек</w:t>
      </w:r>
      <w:proofErr w:type="spellEnd"/>
      <w:r w:rsidRPr="00172CA7">
        <w:rPr>
          <w:rFonts w:ascii="Verdana" w:hAnsi="Verdana"/>
          <w:b/>
          <w:iCs/>
          <w:sz w:val="20"/>
          <w:lang w:eastAsia="ar-SA"/>
        </w:rPr>
        <w:t xml:space="preserve"> БГ” 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831923404</w:t>
      </w:r>
      <w:r w:rsidRPr="00172CA7">
        <w:rPr>
          <w:rFonts w:ascii="Verdana" w:hAnsi="Verdana"/>
          <w:iCs/>
          <w:sz w:val="20"/>
          <w:lang w:eastAsia="ar-SA"/>
        </w:rPr>
        <w:t xml:space="preserve">; </w:t>
      </w:r>
    </w:p>
    <w:p w14:paraId="4F7F724E" w14:textId="77777777" w:rsidR="00D56F61" w:rsidRPr="00172CA7" w:rsidRDefault="00D56F61" w:rsidP="00D56F61">
      <w:pPr>
        <w:rPr>
          <w:rFonts w:ascii="Verdana" w:hAnsi="Verdana"/>
          <w:b/>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„Овергаз Инженеринг” АД,</w:t>
      </w:r>
      <w:r w:rsidRPr="00172CA7">
        <w:rPr>
          <w:rFonts w:ascii="Verdana" w:hAnsi="Verdana"/>
          <w:sz w:val="20"/>
        </w:rPr>
        <w:t>със седалище и адрес на управление: гр. Ямбол, ул. „Цар Симеон” №14А, с ЕИК 838102661</w:t>
      </w:r>
      <w:r w:rsidRPr="00172CA7">
        <w:rPr>
          <w:rFonts w:ascii="Verdana" w:hAnsi="Verdana"/>
          <w:iCs/>
          <w:sz w:val="20"/>
          <w:lang w:eastAsia="ar-SA"/>
        </w:rPr>
        <w:t>;</w:t>
      </w:r>
    </w:p>
    <w:p w14:paraId="4F7F724F"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lastRenderedPageBreak/>
        <w:t xml:space="preserve">• </w:t>
      </w:r>
      <w:r w:rsidRPr="00172CA7">
        <w:rPr>
          <w:rFonts w:ascii="Verdana" w:hAnsi="Verdana"/>
          <w:b/>
          <w:iCs/>
          <w:sz w:val="20"/>
          <w:lang w:eastAsia="ar-SA"/>
        </w:rPr>
        <w:t>„Овергаз Инк.” 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040845618</w:t>
      </w:r>
      <w:r w:rsidRPr="00172CA7">
        <w:rPr>
          <w:rFonts w:ascii="Verdana" w:hAnsi="Verdana"/>
          <w:iCs/>
          <w:sz w:val="20"/>
          <w:lang w:eastAsia="ar-SA"/>
        </w:rPr>
        <w:t>;</w:t>
      </w:r>
    </w:p>
    <w:p w14:paraId="4F7F7250"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w:t>
      </w:r>
      <w:r w:rsidRPr="00172CA7">
        <w:rPr>
          <w:rFonts w:ascii="Verdana" w:hAnsi="Verdana"/>
          <w:b/>
          <w:iCs/>
          <w:sz w:val="20"/>
          <w:lang w:eastAsia="ar-SA"/>
        </w:rPr>
        <w:t xml:space="preserve"> „Овергаз Капитал” АД, </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121589421</w:t>
      </w:r>
      <w:r w:rsidRPr="00172CA7">
        <w:rPr>
          <w:rFonts w:ascii="Verdana" w:hAnsi="Verdana"/>
          <w:iCs/>
          <w:sz w:val="20"/>
          <w:lang w:eastAsia="ar-SA"/>
        </w:rPr>
        <w:t>;</w:t>
      </w:r>
    </w:p>
    <w:p w14:paraId="4F7F7251"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„Овергаз Техника”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126040166</w:t>
      </w:r>
      <w:r w:rsidRPr="00172CA7">
        <w:rPr>
          <w:rFonts w:ascii="Verdana" w:hAnsi="Verdana"/>
          <w:iCs/>
          <w:sz w:val="20"/>
          <w:lang w:eastAsia="ar-SA"/>
        </w:rPr>
        <w:t>;</w:t>
      </w:r>
    </w:p>
    <w:p w14:paraId="4F7F7252"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Овердрайв</w:t>
      </w:r>
      <w:proofErr w:type="spellEnd"/>
      <w:r w:rsidRPr="00172CA7">
        <w:rPr>
          <w:rFonts w:ascii="Verdana" w:hAnsi="Verdana"/>
          <w:b/>
          <w:iCs/>
          <w:sz w:val="20"/>
          <w:lang w:eastAsia="ar-SA"/>
        </w:rPr>
        <w:t>”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ЕИК131413539</w:t>
      </w:r>
      <w:r w:rsidRPr="00172CA7">
        <w:rPr>
          <w:rFonts w:ascii="Verdana" w:hAnsi="Verdana"/>
          <w:iCs/>
          <w:sz w:val="20"/>
          <w:lang w:eastAsia="ar-SA"/>
        </w:rPr>
        <w:t>;</w:t>
      </w:r>
    </w:p>
    <w:p w14:paraId="4F7F7253" w14:textId="77777777" w:rsidR="00D56F61" w:rsidRPr="00172CA7" w:rsidRDefault="00D56F61" w:rsidP="00D56F61">
      <w:pPr>
        <w:numPr>
          <w:ilvl w:val="0"/>
          <w:numId w:val="27"/>
        </w:numPr>
        <w:tabs>
          <w:tab w:val="left" w:pos="284"/>
        </w:tabs>
        <w:ind w:left="0" w:firstLine="0"/>
        <w:rPr>
          <w:rFonts w:ascii="Verdana" w:hAnsi="Verdana"/>
          <w:iCs/>
          <w:sz w:val="20"/>
          <w:lang w:eastAsia="ar-SA"/>
        </w:rPr>
      </w:pPr>
      <w:r w:rsidRPr="00172CA7">
        <w:rPr>
          <w:rFonts w:ascii="Verdana" w:hAnsi="Verdana"/>
          <w:b/>
          <w:iCs/>
          <w:sz w:val="20"/>
          <w:lang w:eastAsia="ar-SA"/>
        </w:rPr>
        <w:t>„</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w:t>
      </w:r>
      <w:proofErr w:type="spellStart"/>
      <w:r w:rsidRPr="00172CA7">
        <w:rPr>
          <w:rFonts w:ascii="Verdana" w:hAnsi="Verdana"/>
          <w:b/>
          <w:iCs/>
          <w:sz w:val="20"/>
          <w:lang w:eastAsia="ar-SA"/>
        </w:rPr>
        <w:t>Секюрити</w:t>
      </w:r>
      <w:proofErr w:type="spellEnd"/>
      <w:r w:rsidRPr="00172CA7">
        <w:rPr>
          <w:rFonts w:ascii="Verdana" w:hAnsi="Verdana"/>
          <w:b/>
          <w:iCs/>
          <w:sz w:val="20"/>
          <w:lang w:eastAsia="ar-SA"/>
        </w:rPr>
        <w:t>“ АД</w:t>
      </w:r>
      <w:r w:rsidRPr="00172CA7">
        <w:rPr>
          <w:rFonts w:ascii="Verdana" w:hAnsi="Verdana"/>
          <w:iCs/>
          <w:sz w:val="20"/>
          <w:lang w:eastAsia="ar-SA"/>
        </w:rPr>
        <w:t>,</w:t>
      </w:r>
      <w:r w:rsidRPr="00172CA7">
        <w:rPr>
          <w:rFonts w:ascii="Verdana" w:hAnsi="Verdana"/>
          <w:sz w:val="20"/>
        </w:rPr>
        <w:t xml:space="preserve"> 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200535777;</w:t>
      </w:r>
    </w:p>
    <w:p w14:paraId="4F7F7254"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Транс”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ЕИК130492551</w:t>
      </w:r>
      <w:r w:rsidRPr="00172CA7">
        <w:rPr>
          <w:rFonts w:ascii="Verdana" w:hAnsi="Verdana"/>
          <w:iCs/>
          <w:sz w:val="20"/>
          <w:lang w:eastAsia="ar-SA"/>
        </w:rPr>
        <w:t>;</w:t>
      </w:r>
    </w:p>
    <w:p w14:paraId="4F7F7255"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w:t>
      </w:r>
      <w:r w:rsidRPr="00172CA7">
        <w:rPr>
          <w:rFonts w:ascii="Verdana" w:hAnsi="Verdana"/>
          <w:b/>
          <w:iCs/>
          <w:sz w:val="20"/>
          <w:lang w:eastAsia="ar-SA"/>
        </w:rPr>
        <w:t>„Ренесанс” АД,</w:t>
      </w:r>
      <w:r w:rsidRPr="00172CA7">
        <w:rPr>
          <w:rFonts w:ascii="Verdana" w:hAnsi="Verdana"/>
          <w:sz w:val="20"/>
        </w:rPr>
        <w:t xml:space="preserve">със седалище и адрес на управление: гр. Ямбол, </w:t>
      </w:r>
      <w:r w:rsidRPr="00172CA7">
        <w:rPr>
          <w:rFonts w:ascii="Verdana" w:hAnsi="Verdana"/>
          <w:sz w:val="20"/>
        </w:rPr>
        <w:br/>
        <w:t xml:space="preserve">ул. „Цар Симеон” № 14А, с ЕИК </w:t>
      </w:r>
      <w:r w:rsidRPr="00172CA7">
        <w:rPr>
          <w:rFonts w:ascii="Verdana" w:hAnsi="Verdana"/>
          <w:sz w:val="20"/>
          <w:lang w:val="ru-RU"/>
        </w:rPr>
        <w:t>128566083</w:t>
      </w:r>
      <w:r w:rsidRPr="00172CA7">
        <w:rPr>
          <w:rFonts w:ascii="Verdana" w:hAnsi="Verdana"/>
          <w:iCs/>
          <w:sz w:val="20"/>
          <w:lang w:eastAsia="ar-SA"/>
        </w:rPr>
        <w:t>;</w:t>
      </w:r>
    </w:p>
    <w:p w14:paraId="4F7F7256" w14:textId="77777777" w:rsidR="00D56F61" w:rsidRPr="00172CA7" w:rsidRDefault="00D56F61" w:rsidP="00D56F61">
      <w:pPr>
        <w:rPr>
          <w:rFonts w:ascii="Verdana" w:hAnsi="Verdana"/>
          <w:iCs/>
          <w:sz w:val="20"/>
          <w:lang w:val="en-US" w:eastAsia="ar-SA"/>
        </w:rPr>
      </w:pPr>
      <w:r w:rsidRPr="00172CA7">
        <w:rPr>
          <w:rFonts w:ascii="Verdana" w:hAnsi="Verdana"/>
          <w:iCs/>
          <w:sz w:val="20"/>
          <w:lang w:eastAsia="ar-SA"/>
        </w:rPr>
        <w:t xml:space="preserve">• </w:t>
      </w:r>
      <w:r>
        <w:rPr>
          <w:rFonts w:ascii="Verdana" w:hAnsi="Verdana"/>
          <w:b/>
          <w:iCs/>
          <w:sz w:val="20"/>
          <w:lang w:eastAsia="ar-SA"/>
        </w:rPr>
        <w:t xml:space="preserve">„Топлофикация – Разград” </w:t>
      </w:r>
      <w:r w:rsidRPr="00172CA7">
        <w:rPr>
          <w:rFonts w:ascii="Verdana" w:hAnsi="Verdana"/>
          <w:b/>
          <w:iCs/>
          <w:sz w:val="20"/>
          <w:lang w:eastAsia="ar-SA"/>
        </w:rPr>
        <w:t>АД,</w:t>
      </w:r>
      <w:r w:rsidRPr="00172CA7">
        <w:rPr>
          <w:rFonts w:ascii="Verdana" w:hAnsi="Verdana"/>
          <w:sz w:val="20"/>
        </w:rPr>
        <w:t>със седалище и адрес на управление: гр. Разград, Индустриална зона, ул. „Черна”, с ЕИК 116019472</w:t>
      </w:r>
      <w:r w:rsidRPr="00172CA7">
        <w:rPr>
          <w:rFonts w:ascii="Verdana" w:hAnsi="Verdana"/>
          <w:iCs/>
          <w:sz w:val="20"/>
          <w:lang w:val="en-US" w:eastAsia="ar-SA"/>
        </w:rPr>
        <w:t>;</w:t>
      </w:r>
    </w:p>
    <w:p w14:paraId="4F7F7257" w14:textId="77777777" w:rsidR="00D56F61" w:rsidRPr="002030FC" w:rsidRDefault="00D56F61" w:rsidP="00D56F61">
      <w:pPr>
        <w:numPr>
          <w:ilvl w:val="0"/>
          <w:numId w:val="26"/>
        </w:numPr>
        <w:tabs>
          <w:tab w:val="left" w:pos="284"/>
        </w:tabs>
        <w:ind w:left="0" w:hanging="11"/>
        <w:rPr>
          <w:rFonts w:ascii="Verdana" w:hAnsi="Verdana"/>
          <w:iCs/>
          <w:sz w:val="20"/>
          <w:lang w:val="en-US" w:eastAsia="ar-SA"/>
        </w:rPr>
      </w:pPr>
      <w:r w:rsidRPr="002030FC">
        <w:rPr>
          <w:rFonts w:ascii="Verdana" w:hAnsi="Verdana"/>
          <w:b/>
          <w:iCs/>
          <w:sz w:val="20"/>
          <w:lang w:eastAsia="ar-SA"/>
        </w:rPr>
        <w:t>„</w:t>
      </w:r>
      <w:proofErr w:type="spellStart"/>
      <w:r w:rsidRPr="002030FC">
        <w:rPr>
          <w:rFonts w:ascii="Verdana" w:hAnsi="Verdana"/>
          <w:b/>
          <w:iCs/>
          <w:sz w:val="20"/>
          <w:lang w:eastAsia="ar-SA"/>
        </w:rPr>
        <w:t>Деком-София</w:t>
      </w:r>
      <w:proofErr w:type="spellEnd"/>
      <w:r w:rsidRPr="002030FC">
        <w:rPr>
          <w:rFonts w:ascii="Verdana" w:hAnsi="Verdana"/>
          <w:b/>
          <w:iCs/>
          <w:sz w:val="20"/>
          <w:lang w:eastAsia="ar-SA"/>
        </w:rPr>
        <w:t xml:space="preserve">“ ЕООД, </w:t>
      </w:r>
      <w:r w:rsidRPr="002030FC">
        <w:rPr>
          <w:rFonts w:ascii="Verdana" w:hAnsi="Verdana"/>
          <w:iCs/>
          <w:sz w:val="20"/>
          <w:lang w:eastAsia="ar-SA"/>
        </w:rPr>
        <w:t>със седалище и адрес на управление</w:t>
      </w:r>
      <w:r w:rsidRPr="002030FC">
        <w:rPr>
          <w:rFonts w:ascii="Verdana" w:hAnsi="Verdana"/>
          <w:sz w:val="20"/>
        </w:rPr>
        <w:t xml:space="preserve">: </w:t>
      </w:r>
      <w:r w:rsidRPr="002030FC">
        <w:rPr>
          <w:rFonts w:ascii="Verdana" w:hAnsi="Verdana"/>
          <w:sz w:val="20"/>
          <w:lang w:val="ru-RU"/>
        </w:rPr>
        <w:t>гр. София</w:t>
      </w:r>
      <w:r w:rsidRPr="002030FC">
        <w:rPr>
          <w:rFonts w:ascii="Verdana" w:hAnsi="Verdana"/>
          <w:sz w:val="20"/>
        </w:rPr>
        <w:t xml:space="preserve">, </w:t>
      </w:r>
      <w:r w:rsidRPr="002030FC">
        <w:rPr>
          <w:rFonts w:ascii="Verdana" w:hAnsi="Verdana"/>
          <w:iCs/>
          <w:sz w:val="20"/>
          <w:lang w:eastAsia="ar-SA"/>
        </w:rPr>
        <w:t xml:space="preserve">район „Лозенец”, бул. „Джеймс </w:t>
      </w:r>
      <w:proofErr w:type="spellStart"/>
      <w:r w:rsidRPr="002030FC">
        <w:rPr>
          <w:rFonts w:ascii="Verdana" w:hAnsi="Verdana"/>
          <w:iCs/>
          <w:sz w:val="20"/>
          <w:lang w:eastAsia="ar-SA"/>
        </w:rPr>
        <w:t>Баучер</w:t>
      </w:r>
      <w:proofErr w:type="spellEnd"/>
      <w:r w:rsidRPr="002030FC">
        <w:rPr>
          <w:rFonts w:ascii="Verdana" w:hAnsi="Verdana"/>
          <w:iCs/>
          <w:sz w:val="20"/>
          <w:lang w:eastAsia="ar-SA"/>
        </w:rPr>
        <w:t>“ №51, с ЕИК 831455302;</w:t>
      </w:r>
    </w:p>
    <w:p w14:paraId="4F7F7258" w14:textId="77777777" w:rsidR="00D56F61" w:rsidRPr="002030FC" w:rsidRDefault="00D56F61" w:rsidP="00D56F61">
      <w:pPr>
        <w:numPr>
          <w:ilvl w:val="0"/>
          <w:numId w:val="26"/>
        </w:numPr>
        <w:tabs>
          <w:tab w:val="left" w:pos="284"/>
        </w:tabs>
        <w:ind w:left="0" w:hanging="11"/>
        <w:rPr>
          <w:rFonts w:ascii="Verdana" w:hAnsi="Verdana"/>
          <w:iCs/>
          <w:sz w:val="20"/>
          <w:lang w:val="en-US" w:eastAsia="ar-SA"/>
        </w:rPr>
      </w:pPr>
      <w:r w:rsidRPr="002030FC">
        <w:rPr>
          <w:rFonts w:ascii="Verdana" w:hAnsi="Verdana"/>
          <w:b/>
          <w:iCs/>
          <w:sz w:val="20"/>
          <w:lang w:eastAsia="ar-SA"/>
        </w:rPr>
        <w:t>„</w:t>
      </w:r>
      <w:proofErr w:type="spellStart"/>
      <w:r w:rsidRPr="002030FC">
        <w:rPr>
          <w:rFonts w:ascii="Verdana" w:hAnsi="Verdana"/>
          <w:b/>
          <w:iCs/>
          <w:sz w:val="20"/>
          <w:lang w:eastAsia="ar-SA"/>
        </w:rPr>
        <w:t>Екоклима-проект</w:t>
      </w:r>
      <w:proofErr w:type="spellEnd"/>
      <w:r w:rsidRPr="002030FC">
        <w:rPr>
          <w:rFonts w:ascii="Verdana" w:hAnsi="Verdana"/>
          <w:b/>
          <w:iCs/>
          <w:sz w:val="20"/>
          <w:lang w:eastAsia="ar-SA"/>
        </w:rPr>
        <w:t>“ ЕООД,</w:t>
      </w:r>
      <w:r w:rsidRPr="002030FC">
        <w:rPr>
          <w:rFonts w:ascii="Verdana" w:hAnsi="Verdana"/>
          <w:iCs/>
          <w:sz w:val="20"/>
          <w:lang w:eastAsia="ar-SA"/>
        </w:rPr>
        <w:t xml:space="preserve"> със седалище и адрес на управление</w:t>
      </w:r>
      <w:r w:rsidRPr="002030FC">
        <w:rPr>
          <w:rFonts w:ascii="Verdana" w:hAnsi="Verdana"/>
          <w:sz w:val="20"/>
        </w:rPr>
        <w:t>: гр.  Бургас, ул. „Одрин“ №3, с ЕИК 102915916.</w:t>
      </w:r>
    </w:p>
    <w:p w14:paraId="4F7F7259" w14:textId="77777777" w:rsidR="00D56F61" w:rsidRPr="00172CA7" w:rsidRDefault="00D56F61" w:rsidP="00D56F61">
      <w:pPr>
        <w:rPr>
          <w:rFonts w:ascii="Verdana" w:hAnsi="Verdana"/>
          <w:sz w:val="20"/>
          <w:lang w:val="en-US"/>
        </w:rPr>
      </w:pPr>
    </w:p>
    <w:p w14:paraId="4F7F725A" w14:textId="77777777" w:rsidR="00D56F61" w:rsidRPr="00172CA7" w:rsidRDefault="00D56F61" w:rsidP="00D56F61">
      <w:pPr>
        <w:rPr>
          <w:rFonts w:ascii="Verdana" w:hAnsi="Verdana"/>
          <w:b/>
          <w:sz w:val="20"/>
          <w:u w:val="single"/>
          <w:lang w:val="en-US"/>
        </w:rPr>
      </w:pPr>
      <w:r w:rsidRPr="00172CA7">
        <w:rPr>
          <w:rFonts w:ascii="Verdana" w:hAnsi="Verdana"/>
          <w:b/>
          <w:sz w:val="20"/>
          <w:u w:val="single"/>
        </w:rPr>
        <w:t>3. Участва в управлението на търговски дружества като член на съвет, а именно:</w:t>
      </w:r>
    </w:p>
    <w:p w14:paraId="4F7F725B"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 „</w:t>
      </w:r>
      <w:proofErr w:type="spellStart"/>
      <w:r w:rsidRPr="00172CA7">
        <w:rPr>
          <w:rFonts w:ascii="Verdana" w:hAnsi="Verdana"/>
          <w:b/>
          <w:iCs/>
          <w:sz w:val="20"/>
          <w:lang w:eastAsia="ar-SA"/>
        </w:rPr>
        <w:t>Адвентчър</w:t>
      </w:r>
      <w:proofErr w:type="spellEnd"/>
      <w:r w:rsidRPr="00172CA7">
        <w:rPr>
          <w:rFonts w:ascii="Verdana" w:hAnsi="Verdana"/>
          <w:iCs/>
          <w:sz w:val="20"/>
          <w:lang w:eastAsia="ar-SA"/>
        </w:rPr>
        <w:t>“ АД, със седалище и адрес на управление:</w:t>
      </w:r>
      <w:r w:rsidRPr="00172CA7">
        <w:rPr>
          <w:rFonts w:ascii="Verdana" w:hAnsi="Verdana"/>
          <w:sz w:val="20"/>
          <w:lang w:val="ru-RU"/>
        </w:rPr>
        <w:t xml:space="preserve"> .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131266085;</w:t>
      </w:r>
    </w:p>
    <w:p w14:paraId="4F7F725C" w14:textId="77777777" w:rsidR="00D56F61" w:rsidRPr="00172CA7" w:rsidRDefault="00D56F61" w:rsidP="00D56F61">
      <w:pPr>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„Овергаз Инженеринг” АД,</w:t>
      </w:r>
      <w:r w:rsidRPr="00172CA7">
        <w:rPr>
          <w:rFonts w:ascii="Verdana" w:hAnsi="Verdana"/>
          <w:sz w:val="20"/>
        </w:rPr>
        <w:t>със седалище и адрес на управление: гр. Ямбол, ул. „Цар Симеон” №14А, с ЕИК 838102661;</w:t>
      </w:r>
    </w:p>
    <w:p w14:paraId="4F7F725D" w14:textId="77777777" w:rsidR="00D56F61" w:rsidRPr="00172CA7" w:rsidRDefault="00D56F61" w:rsidP="00D56F61">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„Овергаз Техника”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126040166;</w:t>
      </w:r>
    </w:p>
    <w:p w14:paraId="4F7F725E" w14:textId="77777777" w:rsidR="00D56F61" w:rsidRPr="00172CA7" w:rsidRDefault="00D56F61" w:rsidP="00D56F61">
      <w:pPr>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Транс”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ЕИК130492551</w:t>
      </w:r>
      <w:r w:rsidRPr="00172CA7">
        <w:rPr>
          <w:rFonts w:ascii="Verdana" w:hAnsi="Verdana"/>
          <w:sz w:val="20"/>
        </w:rPr>
        <w:t>;</w:t>
      </w:r>
    </w:p>
    <w:p w14:paraId="4F7F725F" w14:textId="77777777" w:rsidR="00D56F61" w:rsidRPr="00172CA7" w:rsidRDefault="00D56F61" w:rsidP="00D56F61">
      <w:pPr>
        <w:rPr>
          <w:rFonts w:ascii="Verdana" w:hAnsi="Verdana"/>
          <w:iCs/>
          <w:sz w:val="20"/>
          <w:lang w:eastAsia="ar-SA"/>
        </w:rPr>
      </w:pPr>
      <w:r w:rsidRPr="00172CA7">
        <w:rPr>
          <w:rFonts w:ascii="Verdana" w:hAnsi="Verdana"/>
          <w:iCs/>
          <w:sz w:val="20"/>
          <w:lang w:eastAsia="ar-SA"/>
        </w:rPr>
        <w:t>•</w:t>
      </w:r>
      <w:r w:rsidRPr="00172CA7">
        <w:rPr>
          <w:rFonts w:ascii="Verdana" w:hAnsi="Verdana"/>
          <w:b/>
          <w:iCs/>
          <w:sz w:val="20"/>
          <w:lang w:eastAsia="ar-SA"/>
        </w:rPr>
        <w:t xml:space="preserve"> „</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w:t>
      </w:r>
      <w:proofErr w:type="spellStart"/>
      <w:r w:rsidRPr="00172CA7">
        <w:rPr>
          <w:rFonts w:ascii="Verdana" w:hAnsi="Verdana"/>
          <w:b/>
          <w:iCs/>
          <w:sz w:val="20"/>
          <w:lang w:eastAsia="ar-SA"/>
        </w:rPr>
        <w:t>Секюрити</w:t>
      </w:r>
      <w:proofErr w:type="spellEnd"/>
      <w:r w:rsidRPr="00172CA7">
        <w:rPr>
          <w:rFonts w:ascii="Verdana" w:hAnsi="Verdana"/>
          <w:b/>
          <w:iCs/>
          <w:sz w:val="20"/>
          <w:lang w:eastAsia="ar-SA"/>
        </w:rPr>
        <w:t>“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с ЕИК 200535777; </w:t>
      </w:r>
    </w:p>
    <w:p w14:paraId="4F7F7260" w14:textId="77777777" w:rsidR="00D56F61" w:rsidRPr="00172CA7" w:rsidRDefault="00D56F61" w:rsidP="00D56F61">
      <w:pPr>
        <w:rPr>
          <w:rFonts w:ascii="Verdana" w:hAnsi="Verdana"/>
          <w:b/>
          <w:iCs/>
          <w:sz w:val="20"/>
          <w:lang w:eastAsia="ar-SA"/>
        </w:rPr>
      </w:pPr>
      <w:r w:rsidRPr="00172CA7">
        <w:rPr>
          <w:rFonts w:ascii="Verdana" w:hAnsi="Verdana"/>
          <w:iCs/>
          <w:sz w:val="20"/>
          <w:lang w:eastAsia="ar-SA"/>
        </w:rPr>
        <w:t>•</w:t>
      </w:r>
      <w:r>
        <w:rPr>
          <w:rFonts w:ascii="Verdana" w:hAnsi="Verdana"/>
          <w:b/>
          <w:iCs/>
          <w:sz w:val="20"/>
          <w:lang w:eastAsia="ar-SA"/>
        </w:rPr>
        <w:t xml:space="preserve"> „Топлофикация – Разград” </w:t>
      </w:r>
      <w:r w:rsidRPr="00172CA7">
        <w:rPr>
          <w:rFonts w:ascii="Verdana" w:hAnsi="Verdana"/>
          <w:b/>
          <w:iCs/>
          <w:sz w:val="20"/>
          <w:lang w:eastAsia="ar-SA"/>
        </w:rPr>
        <w:t>АД,</w:t>
      </w:r>
      <w:r w:rsidRPr="00172CA7">
        <w:rPr>
          <w:rFonts w:ascii="Verdana" w:hAnsi="Verdana"/>
          <w:sz w:val="20"/>
        </w:rPr>
        <w:t>със седалище и адрес на управление: гр. Разград, Индустриална зона, ул. „Черна”, с ЕИК 116019472;</w:t>
      </w:r>
    </w:p>
    <w:p w14:paraId="4F7F7261" w14:textId="77777777" w:rsidR="00D56F61" w:rsidRPr="00172CA7" w:rsidRDefault="00D56F61" w:rsidP="00D56F61">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Резиденшъл</w:t>
      </w:r>
      <w:proofErr w:type="spellEnd"/>
      <w:r w:rsidRPr="00172CA7">
        <w:rPr>
          <w:rFonts w:ascii="Verdana" w:hAnsi="Verdana"/>
          <w:b/>
          <w:iCs/>
          <w:sz w:val="20"/>
          <w:lang w:eastAsia="ar-SA"/>
        </w:rPr>
        <w:t xml:space="preserve"> Парк Елин Пелин” ЕАД,</w:t>
      </w:r>
      <w:r w:rsidRPr="00172CA7">
        <w:rPr>
          <w:rFonts w:ascii="Verdana" w:hAnsi="Verdana"/>
          <w:sz w:val="20"/>
        </w:rPr>
        <w:t xml:space="preserve">със седалище и адрес на управление: </w:t>
      </w:r>
      <w:r w:rsidRPr="00172CA7">
        <w:rPr>
          <w:rFonts w:ascii="Verdana" w:hAnsi="Verdana"/>
          <w:sz w:val="20"/>
          <w:lang w:val="ru-RU"/>
        </w:rPr>
        <w:t>гр.</w:t>
      </w:r>
      <w:r w:rsidRPr="00172CA7">
        <w:rPr>
          <w:rFonts w:ascii="Verdana" w:hAnsi="Verdana"/>
          <w:sz w:val="20"/>
        </w:rPr>
        <w:t> </w:t>
      </w:r>
      <w:r w:rsidRPr="00172CA7">
        <w:rPr>
          <w:rFonts w:ascii="Verdana" w:hAnsi="Verdana"/>
          <w:sz w:val="20"/>
          <w:lang w:val="ru-RU"/>
        </w:rPr>
        <w:t>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w:t>
      </w:r>
      <w:r w:rsidRPr="00172CA7">
        <w:rPr>
          <w:rFonts w:ascii="Verdana" w:hAnsi="Verdana"/>
          <w:sz w:val="20"/>
        </w:rPr>
        <w:t xml:space="preserve"> 200507870;</w:t>
      </w:r>
    </w:p>
    <w:p w14:paraId="4F7F7262" w14:textId="77777777" w:rsidR="00D56F61" w:rsidRPr="00172CA7" w:rsidRDefault="00D56F61" w:rsidP="00D56F61">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„Пчелин” ЕАД,</w:t>
      </w:r>
      <w:r w:rsidRPr="00172CA7">
        <w:rPr>
          <w:rFonts w:ascii="Verdana" w:hAnsi="Verdana"/>
          <w:sz w:val="20"/>
        </w:rPr>
        <w:t>със седалище и адрес на управление: с. Пчелин, община Костенец, к.</w:t>
      </w:r>
      <w:proofErr w:type="spellStart"/>
      <w:r w:rsidRPr="00172CA7">
        <w:rPr>
          <w:rFonts w:ascii="Verdana" w:hAnsi="Verdana"/>
          <w:sz w:val="20"/>
        </w:rPr>
        <w:t>к</w:t>
      </w:r>
      <w:proofErr w:type="spellEnd"/>
      <w:r w:rsidRPr="00172CA7">
        <w:rPr>
          <w:rFonts w:ascii="Verdana" w:hAnsi="Verdana"/>
          <w:sz w:val="20"/>
        </w:rPr>
        <w:t>. „</w:t>
      </w:r>
      <w:proofErr w:type="spellStart"/>
      <w:r w:rsidRPr="00172CA7">
        <w:rPr>
          <w:rFonts w:ascii="Verdana" w:hAnsi="Verdana"/>
          <w:sz w:val="20"/>
        </w:rPr>
        <w:t>Пчелински</w:t>
      </w:r>
      <w:proofErr w:type="spellEnd"/>
      <w:r w:rsidRPr="00172CA7">
        <w:rPr>
          <w:rFonts w:ascii="Verdana" w:hAnsi="Verdana"/>
          <w:sz w:val="20"/>
        </w:rPr>
        <w:t xml:space="preserve"> бани”, с ЕИК 131461758;</w:t>
      </w:r>
    </w:p>
    <w:p w14:paraId="4F7F7263" w14:textId="77777777" w:rsidR="00D56F61" w:rsidRPr="00172CA7" w:rsidRDefault="00D56F61" w:rsidP="00D56F61">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„Индустриален Парк Елин Пелин” АД,</w:t>
      </w:r>
      <w:r w:rsidRPr="00172CA7">
        <w:rPr>
          <w:rFonts w:ascii="Verdana" w:hAnsi="Verdana"/>
          <w:sz w:val="20"/>
        </w:rPr>
        <w:t xml:space="preserve">със седалище и адрес на управление: </w:t>
      </w:r>
      <w:r w:rsidRPr="00172CA7">
        <w:rPr>
          <w:rFonts w:ascii="Verdana" w:hAnsi="Verdana"/>
          <w:sz w:val="20"/>
          <w:lang w:val="ru-RU"/>
        </w:rPr>
        <w:t>гр.</w:t>
      </w:r>
      <w:r w:rsidRPr="00172CA7">
        <w:rPr>
          <w:rFonts w:ascii="Verdana" w:hAnsi="Verdana"/>
          <w:sz w:val="20"/>
        </w:rPr>
        <w:t> </w:t>
      </w:r>
      <w:r w:rsidRPr="00172CA7">
        <w:rPr>
          <w:rFonts w:ascii="Verdana" w:hAnsi="Verdana"/>
          <w:sz w:val="20"/>
          <w:lang w:val="ru-RU"/>
        </w:rPr>
        <w:t>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w:t>
      </w:r>
      <w:r w:rsidRPr="00172CA7">
        <w:rPr>
          <w:rFonts w:ascii="Verdana" w:hAnsi="Verdana"/>
          <w:sz w:val="20"/>
        </w:rPr>
        <w:t xml:space="preserve"> 131448853.</w:t>
      </w:r>
    </w:p>
    <w:p w14:paraId="4F7F7264" w14:textId="77777777" w:rsidR="00D56F61" w:rsidRPr="00172CA7" w:rsidRDefault="00D56F61" w:rsidP="00D56F61">
      <w:pPr>
        <w:rPr>
          <w:rFonts w:ascii="Verdana" w:hAnsi="Verdana"/>
          <w:sz w:val="20"/>
          <w:lang w:eastAsia="bg-BG"/>
        </w:rPr>
      </w:pPr>
    </w:p>
    <w:p w14:paraId="4F7F7265" w14:textId="77777777" w:rsidR="00D56F61" w:rsidRPr="00172CA7" w:rsidRDefault="00D56F61" w:rsidP="00D56F61">
      <w:pPr>
        <w:rPr>
          <w:rFonts w:ascii="Verdana" w:hAnsi="Verdana"/>
          <w:b/>
          <w:sz w:val="20"/>
          <w:lang w:val="ru-RU" w:eastAsia="bg-BG"/>
        </w:rPr>
      </w:pPr>
    </w:p>
    <w:p w14:paraId="4F7F7266" w14:textId="77777777" w:rsidR="00D56F61" w:rsidRPr="00172CA7" w:rsidRDefault="00D56F61" w:rsidP="00D56F61">
      <w:pPr>
        <w:keepNext/>
        <w:rPr>
          <w:rFonts w:ascii="Verdana" w:hAnsi="Verdana"/>
          <w:b/>
          <w:sz w:val="20"/>
          <w:lang w:val="ru-RU"/>
        </w:rPr>
      </w:pPr>
      <w:r w:rsidRPr="00172CA7">
        <w:rPr>
          <w:rFonts w:ascii="Verdana" w:hAnsi="Verdana"/>
          <w:b/>
          <w:sz w:val="20"/>
          <w:lang w:val="ru-RU"/>
        </w:rPr>
        <w:t xml:space="preserve">2/ </w:t>
      </w:r>
      <w:r>
        <w:rPr>
          <w:rFonts w:ascii="Verdana" w:hAnsi="Verdana"/>
          <w:b/>
          <w:sz w:val="20"/>
        </w:rPr>
        <w:t xml:space="preserve">ПЛАМЕН ГЕОРГИЕВ ДОНЧЕВ </w:t>
      </w:r>
      <w:r w:rsidRPr="00172CA7">
        <w:rPr>
          <w:rFonts w:ascii="Verdana" w:hAnsi="Verdana"/>
          <w:sz w:val="20"/>
        </w:rPr>
        <w:t xml:space="preserve">– </w:t>
      </w:r>
      <w:r w:rsidRPr="00172CA7">
        <w:rPr>
          <w:rFonts w:ascii="Verdana" w:hAnsi="Verdana"/>
          <w:b/>
          <w:sz w:val="20"/>
        </w:rPr>
        <w:t>Зам.-председател на Съвета на директорите:</w:t>
      </w:r>
    </w:p>
    <w:p w14:paraId="4F7F7267" w14:textId="77777777" w:rsidR="00D56F61" w:rsidRPr="00172CA7" w:rsidRDefault="00D56F61" w:rsidP="00D56F61">
      <w:pPr>
        <w:keepNext/>
        <w:rPr>
          <w:rFonts w:ascii="Verdana" w:hAnsi="Verdana"/>
          <w:b/>
          <w:sz w:val="20"/>
          <w:lang w:val="ru-RU"/>
        </w:rPr>
      </w:pPr>
    </w:p>
    <w:p w14:paraId="4F7F7268" w14:textId="77777777" w:rsidR="00D56F61" w:rsidRPr="00172CA7" w:rsidRDefault="00D56F61" w:rsidP="00D56F61">
      <w:pPr>
        <w:keepNext/>
        <w:rPr>
          <w:rFonts w:ascii="Verdana" w:hAnsi="Verdana"/>
          <w:b/>
          <w:sz w:val="20"/>
          <w:u w:val="single"/>
        </w:rPr>
      </w:pPr>
      <w:r w:rsidRPr="00172CA7">
        <w:rPr>
          <w:rFonts w:ascii="Verdana" w:hAnsi="Verdana"/>
          <w:b/>
          <w:sz w:val="20"/>
          <w:u w:val="single"/>
        </w:rPr>
        <w:t>1. Не участва като неограничено отговорен съдружник в търговски дружества.</w:t>
      </w:r>
    </w:p>
    <w:p w14:paraId="4F7F7269" w14:textId="77777777" w:rsidR="00D56F61" w:rsidRPr="00172CA7" w:rsidRDefault="00D56F61" w:rsidP="00D56F61">
      <w:pPr>
        <w:keepNext/>
        <w:rPr>
          <w:rFonts w:ascii="Verdana" w:hAnsi="Verdana"/>
          <w:b/>
          <w:sz w:val="20"/>
          <w:u w:val="single"/>
        </w:rPr>
      </w:pPr>
    </w:p>
    <w:p w14:paraId="4F7F726A" w14:textId="77777777" w:rsidR="00D56F61" w:rsidRPr="00172CA7" w:rsidRDefault="00D56F61" w:rsidP="00D56F61">
      <w:pPr>
        <w:keepNext/>
        <w:rPr>
          <w:rFonts w:ascii="Verdana" w:hAnsi="Verdana"/>
          <w:b/>
          <w:sz w:val="20"/>
        </w:rPr>
      </w:pPr>
      <w:r w:rsidRPr="00172CA7">
        <w:rPr>
          <w:rFonts w:ascii="Verdana" w:hAnsi="Verdana"/>
          <w:b/>
          <w:sz w:val="20"/>
          <w:u w:val="single"/>
        </w:rPr>
        <w:t>2. Не притежава повече от 25 на сто от капитала на дружества.</w:t>
      </w:r>
    </w:p>
    <w:p w14:paraId="4F7F726B" w14:textId="77777777" w:rsidR="00D56F61" w:rsidRPr="00172CA7" w:rsidRDefault="00D56F61" w:rsidP="00D56F61">
      <w:pPr>
        <w:keepNext/>
        <w:rPr>
          <w:rFonts w:ascii="Verdana" w:hAnsi="Verdana"/>
          <w:b/>
          <w:sz w:val="20"/>
          <w:u w:val="single"/>
        </w:rPr>
      </w:pPr>
    </w:p>
    <w:p w14:paraId="4F7F726C" w14:textId="77777777" w:rsidR="00D56F61" w:rsidRPr="00172CA7" w:rsidRDefault="00D56F61" w:rsidP="00D56F61">
      <w:pPr>
        <w:keepNext/>
        <w:rPr>
          <w:rFonts w:ascii="Verdana" w:hAnsi="Verdana"/>
          <w:b/>
          <w:sz w:val="20"/>
          <w:u w:val="single"/>
        </w:rPr>
      </w:pPr>
      <w:r w:rsidRPr="00172CA7">
        <w:rPr>
          <w:rFonts w:ascii="Verdana" w:hAnsi="Verdana"/>
          <w:b/>
          <w:sz w:val="20"/>
          <w:u w:val="single"/>
        </w:rPr>
        <w:t xml:space="preserve">3. Участва в управлението на търговски дружества като </w:t>
      </w:r>
      <w:r w:rsidRPr="00172CA7">
        <w:rPr>
          <w:rFonts w:ascii="Verdana" w:hAnsi="Verdana"/>
          <w:b/>
          <w:sz w:val="20"/>
          <w:u w:val="single"/>
          <w:lang w:eastAsia="bg-BG"/>
        </w:rPr>
        <w:t xml:space="preserve">управител, </w:t>
      </w:r>
      <w:r>
        <w:rPr>
          <w:rFonts w:ascii="Verdana" w:hAnsi="Verdana"/>
          <w:b/>
          <w:sz w:val="20"/>
          <w:u w:val="single"/>
          <w:lang w:eastAsia="bg-BG"/>
        </w:rPr>
        <w:t xml:space="preserve">изпълнителен директор, </w:t>
      </w:r>
      <w:r w:rsidRPr="00172CA7">
        <w:rPr>
          <w:rFonts w:ascii="Verdana" w:hAnsi="Verdana"/>
          <w:b/>
          <w:sz w:val="20"/>
          <w:u w:val="single"/>
          <w:lang w:eastAsia="bg-BG"/>
        </w:rPr>
        <w:t>прокурист, или член на съвет</w:t>
      </w:r>
      <w:r w:rsidRPr="00172CA7">
        <w:rPr>
          <w:rFonts w:ascii="Verdana" w:hAnsi="Verdana"/>
          <w:b/>
          <w:sz w:val="20"/>
          <w:u w:val="single"/>
        </w:rPr>
        <w:t>:</w:t>
      </w:r>
    </w:p>
    <w:p w14:paraId="4F7F726D" w14:textId="77777777" w:rsidR="00D56F61" w:rsidRPr="00172CA7" w:rsidRDefault="00D56F61" w:rsidP="00D56F61">
      <w:pPr>
        <w:keepNext/>
        <w:rPr>
          <w:rFonts w:ascii="Verdana" w:hAnsi="Verdana"/>
          <w:sz w:val="20"/>
        </w:rPr>
      </w:pPr>
    </w:p>
    <w:p w14:paraId="4F7F726E" w14:textId="77777777" w:rsidR="00D56F61" w:rsidRPr="00172CA7" w:rsidRDefault="00D56F61" w:rsidP="00D56F61">
      <w:pPr>
        <w:tabs>
          <w:tab w:val="left" w:pos="426"/>
        </w:tabs>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„Овергаз Холдинг” АД,</w:t>
      </w:r>
      <w:r w:rsidRPr="00172CA7">
        <w:rPr>
          <w:rFonts w:ascii="Verdana" w:hAnsi="Verdana"/>
          <w:sz w:val="20"/>
        </w:rPr>
        <w:t xml:space="preserve">със седалище и адрес на управление: гр. Ямбол, </w:t>
      </w:r>
      <w:r w:rsidRPr="00172CA7">
        <w:rPr>
          <w:rFonts w:ascii="Verdana" w:hAnsi="Verdana"/>
          <w:sz w:val="20"/>
        </w:rPr>
        <w:br/>
        <w:t xml:space="preserve">ул. „Цар Симеон” №14А, с ЕИК </w:t>
      </w:r>
      <w:r w:rsidRPr="00172CA7">
        <w:rPr>
          <w:rFonts w:ascii="Verdana" w:hAnsi="Verdana"/>
          <w:sz w:val="20"/>
          <w:lang w:val="ru-RU"/>
        </w:rPr>
        <w:t>128044092</w:t>
      </w:r>
      <w:r w:rsidRPr="00172CA7">
        <w:rPr>
          <w:rFonts w:ascii="Verdana" w:hAnsi="Verdana"/>
          <w:sz w:val="20"/>
        </w:rPr>
        <w:t>;</w:t>
      </w:r>
    </w:p>
    <w:p w14:paraId="4F7F726F" w14:textId="77777777" w:rsidR="00D56F61" w:rsidRPr="00172CA7" w:rsidRDefault="00D56F61" w:rsidP="00D56F61">
      <w:pPr>
        <w:rPr>
          <w:rFonts w:ascii="Verdana" w:hAnsi="Verdana"/>
          <w:sz w:val="20"/>
        </w:rPr>
      </w:pPr>
      <w:r w:rsidRPr="00172CA7">
        <w:rPr>
          <w:rFonts w:ascii="Verdana" w:hAnsi="Verdana"/>
          <w:iCs/>
          <w:sz w:val="20"/>
          <w:lang w:eastAsia="ar-SA"/>
        </w:rPr>
        <w:lastRenderedPageBreak/>
        <w:t xml:space="preserve">• </w:t>
      </w:r>
      <w:r w:rsidRPr="00172CA7">
        <w:rPr>
          <w:rFonts w:ascii="Verdana" w:hAnsi="Verdana"/>
          <w:b/>
          <w:iCs/>
          <w:sz w:val="20"/>
          <w:lang w:eastAsia="ar-SA"/>
        </w:rPr>
        <w:t>„</w:t>
      </w:r>
      <w:proofErr w:type="spellStart"/>
      <w:r w:rsidRPr="00172CA7">
        <w:rPr>
          <w:rFonts w:ascii="Verdana" w:hAnsi="Verdana"/>
          <w:b/>
          <w:iCs/>
          <w:sz w:val="20"/>
          <w:lang w:eastAsia="ar-SA"/>
        </w:rPr>
        <w:t>Газтек</w:t>
      </w:r>
      <w:proofErr w:type="spellEnd"/>
      <w:r w:rsidRPr="00172CA7">
        <w:rPr>
          <w:rFonts w:ascii="Verdana" w:hAnsi="Verdana"/>
          <w:b/>
          <w:iCs/>
          <w:sz w:val="20"/>
          <w:lang w:eastAsia="ar-SA"/>
        </w:rPr>
        <w:t xml:space="preserve"> БГ” 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831923404;</w:t>
      </w:r>
    </w:p>
    <w:p w14:paraId="4F7F7270" w14:textId="77777777" w:rsidR="00D56F61" w:rsidRPr="00172CA7" w:rsidRDefault="00D56F61" w:rsidP="00D56F61">
      <w:pPr>
        <w:rPr>
          <w:rFonts w:ascii="Verdana" w:hAnsi="Verdana"/>
          <w:sz w:val="20"/>
        </w:rPr>
      </w:pPr>
      <w:r>
        <w:rPr>
          <w:rFonts w:ascii="Verdana" w:hAnsi="Verdana"/>
          <w:iCs/>
          <w:sz w:val="20"/>
          <w:lang w:eastAsia="ar-SA"/>
        </w:rPr>
        <w:t>•</w:t>
      </w:r>
      <w:r w:rsidRPr="00172CA7">
        <w:rPr>
          <w:rFonts w:ascii="Verdana" w:hAnsi="Verdana"/>
          <w:b/>
          <w:iCs/>
          <w:sz w:val="20"/>
          <w:lang w:eastAsia="ar-SA"/>
        </w:rPr>
        <w:t>„Овергаз Техника”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126040166;</w:t>
      </w:r>
    </w:p>
    <w:p w14:paraId="4F7F7271" w14:textId="77777777" w:rsidR="00D56F61" w:rsidRDefault="00D56F61" w:rsidP="00D56F61">
      <w:pPr>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Транс”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ЕИК130492551</w:t>
      </w:r>
      <w:r w:rsidRPr="00172CA7">
        <w:rPr>
          <w:rFonts w:ascii="Verdana" w:hAnsi="Verdana"/>
          <w:sz w:val="20"/>
        </w:rPr>
        <w:t>;</w:t>
      </w:r>
    </w:p>
    <w:p w14:paraId="4F7F7272" w14:textId="77777777" w:rsidR="00D56F61" w:rsidRPr="00172CA7" w:rsidRDefault="00D56F61" w:rsidP="00D56F61">
      <w:pPr>
        <w:rPr>
          <w:rFonts w:ascii="Verdana" w:hAnsi="Verdana"/>
          <w:sz w:val="20"/>
        </w:rPr>
      </w:pPr>
      <w:r w:rsidRPr="00172CA7">
        <w:rPr>
          <w:rFonts w:ascii="Verdana" w:hAnsi="Verdana"/>
          <w:iCs/>
          <w:sz w:val="20"/>
          <w:lang w:eastAsia="ar-SA"/>
        </w:rPr>
        <w:t>•</w:t>
      </w:r>
      <w:r w:rsidRPr="000913CA">
        <w:rPr>
          <w:rFonts w:ascii="Verdana" w:hAnsi="Verdana"/>
          <w:color w:val="000000"/>
          <w:sz w:val="20"/>
          <w:lang w:eastAsia="bg-BG"/>
        </w:rPr>
        <w:t xml:space="preserve"> „</w:t>
      </w:r>
      <w:proofErr w:type="spellStart"/>
      <w:r w:rsidRPr="000913CA">
        <w:rPr>
          <w:rFonts w:ascii="Verdana" w:hAnsi="Verdana"/>
          <w:b/>
          <w:color w:val="000000"/>
          <w:sz w:val="20"/>
          <w:lang w:eastAsia="bg-BG"/>
        </w:rPr>
        <w:t>Оу</w:t>
      </w:r>
      <w:proofErr w:type="spellEnd"/>
      <w:r w:rsidRPr="000913CA">
        <w:rPr>
          <w:rFonts w:ascii="Verdana" w:hAnsi="Verdana"/>
          <w:b/>
          <w:color w:val="000000"/>
          <w:sz w:val="20"/>
          <w:lang w:eastAsia="bg-BG"/>
        </w:rPr>
        <w:t xml:space="preserve"> Джи </w:t>
      </w:r>
      <w:proofErr w:type="spellStart"/>
      <w:r w:rsidRPr="000913CA">
        <w:rPr>
          <w:rFonts w:ascii="Verdana" w:hAnsi="Verdana"/>
          <w:b/>
          <w:color w:val="000000"/>
          <w:sz w:val="20"/>
          <w:lang w:eastAsia="bg-BG"/>
        </w:rPr>
        <w:t>Секюрити</w:t>
      </w:r>
      <w:proofErr w:type="spellEnd"/>
      <w:r w:rsidRPr="000913CA">
        <w:rPr>
          <w:rFonts w:ascii="Verdana" w:hAnsi="Verdana"/>
          <w:b/>
          <w:color w:val="000000"/>
          <w:sz w:val="20"/>
          <w:lang w:eastAsia="bg-BG"/>
        </w:rPr>
        <w:t>“ АД</w:t>
      </w:r>
      <w:r>
        <w:rPr>
          <w:rFonts w:ascii="Verdana" w:hAnsi="Verdana"/>
          <w:b/>
          <w:color w:val="000000"/>
          <w:sz w:val="20"/>
          <w:lang w:eastAsia="bg-BG"/>
        </w:rPr>
        <w:t xml:space="preserve">, </w:t>
      </w:r>
      <w:r w:rsidRPr="00FF1DBE">
        <w:rPr>
          <w:rFonts w:ascii="Verdana" w:hAnsi="Verdana"/>
          <w:color w:val="000000"/>
          <w:sz w:val="20"/>
          <w:lang w:eastAsia="bg-BG"/>
        </w:rPr>
        <w:t>със седалище и адрес на управление:</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w:t>
      </w:r>
      <w:r w:rsidRPr="00FF1DBE">
        <w:rPr>
          <w:rFonts w:ascii="Verdana" w:hAnsi="Verdana"/>
          <w:sz w:val="20"/>
          <w:lang w:val="ru-RU"/>
        </w:rPr>
        <w:t>200535777</w:t>
      </w:r>
    </w:p>
    <w:p w14:paraId="4F7F7273" w14:textId="77777777" w:rsidR="00D56F61" w:rsidRPr="00172CA7" w:rsidRDefault="00D56F61" w:rsidP="00D56F61">
      <w:pPr>
        <w:rPr>
          <w:rFonts w:ascii="Verdana" w:hAnsi="Verdana"/>
          <w:b/>
          <w:iCs/>
          <w:sz w:val="20"/>
          <w:lang w:eastAsia="ar-SA"/>
        </w:rPr>
      </w:pPr>
      <w:r w:rsidRPr="00172CA7">
        <w:rPr>
          <w:rFonts w:ascii="Verdana" w:hAnsi="Verdana"/>
          <w:iCs/>
          <w:sz w:val="20"/>
          <w:lang w:eastAsia="ar-SA"/>
        </w:rPr>
        <w:t>•</w:t>
      </w:r>
      <w:r>
        <w:rPr>
          <w:rFonts w:ascii="Verdana" w:hAnsi="Verdana"/>
          <w:b/>
          <w:iCs/>
          <w:sz w:val="20"/>
          <w:lang w:eastAsia="ar-SA"/>
        </w:rPr>
        <w:t xml:space="preserve"> „Топлофикация – Разград” </w:t>
      </w:r>
      <w:r w:rsidRPr="00172CA7">
        <w:rPr>
          <w:rFonts w:ascii="Verdana" w:hAnsi="Verdana"/>
          <w:b/>
          <w:iCs/>
          <w:sz w:val="20"/>
          <w:lang w:eastAsia="ar-SA"/>
        </w:rPr>
        <w:t>АД,</w:t>
      </w:r>
      <w:r w:rsidRPr="00172CA7">
        <w:rPr>
          <w:rFonts w:ascii="Verdana" w:hAnsi="Verdana"/>
          <w:sz w:val="20"/>
        </w:rPr>
        <w:t>със седалище и адрес на управление: гр. Разград, Индустриална зона, ул. „Черна”, с ЕИК 116019472;</w:t>
      </w:r>
    </w:p>
    <w:p w14:paraId="4F7F7274" w14:textId="77777777" w:rsidR="00D56F61" w:rsidRPr="00172CA7" w:rsidRDefault="00D56F61" w:rsidP="00D56F61">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Деком</w:t>
      </w:r>
      <w:proofErr w:type="spellEnd"/>
      <w:r w:rsidRPr="00172CA7">
        <w:rPr>
          <w:rFonts w:ascii="Verdana" w:hAnsi="Verdana"/>
          <w:b/>
          <w:iCs/>
          <w:sz w:val="20"/>
          <w:lang w:eastAsia="ar-SA"/>
        </w:rPr>
        <w:t xml:space="preserve"> – София” ЕООД, </w:t>
      </w:r>
      <w:r w:rsidRPr="00172CA7">
        <w:rPr>
          <w:rFonts w:ascii="Verdana" w:hAnsi="Verdana"/>
          <w:iCs/>
          <w:sz w:val="20"/>
          <w:lang w:eastAsia="ar-SA"/>
        </w:rPr>
        <w:t xml:space="preserve">със седалище и адрес на управление: гр. София, район „Лозенец”, бул. „Джеймс </w:t>
      </w:r>
      <w:proofErr w:type="spellStart"/>
      <w:r w:rsidRPr="00172CA7">
        <w:rPr>
          <w:rFonts w:ascii="Verdana" w:hAnsi="Verdana"/>
          <w:iCs/>
          <w:sz w:val="20"/>
          <w:lang w:eastAsia="ar-SA"/>
        </w:rPr>
        <w:t>Баучер</w:t>
      </w:r>
      <w:proofErr w:type="spellEnd"/>
      <w:r w:rsidRPr="00172CA7">
        <w:rPr>
          <w:rFonts w:ascii="Verdana" w:hAnsi="Verdana"/>
          <w:iCs/>
          <w:sz w:val="20"/>
          <w:lang w:eastAsia="ar-SA"/>
        </w:rPr>
        <w:t xml:space="preserve">” № 51, </w:t>
      </w:r>
      <w:r w:rsidRPr="00172CA7">
        <w:rPr>
          <w:rFonts w:ascii="Verdana" w:hAnsi="Verdana"/>
          <w:sz w:val="20"/>
        </w:rPr>
        <w:t>с ЕИК 831455302;</w:t>
      </w:r>
    </w:p>
    <w:p w14:paraId="4F7F7275" w14:textId="77777777" w:rsidR="00D56F61" w:rsidRPr="00172CA7" w:rsidRDefault="00D56F61" w:rsidP="00D56F61">
      <w:pPr>
        <w:rPr>
          <w:rFonts w:ascii="Verdana" w:hAnsi="Verdana"/>
          <w:b/>
          <w:sz w:val="20"/>
        </w:rPr>
      </w:pPr>
      <w:r w:rsidRPr="00172CA7">
        <w:rPr>
          <w:rFonts w:ascii="Verdana" w:hAnsi="Verdana"/>
          <w:iCs/>
          <w:sz w:val="20"/>
          <w:lang w:eastAsia="ar-SA"/>
        </w:rPr>
        <w:t>•</w:t>
      </w:r>
      <w:r w:rsidRPr="00172CA7">
        <w:rPr>
          <w:rFonts w:ascii="Verdana" w:hAnsi="Verdana"/>
          <w:b/>
          <w:sz w:val="20"/>
        </w:rPr>
        <w:t xml:space="preserve"> „</w:t>
      </w:r>
      <w:proofErr w:type="spellStart"/>
      <w:r w:rsidRPr="00172CA7">
        <w:rPr>
          <w:rFonts w:ascii="Verdana" w:hAnsi="Verdana"/>
          <w:b/>
          <w:sz w:val="20"/>
        </w:rPr>
        <w:t>Екоклима</w:t>
      </w:r>
      <w:proofErr w:type="spellEnd"/>
      <w:r w:rsidRPr="00172CA7">
        <w:rPr>
          <w:rFonts w:ascii="Verdana" w:hAnsi="Verdana"/>
          <w:b/>
          <w:sz w:val="20"/>
        </w:rPr>
        <w:t>“ ЕАД,</w:t>
      </w:r>
      <w:r w:rsidRPr="00172CA7">
        <w:rPr>
          <w:rFonts w:ascii="Verdana" w:hAnsi="Verdana"/>
          <w:iCs/>
          <w:sz w:val="20"/>
          <w:lang w:eastAsia="ar-SA"/>
        </w:rPr>
        <w:t xml:space="preserve"> със седалище и адрес на управление</w:t>
      </w:r>
      <w:r w:rsidRPr="00172CA7">
        <w:rPr>
          <w:rFonts w:ascii="Verdana" w:hAnsi="Verdana"/>
          <w:sz w:val="20"/>
        </w:rPr>
        <w:t>: гр.  Бургас, ул. „Одрин“ №3, с ЕИК 102915916, с ЕИК102127773;</w:t>
      </w:r>
    </w:p>
    <w:p w14:paraId="4F7F7276" w14:textId="77777777" w:rsidR="00D56F61" w:rsidRDefault="00D56F61" w:rsidP="00D56F61">
      <w:pPr>
        <w:rPr>
          <w:rFonts w:ascii="Verdana" w:hAnsi="Verdana"/>
          <w:b/>
          <w:sz w:val="20"/>
        </w:rPr>
      </w:pPr>
      <w:r w:rsidRPr="00172CA7">
        <w:rPr>
          <w:rFonts w:ascii="Verdana" w:hAnsi="Verdana"/>
          <w:iCs/>
          <w:sz w:val="20"/>
          <w:lang w:eastAsia="ar-SA"/>
        </w:rPr>
        <w:t>•</w:t>
      </w:r>
      <w:r w:rsidRPr="00172CA7">
        <w:rPr>
          <w:rFonts w:ascii="Verdana" w:hAnsi="Verdana"/>
          <w:b/>
          <w:sz w:val="20"/>
        </w:rPr>
        <w:t xml:space="preserve"> „</w:t>
      </w:r>
      <w:proofErr w:type="spellStart"/>
      <w:r w:rsidRPr="00172CA7">
        <w:rPr>
          <w:rFonts w:ascii="Verdana" w:hAnsi="Verdana"/>
          <w:b/>
          <w:sz w:val="20"/>
        </w:rPr>
        <w:t>Овергрин</w:t>
      </w:r>
      <w:proofErr w:type="spellEnd"/>
      <w:r w:rsidRPr="00172CA7">
        <w:rPr>
          <w:rFonts w:ascii="Verdana" w:hAnsi="Verdana"/>
          <w:b/>
          <w:sz w:val="20"/>
        </w:rPr>
        <w:t xml:space="preserve">“ ЕАД, </w:t>
      </w:r>
      <w:r w:rsidRPr="00172CA7">
        <w:rPr>
          <w:rFonts w:ascii="Verdana" w:hAnsi="Verdana"/>
          <w:iCs/>
          <w:sz w:val="20"/>
          <w:lang w:eastAsia="ar-SA"/>
        </w:rPr>
        <w:t>със седалище и адрес на управление</w:t>
      </w:r>
      <w:r w:rsidRPr="00172CA7">
        <w:rPr>
          <w:rFonts w:ascii="Verdana" w:hAnsi="Verdana"/>
          <w:sz w:val="20"/>
        </w:rPr>
        <w:t xml:space="preserve">: гр. София, ул. „Филип </w:t>
      </w:r>
      <w:proofErr w:type="spellStart"/>
      <w:r w:rsidRPr="00172CA7">
        <w:rPr>
          <w:rFonts w:ascii="Verdana" w:hAnsi="Verdana"/>
          <w:sz w:val="20"/>
        </w:rPr>
        <w:t>Кутев</w:t>
      </w:r>
      <w:proofErr w:type="spellEnd"/>
      <w:r w:rsidRPr="00172CA7">
        <w:rPr>
          <w:rFonts w:ascii="Verdana" w:hAnsi="Verdana"/>
          <w:sz w:val="20"/>
        </w:rPr>
        <w:t>“ №5, с ЕИК175349650;</w:t>
      </w:r>
    </w:p>
    <w:p w14:paraId="4F7F7277" w14:textId="77777777" w:rsidR="00D56F61" w:rsidRDefault="00D56F61" w:rsidP="00D56F61">
      <w:pPr>
        <w:numPr>
          <w:ilvl w:val="0"/>
          <w:numId w:val="26"/>
        </w:numPr>
        <w:tabs>
          <w:tab w:val="left" w:pos="284"/>
        </w:tabs>
        <w:ind w:left="0" w:hanging="11"/>
        <w:rPr>
          <w:rFonts w:ascii="Verdana" w:hAnsi="Verdana"/>
          <w:b/>
          <w:sz w:val="20"/>
        </w:rPr>
      </w:pPr>
      <w:r w:rsidRPr="00172CA7">
        <w:rPr>
          <w:rFonts w:ascii="Verdana" w:hAnsi="Verdana"/>
          <w:b/>
          <w:sz w:val="20"/>
        </w:rPr>
        <w:t>„</w:t>
      </w:r>
      <w:proofErr w:type="spellStart"/>
      <w:r w:rsidRPr="00172CA7">
        <w:rPr>
          <w:rFonts w:ascii="Verdana" w:hAnsi="Verdana"/>
          <w:b/>
          <w:sz w:val="20"/>
        </w:rPr>
        <w:t>Русгеоком</w:t>
      </w:r>
      <w:proofErr w:type="spellEnd"/>
      <w:r w:rsidRPr="00172CA7">
        <w:rPr>
          <w:rFonts w:ascii="Verdana" w:hAnsi="Verdana"/>
          <w:b/>
          <w:sz w:val="20"/>
        </w:rPr>
        <w:t xml:space="preserve"> БГ“ ЕАД, </w:t>
      </w:r>
      <w:r w:rsidRPr="00172CA7">
        <w:rPr>
          <w:rFonts w:ascii="Verdana" w:hAnsi="Verdana"/>
          <w:iCs/>
          <w:sz w:val="20"/>
          <w:lang w:eastAsia="ar-SA"/>
        </w:rPr>
        <w:t>със седалище и адрес на управление</w:t>
      </w:r>
      <w:r w:rsidRPr="00172CA7">
        <w:rPr>
          <w:rFonts w:ascii="Verdana" w:hAnsi="Verdana"/>
          <w:sz w:val="20"/>
        </w:rPr>
        <w:t xml:space="preserve">: гр. София, ул. „Филип </w:t>
      </w:r>
      <w:proofErr w:type="spellStart"/>
      <w:r w:rsidRPr="00172CA7">
        <w:rPr>
          <w:rFonts w:ascii="Verdana" w:hAnsi="Verdana"/>
          <w:sz w:val="20"/>
        </w:rPr>
        <w:t>Кутев</w:t>
      </w:r>
      <w:proofErr w:type="spellEnd"/>
      <w:r w:rsidRPr="00172CA7">
        <w:rPr>
          <w:rFonts w:ascii="Verdana" w:hAnsi="Verdana"/>
          <w:sz w:val="20"/>
        </w:rPr>
        <w:t>“ №5, с ЕИК</w:t>
      </w:r>
      <w:r>
        <w:rPr>
          <w:rFonts w:ascii="Verdana" w:hAnsi="Verdana"/>
          <w:sz w:val="20"/>
        </w:rPr>
        <w:t xml:space="preserve"> 175166081;</w:t>
      </w:r>
    </w:p>
    <w:p w14:paraId="4F7F7278" w14:textId="77777777" w:rsidR="00D56F61" w:rsidRPr="002030FC" w:rsidRDefault="00D56F61" w:rsidP="00D56F61">
      <w:pPr>
        <w:numPr>
          <w:ilvl w:val="0"/>
          <w:numId w:val="26"/>
        </w:numPr>
        <w:tabs>
          <w:tab w:val="left" w:pos="284"/>
        </w:tabs>
        <w:ind w:left="0" w:hanging="11"/>
        <w:rPr>
          <w:rFonts w:ascii="Verdana" w:hAnsi="Verdana"/>
          <w:sz w:val="20"/>
        </w:rPr>
      </w:pPr>
      <w:r w:rsidRPr="002030FC">
        <w:rPr>
          <w:rFonts w:ascii="Verdana" w:hAnsi="Verdana"/>
          <w:b/>
          <w:sz w:val="20"/>
        </w:rPr>
        <w:t>„</w:t>
      </w:r>
      <w:proofErr w:type="spellStart"/>
      <w:r w:rsidRPr="002030FC">
        <w:rPr>
          <w:rFonts w:ascii="Verdana" w:hAnsi="Verdana"/>
          <w:b/>
          <w:sz w:val="20"/>
        </w:rPr>
        <w:t>Екоклима-проект</w:t>
      </w:r>
      <w:proofErr w:type="spellEnd"/>
      <w:r w:rsidRPr="002030FC">
        <w:rPr>
          <w:rFonts w:ascii="Verdana" w:hAnsi="Verdana"/>
          <w:b/>
          <w:sz w:val="20"/>
        </w:rPr>
        <w:t>“ ЕООД</w:t>
      </w:r>
      <w:r w:rsidRPr="002030FC">
        <w:rPr>
          <w:rFonts w:ascii="Verdana" w:hAnsi="Verdana"/>
          <w:sz w:val="20"/>
        </w:rPr>
        <w:t>, със седалище и адрес на управление: гр.  Бургас, ул. „Одрин“ №3, с ЕИК 102915916</w:t>
      </w:r>
      <w:r>
        <w:rPr>
          <w:rFonts w:ascii="Verdana" w:hAnsi="Verdana"/>
          <w:sz w:val="20"/>
        </w:rPr>
        <w:t>.</w:t>
      </w:r>
    </w:p>
    <w:p w14:paraId="4F7F7279" w14:textId="77777777" w:rsidR="00D56F61" w:rsidRPr="00172CA7" w:rsidRDefault="00D56F61" w:rsidP="00D56F61">
      <w:pPr>
        <w:rPr>
          <w:rFonts w:ascii="Verdana" w:hAnsi="Verdana"/>
          <w:sz w:val="20"/>
          <w:lang w:eastAsia="bg-BG"/>
        </w:rPr>
      </w:pPr>
    </w:p>
    <w:p w14:paraId="4F7F727A" w14:textId="77777777" w:rsidR="00D56F61" w:rsidRPr="00172CA7" w:rsidRDefault="00D56F61" w:rsidP="00D56F61">
      <w:pPr>
        <w:rPr>
          <w:rFonts w:ascii="Verdana" w:hAnsi="Verdana"/>
          <w:b/>
          <w:sz w:val="20"/>
          <w:lang w:val="ru-RU" w:eastAsia="bg-BG"/>
        </w:rPr>
      </w:pPr>
    </w:p>
    <w:p w14:paraId="30B41C7E" w14:textId="77777777" w:rsidR="005766D5" w:rsidRDefault="005766D5" w:rsidP="00D56F61">
      <w:pPr>
        <w:rPr>
          <w:rFonts w:ascii="Verdana" w:hAnsi="Verdana"/>
          <w:b/>
          <w:sz w:val="20"/>
          <w:lang w:val="ru-RU" w:eastAsia="bg-BG"/>
        </w:rPr>
      </w:pPr>
    </w:p>
    <w:p w14:paraId="423BE978" w14:textId="77777777" w:rsidR="005766D5" w:rsidRDefault="005766D5" w:rsidP="00D56F61">
      <w:pPr>
        <w:rPr>
          <w:rFonts w:ascii="Verdana" w:hAnsi="Verdana"/>
          <w:b/>
          <w:sz w:val="20"/>
          <w:lang w:val="ru-RU" w:eastAsia="bg-BG"/>
        </w:rPr>
      </w:pPr>
    </w:p>
    <w:p w14:paraId="4F7F727B" w14:textId="08B5D1BD" w:rsidR="00D56F61" w:rsidRPr="00172CA7" w:rsidRDefault="00D56F61" w:rsidP="00D56F61">
      <w:pPr>
        <w:rPr>
          <w:rFonts w:ascii="Verdana" w:hAnsi="Verdana"/>
          <w:b/>
          <w:sz w:val="20"/>
          <w:lang w:eastAsia="bg-BG"/>
        </w:rPr>
      </w:pPr>
      <w:r w:rsidRPr="00172CA7">
        <w:rPr>
          <w:rFonts w:ascii="Verdana" w:hAnsi="Verdana"/>
          <w:b/>
          <w:sz w:val="20"/>
          <w:lang w:val="ru-RU" w:eastAsia="bg-BG"/>
        </w:rPr>
        <w:t xml:space="preserve">3/ </w:t>
      </w:r>
      <w:r w:rsidRPr="00172CA7">
        <w:rPr>
          <w:rFonts w:ascii="Verdana" w:hAnsi="Verdana"/>
          <w:b/>
          <w:sz w:val="20"/>
          <w:lang w:eastAsia="bg-BG"/>
        </w:rPr>
        <w:t>ПЕТКО ЛЮБЕНОВ МИЛЕВСКИ,– Член на Съвета на директорите:</w:t>
      </w:r>
    </w:p>
    <w:p w14:paraId="4F7F727C" w14:textId="77777777" w:rsidR="00D56F61" w:rsidRPr="00172CA7" w:rsidRDefault="00D56F61" w:rsidP="00D56F61">
      <w:pPr>
        <w:rPr>
          <w:rFonts w:ascii="Verdana" w:hAnsi="Verdana"/>
          <w:sz w:val="20"/>
          <w:lang w:eastAsia="bg-BG"/>
        </w:rPr>
      </w:pPr>
    </w:p>
    <w:p w14:paraId="4F7F727D" w14:textId="77777777" w:rsidR="00D56F61" w:rsidRPr="00172CA7" w:rsidRDefault="00D56F61" w:rsidP="00D56F61">
      <w:pPr>
        <w:rPr>
          <w:rFonts w:ascii="Verdana" w:hAnsi="Verdana"/>
          <w:b/>
          <w:sz w:val="20"/>
          <w:u w:val="single"/>
        </w:rPr>
      </w:pPr>
      <w:r w:rsidRPr="00172CA7">
        <w:rPr>
          <w:rFonts w:ascii="Verdana" w:hAnsi="Verdana"/>
          <w:b/>
          <w:sz w:val="20"/>
          <w:u w:val="single"/>
        </w:rPr>
        <w:t>1. Не участва като неограничено отговорен съдружник в търговски дружества.</w:t>
      </w:r>
    </w:p>
    <w:p w14:paraId="4F7F727E" w14:textId="77777777" w:rsidR="00D56F61" w:rsidRPr="00172CA7" w:rsidRDefault="00D56F61" w:rsidP="00D56F61">
      <w:pPr>
        <w:rPr>
          <w:rFonts w:ascii="Verdana" w:hAnsi="Verdana"/>
          <w:sz w:val="20"/>
        </w:rPr>
      </w:pPr>
    </w:p>
    <w:p w14:paraId="4F7F727F" w14:textId="77777777" w:rsidR="00D56F61" w:rsidRPr="00172CA7" w:rsidRDefault="00D56F61" w:rsidP="00D56F61">
      <w:pPr>
        <w:rPr>
          <w:rFonts w:ascii="Verdana" w:hAnsi="Verdana"/>
          <w:b/>
          <w:sz w:val="20"/>
          <w:u w:val="single"/>
        </w:rPr>
      </w:pPr>
      <w:r w:rsidRPr="00172CA7">
        <w:rPr>
          <w:rFonts w:ascii="Verdana" w:hAnsi="Verdana"/>
          <w:b/>
          <w:sz w:val="20"/>
          <w:u w:val="single"/>
        </w:rPr>
        <w:t xml:space="preserve">2. </w:t>
      </w:r>
      <w:r w:rsidRPr="00172CA7">
        <w:rPr>
          <w:rFonts w:ascii="Verdana" w:hAnsi="Verdana"/>
          <w:b/>
          <w:sz w:val="20"/>
          <w:u w:val="single"/>
          <w:lang w:val="ru-RU"/>
        </w:rPr>
        <w:t xml:space="preserve"> П</w:t>
      </w:r>
      <w:proofErr w:type="spellStart"/>
      <w:r w:rsidRPr="00172CA7">
        <w:rPr>
          <w:rFonts w:ascii="Verdana" w:hAnsi="Verdana"/>
          <w:b/>
          <w:sz w:val="20"/>
          <w:u w:val="single"/>
        </w:rPr>
        <w:t>ритежава</w:t>
      </w:r>
      <w:proofErr w:type="spellEnd"/>
      <w:r w:rsidRPr="00172CA7">
        <w:rPr>
          <w:rFonts w:ascii="Verdana" w:hAnsi="Verdana"/>
          <w:b/>
          <w:sz w:val="20"/>
          <w:u w:val="single"/>
        </w:rPr>
        <w:t xml:space="preserve"> повече от 25 на сто от капитала на търговски дружества, а именно:</w:t>
      </w:r>
    </w:p>
    <w:p w14:paraId="4F7F7280" w14:textId="77777777" w:rsidR="00D56F61" w:rsidRPr="00172CA7" w:rsidRDefault="00D56F61" w:rsidP="00D56F61">
      <w:pPr>
        <w:rPr>
          <w:rFonts w:ascii="Verdana" w:hAnsi="Verdana"/>
          <w:sz w:val="20"/>
        </w:rPr>
      </w:pPr>
    </w:p>
    <w:p w14:paraId="4F7F7281" w14:textId="77777777" w:rsidR="00D56F61" w:rsidRPr="00172CA7" w:rsidRDefault="00D56F61" w:rsidP="00D56F61">
      <w:pPr>
        <w:rPr>
          <w:rFonts w:ascii="Verdana" w:hAnsi="Verdana"/>
          <w:sz w:val="20"/>
        </w:rPr>
      </w:pPr>
      <w:r w:rsidRPr="00172CA7">
        <w:rPr>
          <w:rFonts w:ascii="Verdana" w:hAnsi="Verdana"/>
          <w:b/>
          <w:sz w:val="20"/>
        </w:rPr>
        <w:t>- „Миту” ООД,</w:t>
      </w:r>
      <w:r w:rsidRPr="00172CA7">
        <w:rPr>
          <w:rFonts w:ascii="Verdana" w:hAnsi="Verdana"/>
          <w:sz w:val="20"/>
        </w:rPr>
        <w:t xml:space="preserve"> с ЕИК 831129175</w:t>
      </w:r>
      <w:r w:rsidRPr="00172CA7">
        <w:rPr>
          <w:rFonts w:ascii="Verdana" w:hAnsi="Verdana"/>
          <w:sz w:val="20"/>
          <w:lang w:val="en-US"/>
        </w:rPr>
        <w:t xml:space="preserve">, </w:t>
      </w:r>
      <w:r w:rsidRPr="00172CA7">
        <w:rPr>
          <w:rFonts w:ascii="Verdana" w:hAnsi="Verdana"/>
          <w:sz w:val="20"/>
        </w:rPr>
        <w:t>с адрес: град София , район „Възраждане“, кв. „ЗОНА Б-5“, бл. 15, ет. 3, ап. 85.</w:t>
      </w:r>
    </w:p>
    <w:p w14:paraId="4F7F7282" w14:textId="77777777" w:rsidR="00D56F61" w:rsidRPr="00172CA7" w:rsidRDefault="00D56F61" w:rsidP="00D56F61">
      <w:pPr>
        <w:rPr>
          <w:rFonts w:ascii="Verdana" w:hAnsi="Verdana"/>
          <w:sz w:val="20"/>
        </w:rPr>
      </w:pPr>
    </w:p>
    <w:p w14:paraId="4F7F7283" w14:textId="77777777" w:rsidR="00D56F61" w:rsidRPr="00172CA7" w:rsidRDefault="00D56F61" w:rsidP="00D56F61">
      <w:pPr>
        <w:rPr>
          <w:rFonts w:ascii="Verdana" w:hAnsi="Verdana"/>
          <w:b/>
          <w:sz w:val="20"/>
          <w:u w:val="single"/>
        </w:rPr>
      </w:pPr>
      <w:r w:rsidRPr="00172CA7">
        <w:rPr>
          <w:rFonts w:ascii="Verdana" w:hAnsi="Verdana"/>
          <w:b/>
          <w:sz w:val="20"/>
          <w:u w:val="single"/>
        </w:rPr>
        <w:t>3. Не участва в управлението на други дружества и кооперации като управител, прокурист, или член на съвет, освен в Съвета на директори</w:t>
      </w:r>
      <w:r>
        <w:rPr>
          <w:rFonts w:ascii="Verdana" w:hAnsi="Verdana"/>
          <w:b/>
          <w:sz w:val="20"/>
          <w:u w:val="single"/>
        </w:rPr>
        <w:t xml:space="preserve">те на „Топлофикация - Разград” </w:t>
      </w:r>
      <w:r w:rsidRPr="00172CA7">
        <w:rPr>
          <w:rFonts w:ascii="Verdana" w:hAnsi="Verdana"/>
          <w:b/>
          <w:sz w:val="20"/>
          <w:u w:val="single"/>
        </w:rPr>
        <w:t>АД,</w:t>
      </w:r>
      <w:r w:rsidRPr="00172CA7">
        <w:rPr>
          <w:rFonts w:ascii="Verdana" w:hAnsi="Verdana"/>
          <w:sz w:val="20"/>
          <w:u w:val="single"/>
        </w:rPr>
        <w:t>с ЕИК 116019472.</w:t>
      </w:r>
    </w:p>
    <w:p w14:paraId="4F7F7284" w14:textId="77777777" w:rsidR="00D56F61" w:rsidRPr="00172CA7" w:rsidRDefault="00D56F61" w:rsidP="00D56F61">
      <w:pPr>
        <w:rPr>
          <w:rFonts w:ascii="Verdana" w:hAnsi="Verdana"/>
          <w:sz w:val="20"/>
          <w:lang w:eastAsia="bg-BG"/>
        </w:rPr>
      </w:pPr>
    </w:p>
    <w:p w14:paraId="4F7F7285" w14:textId="77777777" w:rsidR="00D56F61" w:rsidRPr="00172CA7" w:rsidRDefault="00D56F61" w:rsidP="00D56F61">
      <w:pPr>
        <w:rPr>
          <w:rFonts w:ascii="Verdana" w:hAnsi="Verdana"/>
          <w:sz w:val="20"/>
          <w:szCs w:val="24"/>
          <w:lang w:eastAsia="bg-BG"/>
        </w:rPr>
      </w:pPr>
    </w:p>
    <w:p w14:paraId="4F7F7286" w14:textId="77777777" w:rsidR="00D56F61" w:rsidRPr="00172CA7" w:rsidRDefault="00D56F61" w:rsidP="00D56F61">
      <w:pPr>
        <w:rPr>
          <w:rFonts w:ascii="Verdana" w:hAnsi="Verdana"/>
          <w:b/>
          <w:sz w:val="20"/>
          <w:lang w:eastAsia="bg-BG"/>
        </w:rPr>
      </w:pPr>
      <w:r w:rsidRPr="00172CA7">
        <w:rPr>
          <w:rFonts w:ascii="Verdana" w:hAnsi="Verdana"/>
          <w:b/>
          <w:sz w:val="20"/>
          <w:szCs w:val="24"/>
          <w:lang w:eastAsia="bg-BG"/>
        </w:rPr>
        <w:t xml:space="preserve">4/ </w:t>
      </w:r>
      <w:r>
        <w:rPr>
          <w:rFonts w:ascii="Verdana" w:hAnsi="Verdana"/>
          <w:b/>
          <w:sz w:val="20"/>
          <w:lang w:eastAsia="bg-BG"/>
        </w:rPr>
        <w:t xml:space="preserve">ИВАЙЛО СТАНКОВ ЧАВДАРОВ </w:t>
      </w:r>
      <w:r w:rsidRPr="00172CA7">
        <w:rPr>
          <w:rFonts w:ascii="Verdana" w:hAnsi="Verdana"/>
          <w:b/>
          <w:sz w:val="20"/>
          <w:lang w:eastAsia="bg-BG"/>
        </w:rPr>
        <w:t>– Член на Съвета на директорите:</w:t>
      </w:r>
    </w:p>
    <w:p w14:paraId="4F7F7287" w14:textId="77777777" w:rsidR="00D56F61" w:rsidRPr="00172CA7" w:rsidRDefault="00D56F61" w:rsidP="00D56F61">
      <w:pPr>
        <w:rPr>
          <w:rFonts w:ascii="Verdana" w:hAnsi="Verdana"/>
          <w:sz w:val="20"/>
          <w:lang w:eastAsia="bg-BG"/>
        </w:rPr>
      </w:pPr>
    </w:p>
    <w:p w14:paraId="4F7F7288" w14:textId="77777777" w:rsidR="00D56F61" w:rsidRPr="00172CA7" w:rsidRDefault="00D56F61" w:rsidP="00D56F61">
      <w:pPr>
        <w:rPr>
          <w:rFonts w:ascii="Verdana" w:hAnsi="Verdana"/>
          <w:b/>
          <w:sz w:val="20"/>
          <w:u w:val="single"/>
        </w:rPr>
      </w:pPr>
      <w:r w:rsidRPr="00172CA7">
        <w:rPr>
          <w:rFonts w:ascii="Verdana" w:hAnsi="Verdana"/>
          <w:b/>
          <w:sz w:val="20"/>
          <w:u w:val="single"/>
        </w:rPr>
        <w:t>1. Не участва като неограничено отговорен съдружник в търговски дружества.</w:t>
      </w:r>
    </w:p>
    <w:p w14:paraId="4F7F7289" w14:textId="77777777" w:rsidR="00D56F61" w:rsidRPr="00172CA7" w:rsidRDefault="00D56F61" w:rsidP="00D56F61">
      <w:pPr>
        <w:rPr>
          <w:rFonts w:ascii="Verdana" w:hAnsi="Verdana"/>
          <w:sz w:val="20"/>
        </w:rPr>
      </w:pPr>
    </w:p>
    <w:p w14:paraId="4F7F728A" w14:textId="77777777" w:rsidR="00D56F61" w:rsidRPr="00172CA7" w:rsidRDefault="00D56F61" w:rsidP="00D56F61">
      <w:pPr>
        <w:rPr>
          <w:rFonts w:ascii="Verdana" w:hAnsi="Verdana"/>
          <w:sz w:val="20"/>
        </w:rPr>
      </w:pPr>
      <w:r w:rsidRPr="00172CA7">
        <w:rPr>
          <w:rFonts w:ascii="Verdana" w:hAnsi="Verdana"/>
          <w:b/>
          <w:sz w:val="20"/>
          <w:u w:val="single"/>
        </w:rPr>
        <w:t xml:space="preserve">2. </w:t>
      </w:r>
      <w:r w:rsidRPr="00172CA7">
        <w:rPr>
          <w:rFonts w:ascii="Verdana" w:hAnsi="Verdana"/>
          <w:b/>
          <w:sz w:val="20"/>
          <w:u w:val="single"/>
          <w:lang w:val="ru-RU"/>
        </w:rPr>
        <w:t xml:space="preserve"> Не п</w:t>
      </w:r>
      <w:proofErr w:type="spellStart"/>
      <w:r w:rsidRPr="00172CA7">
        <w:rPr>
          <w:rFonts w:ascii="Verdana" w:hAnsi="Verdana"/>
          <w:b/>
          <w:sz w:val="20"/>
          <w:u w:val="single"/>
        </w:rPr>
        <w:t>ритежава</w:t>
      </w:r>
      <w:proofErr w:type="spellEnd"/>
      <w:r w:rsidRPr="00172CA7">
        <w:rPr>
          <w:rFonts w:ascii="Verdana" w:hAnsi="Verdana"/>
          <w:b/>
          <w:sz w:val="20"/>
          <w:u w:val="single"/>
        </w:rPr>
        <w:t xml:space="preserve"> повече от 25 на сто от капитала на търговски дружества.</w:t>
      </w:r>
    </w:p>
    <w:p w14:paraId="4F7F728B" w14:textId="77777777" w:rsidR="00D56F61" w:rsidRPr="00172CA7" w:rsidRDefault="00D56F61" w:rsidP="00D56F61">
      <w:pPr>
        <w:rPr>
          <w:rFonts w:ascii="Verdana" w:hAnsi="Verdana"/>
          <w:sz w:val="20"/>
        </w:rPr>
      </w:pPr>
    </w:p>
    <w:p w14:paraId="4F7F728C" w14:textId="77777777" w:rsidR="00D56F61" w:rsidRPr="00172CA7" w:rsidRDefault="00D56F61" w:rsidP="00D56F61">
      <w:pPr>
        <w:rPr>
          <w:rFonts w:ascii="Verdana" w:hAnsi="Verdana"/>
          <w:sz w:val="20"/>
          <w:lang w:eastAsia="bg-BG"/>
        </w:rPr>
      </w:pPr>
      <w:r w:rsidRPr="00172CA7">
        <w:rPr>
          <w:rFonts w:ascii="Verdana" w:hAnsi="Verdana"/>
          <w:b/>
          <w:sz w:val="20"/>
          <w:u w:val="single"/>
          <w:lang w:eastAsia="bg-BG"/>
        </w:rPr>
        <w:t>3. Не участва в управлението на други дружества и кооперации като управител, прокурист, или член на съвет, освен в Съвета на директори</w:t>
      </w:r>
      <w:r>
        <w:rPr>
          <w:rFonts w:ascii="Verdana" w:hAnsi="Verdana"/>
          <w:b/>
          <w:sz w:val="20"/>
          <w:u w:val="single"/>
          <w:lang w:eastAsia="bg-BG"/>
        </w:rPr>
        <w:t xml:space="preserve">те на „Топлофикация - Разград” </w:t>
      </w:r>
      <w:r w:rsidRPr="00172CA7">
        <w:rPr>
          <w:rFonts w:ascii="Verdana" w:hAnsi="Verdana"/>
          <w:b/>
          <w:sz w:val="20"/>
          <w:u w:val="single"/>
          <w:lang w:eastAsia="bg-BG"/>
        </w:rPr>
        <w:t>АД,</w:t>
      </w:r>
      <w:r w:rsidRPr="006C3CE9">
        <w:rPr>
          <w:rFonts w:ascii="Verdana" w:hAnsi="Verdana"/>
          <w:b/>
          <w:sz w:val="20"/>
          <w:u w:val="single"/>
          <w:lang w:eastAsia="bg-BG"/>
        </w:rPr>
        <w:t>с ЕИК 116019472.</w:t>
      </w:r>
    </w:p>
    <w:p w14:paraId="4F7F728D" w14:textId="77777777" w:rsidR="00D56F61" w:rsidRPr="00172CA7" w:rsidRDefault="00D56F61" w:rsidP="00D56F61">
      <w:pPr>
        <w:rPr>
          <w:rFonts w:ascii="Verdana" w:hAnsi="Verdana"/>
          <w:sz w:val="20"/>
          <w:lang w:eastAsia="bg-BG"/>
        </w:rPr>
      </w:pPr>
    </w:p>
    <w:p w14:paraId="4F7F728E" w14:textId="77777777" w:rsidR="00D56F61" w:rsidRPr="00172CA7" w:rsidRDefault="00D56F61" w:rsidP="00D56F61">
      <w:pPr>
        <w:rPr>
          <w:rFonts w:ascii="Verdana" w:hAnsi="Verdana"/>
          <w:sz w:val="20"/>
          <w:lang w:eastAsia="bg-BG"/>
        </w:rPr>
      </w:pPr>
    </w:p>
    <w:p w14:paraId="4F7F728F" w14:textId="77777777" w:rsidR="00D56F61" w:rsidRPr="00172CA7" w:rsidRDefault="00D56F61" w:rsidP="00D56F61">
      <w:pPr>
        <w:rPr>
          <w:rFonts w:ascii="Verdana" w:hAnsi="Verdana"/>
          <w:sz w:val="20"/>
          <w:lang w:eastAsia="bg-BG"/>
        </w:rPr>
      </w:pPr>
      <w:r>
        <w:rPr>
          <w:rFonts w:ascii="Verdana" w:hAnsi="Verdana"/>
          <w:b/>
          <w:sz w:val="20"/>
          <w:lang w:eastAsia="bg-BG"/>
        </w:rPr>
        <w:t xml:space="preserve">5/ МИХАИЛ НИКОЛАЕВ КОВАЧЕВ </w:t>
      </w:r>
      <w:r w:rsidRPr="00172CA7">
        <w:rPr>
          <w:rFonts w:ascii="Verdana" w:hAnsi="Verdana"/>
          <w:sz w:val="20"/>
          <w:lang w:eastAsia="bg-BG"/>
        </w:rPr>
        <w:t>–</w:t>
      </w:r>
      <w:r w:rsidRPr="00172CA7">
        <w:rPr>
          <w:rFonts w:ascii="Verdana" w:hAnsi="Verdana"/>
          <w:b/>
          <w:sz w:val="20"/>
          <w:lang w:eastAsia="bg-BG"/>
        </w:rPr>
        <w:t xml:space="preserve"> Изпълнителен директор:</w:t>
      </w:r>
    </w:p>
    <w:p w14:paraId="4F7F7290" w14:textId="77777777" w:rsidR="00D56F61" w:rsidRPr="00172CA7" w:rsidRDefault="00D56F61" w:rsidP="00D56F61">
      <w:pPr>
        <w:rPr>
          <w:rFonts w:ascii="Verdana" w:hAnsi="Verdana"/>
          <w:b/>
          <w:sz w:val="20"/>
          <w:u w:val="single"/>
        </w:rPr>
      </w:pPr>
    </w:p>
    <w:p w14:paraId="4F7F7291" w14:textId="77777777" w:rsidR="00D56F61" w:rsidRPr="00172CA7" w:rsidRDefault="00D56F61" w:rsidP="00D56F61">
      <w:pPr>
        <w:rPr>
          <w:rFonts w:ascii="Verdana" w:hAnsi="Verdana"/>
          <w:b/>
          <w:sz w:val="20"/>
          <w:u w:val="single"/>
        </w:rPr>
      </w:pPr>
      <w:r w:rsidRPr="00172CA7">
        <w:rPr>
          <w:rFonts w:ascii="Verdana" w:hAnsi="Verdana"/>
          <w:b/>
          <w:sz w:val="20"/>
          <w:u w:val="single"/>
        </w:rPr>
        <w:t>1. Не участва като неограничено отговорен съдружник в търговски дружества.</w:t>
      </w:r>
    </w:p>
    <w:p w14:paraId="4F7F7292" w14:textId="77777777" w:rsidR="00D56F61" w:rsidRPr="00172CA7" w:rsidRDefault="00D56F61" w:rsidP="00D56F61">
      <w:pPr>
        <w:rPr>
          <w:rFonts w:ascii="Verdana" w:hAnsi="Verdana"/>
          <w:sz w:val="20"/>
          <w:lang w:eastAsia="bg-BG"/>
        </w:rPr>
      </w:pPr>
    </w:p>
    <w:p w14:paraId="4F7F7293" w14:textId="77777777" w:rsidR="00D56F61" w:rsidRPr="00172CA7" w:rsidRDefault="00D56F61" w:rsidP="00D56F61">
      <w:pPr>
        <w:rPr>
          <w:rFonts w:ascii="Verdana" w:hAnsi="Verdana"/>
          <w:b/>
          <w:sz w:val="20"/>
          <w:u w:val="single"/>
        </w:rPr>
      </w:pPr>
      <w:r w:rsidRPr="00172CA7">
        <w:rPr>
          <w:rFonts w:ascii="Verdana" w:hAnsi="Verdana"/>
          <w:b/>
          <w:sz w:val="20"/>
          <w:u w:val="single"/>
          <w:lang w:eastAsia="bg-BG"/>
        </w:rPr>
        <w:lastRenderedPageBreak/>
        <w:t>2</w:t>
      </w:r>
      <w:r w:rsidRPr="00172CA7">
        <w:rPr>
          <w:rFonts w:ascii="Verdana" w:hAnsi="Verdana"/>
          <w:b/>
          <w:sz w:val="20"/>
          <w:u w:val="single"/>
        </w:rPr>
        <w:t xml:space="preserve">. </w:t>
      </w:r>
      <w:r w:rsidRPr="00172CA7">
        <w:rPr>
          <w:rFonts w:ascii="Verdana" w:hAnsi="Verdana"/>
          <w:b/>
          <w:sz w:val="20"/>
          <w:u w:val="single"/>
          <w:lang w:val="ru-RU"/>
        </w:rPr>
        <w:t xml:space="preserve"> П</w:t>
      </w:r>
      <w:proofErr w:type="spellStart"/>
      <w:r w:rsidRPr="00172CA7">
        <w:rPr>
          <w:rFonts w:ascii="Verdana" w:hAnsi="Verdana"/>
          <w:b/>
          <w:sz w:val="20"/>
          <w:u w:val="single"/>
        </w:rPr>
        <w:t>ритежава</w:t>
      </w:r>
      <w:proofErr w:type="spellEnd"/>
      <w:r w:rsidRPr="00172CA7">
        <w:rPr>
          <w:rFonts w:ascii="Verdana" w:hAnsi="Verdana"/>
          <w:b/>
          <w:sz w:val="20"/>
          <w:u w:val="single"/>
        </w:rPr>
        <w:t xml:space="preserve"> повече от 25 на сто от капитала на търговски дружества, а именно:</w:t>
      </w:r>
    </w:p>
    <w:p w14:paraId="4F7F7294" w14:textId="77777777" w:rsidR="00D56F61" w:rsidRPr="00172CA7" w:rsidRDefault="00D56F61" w:rsidP="00D56F61">
      <w:pPr>
        <w:rPr>
          <w:rFonts w:ascii="Verdana" w:hAnsi="Verdana"/>
          <w:b/>
          <w:sz w:val="20"/>
          <w:u w:val="single"/>
        </w:rPr>
      </w:pPr>
    </w:p>
    <w:p w14:paraId="4F7F7295" w14:textId="77777777" w:rsidR="00D56F61" w:rsidRPr="00172CA7" w:rsidRDefault="00D56F61" w:rsidP="00D56F61">
      <w:pPr>
        <w:rPr>
          <w:rFonts w:ascii="Verdana" w:hAnsi="Verdana"/>
          <w:sz w:val="20"/>
        </w:rPr>
      </w:pPr>
      <w:r w:rsidRPr="00172CA7">
        <w:rPr>
          <w:rFonts w:ascii="Verdana" w:hAnsi="Verdana"/>
          <w:b/>
          <w:sz w:val="20"/>
        </w:rPr>
        <w:t>- „Дунав - К” ЕООД,</w:t>
      </w:r>
      <w:r w:rsidRPr="00172CA7">
        <w:rPr>
          <w:rFonts w:ascii="Verdana" w:hAnsi="Verdana"/>
          <w:sz w:val="20"/>
        </w:rPr>
        <w:t xml:space="preserve"> с ЕИК 831129175.</w:t>
      </w:r>
    </w:p>
    <w:p w14:paraId="4F7F7296" w14:textId="77777777" w:rsidR="00D56F61" w:rsidRPr="00172CA7" w:rsidRDefault="00D56F61" w:rsidP="00D56F61">
      <w:pPr>
        <w:rPr>
          <w:rFonts w:ascii="Verdana" w:hAnsi="Verdana"/>
          <w:sz w:val="20"/>
        </w:rPr>
      </w:pPr>
    </w:p>
    <w:p w14:paraId="4F7F7297" w14:textId="77777777" w:rsidR="00D56F61" w:rsidRPr="00172CA7" w:rsidRDefault="00D56F61" w:rsidP="00D56F61">
      <w:pPr>
        <w:rPr>
          <w:rFonts w:ascii="Verdana" w:hAnsi="Verdana"/>
          <w:b/>
          <w:sz w:val="20"/>
          <w:u w:val="single"/>
          <w:lang w:eastAsia="bg-BG"/>
        </w:rPr>
      </w:pPr>
      <w:r w:rsidRPr="00172CA7">
        <w:rPr>
          <w:rFonts w:ascii="Verdana" w:hAnsi="Verdana"/>
          <w:b/>
          <w:sz w:val="20"/>
          <w:u w:val="single"/>
          <w:lang w:eastAsia="bg-BG"/>
        </w:rPr>
        <w:t>3. Участва в управлението на други дружества като управител, а именно:</w:t>
      </w:r>
    </w:p>
    <w:p w14:paraId="4F7F7298" w14:textId="77777777" w:rsidR="00D56F61" w:rsidRPr="00172CA7" w:rsidRDefault="00D56F61" w:rsidP="00D56F61">
      <w:pPr>
        <w:rPr>
          <w:rFonts w:ascii="Verdana" w:hAnsi="Verdana"/>
          <w:sz w:val="20"/>
          <w:lang w:eastAsia="bg-BG"/>
        </w:rPr>
      </w:pPr>
    </w:p>
    <w:p w14:paraId="4F7F7299" w14:textId="77777777" w:rsidR="00D56F61" w:rsidRPr="00172CA7" w:rsidRDefault="00D56F61" w:rsidP="00D56F61">
      <w:pPr>
        <w:rPr>
          <w:rFonts w:ascii="Verdana" w:hAnsi="Verdana"/>
          <w:sz w:val="20"/>
        </w:rPr>
      </w:pPr>
      <w:r w:rsidRPr="00172CA7">
        <w:rPr>
          <w:rFonts w:ascii="Verdana" w:hAnsi="Verdana"/>
          <w:b/>
          <w:sz w:val="20"/>
        </w:rPr>
        <w:t>- „Дунав - К” ЕООД,</w:t>
      </w:r>
      <w:r w:rsidRPr="00172CA7">
        <w:rPr>
          <w:rFonts w:ascii="Verdana" w:hAnsi="Verdana"/>
          <w:sz w:val="20"/>
        </w:rPr>
        <w:t xml:space="preserve"> с ЕИК 831129175.</w:t>
      </w:r>
    </w:p>
    <w:p w14:paraId="4F7F729A" w14:textId="77777777" w:rsidR="00D56F61" w:rsidRPr="00172CA7" w:rsidRDefault="00D56F61" w:rsidP="00D56F61">
      <w:pPr>
        <w:rPr>
          <w:rFonts w:ascii="Verdana" w:hAnsi="Verdana"/>
          <w:sz w:val="20"/>
          <w:lang w:eastAsia="bg-BG"/>
        </w:rPr>
      </w:pPr>
    </w:p>
    <w:p w14:paraId="4F7F729B" w14:textId="77777777" w:rsidR="00D56F61" w:rsidRPr="00172CA7" w:rsidRDefault="00D56F61" w:rsidP="00D56F61">
      <w:pPr>
        <w:rPr>
          <w:rFonts w:ascii="Verdana" w:hAnsi="Verdana"/>
          <w:b/>
          <w:sz w:val="20"/>
          <w:lang w:eastAsia="bg-BG"/>
        </w:rPr>
      </w:pPr>
      <w:r w:rsidRPr="00172CA7">
        <w:rPr>
          <w:rFonts w:ascii="Verdana" w:hAnsi="Verdana"/>
          <w:b/>
          <w:sz w:val="20"/>
          <w:lang w:val="en-US" w:eastAsia="bg-BG"/>
        </w:rPr>
        <w:t xml:space="preserve">II. </w:t>
      </w:r>
      <w:r w:rsidRPr="00172CA7">
        <w:rPr>
          <w:rFonts w:ascii="Verdana" w:hAnsi="Verdana"/>
          <w:b/>
          <w:sz w:val="20"/>
          <w:lang w:eastAsia="bg-BG"/>
        </w:rPr>
        <w:t>Информация за капиталовите участия на „Т</w:t>
      </w:r>
      <w:r>
        <w:rPr>
          <w:rFonts w:ascii="Verdana" w:hAnsi="Verdana"/>
          <w:b/>
          <w:sz w:val="20"/>
          <w:lang w:eastAsia="bg-BG"/>
        </w:rPr>
        <w:t xml:space="preserve">оплофикация - Разград” </w:t>
      </w:r>
      <w:r w:rsidRPr="00172CA7">
        <w:rPr>
          <w:rFonts w:ascii="Verdana" w:hAnsi="Verdana"/>
          <w:b/>
          <w:sz w:val="20"/>
          <w:lang w:eastAsia="bg-BG"/>
        </w:rPr>
        <w:t xml:space="preserve">АД и за участията му в управлението на други дружества </w:t>
      </w:r>
    </w:p>
    <w:p w14:paraId="4F7F729C" w14:textId="77777777" w:rsidR="00D56F61" w:rsidRPr="00172CA7" w:rsidRDefault="00D56F61" w:rsidP="00D56F61">
      <w:pPr>
        <w:rPr>
          <w:rFonts w:ascii="Verdana" w:hAnsi="Verdana"/>
          <w:b/>
          <w:sz w:val="20"/>
          <w:lang w:eastAsia="bg-BG"/>
        </w:rPr>
      </w:pPr>
    </w:p>
    <w:p w14:paraId="4F7F729D" w14:textId="77777777" w:rsidR="00D56F61" w:rsidRPr="00172CA7" w:rsidRDefault="00D56F61" w:rsidP="00D56F61">
      <w:pPr>
        <w:rPr>
          <w:rFonts w:ascii="Verdana" w:hAnsi="Verdana"/>
          <w:b/>
          <w:sz w:val="20"/>
          <w:lang w:eastAsia="bg-BG"/>
        </w:rPr>
      </w:pPr>
      <w:r w:rsidRPr="00172CA7">
        <w:rPr>
          <w:rFonts w:ascii="Verdana" w:hAnsi="Verdana" w:cs="Arial"/>
          <w:b/>
          <w:sz w:val="20"/>
          <w:lang w:eastAsia="bg-BG"/>
        </w:rPr>
        <w:t xml:space="preserve">„Топлофикация - Разград” АД, </w:t>
      </w:r>
      <w:r w:rsidRPr="00172CA7">
        <w:rPr>
          <w:rFonts w:ascii="Verdana" w:hAnsi="Verdana" w:cs="Arial"/>
          <w:sz w:val="20"/>
          <w:lang w:eastAsia="bg-BG"/>
        </w:rPr>
        <w:t>със седалище и адрес на управление: гр. Разград, Индустриална зона, ул. „Черна”, вписано в Търговския регистър при Агенция по вписванията с ЕИК 116019472:</w:t>
      </w:r>
    </w:p>
    <w:p w14:paraId="4F7F729E" w14:textId="77777777" w:rsidR="00D56F61" w:rsidRPr="00172CA7" w:rsidRDefault="00D56F61" w:rsidP="00D56F61">
      <w:pPr>
        <w:rPr>
          <w:rFonts w:ascii="Verdana" w:hAnsi="Verdana"/>
          <w:b/>
          <w:sz w:val="20"/>
          <w:lang w:eastAsia="bg-BG"/>
        </w:rPr>
      </w:pPr>
    </w:p>
    <w:p w14:paraId="4F7F729F" w14:textId="77777777" w:rsidR="00D56F61" w:rsidRPr="00172CA7" w:rsidRDefault="00D56F61" w:rsidP="00D56F61">
      <w:pPr>
        <w:rPr>
          <w:rFonts w:ascii="Verdana" w:hAnsi="Verdana"/>
          <w:b/>
          <w:sz w:val="20"/>
          <w:u w:val="single"/>
          <w:lang w:val="en-US"/>
        </w:rPr>
      </w:pPr>
      <w:r w:rsidRPr="00172CA7">
        <w:rPr>
          <w:rFonts w:ascii="Verdana" w:hAnsi="Verdana"/>
          <w:b/>
          <w:sz w:val="20"/>
          <w:u w:val="single"/>
        </w:rPr>
        <w:t>1. Не участва като неограничено отговорен съдружник в търговски дружества.</w:t>
      </w:r>
    </w:p>
    <w:p w14:paraId="4F7F72A0" w14:textId="77777777" w:rsidR="00D56F61" w:rsidRPr="00172CA7" w:rsidRDefault="00D56F61" w:rsidP="00D56F61">
      <w:pPr>
        <w:rPr>
          <w:rFonts w:ascii="Verdana" w:hAnsi="Verdana"/>
          <w:b/>
          <w:sz w:val="20"/>
          <w:u w:val="single"/>
          <w:lang w:val="en-US"/>
        </w:rPr>
      </w:pPr>
    </w:p>
    <w:p w14:paraId="4F7F72A1" w14:textId="77777777" w:rsidR="00D56F61" w:rsidRPr="00172CA7" w:rsidRDefault="00D56F61" w:rsidP="00D56F61">
      <w:pPr>
        <w:rPr>
          <w:rFonts w:ascii="Verdana" w:hAnsi="Verdana"/>
          <w:b/>
          <w:sz w:val="20"/>
          <w:u w:val="single"/>
        </w:rPr>
      </w:pPr>
      <w:r w:rsidRPr="00172CA7">
        <w:rPr>
          <w:rFonts w:ascii="Verdana" w:hAnsi="Verdana"/>
          <w:b/>
          <w:sz w:val="20"/>
          <w:u w:val="single"/>
        </w:rPr>
        <w:t>2. Не притежава повече от 25 на сто от капитала на други дружества.</w:t>
      </w:r>
    </w:p>
    <w:p w14:paraId="4F7F72A2" w14:textId="77777777" w:rsidR="00D56F61" w:rsidRPr="00172CA7" w:rsidRDefault="00D56F61" w:rsidP="00D56F61">
      <w:pPr>
        <w:ind w:right="782"/>
        <w:rPr>
          <w:rFonts w:ascii="Verdana" w:hAnsi="Verdana"/>
          <w:sz w:val="20"/>
          <w:lang w:eastAsia="bg-BG"/>
        </w:rPr>
      </w:pPr>
    </w:p>
    <w:p w14:paraId="4F7F72A3" w14:textId="77777777" w:rsidR="00D56F61" w:rsidRPr="00172CA7" w:rsidRDefault="00D56F61" w:rsidP="00D56F61">
      <w:pPr>
        <w:rPr>
          <w:rFonts w:ascii="Verdana" w:hAnsi="Verdana"/>
          <w:sz w:val="20"/>
          <w:u w:val="single"/>
        </w:rPr>
      </w:pPr>
    </w:p>
    <w:p w14:paraId="4F7F72A4" w14:textId="77777777" w:rsidR="00D56F61" w:rsidRPr="00172CA7" w:rsidRDefault="00D56F61" w:rsidP="00D56F61">
      <w:pPr>
        <w:rPr>
          <w:rFonts w:ascii="Verdana" w:hAnsi="Verdana"/>
          <w:b/>
          <w:sz w:val="20"/>
          <w:u w:val="single"/>
          <w:lang w:val="en-US"/>
        </w:rPr>
      </w:pPr>
      <w:r w:rsidRPr="00172CA7">
        <w:rPr>
          <w:rFonts w:ascii="Verdana" w:hAnsi="Verdana"/>
          <w:b/>
          <w:sz w:val="20"/>
          <w:u w:val="single"/>
        </w:rPr>
        <w:t>3. Не участва в управлението на търговски дружества като член на съвет.</w:t>
      </w:r>
    </w:p>
    <w:p w14:paraId="4F7F72A5" w14:textId="77777777" w:rsidR="00D56F61" w:rsidRDefault="00D56F61" w:rsidP="00D56F61">
      <w:pPr>
        <w:rPr>
          <w:rFonts w:ascii="Verdana" w:hAnsi="Verdana"/>
          <w:b/>
          <w:sz w:val="20"/>
          <w:highlight w:val="red"/>
          <w:lang w:val="ru-RU" w:eastAsia="bg-BG"/>
        </w:rPr>
      </w:pPr>
    </w:p>
    <w:p w14:paraId="4F7F72A6" w14:textId="77777777" w:rsidR="00D56F61" w:rsidRDefault="00D56F61" w:rsidP="00D56F61">
      <w:pPr>
        <w:rPr>
          <w:rFonts w:ascii="Verdana" w:hAnsi="Verdana"/>
          <w:b/>
          <w:sz w:val="20"/>
          <w:highlight w:val="red"/>
          <w:lang w:val="ru-RU" w:eastAsia="bg-BG"/>
        </w:rPr>
      </w:pPr>
    </w:p>
    <w:p w14:paraId="4F7F72A7" w14:textId="77777777" w:rsidR="00D56F61" w:rsidRDefault="00D56F61" w:rsidP="00D56F61">
      <w:pPr>
        <w:rPr>
          <w:rFonts w:ascii="Verdana" w:hAnsi="Verdana"/>
          <w:b/>
          <w:sz w:val="20"/>
          <w:highlight w:val="red"/>
          <w:lang w:val="ru-RU" w:eastAsia="bg-BG"/>
        </w:rPr>
      </w:pPr>
    </w:p>
    <w:tbl>
      <w:tblPr>
        <w:tblW w:w="0" w:type="auto"/>
        <w:tblCellSpacing w:w="0" w:type="dxa"/>
        <w:tblLayout w:type="fixed"/>
        <w:tblCellMar>
          <w:left w:w="0" w:type="dxa"/>
          <w:right w:w="0" w:type="dxa"/>
        </w:tblCellMar>
        <w:tblLook w:val="0000" w:firstRow="0" w:lastRow="0" w:firstColumn="0" w:lastColumn="0" w:noHBand="0" w:noVBand="0"/>
      </w:tblPr>
      <w:tblGrid>
        <w:gridCol w:w="9450"/>
      </w:tblGrid>
      <w:tr w:rsidR="00D56F61" w:rsidRPr="00544D40" w14:paraId="4F7F72AB" w14:textId="77777777" w:rsidTr="009972FF">
        <w:trPr>
          <w:trHeight w:val="131"/>
          <w:tblCellSpacing w:w="0" w:type="dxa"/>
        </w:trPr>
        <w:tc>
          <w:tcPr>
            <w:tcW w:w="9450" w:type="dxa"/>
            <w:vAlign w:val="center"/>
          </w:tcPr>
          <w:p w14:paraId="4F7F72A8" w14:textId="77777777" w:rsidR="00D56F61" w:rsidRPr="00544D40" w:rsidRDefault="00D56F61" w:rsidP="009972FF">
            <w:pPr>
              <w:pStyle w:val="HTMLPreformatted"/>
              <w:jc w:val="both"/>
              <w:rPr>
                <w:rFonts w:ascii="Verdana" w:hAnsi="Verdana"/>
                <w:b/>
                <w:sz w:val="20"/>
                <w:szCs w:val="20"/>
              </w:rPr>
            </w:pPr>
            <w:r>
              <w:rPr>
                <w:rFonts w:ascii="Verdana" w:hAnsi="Verdana"/>
                <w:b/>
                <w:sz w:val="20"/>
                <w:szCs w:val="20"/>
              </w:rPr>
              <w:t>ДОПЪЛНИТЕЛНА ИНФОРМАЦИЯ</w:t>
            </w:r>
            <w:r w:rsidRPr="00544D40">
              <w:rPr>
                <w:rFonts w:ascii="Verdana" w:hAnsi="Verdana"/>
                <w:b/>
                <w:sz w:val="20"/>
                <w:szCs w:val="20"/>
              </w:rPr>
              <w:t xml:space="preserve"> ЗА „ТОПЛОФИКАЦИЯ - РАЗГРАД</w:t>
            </w:r>
            <w:r>
              <w:rPr>
                <w:rFonts w:ascii="Verdana" w:hAnsi="Verdana"/>
                <w:b/>
                <w:sz w:val="20"/>
                <w:szCs w:val="20"/>
              </w:rPr>
              <w:t xml:space="preserve">“ </w:t>
            </w:r>
            <w:r w:rsidRPr="00544D40">
              <w:rPr>
                <w:rFonts w:ascii="Verdana" w:hAnsi="Verdana"/>
                <w:b/>
                <w:sz w:val="20"/>
                <w:szCs w:val="20"/>
              </w:rPr>
              <w:t>АД</w:t>
            </w:r>
          </w:p>
          <w:p w14:paraId="4F7F72A9" w14:textId="77777777" w:rsidR="00D56F61" w:rsidRPr="00544D40" w:rsidRDefault="00D56F61" w:rsidP="009972FF">
            <w:pPr>
              <w:pStyle w:val="HTMLPreformatted"/>
              <w:jc w:val="both"/>
              <w:rPr>
                <w:rFonts w:ascii="Verdana" w:hAnsi="Verdana"/>
                <w:b/>
                <w:sz w:val="20"/>
                <w:szCs w:val="20"/>
              </w:rPr>
            </w:pPr>
          </w:p>
          <w:p w14:paraId="4F7F72AA" w14:textId="77777777" w:rsidR="00D56F61" w:rsidRPr="00544D40" w:rsidRDefault="00D56F61" w:rsidP="009972FF">
            <w:pPr>
              <w:pStyle w:val="HTMLPreformatted"/>
              <w:jc w:val="both"/>
              <w:rPr>
                <w:rFonts w:ascii="Verdana" w:hAnsi="Verdana"/>
                <w:sz w:val="20"/>
                <w:szCs w:val="20"/>
              </w:rPr>
            </w:pPr>
            <w:r w:rsidRPr="00544D40">
              <w:rPr>
                <w:rFonts w:ascii="Verdana" w:hAnsi="Verdana"/>
                <w:sz w:val="20"/>
                <w:szCs w:val="20"/>
              </w:rPr>
              <w:t xml:space="preserve">Съгласно </w:t>
            </w:r>
            <w:r>
              <w:rPr>
                <w:rFonts w:ascii="Verdana" w:hAnsi="Verdana"/>
                <w:sz w:val="20"/>
                <w:szCs w:val="20"/>
              </w:rPr>
              <w:t xml:space="preserve">чл. 100н, ал. 7, т.2 и </w:t>
            </w:r>
            <w:r w:rsidRPr="00544D40">
              <w:rPr>
                <w:rFonts w:ascii="Verdana" w:hAnsi="Verdana"/>
                <w:b/>
                <w:sz w:val="20"/>
                <w:szCs w:val="20"/>
              </w:rPr>
              <w:t>Приложение № 10</w:t>
            </w:r>
            <w:r w:rsidRPr="00544D40">
              <w:rPr>
                <w:rFonts w:ascii="Verdana" w:hAnsi="Verdana"/>
                <w:sz w:val="20"/>
                <w:szCs w:val="20"/>
              </w:rPr>
              <w:t xml:space="preserve"> към </w:t>
            </w:r>
            <w:r>
              <w:rPr>
                <w:rFonts w:ascii="Verdana" w:hAnsi="Verdana"/>
                <w:sz w:val="20"/>
                <w:szCs w:val="20"/>
              </w:rPr>
              <w:t xml:space="preserve">чл.32, ал.1, т.2 /изм. и доп.-  </w:t>
            </w:r>
            <w:r w:rsidRPr="00544D40">
              <w:rPr>
                <w:rFonts w:ascii="Verdana" w:hAnsi="Verdana"/>
                <w:sz w:val="20"/>
                <w:szCs w:val="20"/>
              </w:rPr>
              <w:t>ДВ бр.101 от 2006г., в сила от 01.</w:t>
            </w:r>
            <w:proofErr w:type="spellStart"/>
            <w:r w:rsidRPr="00544D40">
              <w:rPr>
                <w:rFonts w:ascii="Verdana" w:hAnsi="Verdana"/>
                <w:sz w:val="20"/>
                <w:szCs w:val="20"/>
              </w:rPr>
              <w:t>01</w:t>
            </w:r>
            <w:proofErr w:type="spellEnd"/>
            <w:r w:rsidRPr="00544D40">
              <w:rPr>
                <w:rFonts w:ascii="Verdana" w:hAnsi="Verdana"/>
                <w:sz w:val="20"/>
                <w:szCs w:val="20"/>
              </w:rPr>
              <w:t>.2007 г., бр.82</w:t>
            </w:r>
            <w:r>
              <w:rPr>
                <w:rFonts w:ascii="Verdana" w:hAnsi="Verdana"/>
                <w:sz w:val="20"/>
                <w:szCs w:val="20"/>
              </w:rPr>
              <w:t xml:space="preserve"> от 2007 г., бр.63 от 2016 г./ </w:t>
            </w:r>
            <w:r w:rsidRPr="00544D40">
              <w:rPr>
                <w:rFonts w:ascii="Verdana" w:hAnsi="Verdana"/>
                <w:sz w:val="20"/>
                <w:szCs w:val="20"/>
              </w:rPr>
              <w:t>от НАРЕДБА 2 от 17.09.2003 г.</w:t>
            </w:r>
          </w:p>
        </w:tc>
      </w:tr>
      <w:tr w:rsidR="00D56F61" w:rsidRPr="0080247E" w14:paraId="4F7F72AD" w14:textId="77777777" w:rsidTr="009972FF">
        <w:trPr>
          <w:trHeight w:val="131"/>
          <w:tblCellSpacing w:w="0" w:type="dxa"/>
        </w:trPr>
        <w:tc>
          <w:tcPr>
            <w:tcW w:w="9450" w:type="dxa"/>
            <w:vAlign w:val="center"/>
          </w:tcPr>
          <w:p w14:paraId="4F7F72AC" w14:textId="77777777" w:rsidR="00D56F61" w:rsidRPr="0080247E" w:rsidRDefault="00D56F61" w:rsidP="009972FF">
            <w:pPr>
              <w:pStyle w:val="HTMLPreformatted"/>
              <w:jc w:val="both"/>
              <w:rPr>
                <w:rFonts w:ascii="Verdana" w:hAnsi="Verdana"/>
                <w:sz w:val="20"/>
                <w:szCs w:val="20"/>
              </w:rPr>
            </w:pPr>
          </w:p>
        </w:tc>
      </w:tr>
      <w:tr w:rsidR="00D56F61" w:rsidRPr="0007516E" w14:paraId="4F7F72DF" w14:textId="77777777" w:rsidTr="009972FF">
        <w:trPr>
          <w:trHeight w:val="131"/>
          <w:tblCellSpacing w:w="0" w:type="dxa"/>
        </w:trPr>
        <w:tc>
          <w:tcPr>
            <w:tcW w:w="9450" w:type="dxa"/>
            <w:vAlign w:val="center"/>
          </w:tcPr>
          <w:p w14:paraId="4F7F72AE" w14:textId="77777777" w:rsidR="00D56F61" w:rsidRPr="0007516E" w:rsidRDefault="00D56F61" w:rsidP="009972FF">
            <w:pPr>
              <w:pStyle w:val="HTMLPreformatted"/>
              <w:jc w:val="both"/>
              <w:rPr>
                <w:rFonts w:ascii="Verdana" w:hAnsi="Verdana"/>
                <w:sz w:val="20"/>
                <w:szCs w:val="20"/>
              </w:rPr>
            </w:pPr>
          </w:p>
          <w:p w14:paraId="4F7F72AF" w14:textId="77777777" w:rsidR="00D56F61" w:rsidRPr="0007516E" w:rsidRDefault="00D56F61" w:rsidP="009972FF">
            <w:pPr>
              <w:pStyle w:val="HTMLPreformatted"/>
              <w:jc w:val="both"/>
              <w:rPr>
                <w:rFonts w:ascii="Verdana" w:hAnsi="Verdana"/>
                <w:b/>
                <w:sz w:val="20"/>
                <w:szCs w:val="20"/>
              </w:rPr>
            </w:pPr>
            <w:r w:rsidRPr="0007516E">
              <w:rPr>
                <w:rFonts w:ascii="Verdana" w:hAnsi="Verdana"/>
                <w:b/>
                <w:sz w:val="20"/>
                <w:szCs w:val="20"/>
              </w:rPr>
              <w:t>1.Информация, дадена в стойностно и количествено изражение относно</w:t>
            </w:r>
          </w:p>
          <w:p w14:paraId="4F7F72B0" w14:textId="77777777" w:rsidR="00D56F61" w:rsidRPr="0007516E" w:rsidRDefault="00D56F61" w:rsidP="009972FF">
            <w:pPr>
              <w:pStyle w:val="HTMLPreformatted"/>
              <w:jc w:val="both"/>
              <w:rPr>
                <w:rFonts w:ascii="Verdana" w:hAnsi="Verdana"/>
                <w:b/>
                <w:sz w:val="20"/>
                <w:szCs w:val="20"/>
              </w:rPr>
            </w:pPr>
            <w:r w:rsidRPr="0007516E">
              <w:rPr>
                <w:rFonts w:ascii="Verdana" w:hAnsi="Verdana"/>
                <w:b/>
                <w:sz w:val="20"/>
                <w:szCs w:val="20"/>
              </w:rPr>
              <w:t xml:space="preserve">основните категории стоки, продукти и/или предоставени услуги, с посочване на техния дял в приходите от продажби на </w:t>
            </w:r>
            <w:proofErr w:type="spellStart"/>
            <w:r w:rsidRPr="0007516E">
              <w:rPr>
                <w:rFonts w:ascii="Verdana" w:hAnsi="Verdana"/>
                <w:b/>
                <w:sz w:val="20"/>
                <w:szCs w:val="20"/>
              </w:rPr>
              <w:t>емитента</w:t>
            </w:r>
            <w:proofErr w:type="spellEnd"/>
            <w:r w:rsidRPr="0007516E">
              <w:rPr>
                <w:rFonts w:ascii="Verdana" w:hAnsi="Verdana"/>
                <w:b/>
                <w:sz w:val="20"/>
                <w:szCs w:val="20"/>
              </w:rPr>
              <w:t>, съответно лицето по §1д от допълнителните разпоредби на ЗППЦК,  като цяло и промените, настъпили през отчетната финансова година.</w:t>
            </w:r>
          </w:p>
          <w:p w14:paraId="4F7F72B1" w14:textId="77777777" w:rsidR="00D56F61" w:rsidRPr="0007516E" w:rsidRDefault="00D56F61" w:rsidP="009972FF">
            <w:pPr>
              <w:pStyle w:val="HTMLPreformatted"/>
              <w:jc w:val="both"/>
              <w:rPr>
                <w:rFonts w:ascii="Verdana" w:hAnsi="Verdana"/>
                <w:sz w:val="20"/>
                <w:szCs w:val="20"/>
              </w:rPr>
            </w:pPr>
          </w:p>
          <w:p w14:paraId="4F7F72B2" w14:textId="77777777" w:rsidR="00D56F61" w:rsidRPr="0007516E" w:rsidRDefault="00D56F61" w:rsidP="009972FF">
            <w:pPr>
              <w:tabs>
                <w:tab w:val="left" w:pos="567"/>
                <w:tab w:val="left" w:pos="3969"/>
              </w:tabs>
              <w:ind w:right="114"/>
              <w:rPr>
                <w:rFonts w:ascii="Verdana" w:hAnsi="Verdana" w:cs="Courier New"/>
                <w:sz w:val="20"/>
                <w:lang w:val="en-US"/>
              </w:rPr>
            </w:pPr>
            <w:r w:rsidRPr="0007516E">
              <w:rPr>
                <w:rFonts w:ascii="Verdana" w:hAnsi="Verdana" w:cs="Courier New"/>
                <w:sz w:val="20"/>
              </w:rPr>
              <w:t>Основната дейност на „Топлофикация – Разград“ АД е свързана  с производство на топлинна и електрическа енергия и пренос на топлинна енергия на територията за която Дружеството има издадени лицензии</w:t>
            </w:r>
            <w:r w:rsidRPr="0007516E">
              <w:rPr>
                <w:rFonts w:ascii="Verdana" w:hAnsi="Verdana" w:cs="Courier New"/>
                <w:sz w:val="20"/>
                <w:lang w:val="en-US"/>
              </w:rPr>
              <w:t>.</w:t>
            </w:r>
          </w:p>
          <w:p w14:paraId="4F7F72B3" w14:textId="77777777" w:rsidR="00D56F61" w:rsidRDefault="00D56F61" w:rsidP="009972FF">
            <w:pPr>
              <w:tabs>
                <w:tab w:val="left" w:pos="567"/>
                <w:tab w:val="left" w:pos="3969"/>
              </w:tabs>
              <w:ind w:right="114"/>
              <w:rPr>
                <w:rFonts w:ascii="Verdana" w:hAnsi="Verdana" w:cs="Courier New"/>
                <w:sz w:val="20"/>
              </w:rPr>
            </w:pPr>
            <w:r w:rsidRPr="0007516E">
              <w:rPr>
                <w:rFonts w:ascii="Verdana" w:hAnsi="Verdana" w:cs="Courier New"/>
                <w:sz w:val="20"/>
              </w:rPr>
              <w:t>Приходите от продажби и съответния</w:t>
            </w:r>
            <w:r>
              <w:rPr>
                <w:rFonts w:ascii="Verdana" w:hAnsi="Verdana" w:cs="Courier New"/>
                <w:sz w:val="20"/>
              </w:rPr>
              <w:t xml:space="preserve"> им дял са предоставени в табл.8</w:t>
            </w:r>
            <w:r w:rsidRPr="0007516E">
              <w:rPr>
                <w:rFonts w:ascii="Verdana" w:hAnsi="Verdana" w:cs="Courier New"/>
                <w:sz w:val="20"/>
              </w:rPr>
              <w:t>.</w:t>
            </w:r>
            <w:r>
              <w:rPr>
                <w:rFonts w:ascii="Verdana" w:hAnsi="Verdana" w:cs="Courier New"/>
                <w:sz w:val="20"/>
                <w:lang w:val="en-US"/>
              </w:rPr>
              <w:t xml:space="preserve">, </w:t>
            </w:r>
            <w:r>
              <w:rPr>
                <w:rFonts w:ascii="Verdana" w:hAnsi="Verdana" w:cs="Courier New"/>
                <w:sz w:val="20"/>
              </w:rPr>
              <w:t>както следва:</w:t>
            </w:r>
          </w:p>
          <w:p w14:paraId="4F7F72B4" w14:textId="77777777" w:rsidR="00D56F61" w:rsidRDefault="00D56F61" w:rsidP="009972FF">
            <w:pPr>
              <w:pStyle w:val="NoSpacing"/>
              <w:jc w:val="right"/>
            </w:pPr>
          </w:p>
          <w:p w14:paraId="4F7F72B5" w14:textId="77777777" w:rsidR="00D56F61" w:rsidRPr="00624416" w:rsidRDefault="00D56F61" w:rsidP="009972FF">
            <w:pPr>
              <w:pStyle w:val="NoSpacing"/>
              <w:jc w:val="center"/>
            </w:pPr>
            <w:r w:rsidRPr="00CF76C8">
              <w:rPr>
                <w:rFonts w:ascii="Verdana" w:hAnsi="Verdana" w:cs="Courier New"/>
                <w:sz w:val="20"/>
              </w:rPr>
              <w:t>Табл.8</w:t>
            </w:r>
          </w:p>
          <w:tbl>
            <w:tblPr>
              <w:tblW w:w="8922" w:type="dxa"/>
              <w:jc w:val="center"/>
              <w:tblLayout w:type="fixed"/>
              <w:tblCellMar>
                <w:left w:w="70" w:type="dxa"/>
                <w:right w:w="70" w:type="dxa"/>
              </w:tblCellMar>
              <w:tblLook w:val="04A0" w:firstRow="1" w:lastRow="0" w:firstColumn="1" w:lastColumn="0" w:noHBand="0" w:noVBand="1"/>
            </w:tblPr>
            <w:tblGrid>
              <w:gridCol w:w="4461"/>
              <w:gridCol w:w="1834"/>
              <w:gridCol w:w="1693"/>
              <w:gridCol w:w="934"/>
            </w:tblGrid>
            <w:tr w:rsidR="00D56F61" w:rsidRPr="0007516E" w14:paraId="4F7F72BA" w14:textId="77777777" w:rsidTr="005766D5">
              <w:trPr>
                <w:trHeight w:val="439"/>
                <w:jc w:val="center"/>
              </w:trPr>
              <w:tc>
                <w:tcPr>
                  <w:tcW w:w="4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F72B6" w14:textId="77777777" w:rsidR="00D56F61" w:rsidRPr="0007516E" w:rsidRDefault="00D56F61" w:rsidP="005766D5">
                  <w:pPr>
                    <w:jc w:val="center"/>
                    <w:rPr>
                      <w:rFonts w:ascii="Verdana" w:hAnsi="Verdana"/>
                      <w:b/>
                      <w:bCs/>
                      <w:sz w:val="20"/>
                    </w:rPr>
                  </w:pPr>
                  <w:r w:rsidRPr="0007516E">
                    <w:rPr>
                      <w:rFonts w:ascii="Verdana" w:hAnsi="Verdana"/>
                      <w:b/>
                      <w:bCs/>
                      <w:sz w:val="20"/>
                    </w:rPr>
                    <w:t>Вид приход</w:t>
                  </w:r>
                </w:p>
              </w:tc>
              <w:tc>
                <w:tcPr>
                  <w:tcW w:w="1834" w:type="dxa"/>
                  <w:tcBorders>
                    <w:top w:val="single" w:sz="4" w:space="0" w:color="auto"/>
                    <w:left w:val="nil"/>
                    <w:bottom w:val="single" w:sz="4" w:space="0" w:color="auto"/>
                    <w:right w:val="single" w:sz="4" w:space="0" w:color="auto"/>
                  </w:tcBorders>
                  <w:vAlign w:val="center"/>
                </w:tcPr>
                <w:p w14:paraId="4F7F72B7" w14:textId="77777777" w:rsidR="00D56F61" w:rsidRPr="0007516E" w:rsidRDefault="00D56F61" w:rsidP="005766D5">
                  <w:pPr>
                    <w:jc w:val="center"/>
                    <w:rPr>
                      <w:rFonts w:ascii="Verdana" w:hAnsi="Verdana"/>
                      <w:b/>
                      <w:bCs/>
                      <w:sz w:val="20"/>
                    </w:rPr>
                  </w:pPr>
                  <w:r w:rsidRPr="0007516E">
                    <w:rPr>
                      <w:rFonts w:ascii="Verdana" w:hAnsi="Verdana"/>
                      <w:b/>
                      <w:bCs/>
                      <w:sz w:val="20"/>
                    </w:rPr>
                    <w:t>Количество (</w:t>
                  </w:r>
                  <w:proofErr w:type="spellStart"/>
                  <w:r w:rsidRPr="0007516E">
                    <w:rPr>
                      <w:rFonts w:ascii="Verdana" w:hAnsi="Verdana"/>
                      <w:b/>
                      <w:bCs/>
                      <w:sz w:val="20"/>
                    </w:rPr>
                    <w:t>МВтч</w:t>
                  </w:r>
                  <w:proofErr w:type="spellEnd"/>
                  <w:r w:rsidRPr="0007516E">
                    <w:rPr>
                      <w:rFonts w:ascii="Verdana" w:hAnsi="Verdana"/>
                      <w:b/>
                      <w:bCs/>
                      <w:sz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F72B8" w14:textId="77777777" w:rsidR="00D56F61" w:rsidRPr="0007516E" w:rsidRDefault="00D56F61" w:rsidP="005766D5">
                  <w:pPr>
                    <w:jc w:val="center"/>
                    <w:rPr>
                      <w:rFonts w:ascii="Verdana" w:hAnsi="Verdana"/>
                      <w:b/>
                      <w:bCs/>
                      <w:sz w:val="20"/>
                    </w:rPr>
                  </w:pPr>
                  <w:r w:rsidRPr="0007516E">
                    <w:rPr>
                      <w:rFonts w:ascii="Verdana" w:hAnsi="Verdana"/>
                      <w:b/>
                      <w:bCs/>
                      <w:sz w:val="20"/>
                    </w:rPr>
                    <w:t>Приходи (хил.лв.)</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4F7F72B9" w14:textId="77777777" w:rsidR="00D56F61" w:rsidRPr="0007516E" w:rsidRDefault="00D56F61" w:rsidP="005766D5">
                  <w:pPr>
                    <w:jc w:val="center"/>
                    <w:rPr>
                      <w:rFonts w:ascii="Verdana" w:hAnsi="Verdana"/>
                      <w:b/>
                      <w:bCs/>
                      <w:sz w:val="20"/>
                    </w:rPr>
                  </w:pPr>
                  <w:r w:rsidRPr="0007516E">
                    <w:rPr>
                      <w:rFonts w:ascii="Verdana" w:hAnsi="Verdana"/>
                      <w:b/>
                      <w:bCs/>
                      <w:sz w:val="20"/>
                    </w:rPr>
                    <w:t>%</w:t>
                  </w:r>
                </w:p>
              </w:tc>
            </w:tr>
            <w:tr w:rsidR="00D56F61" w:rsidRPr="0007516E" w14:paraId="4F7F72BF" w14:textId="77777777" w:rsidTr="005766D5">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4F7F72BB" w14:textId="366AC04C" w:rsidR="00D56F61" w:rsidRPr="0007516E" w:rsidRDefault="00D56F61" w:rsidP="005766D5">
                  <w:pPr>
                    <w:jc w:val="left"/>
                    <w:rPr>
                      <w:rFonts w:ascii="Verdana" w:hAnsi="Verdana"/>
                      <w:sz w:val="20"/>
                    </w:rPr>
                  </w:pPr>
                  <w:r w:rsidRPr="0007516E">
                    <w:rPr>
                      <w:rFonts w:ascii="Verdana" w:hAnsi="Verdana"/>
                      <w:sz w:val="20"/>
                    </w:rPr>
                    <w:t>Продажби на електроенергия</w:t>
                  </w:r>
                  <w:r w:rsidR="00B80512">
                    <w:rPr>
                      <w:rFonts w:ascii="Verdana" w:hAnsi="Verdana"/>
                      <w:sz w:val="20"/>
                    </w:rPr>
                    <w:t xml:space="preserve"> </w:t>
                  </w:r>
                  <w:r w:rsidRPr="0007516E">
                    <w:rPr>
                      <w:rFonts w:ascii="Verdana" w:hAnsi="Verdana"/>
                      <w:sz w:val="20"/>
                    </w:rPr>
                    <w:t>в т.ч.</w:t>
                  </w:r>
                  <w:r>
                    <w:rPr>
                      <w:rFonts w:ascii="Verdana" w:hAnsi="Verdana"/>
                      <w:sz w:val="20"/>
                    </w:rPr>
                    <w:t>:</w:t>
                  </w:r>
                </w:p>
              </w:tc>
              <w:tc>
                <w:tcPr>
                  <w:tcW w:w="1834" w:type="dxa"/>
                  <w:tcBorders>
                    <w:top w:val="single" w:sz="4" w:space="0" w:color="auto"/>
                    <w:left w:val="nil"/>
                    <w:bottom w:val="single" w:sz="4" w:space="0" w:color="auto"/>
                    <w:right w:val="single" w:sz="4" w:space="0" w:color="auto"/>
                  </w:tcBorders>
                  <w:vAlign w:val="center"/>
                </w:tcPr>
                <w:p w14:paraId="4F7F72BC" w14:textId="77777777" w:rsidR="00D56F61" w:rsidRPr="0007516E" w:rsidRDefault="00D56F61" w:rsidP="005766D5">
                  <w:pPr>
                    <w:jc w:val="center"/>
                    <w:rPr>
                      <w:rFonts w:ascii="Verdana" w:hAnsi="Verdana"/>
                      <w:sz w:val="20"/>
                    </w:rPr>
                  </w:pP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4F7F72BD" w14:textId="77777777" w:rsidR="00D56F61" w:rsidRPr="0007516E" w:rsidRDefault="00D56F61" w:rsidP="005766D5">
                  <w:pPr>
                    <w:jc w:val="center"/>
                    <w:rPr>
                      <w:rFonts w:ascii="Verdana" w:hAnsi="Verdana"/>
                      <w:sz w:val="20"/>
                    </w:rPr>
                  </w:pPr>
                  <w:r w:rsidRPr="0007516E">
                    <w:rPr>
                      <w:rFonts w:ascii="Verdana" w:hAnsi="Verdana"/>
                      <w:sz w:val="20"/>
                    </w:rPr>
                    <w:t>3 121</w:t>
                  </w:r>
                </w:p>
              </w:tc>
              <w:tc>
                <w:tcPr>
                  <w:tcW w:w="934" w:type="dxa"/>
                  <w:tcBorders>
                    <w:top w:val="nil"/>
                    <w:left w:val="nil"/>
                    <w:bottom w:val="single" w:sz="4" w:space="0" w:color="auto"/>
                    <w:right w:val="single" w:sz="4" w:space="0" w:color="auto"/>
                  </w:tcBorders>
                  <w:shd w:val="clear" w:color="auto" w:fill="auto"/>
                  <w:noWrap/>
                  <w:vAlign w:val="center"/>
                </w:tcPr>
                <w:p w14:paraId="4F7F72BE" w14:textId="77777777" w:rsidR="00D56F61" w:rsidRPr="0007516E" w:rsidRDefault="00D56F61" w:rsidP="005766D5">
                  <w:pPr>
                    <w:jc w:val="center"/>
                    <w:rPr>
                      <w:rFonts w:ascii="Verdana" w:hAnsi="Verdana"/>
                      <w:sz w:val="20"/>
                    </w:rPr>
                  </w:pPr>
                  <w:r w:rsidRPr="0007516E">
                    <w:rPr>
                      <w:rFonts w:ascii="Verdana" w:hAnsi="Verdana"/>
                      <w:sz w:val="20"/>
                    </w:rPr>
                    <w:t>63</w:t>
                  </w:r>
                </w:p>
              </w:tc>
            </w:tr>
            <w:tr w:rsidR="00D56F61" w:rsidRPr="0007516E" w14:paraId="4F7F72C4" w14:textId="77777777" w:rsidTr="005766D5">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4F7F72C0" w14:textId="77777777" w:rsidR="00D56F61" w:rsidRPr="0007516E" w:rsidRDefault="00D56F61" w:rsidP="005766D5">
                  <w:pPr>
                    <w:numPr>
                      <w:ilvl w:val="0"/>
                      <w:numId w:val="35"/>
                    </w:numPr>
                    <w:spacing w:line="276" w:lineRule="auto"/>
                    <w:jc w:val="left"/>
                    <w:rPr>
                      <w:rFonts w:ascii="Verdana" w:hAnsi="Verdana"/>
                      <w:sz w:val="20"/>
                    </w:rPr>
                  </w:pPr>
                  <w:r w:rsidRPr="0007516E">
                    <w:rPr>
                      <w:rFonts w:ascii="Verdana" w:hAnsi="Verdana"/>
                      <w:sz w:val="20"/>
                    </w:rPr>
                    <w:t>На регулиран пазар</w:t>
                  </w:r>
                </w:p>
              </w:tc>
              <w:tc>
                <w:tcPr>
                  <w:tcW w:w="1834" w:type="dxa"/>
                  <w:tcBorders>
                    <w:top w:val="single" w:sz="4" w:space="0" w:color="auto"/>
                    <w:left w:val="nil"/>
                    <w:bottom w:val="single" w:sz="4" w:space="0" w:color="auto"/>
                    <w:right w:val="single" w:sz="4" w:space="0" w:color="auto"/>
                  </w:tcBorders>
                  <w:vAlign w:val="center"/>
                </w:tcPr>
                <w:p w14:paraId="4F7F72C1" w14:textId="77777777" w:rsidR="00D56F61" w:rsidRPr="0007516E" w:rsidRDefault="00D56F61" w:rsidP="005766D5">
                  <w:pPr>
                    <w:jc w:val="center"/>
                    <w:rPr>
                      <w:rFonts w:ascii="Verdana" w:hAnsi="Verdana"/>
                      <w:sz w:val="20"/>
                    </w:rPr>
                  </w:pPr>
                  <w:r w:rsidRPr="0007516E">
                    <w:rPr>
                      <w:rFonts w:ascii="Verdana" w:hAnsi="Verdana"/>
                      <w:sz w:val="20"/>
                    </w:rPr>
                    <w:t>9 096</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4F7F72C2" w14:textId="77777777" w:rsidR="00D56F61" w:rsidRPr="0007516E" w:rsidRDefault="00D56F61" w:rsidP="005766D5">
                  <w:pPr>
                    <w:jc w:val="center"/>
                    <w:rPr>
                      <w:rFonts w:ascii="Verdana" w:hAnsi="Verdana"/>
                      <w:sz w:val="20"/>
                    </w:rPr>
                  </w:pPr>
                  <w:r w:rsidRPr="0007516E">
                    <w:rPr>
                      <w:rFonts w:ascii="Verdana" w:hAnsi="Verdana"/>
                      <w:sz w:val="20"/>
                    </w:rPr>
                    <w:t>1 904</w:t>
                  </w:r>
                </w:p>
              </w:tc>
              <w:tc>
                <w:tcPr>
                  <w:tcW w:w="934" w:type="dxa"/>
                  <w:tcBorders>
                    <w:top w:val="nil"/>
                    <w:left w:val="nil"/>
                    <w:bottom w:val="single" w:sz="4" w:space="0" w:color="auto"/>
                    <w:right w:val="single" w:sz="4" w:space="0" w:color="auto"/>
                  </w:tcBorders>
                  <w:shd w:val="clear" w:color="auto" w:fill="auto"/>
                  <w:noWrap/>
                  <w:vAlign w:val="center"/>
                </w:tcPr>
                <w:p w14:paraId="4F7F72C3" w14:textId="77777777" w:rsidR="00D56F61" w:rsidRPr="0007516E" w:rsidRDefault="00D56F61" w:rsidP="005766D5">
                  <w:pPr>
                    <w:jc w:val="center"/>
                    <w:rPr>
                      <w:rFonts w:ascii="Verdana" w:hAnsi="Verdana"/>
                      <w:sz w:val="20"/>
                    </w:rPr>
                  </w:pPr>
                </w:p>
              </w:tc>
            </w:tr>
            <w:tr w:rsidR="00D56F61" w:rsidRPr="0007516E" w14:paraId="4F7F72C9" w14:textId="77777777" w:rsidTr="005766D5">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4F7F72C5" w14:textId="77777777" w:rsidR="00D56F61" w:rsidRPr="0007516E" w:rsidRDefault="00D56F61" w:rsidP="005766D5">
                  <w:pPr>
                    <w:numPr>
                      <w:ilvl w:val="0"/>
                      <w:numId w:val="34"/>
                    </w:numPr>
                    <w:spacing w:line="276" w:lineRule="auto"/>
                    <w:jc w:val="left"/>
                    <w:rPr>
                      <w:rFonts w:ascii="Verdana" w:hAnsi="Verdana"/>
                      <w:sz w:val="20"/>
                    </w:rPr>
                  </w:pPr>
                  <w:r w:rsidRPr="0007516E">
                    <w:rPr>
                      <w:rFonts w:ascii="Verdana" w:hAnsi="Verdana"/>
                      <w:sz w:val="20"/>
                    </w:rPr>
                    <w:t>На свободен пазар</w:t>
                  </w:r>
                </w:p>
              </w:tc>
              <w:tc>
                <w:tcPr>
                  <w:tcW w:w="1834" w:type="dxa"/>
                  <w:tcBorders>
                    <w:top w:val="single" w:sz="4" w:space="0" w:color="auto"/>
                    <w:left w:val="nil"/>
                    <w:bottom w:val="single" w:sz="4" w:space="0" w:color="auto"/>
                    <w:right w:val="single" w:sz="4" w:space="0" w:color="auto"/>
                  </w:tcBorders>
                  <w:vAlign w:val="center"/>
                </w:tcPr>
                <w:p w14:paraId="4F7F72C6" w14:textId="77777777" w:rsidR="00D56F61" w:rsidRPr="0007516E" w:rsidRDefault="00D56F61" w:rsidP="005766D5">
                  <w:pPr>
                    <w:jc w:val="center"/>
                    <w:rPr>
                      <w:rFonts w:ascii="Verdana" w:hAnsi="Verdana"/>
                      <w:sz w:val="20"/>
                    </w:rPr>
                  </w:pPr>
                  <w:r w:rsidRPr="0007516E">
                    <w:rPr>
                      <w:rFonts w:ascii="Verdana" w:hAnsi="Verdana"/>
                      <w:sz w:val="20"/>
                    </w:rPr>
                    <w:t>5 054</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4F7F72C7" w14:textId="77777777" w:rsidR="00D56F61" w:rsidRPr="0007516E" w:rsidRDefault="00D56F61" w:rsidP="005766D5">
                  <w:pPr>
                    <w:jc w:val="center"/>
                    <w:rPr>
                      <w:rFonts w:ascii="Verdana" w:hAnsi="Verdana"/>
                      <w:sz w:val="20"/>
                    </w:rPr>
                  </w:pPr>
                  <w:r w:rsidRPr="0007516E">
                    <w:rPr>
                      <w:rFonts w:ascii="Verdana" w:hAnsi="Verdana"/>
                      <w:sz w:val="20"/>
                    </w:rPr>
                    <w:t>1 211</w:t>
                  </w:r>
                </w:p>
              </w:tc>
              <w:tc>
                <w:tcPr>
                  <w:tcW w:w="934" w:type="dxa"/>
                  <w:tcBorders>
                    <w:top w:val="nil"/>
                    <w:left w:val="nil"/>
                    <w:bottom w:val="single" w:sz="4" w:space="0" w:color="auto"/>
                    <w:right w:val="single" w:sz="4" w:space="0" w:color="auto"/>
                  </w:tcBorders>
                  <w:shd w:val="clear" w:color="auto" w:fill="auto"/>
                  <w:noWrap/>
                  <w:vAlign w:val="center"/>
                </w:tcPr>
                <w:p w14:paraId="4F7F72C8" w14:textId="77777777" w:rsidR="00D56F61" w:rsidRPr="0007516E" w:rsidRDefault="00D56F61" w:rsidP="005766D5">
                  <w:pPr>
                    <w:jc w:val="center"/>
                    <w:rPr>
                      <w:rFonts w:ascii="Verdana" w:hAnsi="Verdana"/>
                      <w:sz w:val="20"/>
                    </w:rPr>
                  </w:pPr>
                </w:p>
              </w:tc>
            </w:tr>
            <w:tr w:rsidR="00D56F61" w:rsidRPr="0007516E" w14:paraId="4F7F72CE" w14:textId="77777777" w:rsidTr="005766D5">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4F7F72CA" w14:textId="77777777" w:rsidR="00D56F61" w:rsidRPr="0007516E" w:rsidRDefault="00D56F61" w:rsidP="005766D5">
                  <w:pPr>
                    <w:numPr>
                      <w:ilvl w:val="0"/>
                      <w:numId w:val="34"/>
                    </w:numPr>
                    <w:spacing w:line="276" w:lineRule="auto"/>
                    <w:jc w:val="left"/>
                    <w:rPr>
                      <w:rFonts w:ascii="Verdana" w:hAnsi="Verdana"/>
                      <w:sz w:val="20"/>
                    </w:rPr>
                  </w:pPr>
                  <w:r w:rsidRPr="0007516E">
                    <w:rPr>
                      <w:rFonts w:ascii="Verdana" w:hAnsi="Verdana"/>
                      <w:sz w:val="20"/>
                    </w:rPr>
                    <w:t>На балансиращия пазар</w:t>
                  </w:r>
                </w:p>
              </w:tc>
              <w:tc>
                <w:tcPr>
                  <w:tcW w:w="1834" w:type="dxa"/>
                  <w:tcBorders>
                    <w:top w:val="single" w:sz="4" w:space="0" w:color="auto"/>
                    <w:left w:val="nil"/>
                    <w:bottom w:val="single" w:sz="4" w:space="0" w:color="auto"/>
                    <w:right w:val="single" w:sz="4" w:space="0" w:color="auto"/>
                  </w:tcBorders>
                  <w:vAlign w:val="center"/>
                </w:tcPr>
                <w:p w14:paraId="4F7F72CB" w14:textId="77777777" w:rsidR="00D56F61" w:rsidRPr="0007516E" w:rsidRDefault="00D56F61" w:rsidP="005766D5">
                  <w:pPr>
                    <w:jc w:val="center"/>
                    <w:rPr>
                      <w:rFonts w:ascii="Verdana" w:hAnsi="Verdana"/>
                      <w:sz w:val="20"/>
                    </w:rPr>
                  </w:pPr>
                  <w:r w:rsidRPr="0007516E">
                    <w:rPr>
                      <w:rFonts w:ascii="Verdana" w:hAnsi="Verdana"/>
                      <w:sz w:val="20"/>
                    </w:rPr>
                    <w:t>109</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4F7F72CC" w14:textId="77777777" w:rsidR="00D56F61" w:rsidRPr="0007516E" w:rsidRDefault="00D56F61" w:rsidP="005766D5">
                  <w:pPr>
                    <w:jc w:val="center"/>
                    <w:rPr>
                      <w:rFonts w:ascii="Verdana" w:hAnsi="Verdana"/>
                      <w:sz w:val="20"/>
                    </w:rPr>
                  </w:pPr>
                  <w:r w:rsidRPr="0007516E">
                    <w:rPr>
                      <w:rFonts w:ascii="Verdana" w:hAnsi="Verdana"/>
                      <w:sz w:val="20"/>
                    </w:rPr>
                    <w:t>6</w:t>
                  </w:r>
                </w:p>
              </w:tc>
              <w:tc>
                <w:tcPr>
                  <w:tcW w:w="934" w:type="dxa"/>
                  <w:tcBorders>
                    <w:top w:val="nil"/>
                    <w:left w:val="nil"/>
                    <w:bottom w:val="single" w:sz="4" w:space="0" w:color="auto"/>
                    <w:right w:val="single" w:sz="4" w:space="0" w:color="auto"/>
                  </w:tcBorders>
                  <w:shd w:val="clear" w:color="auto" w:fill="auto"/>
                  <w:noWrap/>
                  <w:vAlign w:val="center"/>
                </w:tcPr>
                <w:p w14:paraId="4F7F72CD" w14:textId="77777777" w:rsidR="00D56F61" w:rsidRPr="0007516E" w:rsidRDefault="00D56F61" w:rsidP="005766D5">
                  <w:pPr>
                    <w:jc w:val="center"/>
                    <w:rPr>
                      <w:rFonts w:ascii="Verdana" w:hAnsi="Verdana"/>
                      <w:sz w:val="20"/>
                    </w:rPr>
                  </w:pPr>
                </w:p>
              </w:tc>
            </w:tr>
            <w:tr w:rsidR="00D56F61" w:rsidRPr="0007516E" w14:paraId="4F7F72D3" w14:textId="77777777" w:rsidTr="005766D5">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4F7F72CF" w14:textId="77777777" w:rsidR="00D56F61" w:rsidRPr="0007516E" w:rsidRDefault="00D56F61" w:rsidP="005766D5">
                  <w:pPr>
                    <w:jc w:val="left"/>
                    <w:rPr>
                      <w:rFonts w:ascii="Verdana" w:hAnsi="Verdana"/>
                      <w:sz w:val="20"/>
                    </w:rPr>
                  </w:pPr>
                  <w:r w:rsidRPr="0007516E">
                    <w:rPr>
                      <w:rFonts w:ascii="Verdana" w:hAnsi="Verdana"/>
                      <w:sz w:val="20"/>
                    </w:rPr>
                    <w:t>Продажби на топлоенергия</w:t>
                  </w:r>
                </w:p>
              </w:tc>
              <w:tc>
                <w:tcPr>
                  <w:tcW w:w="1834" w:type="dxa"/>
                  <w:tcBorders>
                    <w:top w:val="single" w:sz="4" w:space="0" w:color="auto"/>
                    <w:left w:val="nil"/>
                    <w:bottom w:val="single" w:sz="4" w:space="0" w:color="auto"/>
                    <w:right w:val="single" w:sz="4" w:space="0" w:color="auto"/>
                  </w:tcBorders>
                  <w:vAlign w:val="center"/>
                </w:tcPr>
                <w:p w14:paraId="4F7F72D0" w14:textId="77777777" w:rsidR="00D56F61" w:rsidRPr="0007516E" w:rsidRDefault="00D56F61" w:rsidP="005766D5">
                  <w:pPr>
                    <w:jc w:val="center"/>
                    <w:rPr>
                      <w:rFonts w:ascii="Verdana" w:hAnsi="Verdana"/>
                      <w:sz w:val="20"/>
                    </w:rPr>
                  </w:pPr>
                  <w:r w:rsidRPr="0007516E">
                    <w:rPr>
                      <w:rFonts w:ascii="Verdana" w:hAnsi="Verdana"/>
                      <w:sz w:val="20"/>
                    </w:rPr>
                    <w:t>20 905</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4F7F72D1" w14:textId="77777777" w:rsidR="00D56F61" w:rsidRPr="0007516E" w:rsidRDefault="00D56F61" w:rsidP="005766D5">
                  <w:pPr>
                    <w:jc w:val="center"/>
                    <w:rPr>
                      <w:rFonts w:ascii="Verdana" w:hAnsi="Verdana"/>
                      <w:sz w:val="20"/>
                    </w:rPr>
                  </w:pPr>
                  <w:r w:rsidRPr="0007516E">
                    <w:rPr>
                      <w:rFonts w:ascii="Verdana" w:hAnsi="Verdana"/>
                      <w:sz w:val="20"/>
                    </w:rPr>
                    <w:t>1 753</w:t>
                  </w:r>
                </w:p>
              </w:tc>
              <w:tc>
                <w:tcPr>
                  <w:tcW w:w="934" w:type="dxa"/>
                  <w:tcBorders>
                    <w:top w:val="nil"/>
                    <w:left w:val="nil"/>
                    <w:bottom w:val="single" w:sz="4" w:space="0" w:color="auto"/>
                    <w:right w:val="single" w:sz="4" w:space="0" w:color="auto"/>
                  </w:tcBorders>
                  <w:shd w:val="clear" w:color="auto" w:fill="auto"/>
                  <w:noWrap/>
                  <w:vAlign w:val="center"/>
                </w:tcPr>
                <w:p w14:paraId="4F7F72D2" w14:textId="77777777" w:rsidR="00D56F61" w:rsidRPr="0007516E" w:rsidRDefault="00D56F61" w:rsidP="005766D5">
                  <w:pPr>
                    <w:jc w:val="center"/>
                    <w:rPr>
                      <w:rFonts w:ascii="Verdana" w:hAnsi="Verdana"/>
                      <w:sz w:val="20"/>
                    </w:rPr>
                  </w:pPr>
                  <w:r w:rsidRPr="0007516E">
                    <w:rPr>
                      <w:rFonts w:ascii="Verdana" w:hAnsi="Verdana"/>
                      <w:sz w:val="20"/>
                    </w:rPr>
                    <w:t>35</w:t>
                  </w:r>
                </w:p>
              </w:tc>
            </w:tr>
            <w:tr w:rsidR="00D56F61" w:rsidRPr="0007516E" w14:paraId="4F7F72D8" w14:textId="77777777" w:rsidTr="005766D5">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4F7F72D4" w14:textId="77777777" w:rsidR="00D56F61" w:rsidRPr="0007516E" w:rsidRDefault="00D56F61" w:rsidP="005766D5">
                  <w:pPr>
                    <w:jc w:val="left"/>
                    <w:rPr>
                      <w:rFonts w:ascii="Verdana" w:hAnsi="Verdana"/>
                      <w:sz w:val="20"/>
                    </w:rPr>
                  </w:pPr>
                  <w:r w:rsidRPr="0007516E">
                    <w:rPr>
                      <w:rFonts w:ascii="Verdana" w:hAnsi="Verdana"/>
                      <w:sz w:val="20"/>
                    </w:rPr>
                    <w:t>Продажба на услуги</w:t>
                  </w:r>
                </w:p>
              </w:tc>
              <w:tc>
                <w:tcPr>
                  <w:tcW w:w="1834" w:type="dxa"/>
                  <w:tcBorders>
                    <w:top w:val="single" w:sz="4" w:space="0" w:color="auto"/>
                    <w:left w:val="nil"/>
                    <w:bottom w:val="single" w:sz="4" w:space="0" w:color="auto"/>
                    <w:right w:val="single" w:sz="4" w:space="0" w:color="auto"/>
                  </w:tcBorders>
                  <w:vAlign w:val="center"/>
                </w:tcPr>
                <w:p w14:paraId="4F7F72D5" w14:textId="77777777" w:rsidR="00D56F61" w:rsidRPr="0007516E" w:rsidRDefault="00D56F61" w:rsidP="005766D5">
                  <w:pPr>
                    <w:jc w:val="center"/>
                    <w:rPr>
                      <w:rFonts w:ascii="Verdana" w:hAnsi="Verdana"/>
                      <w:sz w:val="20"/>
                    </w:rPr>
                  </w:pPr>
                  <w:r w:rsidRPr="0007516E">
                    <w:rPr>
                      <w:rFonts w:ascii="Verdana" w:hAnsi="Verdana"/>
                      <w:sz w:val="20"/>
                    </w:rPr>
                    <w:t>-</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4F7F72D6" w14:textId="77777777" w:rsidR="00D56F61" w:rsidRPr="0007516E" w:rsidRDefault="00D56F61" w:rsidP="005766D5">
                  <w:pPr>
                    <w:jc w:val="center"/>
                    <w:rPr>
                      <w:rFonts w:ascii="Verdana" w:hAnsi="Verdana"/>
                      <w:sz w:val="20"/>
                    </w:rPr>
                  </w:pPr>
                  <w:r w:rsidRPr="0007516E">
                    <w:rPr>
                      <w:rFonts w:ascii="Verdana" w:hAnsi="Verdana"/>
                      <w:sz w:val="20"/>
                    </w:rPr>
                    <w:t>94</w:t>
                  </w:r>
                </w:p>
              </w:tc>
              <w:tc>
                <w:tcPr>
                  <w:tcW w:w="934" w:type="dxa"/>
                  <w:tcBorders>
                    <w:top w:val="nil"/>
                    <w:left w:val="nil"/>
                    <w:bottom w:val="single" w:sz="4" w:space="0" w:color="auto"/>
                    <w:right w:val="single" w:sz="4" w:space="0" w:color="auto"/>
                  </w:tcBorders>
                  <w:shd w:val="clear" w:color="auto" w:fill="auto"/>
                  <w:noWrap/>
                  <w:vAlign w:val="center"/>
                </w:tcPr>
                <w:p w14:paraId="4F7F72D7" w14:textId="77777777" w:rsidR="00D56F61" w:rsidRPr="0007516E" w:rsidRDefault="00D56F61" w:rsidP="005766D5">
                  <w:pPr>
                    <w:jc w:val="center"/>
                    <w:rPr>
                      <w:rFonts w:ascii="Verdana" w:hAnsi="Verdana"/>
                      <w:sz w:val="20"/>
                    </w:rPr>
                  </w:pPr>
                  <w:r w:rsidRPr="0007516E">
                    <w:rPr>
                      <w:rFonts w:ascii="Verdana" w:hAnsi="Verdana"/>
                      <w:sz w:val="20"/>
                    </w:rPr>
                    <w:t>2</w:t>
                  </w:r>
                </w:p>
              </w:tc>
            </w:tr>
            <w:tr w:rsidR="00D56F61" w:rsidRPr="0007516E" w14:paraId="4F7F72DD" w14:textId="77777777" w:rsidTr="005766D5">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4F7F72D9" w14:textId="77777777" w:rsidR="00D56F61" w:rsidRPr="0007516E" w:rsidRDefault="00D56F61" w:rsidP="005766D5">
                  <w:pPr>
                    <w:jc w:val="left"/>
                    <w:rPr>
                      <w:rFonts w:ascii="Verdana" w:hAnsi="Verdana"/>
                      <w:b/>
                      <w:bCs/>
                      <w:sz w:val="20"/>
                    </w:rPr>
                  </w:pPr>
                  <w:r w:rsidRPr="0007516E">
                    <w:rPr>
                      <w:rFonts w:ascii="Verdana" w:hAnsi="Verdana"/>
                      <w:b/>
                      <w:bCs/>
                      <w:sz w:val="20"/>
                    </w:rPr>
                    <w:t>ОБЩО приходи :</w:t>
                  </w:r>
                </w:p>
              </w:tc>
              <w:tc>
                <w:tcPr>
                  <w:tcW w:w="1834" w:type="dxa"/>
                  <w:tcBorders>
                    <w:top w:val="single" w:sz="4" w:space="0" w:color="auto"/>
                    <w:left w:val="nil"/>
                    <w:bottom w:val="single" w:sz="4" w:space="0" w:color="auto"/>
                    <w:right w:val="single" w:sz="4" w:space="0" w:color="auto"/>
                  </w:tcBorders>
                  <w:vAlign w:val="center"/>
                </w:tcPr>
                <w:p w14:paraId="4F7F72DA" w14:textId="77777777" w:rsidR="00D56F61" w:rsidRPr="0007516E" w:rsidRDefault="00D56F61" w:rsidP="005766D5">
                  <w:pPr>
                    <w:jc w:val="center"/>
                    <w:rPr>
                      <w:rFonts w:ascii="Verdana" w:hAnsi="Verdana"/>
                      <w:b/>
                      <w:bCs/>
                      <w:sz w:val="20"/>
                    </w:rPr>
                  </w:pPr>
                  <w:r w:rsidRPr="0007516E">
                    <w:rPr>
                      <w:rFonts w:ascii="Verdana" w:hAnsi="Verdana"/>
                      <w:b/>
                      <w:bCs/>
                      <w:sz w:val="20"/>
                    </w:rPr>
                    <w:t>-</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4F7F72DB" w14:textId="77777777" w:rsidR="00D56F61" w:rsidRPr="0007516E" w:rsidRDefault="00D56F61" w:rsidP="005766D5">
                  <w:pPr>
                    <w:jc w:val="center"/>
                    <w:rPr>
                      <w:rFonts w:ascii="Verdana" w:hAnsi="Verdana"/>
                      <w:b/>
                      <w:bCs/>
                      <w:sz w:val="20"/>
                    </w:rPr>
                  </w:pPr>
                  <w:r w:rsidRPr="0007516E">
                    <w:rPr>
                      <w:rFonts w:ascii="Verdana" w:hAnsi="Verdana"/>
                      <w:b/>
                      <w:bCs/>
                      <w:sz w:val="20"/>
                    </w:rPr>
                    <w:t>4 968</w:t>
                  </w:r>
                </w:p>
              </w:tc>
              <w:tc>
                <w:tcPr>
                  <w:tcW w:w="934" w:type="dxa"/>
                  <w:tcBorders>
                    <w:top w:val="nil"/>
                    <w:left w:val="nil"/>
                    <w:bottom w:val="single" w:sz="4" w:space="0" w:color="auto"/>
                    <w:right w:val="single" w:sz="4" w:space="0" w:color="auto"/>
                  </w:tcBorders>
                  <w:shd w:val="clear" w:color="auto" w:fill="auto"/>
                  <w:noWrap/>
                  <w:vAlign w:val="center"/>
                </w:tcPr>
                <w:p w14:paraId="4F7F72DC" w14:textId="77777777" w:rsidR="00D56F61" w:rsidRPr="0007516E" w:rsidRDefault="00D56F61" w:rsidP="005766D5">
                  <w:pPr>
                    <w:jc w:val="center"/>
                    <w:rPr>
                      <w:rFonts w:ascii="Verdana" w:hAnsi="Verdana"/>
                      <w:b/>
                      <w:bCs/>
                      <w:sz w:val="20"/>
                    </w:rPr>
                  </w:pPr>
                  <w:r w:rsidRPr="0007516E">
                    <w:rPr>
                      <w:rFonts w:ascii="Verdana" w:hAnsi="Verdana"/>
                      <w:b/>
                      <w:bCs/>
                      <w:sz w:val="20"/>
                    </w:rPr>
                    <w:t>100,00</w:t>
                  </w:r>
                </w:p>
              </w:tc>
            </w:tr>
          </w:tbl>
          <w:p w14:paraId="4F7F72DE" w14:textId="77777777" w:rsidR="00D56F61" w:rsidRPr="0007516E" w:rsidRDefault="00D56F61" w:rsidP="009972FF">
            <w:pPr>
              <w:pStyle w:val="HTMLPreformatted"/>
              <w:jc w:val="both"/>
              <w:rPr>
                <w:rFonts w:ascii="Verdana" w:hAnsi="Verdana"/>
                <w:sz w:val="20"/>
                <w:szCs w:val="20"/>
              </w:rPr>
            </w:pPr>
          </w:p>
        </w:tc>
      </w:tr>
      <w:tr w:rsidR="00D56F61" w:rsidRPr="0007516E" w14:paraId="4F7F72F5" w14:textId="77777777" w:rsidTr="009972FF">
        <w:trPr>
          <w:trHeight w:val="131"/>
          <w:tblCellSpacing w:w="0" w:type="dxa"/>
        </w:trPr>
        <w:tc>
          <w:tcPr>
            <w:tcW w:w="9450" w:type="dxa"/>
            <w:vAlign w:val="center"/>
          </w:tcPr>
          <w:p w14:paraId="4F7F72E0" w14:textId="77777777" w:rsidR="00D56F61" w:rsidRPr="0007516E" w:rsidRDefault="00D56F61" w:rsidP="009972FF">
            <w:pPr>
              <w:pStyle w:val="HTMLPreformatted"/>
              <w:jc w:val="both"/>
              <w:rPr>
                <w:rFonts w:ascii="Verdana" w:eastAsia="Calibri" w:hAnsi="Verdana" w:cs="Courier New"/>
                <w:sz w:val="20"/>
                <w:szCs w:val="22"/>
              </w:rPr>
            </w:pPr>
          </w:p>
          <w:p w14:paraId="4F7F72E1" w14:textId="77777777" w:rsidR="00D56F61" w:rsidRPr="0007516E" w:rsidRDefault="00D56F61" w:rsidP="009972FF">
            <w:pPr>
              <w:pStyle w:val="NoSpacing"/>
              <w:rPr>
                <w:rFonts w:ascii="Verdana" w:hAnsi="Verdana"/>
                <w:sz w:val="20"/>
              </w:rPr>
            </w:pPr>
            <w:r w:rsidRPr="0007516E">
              <w:rPr>
                <w:rFonts w:ascii="Verdana" w:hAnsi="Verdana"/>
                <w:b/>
                <w:sz w:val="20"/>
              </w:rPr>
              <w:t>Забележка</w:t>
            </w:r>
            <w:r w:rsidRPr="0007516E">
              <w:rPr>
                <w:rFonts w:ascii="Verdana" w:hAnsi="Verdana"/>
                <w:sz w:val="20"/>
              </w:rPr>
              <w:t>: Посоченото количеството електрическа енергия, продадено на свободен пазар е на база издадени сертификати за произход на електрическа енергия, произведена по комбиниран начин. Отчетените приходи на свободен пазар включват както приходи от електрическа енергия на свободния пазар, така и премия, изплатена от Фонд "Сигурност на електроенергийната система". Налице е разлика между количествата, които се продават на координатора на балансираща група (на база график) и тези, за които Дружеството получава премия - на база издадени сертификати за произход на електрическа енергия, произведена по комбиниран начин.</w:t>
            </w:r>
          </w:p>
          <w:p w14:paraId="4F7F72E2" w14:textId="77777777" w:rsidR="00D56F61" w:rsidRDefault="00D56F61" w:rsidP="009972FF">
            <w:pPr>
              <w:pStyle w:val="NoSpacing"/>
              <w:rPr>
                <w:rFonts w:ascii="Verdana" w:hAnsi="Verdana"/>
                <w:sz w:val="20"/>
              </w:rPr>
            </w:pPr>
          </w:p>
          <w:p w14:paraId="4F7F72E3" w14:textId="77777777" w:rsidR="00D56F61" w:rsidRPr="0007516E" w:rsidRDefault="00D56F61" w:rsidP="009972FF">
            <w:pPr>
              <w:pStyle w:val="NoSpacing"/>
              <w:rPr>
                <w:rFonts w:ascii="Verdana" w:hAnsi="Verdana"/>
                <w:i/>
                <w:sz w:val="20"/>
              </w:rPr>
            </w:pPr>
            <w:r w:rsidRPr="0007516E">
              <w:rPr>
                <w:rFonts w:ascii="Verdana" w:hAnsi="Verdana"/>
                <w:sz w:val="20"/>
              </w:rPr>
              <w:t xml:space="preserve">До 30 юни 2019 г. произведената от Дружеството електрическа енергия е изкупувана съгласно изискванията на чл.162 (1) от Закона за Енергетиката (ЗЕ), съгласно който </w:t>
            </w:r>
            <w:r w:rsidRPr="0007516E">
              <w:rPr>
                <w:rFonts w:ascii="Verdana" w:hAnsi="Verdana"/>
                <w:i/>
                <w:sz w:val="20"/>
              </w:rPr>
              <w:t xml:space="preserve">„Общественият доставчик, съответно крайните снабдители са длъжни да изкупят от производители с обекти с обща инсталирана електрическа мощност, по-малка от 4 MW, присъединени към съответната мрежа, цялото количество електрическа енергия, регистрирано с месечен сертификат за произход, по преференциални цени, определени съгласно съответната наредба по чл.36, ал.3, с изключение на количеството електрическа енергия, необходимо за осигуряване експлоатационната надеждност на основните съоръжения, произведено над количеството електрическа енергия от комбинирано производство и количествата, които производителят ползва за собствени нужди и за собствено потребление по смисъла на чл.119, ал.1 или има сключени договори по реда на глава девета, раздел VII, или с които участва на пазара на балансираща енергия, или която е </w:t>
            </w:r>
            <w:proofErr w:type="spellStart"/>
            <w:r w:rsidRPr="0007516E">
              <w:rPr>
                <w:rFonts w:ascii="Verdana" w:hAnsi="Verdana"/>
                <w:i/>
                <w:sz w:val="20"/>
              </w:rPr>
              <w:t>потребявана</w:t>
            </w:r>
            <w:proofErr w:type="spellEnd"/>
            <w:r w:rsidRPr="0007516E">
              <w:rPr>
                <w:rFonts w:ascii="Verdana" w:hAnsi="Verdana"/>
                <w:i/>
                <w:sz w:val="20"/>
              </w:rPr>
              <w:t xml:space="preserve"> от небитови клиенти, които не са на бюджетна издръжка, и които производителят с преобладаващ топлинен товар за стопански нужди снабдява с топлинна енергия. Количествата електрическа енергия от високоефективно комбинирано производство на топлинна и електрическа енергия се изкупуват до размера на количествата, определени с решение на комисията за определяне на преференциална цена.“</w:t>
            </w:r>
          </w:p>
          <w:p w14:paraId="4F7F72E4" w14:textId="77777777" w:rsidR="00D56F61" w:rsidRPr="0007516E" w:rsidRDefault="00D56F61" w:rsidP="009972FF">
            <w:pPr>
              <w:pStyle w:val="NoSpacing"/>
              <w:rPr>
                <w:rFonts w:ascii="Verdana" w:hAnsi="Verdana"/>
                <w:i/>
                <w:sz w:val="20"/>
              </w:rPr>
            </w:pPr>
          </w:p>
          <w:p w14:paraId="4F7F72E5" w14:textId="77777777" w:rsidR="00D56F61" w:rsidRPr="0007516E" w:rsidRDefault="00D56F61" w:rsidP="009972FF">
            <w:pPr>
              <w:pStyle w:val="HTMLPreformatted"/>
              <w:jc w:val="both"/>
              <w:rPr>
                <w:rFonts w:ascii="Verdana" w:eastAsia="Calibri" w:hAnsi="Verdana" w:cs="Courier New"/>
                <w:sz w:val="20"/>
                <w:szCs w:val="22"/>
              </w:rPr>
            </w:pPr>
            <w:r w:rsidRPr="0007516E">
              <w:rPr>
                <w:rFonts w:ascii="Verdana" w:eastAsia="Calibri" w:hAnsi="Verdana" w:cs="Courier New"/>
                <w:sz w:val="20"/>
                <w:szCs w:val="22"/>
              </w:rPr>
              <w:t xml:space="preserve">Считано от 01.07.2019 г. предвид промените в ЗЕ Дружеството е задължено да продава произведената от него електрическа енергия на свободен пазар. В тази връзка Топлофикация - Разград е сключила договор за покупко-продажба на електрическа енергия, съгласно чл.100(6) от ЗЕ – продажба на електрическа енергия чрез координатор на балансираща група. Друга промяна в продажбата на електрическата енергия е свързана с разделяне на прихода. Една част се получава от координатора на балансиращата група, друга – от Фонд </w:t>
            </w:r>
            <w:r>
              <w:rPr>
                <w:rFonts w:ascii="Verdana" w:eastAsia="Calibri" w:hAnsi="Verdana" w:cs="Courier New"/>
                <w:sz w:val="20"/>
                <w:szCs w:val="22"/>
              </w:rPr>
              <w:t>„</w:t>
            </w:r>
            <w:r w:rsidRPr="0007516E">
              <w:rPr>
                <w:rFonts w:ascii="Verdana" w:eastAsia="Calibri" w:hAnsi="Verdana" w:cs="Courier New"/>
                <w:sz w:val="20"/>
                <w:szCs w:val="22"/>
              </w:rPr>
              <w:t xml:space="preserve">Сигурност на </w:t>
            </w:r>
            <w:r>
              <w:rPr>
                <w:rFonts w:ascii="Verdana" w:eastAsia="Calibri" w:hAnsi="Verdana" w:cs="Courier New"/>
                <w:sz w:val="20"/>
                <w:szCs w:val="22"/>
              </w:rPr>
              <w:t xml:space="preserve">енергийната система“ </w:t>
            </w:r>
            <w:r w:rsidRPr="0007516E">
              <w:rPr>
                <w:rFonts w:ascii="Verdana" w:eastAsia="Calibri" w:hAnsi="Verdana" w:cs="Courier New"/>
                <w:sz w:val="20"/>
                <w:szCs w:val="22"/>
              </w:rPr>
              <w:t>– под формата на премия.</w:t>
            </w:r>
          </w:p>
          <w:p w14:paraId="4F7F72E6" w14:textId="77777777" w:rsidR="00D56F61" w:rsidRPr="0007516E" w:rsidRDefault="00D56F61" w:rsidP="009972FF">
            <w:pPr>
              <w:pStyle w:val="HTMLPreformatted"/>
              <w:ind w:firstLine="540"/>
              <w:jc w:val="both"/>
              <w:rPr>
                <w:rFonts w:ascii="Verdana" w:eastAsia="Calibri" w:hAnsi="Verdana" w:cs="Courier New"/>
                <w:sz w:val="20"/>
                <w:szCs w:val="22"/>
              </w:rPr>
            </w:pPr>
          </w:p>
          <w:p w14:paraId="4F7F72E7" w14:textId="77777777" w:rsidR="00D56F61" w:rsidRPr="0007516E" w:rsidRDefault="00D56F61" w:rsidP="009972FF">
            <w:pPr>
              <w:pStyle w:val="HTMLPreformatted"/>
              <w:jc w:val="both"/>
              <w:rPr>
                <w:rFonts w:ascii="Verdana" w:eastAsia="Calibri" w:hAnsi="Verdana" w:cs="Courier New"/>
                <w:sz w:val="20"/>
                <w:szCs w:val="22"/>
              </w:rPr>
            </w:pPr>
            <w:r w:rsidRPr="0007516E">
              <w:rPr>
                <w:rFonts w:ascii="Verdana" w:eastAsia="Calibri" w:hAnsi="Verdana" w:cs="Courier New"/>
                <w:sz w:val="20"/>
                <w:szCs w:val="22"/>
              </w:rPr>
              <w:t>Отделно Дружеството отчита и приходи от еле</w:t>
            </w:r>
            <w:r>
              <w:rPr>
                <w:rFonts w:ascii="Verdana" w:eastAsia="Calibri" w:hAnsi="Verdana" w:cs="Courier New"/>
                <w:sz w:val="20"/>
                <w:szCs w:val="22"/>
              </w:rPr>
              <w:t>ктрическа енергия на балансиращ</w:t>
            </w:r>
            <w:r w:rsidRPr="0007516E">
              <w:rPr>
                <w:rFonts w:ascii="Verdana" w:eastAsia="Calibri" w:hAnsi="Verdana" w:cs="Courier New"/>
                <w:sz w:val="20"/>
                <w:szCs w:val="22"/>
              </w:rPr>
              <w:t xml:space="preserve"> пазар, съгласно договор за участие в ста</w:t>
            </w:r>
            <w:r>
              <w:rPr>
                <w:rFonts w:ascii="Verdana" w:eastAsia="Calibri" w:hAnsi="Verdana" w:cs="Courier New"/>
                <w:sz w:val="20"/>
                <w:szCs w:val="22"/>
              </w:rPr>
              <w:t>ндартна балансираща група, сключ</w:t>
            </w:r>
            <w:r w:rsidRPr="0007516E">
              <w:rPr>
                <w:rFonts w:ascii="Verdana" w:eastAsia="Calibri" w:hAnsi="Verdana" w:cs="Courier New"/>
                <w:sz w:val="20"/>
                <w:szCs w:val="22"/>
              </w:rPr>
              <w:t>ен на основание  чл.19 от Правилата за търговия с електрическа енергия (ПТЕЕ).</w:t>
            </w:r>
          </w:p>
          <w:p w14:paraId="4F7F72E8" w14:textId="77777777" w:rsidR="00D56F61" w:rsidRPr="0007516E" w:rsidRDefault="00D56F61" w:rsidP="009972FF">
            <w:pPr>
              <w:pStyle w:val="HTMLPreformatted"/>
              <w:ind w:firstLine="540"/>
              <w:jc w:val="both"/>
              <w:rPr>
                <w:rFonts w:ascii="Verdana" w:eastAsia="Calibri" w:hAnsi="Verdana" w:cs="Courier New"/>
                <w:sz w:val="20"/>
                <w:szCs w:val="22"/>
              </w:rPr>
            </w:pPr>
          </w:p>
          <w:p w14:paraId="4F7F72E9" w14:textId="77777777" w:rsidR="00D56F61" w:rsidRPr="0007516E" w:rsidRDefault="00D56F61" w:rsidP="009972FF">
            <w:pPr>
              <w:pStyle w:val="HTMLPreformatted"/>
              <w:ind w:firstLine="540"/>
              <w:jc w:val="both"/>
              <w:rPr>
                <w:rFonts w:ascii="Verdana" w:eastAsia="Calibri" w:hAnsi="Verdana" w:cs="Courier New"/>
                <w:sz w:val="20"/>
                <w:szCs w:val="22"/>
              </w:rPr>
            </w:pPr>
            <w:r w:rsidRPr="0007516E">
              <w:rPr>
                <w:rFonts w:ascii="Verdana" w:eastAsia="Calibri" w:hAnsi="Verdana" w:cs="Courier New"/>
                <w:sz w:val="20"/>
                <w:szCs w:val="22"/>
              </w:rPr>
              <w:t>Основна част от отчетените приходи от „продажба на услуги“ е формирана от такси дялово разпределение в размер на 76 хил.лв., а останалите представляват приходи от комисионни по договора за дялово разпределение и наеми.</w:t>
            </w:r>
          </w:p>
          <w:p w14:paraId="4F7F72EA" w14:textId="77777777" w:rsidR="00D56F61" w:rsidRPr="0007516E" w:rsidRDefault="00D56F61" w:rsidP="009972FF">
            <w:pPr>
              <w:pStyle w:val="HTMLPreformatted"/>
              <w:ind w:firstLine="540"/>
              <w:jc w:val="both"/>
              <w:rPr>
                <w:rFonts w:ascii="Verdana" w:eastAsia="Calibri" w:hAnsi="Verdana" w:cs="Courier New"/>
                <w:sz w:val="20"/>
                <w:szCs w:val="22"/>
              </w:rPr>
            </w:pPr>
          </w:p>
          <w:p w14:paraId="4F7F72EB" w14:textId="77777777" w:rsidR="00D56F61" w:rsidRPr="0007516E" w:rsidRDefault="00D56F61" w:rsidP="009972FF">
            <w:pPr>
              <w:pStyle w:val="HTMLPreformatted"/>
              <w:ind w:firstLine="540"/>
              <w:jc w:val="both"/>
              <w:rPr>
                <w:rFonts w:ascii="Verdana" w:eastAsia="Calibri" w:hAnsi="Verdana" w:cs="Courier New"/>
                <w:b/>
                <w:sz w:val="20"/>
                <w:szCs w:val="22"/>
              </w:rPr>
            </w:pPr>
          </w:p>
          <w:p w14:paraId="4F7F72EC" w14:textId="77777777" w:rsidR="00D56F61" w:rsidRPr="0007516E" w:rsidRDefault="00D56F61" w:rsidP="009972FF">
            <w:pPr>
              <w:pStyle w:val="HTMLPreformatted"/>
              <w:ind w:firstLine="540"/>
              <w:jc w:val="both"/>
              <w:rPr>
                <w:rFonts w:ascii="Verdana" w:eastAsia="Calibri" w:hAnsi="Verdana" w:cs="Courier New"/>
                <w:b/>
                <w:sz w:val="20"/>
                <w:szCs w:val="22"/>
              </w:rPr>
            </w:pPr>
            <w:r w:rsidRPr="0007516E">
              <w:rPr>
                <w:rFonts w:ascii="Verdana" w:eastAsia="Calibri" w:hAnsi="Verdana" w:cs="Courier New"/>
                <w:b/>
                <w:sz w:val="20"/>
                <w:szCs w:val="22"/>
              </w:rPr>
              <w:t xml:space="preserve">2.  Информация относно приходите, разпределени по отделните категории дейности, вътрешни и външни пазари, както и информация за източниците за снабдяване с материали, необходими за производството на стоки или предоставянето на услуги с отразяване степента на зависимост по отношение на всеки отделен продавач или купувач/потребител, като в случай, че относителният дял на някой от тях надхвърля 10 на сто от разходите или приходите от продажби, се предоставя информация за всяко лице поотделно, за неговия дял в продажбите или покупките </w:t>
            </w:r>
            <w:r w:rsidRPr="002C78E7">
              <w:rPr>
                <w:rFonts w:ascii="Verdana" w:eastAsia="Calibri" w:hAnsi="Verdana" w:cs="Courier New"/>
                <w:b/>
                <w:sz w:val="20"/>
                <w:szCs w:val="22"/>
              </w:rPr>
              <w:t xml:space="preserve">и </w:t>
            </w:r>
            <w:r w:rsidRPr="003E25A2">
              <w:rPr>
                <w:rFonts w:ascii="Verdana" w:eastAsia="Calibri" w:hAnsi="Verdana" w:cs="Courier New"/>
                <w:b/>
                <w:sz w:val="20"/>
                <w:szCs w:val="22"/>
              </w:rPr>
              <w:t xml:space="preserve">връзките му с </w:t>
            </w:r>
            <w:proofErr w:type="spellStart"/>
            <w:r w:rsidRPr="003E25A2">
              <w:rPr>
                <w:rFonts w:ascii="Verdana" w:eastAsia="Calibri" w:hAnsi="Verdana" w:cs="Courier New"/>
                <w:b/>
                <w:sz w:val="20"/>
                <w:szCs w:val="22"/>
              </w:rPr>
              <w:t>емитента</w:t>
            </w:r>
            <w:proofErr w:type="spellEnd"/>
            <w:r w:rsidRPr="002C78E7">
              <w:rPr>
                <w:rFonts w:ascii="Verdana" w:eastAsia="Calibri" w:hAnsi="Verdana" w:cs="Courier New"/>
                <w:b/>
                <w:sz w:val="20"/>
                <w:szCs w:val="22"/>
              </w:rPr>
              <w:t xml:space="preserve">, </w:t>
            </w:r>
            <w:r w:rsidRPr="002C78E7">
              <w:rPr>
                <w:rFonts w:ascii="Verdana" w:eastAsia="Calibri" w:hAnsi="Verdana" w:cs="Courier New"/>
                <w:b/>
                <w:sz w:val="20"/>
                <w:szCs w:val="22"/>
              </w:rPr>
              <w:lastRenderedPageBreak/>
              <w:t>съответно лицето по §1д от допълнителните р</w:t>
            </w:r>
            <w:r w:rsidRPr="0007516E">
              <w:rPr>
                <w:rFonts w:ascii="Verdana" w:eastAsia="Calibri" w:hAnsi="Verdana" w:cs="Courier New"/>
                <w:b/>
                <w:sz w:val="20"/>
                <w:szCs w:val="22"/>
              </w:rPr>
              <w:t>азпоредби на ЗППЦК.</w:t>
            </w:r>
          </w:p>
          <w:p w14:paraId="4F7F72ED" w14:textId="77777777" w:rsidR="00D56F61" w:rsidRPr="0007516E" w:rsidRDefault="00D56F61" w:rsidP="009972FF">
            <w:pPr>
              <w:pStyle w:val="HTMLPreformatted"/>
              <w:jc w:val="both"/>
              <w:rPr>
                <w:rFonts w:ascii="Verdana" w:eastAsia="Calibri" w:hAnsi="Verdana" w:cs="Courier New"/>
                <w:sz w:val="20"/>
                <w:szCs w:val="22"/>
              </w:rPr>
            </w:pPr>
          </w:p>
          <w:p w14:paraId="4F7F72EE" w14:textId="77777777" w:rsidR="00D56F61" w:rsidRPr="0007516E" w:rsidRDefault="00D56F61" w:rsidP="009972FF">
            <w:pPr>
              <w:pStyle w:val="HTMLPreformatted"/>
              <w:jc w:val="both"/>
              <w:rPr>
                <w:rFonts w:ascii="Verdana" w:eastAsia="Calibri" w:hAnsi="Verdana" w:cs="Courier New"/>
                <w:sz w:val="20"/>
                <w:szCs w:val="22"/>
              </w:rPr>
            </w:pPr>
            <w:r w:rsidRPr="0007516E">
              <w:rPr>
                <w:rFonts w:ascii="Verdana" w:eastAsia="Calibri" w:hAnsi="Verdana" w:cs="Courier New"/>
                <w:sz w:val="20"/>
                <w:szCs w:val="22"/>
              </w:rPr>
              <w:t>Съгласно спецификата на дейността на Дружеството, приходите могат да бъдат раздел</w:t>
            </w:r>
            <w:r>
              <w:rPr>
                <w:rFonts w:ascii="Verdana" w:eastAsia="Calibri" w:hAnsi="Verdana" w:cs="Courier New"/>
                <w:sz w:val="20"/>
                <w:szCs w:val="22"/>
              </w:rPr>
              <w:t>ени по категории съгласно табл.8</w:t>
            </w:r>
            <w:r w:rsidRPr="0007516E">
              <w:rPr>
                <w:rFonts w:ascii="Verdana" w:eastAsia="Calibri" w:hAnsi="Verdana" w:cs="Courier New"/>
                <w:sz w:val="20"/>
                <w:szCs w:val="22"/>
              </w:rPr>
              <w:t>, като основен дял заемат приходите от електрическа енергия, които за 2019 г. съставляват приблизително 63 % от общите приходи на Дружеството.</w:t>
            </w:r>
          </w:p>
          <w:p w14:paraId="4F7F72EF" w14:textId="77777777" w:rsidR="00D56F61" w:rsidRPr="0007516E" w:rsidRDefault="00D56F61" w:rsidP="009972FF">
            <w:pPr>
              <w:pStyle w:val="HTMLPreformatted"/>
              <w:jc w:val="both"/>
              <w:rPr>
                <w:rFonts w:ascii="Verdana" w:eastAsia="Calibri" w:hAnsi="Verdana" w:cs="Courier New"/>
                <w:sz w:val="20"/>
                <w:szCs w:val="22"/>
              </w:rPr>
            </w:pPr>
            <w:r w:rsidRPr="0007516E">
              <w:rPr>
                <w:rFonts w:ascii="Verdana" w:eastAsia="Calibri" w:hAnsi="Verdana" w:cs="Courier New"/>
                <w:sz w:val="20"/>
                <w:szCs w:val="22"/>
              </w:rPr>
              <w:t>През 2019 г. Дружеството продава произведената високоефективна комбинирана електрическа енерг</w:t>
            </w:r>
            <w:r>
              <w:rPr>
                <w:rFonts w:ascii="Verdana" w:eastAsia="Calibri" w:hAnsi="Verdana" w:cs="Courier New"/>
                <w:sz w:val="20"/>
                <w:szCs w:val="22"/>
              </w:rPr>
              <w:t>ия на регулиран и свободен</w:t>
            </w:r>
            <w:r w:rsidRPr="0007516E">
              <w:rPr>
                <w:rFonts w:ascii="Verdana" w:eastAsia="Calibri" w:hAnsi="Verdana" w:cs="Courier New"/>
                <w:sz w:val="20"/>
                <w:szCs w:val="22"/>
              </w:rPr>
              <w:t xml:space="preserve"> пазар, като допълнително са отчетени и приходи от балансиращ пазар.</w:t>
            </w:r>
          </w:p>
          <w:p w14:paraId="4F7F72F0" w14:textId="77777777" w:rsidR="00D56F61" w:rsidRPr="0007516E" w:rsidRDefault="00D56F61" w:rsidP="009972FF">
            <w:pPr>
              <w:rPr>
                <w:rFonts w:ascii="Verdana" w:hAnsi="Verdana" w:cs="Courier New"/>
                <w:sz w:val="20"/>
              </w:rPr>
            </w:pPr>
            <w:r w:rsidRPr="0007516E">
              <w:rPr>
                <w:rFonts w:ascii="Verdana" w:hAnsi="Verdana" w:cs="Courier New"/>
                <w:sz w:val="20"/>
              </w:rPr>
              <w:t xml:space="preserve">Основният дял от разходите по икономически елементи /62% за 2019 г./ на Дружеството се формират от разходите за основната суровина – природен газ, като доставчик за 2019 г. е „Овергаз Мрежи“ АД. </w:t>
            </w:r>
          </w:p>
          <w:p w14:paraId="4F7F72F1" w14:textId="77777777" w:rsidR="00D56F61" w:rsidRDefault="00D56F61" w:rsidP="009972FF">
            <w:pPr>
              <w:rPr>
                <w:rFonts w:ascii="Verdana" w:hAnsi="Verdana" w:cs="Courier New"/>
                <w:sz w:val="20"/>
              </w:rPr>
            </w:pPr>
          </w:p>
          <w:p w14:paraId="4F7F72F2" w14:textId="77777777" w:rsidR="00D56F61" w:rsidRDefault="00D56F61" w:rsidP="009972FF">
            <w:pPr>
              <w:rPr>
                <w:rFonts w:ascii="Verdana" w:hAnsi="Verdana" w:cs="Courier New"/>
                <w:sz w:val="20"/>
                <w:lang w:val="en-US"/>
              </w:rPr>
            </w:pPr>
            <w:r w:rsidRPr="0007516E">
              <w:rPr>
                <w:rFonts w:ascii="Verdana" w:hAnsi="Verdana" w:cs="Courier New"/>
                <w:sz w:val="20"/>
              </w:rPr>
              <w:t>Като др</w:t>
            </w:r>
            <w:r>
              <w:rPr>
                <w:rFonts w:ascii="Verdana" w:hAnsi="Verdana" w:cs="Courier New"/>
                <w:sz w:val="20"/>
              </w:rPr>
              <w:t>уги доставчици, с които Дружест</w:t>
            </w:r>
            <w:r w:rsidRPr="0007516E">
              <w:rPr>
                <w:rFonts w:ascii="Verdana" w:hAnsi="Verdana" w:cs="Courier New"/>
                <w:sz w:val="20"/>
              </w:rPr>
              <w:t>в</w:t>
            </w:r>
            <w:r>
              <w:rPr>
                <w:rFonts w:ascii="Verdana" w:hAnsi="Verdana" w:cs="Courier New"/>
                <w:sz w:val="20"/>
              </w:rPr>
              <w:t>о</w:t>
            </w:r>
            <w:r w:rsidRPr="0007516E">
              <w:rPr>
                <w:rFonts w:ascii="Verdana" w:hAnsi="Verdana" w:cs="Courier New"/>
                <w:sz w:val="20"/>
              </w:rPr>
              <w:t>то е в партньорски отношения могат да се дефинират: „Филтър“ ЕООД, „</w:t>
            </w:r>
            <w:proofErr w:type="spellStart"/>
            <w:r w:rsidRPr="0007516E">
              <w:rPr>
                <w:rFonts w:ascii="Verdana" w:hAnsi="Verdana" w:cs="Courier New"/>
                <w:sz w:val="20"/>
              </w:rPr>
              <w:t>Омникар</w:t>
            </w:r>
            <w:proofErr w:type="spellEnd"/>
            <w:r w:rsidRPr="0007516E">
              <w:rPr>
                <w:rFonts w:ascii="Verdana" w:hAnsi="Verdana" w:cs="Courier New"/>
                <w:sz w:val="20"/>
              </w:rPr>
              <w:t xml:space="preserve"> БГ“ ЕООД, „Хигиенно - медицинска индустрия“ ЕООД, „</w:t>
            </w:r>
            <w:proofErr w:type="spellStart"/>
            <w:r w:rsidRPr="0007516E">
              <w:rPr>
                <w:rFonts w:ascii="Verdana" w:hAnsi="Verdana" w:cs="Courier New"/>
                <w:sz w:val="20"/>
              </w:rPr>
              <w:t>Бруната</w:t>
            </w:r>
            <w:proofErr w:type="spellEnd"/>
            <w:r w:rsidRPr="0007516E">
              <w:rPr>
                <w:rFonts w:ascii="Verdana" w:hAnsi="Verdana" w:cs="Courier New"/>
                <w:sz w:val="20"/>
              </w:rPr>
              <w:t>“ ООД.</w:t>
            </w:r>
          </w:p>
          <w:p w14:paraId="4F7F72F3" w14:textId="77777777" w:rsidR="00D56F61" w:rsidRPr="00A84F3C" w:rsidRDefault="00D56F61" w:rsidP="009972FF">
            <w:pPr>
              <w:rPr>
                <w:rFonts w:ascii="Verdana" w:hAnsi="Verdana" w:cs="Courier New"/>
                <w:sz w:val="20"/>
                <w:lang w:val="en-US"/>
              </w:rPr>
            </w:pPr>
          </w:p>
          <w:p w14:paraId="4F7F72F4" w14:textId="77777777" w:rsidR="00D56F61" w:rsidRPr="00A84F3C" w:rsidRDefault="00D56F61" w:rsidP="009972FF">
            <w:pPr>
              <w:rPr>
                <w:rFonts w:ascii="Verdana" w:hAnsi="Verdana" w:cs="Courier New"/>
                <w:sz w:val="20"/>
                <w:lang w:val="en-US"/>
              </w:rPr>
            </w:pPr>
            <w:r>
              <w:t xml:space="preserve">- </w:t>
            </w:r>
            <w:r>
              <w:rPr>
                <w:rFonts w:ascii="Verdana" w:hAnsi="Verdana"/>
                <w:sz w:val="20"/>
              </w:rPr>
              <w:t xml:space="preserve">Свързаността с </w:t>
            </w:r>
            <w:r>
              <w:rPr>
                <w:rStyle w:val="Strong"/>
                <w:rFonts w:ascii="Verdana" w:hAnsi="Verdana"/>
                <w:sz w:val="20"/>
              </w:rPr>
              <w:t>„Овергаз Мрежи” АД</w:t>
            </w:r>
            <w:r>
              <w:rPr>
                <w:rFonts w:ascii="Verdana" w:hAnsi="Verdana"/>
                <w:sz w:val="20"/>
              </w:rPr>
              <w:t xml:space="preserve"> произтича от обстоятелството, че „Овергаз Мрежи” АД и „Топлофикация – Разград“ АД имат общо крайно дружество-майка – „ Ди </w:t>
            </w:r>
            <w:proofErr w:type="spellStart"/>
            <w:r>
              <w:rPr>
                <w:rFonts w:ascii="Verdana" w:hAnsi="Verdana"/>
                <w:sz w:val="20"/>
              </w:rPr>
              <w:t>Ди</w:t>
            </w:r>
            <w:proofErr w:type="spellEnd"/>
            <w:r>
              <w:rPr>
                <w:rFonts w:ascii="Verdana" w:hAnsi="Verdana"/>
                <w:sz w:val="20"/>
              </w:rPr>
              <w:t xml:space="preserve"> Мениджмънт” АД (непряко чрез дружествата, основни акционери в капитала/собственици на капитала на всяко от свързаните дружества).</w:t>
            </w:r>
          </w:p>
        </w:tc>
      </w:tr>
      <w:tr w:rsidR="00D56F61" w:rsidRPr="0007516E" w14:paraId="4F7F72F7" w14:textId="77777777" w:rsidTr="00B038EB">
        <w:trPr>
          <w:trHeight w:val="894"/>
          <w:tblCellSpacing w:w="0" w:type="dxa"/>
        </w:trPr>
        <w:tc>
          <w:tcPr>
            <w:tcW w:w="9450" w:type="dxa"/>
            <w:vAlign w:val="center"/>
          </w:tcPr>
          <w:p w14:paraId="4F7F72F6" w14:textId="77777777" w:rsidR="00D56F61" w:rsidRPr="0007516E" w:rsidRDefault="00D56F61" w:rsidP="009972FF">
            <w:pPr>
              <w:pStyle w:val="HTMLPreformatted"/>
              <w:jc w:val="both"/>
              <w:rPr>
                <w:rFonts w:ascii="Verdana" w:hAnsi="Verdana"/>
                <w:sz w:val="20"/>
                <w:szCs w:val="20"/>
              </w:rPr>
            </w:pPr>
          </w:p>
        </w:tc>
      </w:tr>
      <w:tr w:rsidR="00D56F61" w:rsidRPr="0007516E" w14:paraId="4F7F72F9" w14:textId="77777777" w:rsidTr="009972FF">
        <w:trPr>
          <w:trHeight w:val="131"/>
          <w:tblCellSpacing w:w="0" w:type="dxa"/>
        </w:trPr>
        <w:tc>
          <w:tcPr>
            <w:tcW w:w="9450" w:type="dxa"/>
            <w:vAlign w:val="center"/>
          </w:tcPr>
          <w:p w14:paraId="4F7F72F8" w14:textId="77777777" w:rsidR="00D56F61" w:rsidRPr="0007516E" w:rsidRDefault="00D56F61" w:rsidP="009972FF">
            <w:pPr>
              <w:pStyle w:val="HTMLPreformatted"/>
              <w:jc w:val="both"/>
              <w:rPr>
                <w:rFonts w:ascii="Verdana" w:hAnsi="Verdana"/>
                <w:sz w:val="20"/>
                <w:szCs w:val="20"/>
              </w:rPr>
            </w:pPr>
          </w:p>
        </w:tc>
      </w:tr>
      <w:tr w:rsidR="00D56F61" w:rsidRPr="0007516E" w14:paraId="4F7F731D" w14:textId="77777777" w:rsidTr="009972FF">
        <w:trPr>
          <w:trHeight w:val="525"/>
          <w:tblCellSpacing w:w="0" w:type="dxa"/>
        </w:trPr>
        <w:tc>
          <w:tcPr>
            <w:tcW w:w="9450" w:type="dxa"/>
            <w:vAlign w:val="center"/>
          </w:tcPr>
          <w:p w14:paraId="4F7F72FA" w14:textId="77777777" w:rsidR="00D56F61" w:rsidRPr="0007516E" w:rsidRDefault="00D56F61" w:rsidP="009972FF">
            <w:pPr>
              <w:pStyle w:val="HTMLPreformatted"/>
              <w:jc w:val="both"/>
              <w:rPr>
                <w:rFonts w:ascii="Verdana" w:hAnsi="Verdana"/>
                <w:b/>
                <w:sz w:val="20"/>
                <w:szCs w:val="20"/>
                <w:lang w:val="en-US"/>
              </w:rPr>
            </w:pPr>
            <w:r w:rsidRPr="0007516E">
              <w:rPr>
                <w:rFonts w:ascii="Verdana" w:hAnsi="Verdana"/>
                <w:b/>
                <w:sz w:val="20"/>
                <w:szCs w:val="20"/>
              </w:rPr>
              <w:t xml:space="preserve">     3.  Информация за сключени съществени сделки </w:t>
            </w:r>
          </w:p>
          <w:p w14:paraId="4F7F72FB" w14:textId="77777777" w:rsidR="00D56F61" w:rsidRPr="0007516E" w:rsidRDefault="00D56F61" w:rsidP="009972FF">
            <w:pPr>
              <w:pStyle w:val="HTMLPreformatted"/>
              <w:jc w:val="both"/>
              <w:rPr>
                <w:rFonts w:ascii="Verdana" w:hAnsi="Verdana"/>
                <w:b/>
                <w:sz w:val="20"/>
                <w:szCs w:val="20"/>
                <w:lang w:val="en-US"/>
              </w:rPr>
            </w:pPr>
          </w:p>
          <w:p w14:paraId="4F7F72FC" w14:textId="77777777" w:rsidR="00D56F61" w:rsidRDefault="00D56F61" w:rsidP="009972FF">
            <w:pPr>
              <w:pStyle w:val="HTMLPreformatted"/>
              <w:jc w:val="both"/>
              <w:rPr>
                <w:rFonts w:ascii="Verdana" w:hAnsi="Verdana"/>
                <w:b/>
                <w:sz w:val="20"/>
                <w:szCs w:val="20"/>
              </w:rPr>
            </w:pPr>
            <w:r w:rsidRPr="0007516E">
              <w:rPr>
                <w:rFonts w:ascii="Verdana" w:hAnsi="Verdana"/>
                <w:b/>
                <w:sz w:val="20"/>
                <w:szCs w:val="20"/>
              </w:rPr>
              <w:t>3.1. По отношение на приходните сделки, през разглеждания период Дружеството е сключило следните съществени договори:</w:t>
            </w:r>
          </w:p>
          <w:p w14:paraId="4F7F72FD" w14:textId="77777777" w:rsidR="00D56F61" w:rsidRPr="0007516E" w:rsidRDefault="00D56F61" w:rsidP="009972FF">
            <w:pPr>
              <w:pStyle w:val="HTMLPreformatted"/>
              <w:jc w:val="both"/>
              <w:rPr>
                <w:rFonts w:ascii="Verdana" w:hAnsi="Verdana"/>
                <w:b/>
                <w:sz w:val="20"/>
                <w:szCs w:val="20"/>
              </w:rPr>
            </w:pPr>
          </w:p>
          <w:p w14:paraId="4F7F72FE" w14:textId="77777777" w:rsidR="00D56F61" w:rsidRPr="0007516E" w:rsidRDefault="00D56F61" w:rsidP="009972FF">
            <w:pPr>
              <w:pStyle w:val="HTMLPreformatted"/>
              <w:jc w:val="both"/>
              <w:rPr>
                <w:rFonts w:ascii="Verdana" w:hAnsi="Verdana"/>
                <w:sz w:val="20"/>
                <w:szCs w:val="20"/>
              </w:rPr>
            </w:pPr>
          </w:p>
          <w:p w14:paraId="4F7F72FF" w14:textId="77777777" w:rsidR="00D56F61" w:rsidRPr="0007516E" w:rsidRDefault="00D56F61" w:rsidP="009972FF">
            <w:pPr>
              <w:pStyle w:val="HTMLPreformatted"/>
              <w:numPr>
                <w:ilvl w:val="0"/>
                <w:numId w:val="34"/>
              </w:numPr>
              <w:ind w:left="357" w:hanging="357"/>
              <w:jc w:val="both"/>
              <w:rPr>
                <w:rFonts w:ascii="Verdana" w:hAnsi="Verdana"/>
                <w:sz w:val="20"/>
                <w:szCs w:val="20"/>
              </w:rPr>
            </w:pPr>
            <w:r w:rsidRPr="0007516E">
              <w:rPr>
                <w:rFonts w:ascii="Verdana" w:hAnsi="Verdana"/>
                <w:sz w:val="20"/>
                <w:szCs w:val="20"/>
              </w:rPr>
              <w:t>Договор за покупко-продажба на електрическа енергия по смисъла на чл.100, ал.6 от Закона за енергетиката, сключен с „Енерго-ПРО Енергийни Услуги“ ЕООД, в сила от 01.07.2019 г.</w:t>
            </w:r>
          </w:p>
          <w:p w14:paraId="4F7F7300" w14:textId="77777777" w:rsidR="00D56F61" w:rsidRPr="0007516E" w:rsidRDefault="00D56F61" w:rsidP="009972FF">
            <w:pPr>
              <w:pStyle w:val="HTMLPreformatted"/>
              <w:ind w:left="720"/>
              <w:jc w:val="both"/>
              <w:rPr>
                <w:rFonts w:ascii="Verdana" w:hAnsi="Verdana"/>
                <w:sz w:val="20"/>
                <w:szCs w:val="20"/>
              </w:rPr>
            </w:pPr>
          </w:p>
          <w:p w14:paraId="4F7F7301" w14:textId="77777777" w:rsidR="00D56F61" w:rsidRPr="0007516E" w:rsidRDefault="00D56F61" w:rsidP="009972FF">
            <w:pPr>
              <w:pStyle w:val="HTMLPreformatted"/>
              <w:numPr>
                <w:ilvl w:val="0"/>
                <w:numId w:val="34"/>
              </w:numPr>
              <w:ind w:left="357" w:hanging="357"/>
              <w:jc w:val="both"/>
              <w:rPr>
                <w:rFonts w:ascii="Verdana" w:hAnsi="Verdana"/>
                <w:sz w:val="20"/>
                <w:szCs w:val="20"/>
              </w:rPr>
            </w:pPr>
            <w:r w:rsidRPr="0007516E">
              <w:rPr>
                <w:rFonts w:ascii="Verdana" w:hAnsi="Verdana"/>
                <w:sz w:val="20"/>
                <w:szCs w:val="20"/>
              </w:rPr>
              <w:t>Договор за компенс</w:t>
            </w:r>
            <w:r>
              <w:rPr>
                <w:rFonts w:ascii="Verdana" w:hAnsi="Verdana"/>
                <w:sz w:val="20"/>
                <w:szCs w:val="20"/>
              </w:rPr>
              <w:t>иране с премия с произво</w:t>
            </w:r>
            <w:r w:rsidRPr="0007516E">
              <w:rPr>
                <w:rFonts w:ascii="Verdana" w:hAnsi="Verdana"/>
                <w:sz w:val="20"/>
                <w:szCs w:val="20"/>
              </w:rPr>
              <w:t>дител по чл.162а от Закона з</w:t>
            </w:r>
            <w:r>
              <w:rPr>
                <w:rFonts w:ascii="Verdana" w:hAnsi="Verdana"/>
                <w:sz w:val="20"/>
                <w:szCs w:val="20"/>
              </w:rPr>
              <w:t>а енергетиката, сключен с Фонд „</w:t>
            </w:r>
            <w:r w:rsidRPr="0007516E">
              <w:rPr>
                <w:rFonts w:ascii="Verdana" w:hAnsi="Verdana"/>
                <w:sz w:val="20"/>
                <w:szCs w:val="20"/>
              </w:rPr>
              <w:t>Сигурност на електроенергийната система“, в сила от 01.07.2019 г.</w:t>
            </w:r>
          </w:p>
          <w:p w14:paraId="4F7F7302" w14:textId="77777777" w:rsidR="00D56F61" w:rsidRPr="0007516E" w:rsidRDefault="00D56F61" w:rsidP="009972FF">
            <w:pPr>
              <w:pStyle w:val="ListParagraph"/>
              <w:rPr>
                <w:rFonts w:ascii="Verdana" w:hAnsi="Verdana"/>
                <w:sz w:val="20"/>
              </w:rPr>
            </w:pPr>
          </w:p>
          <w:p w14:paraId="4F7F7303" w14:textId="77777777" w:rsidR="00D56F61" w:rsidRPr="0007516E" w:rsidRDefault="00D56F61" w:rsidP="009972FF">
            <w:pPr>
              <w:pStyle w:val="HTMLPreformatted"/>
              <w:ind w:left="720"/>
              <w:jc w:val="both"/>
              <w:rPr>
                <w:rFonts w:ascii="Verdana" w:hAnsi="Verdana"/>
                <w:sz w:val="20"/>
                <w:szCs w:val="20"/>
              </w:rPr>
            </w:pPr>
          </w:p>
          <w:p w14:paraId="4F7F7304"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 xml:space="preserve">3.2. </w:t>
            </w:r>
            <w:r w:rsidRPr="0007516E">
              <w:rPr>
                <w:rFonts w:ascii="Verdana" w:hAnsi="Verdana"/>
                <w:b/>
                <w:sz w:val="20"/>
                <w:szCs w:val="20"/>
              </w:rPr>
              <w:t>По отношение на разходните сделки:</w:t>
            </w:r>
          </w:p>
          <w:p w14:paraId="4F7F7305" w14:textId="77777777" w:rsidR="00D56F61" w:rsidRPr="0007516E" w:rsidRDefault="00D56F61" w:rsidP="009972FF">
            <w:pPr>
              <w:pStyle w:val="HTMLPreformatted"/>
              <w:jc w:val="both"/>
              <w:rPr>
                <w:rFonts w:ascii="Verdana" w:hAnsi="Verdana"/>
                <w:sz w:val="20"/>
                <w:szCs w:val="20"/>
                <w:u w:val="single"/>
              </w:rPr>
            </w:pPr>
          </w:p>
          <w:p w14:paraId="4F7F7306" w14:textId="77777777" w:rsidR="00D56F61" w:rsidRPr="0007516E" w:rsidRDefault="00D56F61" w:rsidP="009972FF">
            <w:pPr>
              <w:pStyle w:val="HTMLPreformatted"/>
              <w:numPr>
                <w:ilvl w:val="0"/>
                <w:numId w:val="34"/>
              </w:numPr>
              <w:ind w:left="0" w:firstLine="357"/>
              <w:jc w:val="both"/>
              <w:rPr>
                <w:rFonts w:ascii="Verdana" w:hAnsi="Verdana"/>
                <w:sz w:val="20"/>
                <w:szCs w:val="20"/>
                <w:u w:val="single"/>
              </w:rPr>
            </w:pPr>
            <w:r w:rsidRPr="0007516E">
              <w:rPr>
                <w:rFonts w:ascii="Verdana" w:hAnsi="Verdana"/>
                <w:sz w:val="20"/>
                <w:szCs w:val="20"/>
                <w:u w:val="single"/>
              </w:rPr>
              <w:t>Квоти за емисии на парникови газове</w:t>
            </w:r>
          </w:p>
          <w:p w14:paraId="4F7F7307" w14:textId="77777777" w:rsidR="00D56F61" w:rsidRPr="0007516E" w:rsidRDefault="00D56F61" w:rsidP="009972FF">
            <w:pPr>
              <w:pStyle w:val="HTMLPreformatted"/>
              <w:jc w:val="both"/>
              <w:rPr>
                <w:rFonts w:ascii="Verdana" w:hAnsi="Verdana"/>
                <w:sz w:val="20"/>
                <w:szCs w:val="20"/>
              </w:rPr>
            </w:pPr>
          </w:p>
          <w:p w14:paraId="4F7F7308"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 xml:space="preserve">Във връзка с необходимостта от закупуване на квоти за емисии на парникови газове, необходими за покриване на задължението на „Топлофикация – Разград“ АД за 2018 г., съгласно верифицираните емисии за отчетната година, на основание сключен договор с инвестиционния посредник „Загора </w:t>
            </w:r>
            <w:proofErr w:type="spellStart"/>
            <w:r w:rsidRPr="0007516E">
              <w:rPr>
                <w:rFonts w:ascii="Verdana" w:hAnsi="Verdana"/>
                <w:sz w:val="20"/>
                <w:szCs w:val="20"/>
              </w:rPr>
              <w:t>Финакорп</w:t>
            </w:r>
            <w:proofErr w:type="spellEnd"/>
            <w:r w:rsidRPr="0007516E">
              <w:rPr>
                <w:rFonts w:ascii="Verdana" w:hAnsi="Verdana"/>
                <w:sz w:val="20"/>
                <w:szCs w:val="20"/>
              </w:rPr>
              <w:t>“ АД, в началото на 2019 г. Дружеството е закупило дължимите за 2018 г. квоти за емисии на парникови газове</w:t>
            </w:r>
            <w:r>
              <w:rPr>
                <w:rFonts w:ascii="Verdana" w:hAnsi="Verdana"/>
                <w:sz w:val="20"/>
                <w:szCs w:val="20"/>
              </w:rPr>
              <w:t xml:space="preserve"> в размер на 320</w:t>
            </w:r>
            <w:r w:rsidRPr="0007516E">
              <w:rPr>
                <w:rFonts w:ascii="Verdana" w:hAnsi="Verdana"/>
                <w:sz w:val="20"/>
                <w:szCs w:val="20"/>
              </w:rPr>
              <w:t xml:space="preserve"> хил.лв.</w:t>
            </w:r>
          </w:p>
          <w:p w14:paraId="4F7F7309" w14:textId="77777777" w:rsidR="00D56F61" w:rsidRPr="0007516E" w:rsidRDefault="00D56F61" w:rsidP="009972FF">
            <w:pPr>
              <w:pStyle w:val="HTMLPreformatted"/>
              <w:jc w:val="both"/>
              <w:rPr>
                <w:rFonts w:ascii="Verdana" w:hAnsi="Verdana"/>
                <w:sz w:val="20"/>
                <w:szCs w:val="20"/>
              </w:rPr>
            </w:pPr>
          </w:p>
          <w:p w14:paraId="4F7F730A" w14:textId="1F165294"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 xml:space="preserve">Аналогично на предходната година, съгласно верифицирани емисии за отчетната 2019 г., в началото на 2020 г. Дружеството ще </w:t>
            </w:r>
            <w:proofErr w:type="spellStart"/>
            <w:r w:rsidRPr="0007516E">
              <w:rPr>
                <w:rFonts w:ascii="Verdana" w:hAnsi="Verdana"/>
                <w:sz w:val="20"/>
                <w:szCs w:val="20"/>
              </w:rPr>
              <w:t>закупу</w:t>
            </w:r>
            <w:r w:rsidR="00B80512">
              <w:rPr>
                <w:rFonts w:ascii="Verdana" w:hAnsi="Verdana"/>
                <w:sz w:val="20"/>
                <w:szCs w:val="20"/>
              </w:rPr>
              <w:t>пи</w:t>
            </w:r>
            <w:proofErr w:type="spellEnd"/>
            <w:r w:rsidRPr="0007516E">
              <w:rPr>
                <w:rFonts w:ascii="Verdana" w:hAnsi="Verdana"/>
                <w:sz w:val="20"/>
                <w:szCs w:val="20"/>
              </w:rPr>
              <w:t xml:space="preserve"> дължимите квоти за емисии на парникови газове.</w:t>
            </w:r>
          </w:p>
          <w:p w14:paraId="4F7F730B" w14:textId="77777777" w:rsidR="00D56F61" w:rsidRPr="0007516E" w:rsidRDefault="00D56F61" w:rsidP="009972FF">
            <w:pPr>
              <w:pStyle w:val="HTMLPreformatted"/>
              <w:jc w:val="both"/>
              <w:rPr>
                <w:rFonts w:ascii="Verdana" w:hAnsi="Verdana"/>
                <w:sz w:val="20"/>
                <w:szCs w:val="20"/>
                <w:u w:val="single"/>
              </w:rPr>
            </w:pPr>
          </w:p>
          <w:p w14:paraId="4F7F730C" w14:textId="77777777" w:rsidR="00D56F61" w:rsidRPr="0007516E" w:rsidRDefault="00D56F61" w:rsidP="009972FF">
            <w:pPr>
              <w:pStyle w:val="HTMLPreformatted"/>
              <w:numPr>
                <w:ilvl w:val="0"/>
                <w:numId w:val="34"/>
              </w:numPr>
              <w:jc w:val="both"/>
              <w:rPr>
                <w:rFonts w:ascii="Verdana" w:hAnsi="Verdana"/>
                <w:sz w:val="20"/>
                <w:szCs w:val="20"/>
                <w:u w:val="single"/>
              </w:rPr>
            </w:pPr>
            <w:r w:rsidRPr="0007516E">
              <w:rPr>
                <w:rFonts w:ascii="Verdana" w:hAnsi="Verdana"/>
                <w:sz w:val="20"/>
                <w:szCs w:val="20"/>
                <w:u w:val="single"/>
              </w:rPr>
              <w:lastRenderedPageBreak/>
              <w:t>Спогодба за уреждане на правен спор и отказ от претенции</w:t>
            </w:r>
          </w:p>
          <w:p w14:paraId="4F7F730D" w14:textId="77777777" w:rsidR="00D56F61" w:rsidRPr="0007516E" w:rsidRDefault="00D56F61" w:rsidP="009972FF">
            <w:pPr>
              <w:pStyle w:val="HTMLPreformatted"/>
              <w:jc w:val="both"/>
              <w:rPr>
                <w:rFonts w:ascii="Verdana" w:hAnsi="Verdana" w:cs="Arial"/>
                <w:sz w:val="20"/>
              </w:rPr>
            </w:pPr>
          </w:p>
          <w:p w14:paraId="4F7F730E" w14:textId="77777777" w:rsidR="00D56F61" w:rsidRPr="0007516E" w:rsidRDefault="00D56F61" w:rsidP="009972FF">
            <w:pPr>
              <w:pStyle w:val="HTMLPreformatted"/>
              <w:jc w:val="both"/>
              <w:rPr>
                <w:rFonts w:ascii="Verdana" w:hAnsi="Verdana"/>
                <w:sz w:val="20"/>
                <w:szCs w:val="20"/>
              </w:rPr>
            </w:pPr>
            <w:r w:rsidRPr="0007516E">
              <w:rPr>
                <w:rFonts w:ascii="Verdana" w:hAnsi="Verdana" w:cs="Arial"/>
                <w:sz w:val="20"/>
              </w:rPr>
              <w:t xml:space="preserve">Дружеството е сключило </w:t>
            </w:r>
            <w:r w:rsidRPr="0007516E">
              <w:rPr>
                <w:rFonts w:ascii="Verdana" w:hAnsi="Verdana"/>
                <w:sz w:val="20"/>
                <w:szCs w:val="20"/>
              </w:rPr>
              <w:t xml:space="preserve">Спогодба за уреждане на правен спор и отказ от претенции с ИННИО </w:t>
            </w:r>
            <w:proofErr w:type="spellStart"/>
            <w:r w:rsidRPr="0007516E">
              <w:rPr>
                <w:rFonts w:ascii="Verdana" w:hAnsi="Verdana"/>
                <w:sz w:val="20"/>
                <w:szCs w:val="20"/>
              </w:rPr>
              <w:t>Йенбахер</w:t>
            </w:r>
            <w:proofErr w:type="spellEnd"/>
            <w:r w:rsidRPr="0007516E">
              <w:rPr>
                <w:rFonts w:ascii="Verdana" w:hAnsi="Verdana"/>
                <w:sz w:val="20"/>
                <w:szCs w:val="20"/>
              </w:rPr>
              <w:t xml:space="preserve"> </w:t>
            </w:r>
            <w:proofErr w:type="spellStart"/>
            <w:r w:rsidRPr="0007516E">
              <w:rPr>
                <w:rFonts w:ascii="Verdana" w:hAnsi="Verdana"/>
                <w:sz w:val="20"/>
                <w:szCs w:val="20"/>
              </w:rPr>
              <w:t>ГмбХ</w:t>
            </w:r>
            <w:proofErr w:type="spellEnd"/>
            <w:r w:rsidRPr="0007516E">
              <w:rPr>
                <w:rFonts w:ascii="Verdana" w:hAnsi="Verdana"/>
                <w:sz w:val="20"/>
                <w:szCs w:val="20"/>
                <w:lang w:val="en-US"/>
              </w:rPr>
              <w:t>&amp;</w:t>
            </w:r>
            <w:r>
              <w:rPr>
                <w:rFonts w:ascii="Verdana" w:hAnsi="Verdana"/>
                <w:sz w:val="20"/>
                <w:szCs w:val="20"/>
              </w:rPr>
              <w:t>Ко ОГ на</w:t>
            </w:r>
            <w:r w:rsidRPr="0007516E">
              <w:rPr>
                <w:rFonts w:ascii="Verdana" w:hAnsi="Verdana"/>
                <w:sz w:val="20"/>
                <w:szCs w:val="20"/>
              </w:rPr>
              <w:t xml:space="preserve"> 05.03.2019 г. в размер на 75 416 Евро.</w:t>
            </w:r>
          </w:p>
          <w:p w14:paraId="4F7F730F" w14:textId="77777777" w:rsidR="00D56F61" w:rsidRPr="0007516E" w:rsidRDefault="00D56F61" w:rsidP="009972FF">
            <w:pPr>
              <w:pStyle w:val="HTMLPreformatted"/>
              <w:jc w:val="both"/>
              <w:rPr>
                <w:rFonts w:ascii="Verdana" w:hAnsi="Verdana" w:cs="Arial"/>
                <w:sz w:val="20"/>
              </w:rPr>
            </w:pPr>
          </w:p>
          <w:p w14:paraId="4F7F7310" w14:textId="77777777" w:rsidR="00D56F61" w:rsidRPr="0007516E" w:rsidRDefault="00D56F61" w:rsidP="009972FF">
            <w:pPr>
              <w:pStyle w:val="HTMLPreformatted"/>
              <w:jc w:val="both"/>
              <w:rPr>
                <w:rFonts w:ascii="Verdana" w:hAnsi="Verdana" w:cs="Arial"/>
                <w:sz w:val="20"/>
                <w:u w:val="single"/>
              </w:rPr>
            </w:pPr>
          </w:p>
          <w:p w14:paraId="4F7F7311" w14:textId="77777777" w:rsidR="00D56F61" w:rsidRPr="0007516E" w:rsidRDefault="00D56F61" w:rsidP="009972FF">
            <w:pPr>
              <w:pStyle w:val="HTMLPreformatted"/>
              <w:numPr>
                <w:ilvl w:val="0"/>
                <w:numId w:val="34"/>
              </w:numPr>
              <w:jc w:val="both"/>
              <w:rPr>
                <w:rFonts w:ascii="Verdana" w:hAnsi="Verdana" w:cs="Arial"/>
                <w:sz w:val="20"/>
                <w:u w:val="single"/>
              </w:rPr>
            </w:pPr>
            <w:r w:rsidRPr="0007516E">
              <w:rPr>
                <w:rFonts w:ascii="Verdana" w:hAnsi="Verdana" w:cs="Arial"/>
                <w:sz w:val="20"/>
                <w:u w:val="single"/>
              </w:rPr>
              <w:t>Изграждане на изнесени мощности</w:t>
            </w:r>
          </w:p>
          <w:p w14:paraId="4F7F7312" w14:textId="77777777" w:rsidR="00D56F61" w:rsidRPr="0007516E" w:rsidRDefault="00D56F61" w:rsidP="009972FF">
            <w:pPr>
              <w:pStyle w:val="HTMLPreformatted"/>
              <w:jc w:val="both"/>
              <w:rPr>
                <w:rFonts w:ascii="Verdana" w:hAnsi="Verdana" w:cs="Arial"/>
                <w:sz w:val="20"/>
              </w:rPr>
            </w:pPr>
          </w:p>
          <w:p w14:paraId="4F7F7313" w14:textId="77777777" w:rsidR="00D56F61" w:rsidRPr="0007516E" w:rsidRDefault="00D56F61" w:rsidP="009972FF">
            <w:pPr>
              <w:pStyle w:val="HTMLPreformatted"/>
              <w:jc w:val="both"/>
              <w:rPr>
                <w:rFonts w:ascii="Verdana" w:hAnsi="Verdana" w:cs="Arial"/>
                <w:sz w:val="20"/>
              </w:rPr>
            </w:pPr>
            <w:r w:rsidRPr="0007516E">
              <w:rPr>
                <w:rFonts w:ascii="Verdana" w:hAnsi="Verdana" w:cs="Arial"/>
                <w:sz w:val="20"/>
              </w:rPr>
              <w:t>На основание протокол от извънредно заседание на акционерите на „Топлофикация – Разград“ АД, до края на 2019 г. Дружеството е получило допълнителна парична вноска в капитала от страна на „Овергаз Холдинг“ АД в размер на 370 хил.лв. (с характер на заем). Същите са използвани за изграждане на нови активи. В тази връзка Дружеството е сключило следните Анекси към Договор № ОУ-ТплРз-2019 г., както следва:</w:t>
            </w:r>
          </w:p>
          <w:p w14:paraId="4F7F7314" w14:textId="77777777" w:rsidR="00D56F61" w:rsidRPr="0007516E" w:rsidRDefault="00D56F61" w:rsidP="009972FF">
            <w:pPr>
              <w:pStyle w:val="HTMLPreformatted"/>
              <w:numPr>
                <w:ilvl w:val="0"/>
                <w:numId w:val="36"/>
              </w:numPr>
              <w:jc w:val="both"/>
              <w:rPr>
                <w:rFonts w:ascii="Verdana" w:hAnsi="Verdana"/>
                <w:sz w:val="20"/>
                <w:szCs w:val="20"/>
              </w:rPr>
            </w:pPr>
            <w:r w:rsidRPr="0007516E">
              <w:rPr>
                <w:rFonts w:ascii="Verdana" w:hAnsi="Verdana" w:cs="Arial"/>
                <w:sz w:val="20"/>
              </w:rPr>
              <w:t xml:space="preserve">Анекс за „доставка и монтаж на обект „Рока“ на система от три каскадно свързани </w:t>
            </w:r>
            <w:proofErr w:type="spellStart"/>
            <w:r w:rsidRPr="0007516E">
              <w:rPr>
                <w:rFonts w:ascii="Verdana" w:hAnsi="Verdana" w:cs="Arial"/>
                <w:sz w:val="20"/>
              </w:rPr>
              <w:t>кондензни</w:t>
            </w:r>
            <w:proofErr w:type="spellEnd"/>
            <w:r w:rsidRPr="0007516E">
              <w:rPr>
                <w:rFonts w:ascii="Verdana" w:hAnsi="Verdana" w:cs="Arial"/>
                <w:sz w:val="20"/>
              </w:rPr>
              <w:t xml:space="preserve"> котли, </w:t>
            </w:r>
            <w:proofErr w:type="spellStart"/>
            <w:r w:rsidRPr="0007516E">
              <w:rPr>
                <w:rFonts w:ascii="Verdana" w:hAnsi="Verdana" w:cs="Arial"/>
                <w:sz w:val="20"/>
              </w:rPr>
              <w:t>димоотвеждане</w:t>
            </w:r>
            <w:proofErr w:type="spellEnd"/>
            <w:r w:rsidRPr="0007516E">
              <w:rPr>
                <w:rFonts w:ascii="Verdana" w:hAnsi="Verdana" w:cs="Arial"/>
                <w:sz w:val="20"/>
              </w:rPr>
              <w:t xml:space="preserve">, </w:t>
            </w:r>
            <w:proofErr w:type="spellStart"/>
            <w:r w:rsidRPr="0007516E">
              <w:rPr>
                <w:rFonts w:ascii="Verdana" w:hAnsi="Verdana" w:cs="Arial"/>
                <w:sz w:val="20"/>
              </w:rPr>
              <w:t>площадков</w:t>
            </w:r>
            <w:proofErr w:type="spellEnd"/>
            <w:r w:rsidRPr="0007516E">
              <w:rPr>
                <w:rFonts w:ascii="Verdana" w:hAnsi="Verdana" w:cs="Arial"/>
                <w:sz w:val="20"/>
              </w:rPr>
              <w:t xml:space="preserve"> газопровод, газова инсталация и </w:t>
            </w:r>
            <w:proofErr w:type="spellStart"/>
            <w:r w:rsidRPr="0007516E">
              <w:rPr>
                <w:rFonts w:ascii="Verdana" w:hAnsi="Verdana" w:cs="Arial"/>
                <w:sz w:val="20"/>
              </w:rPr>
              <w:t>свързане</w:t>
            </w:r>
            <w:proofErr w:type="spellEnd"/>
            <w:r w:rsidRPr="0007516E">
              <w:rPr>
                <w:rFonts w:ascii="Verdana" w:hAnsi="Verdana" w:cs="Arial"/>
                <w:sz w:val="20"/>
              </w:rPr>
              <w:t xml:space="preserve"> на системата с участък от </w:t>
            </w:r>
            <w:proofErr w:type="spellStart"/>
            <w:r w:rsidRPr="0007516E">
              <w:rPr>
                <w:rFonts w:ascii="Verdana" w:hAnsi="Verdana" w:cs="Arial"/>
                <w:sz w:val="20"/>
              </w:rPr>
              <w:t>топлопреносната</w:t>
            </w:r>
            <w:proofErr w:type="spellEnd"/>
            <w:r w:rsidRPr="0007516E">
              <w:rPr>
                <w:rFonts w:ascii="Verdana" w:hAnsi="Verdana" w:cs="Arial"/>
                <w:sz w:val="20"/>
              </w:rPr>
              <w:t xml:space="preserve"> мрежа“ на стойност приблизително 169 лв. без ДДС.</w:t>
            </w:r>
          </w:p>
          <w:p w14:paraId="4F7F7315" w14:textId="77777777" w:rsidR="00D56F61" w:rsidRPr="0007516E" w:rsidRDefault="00D56F61" w:rsidP="009972FF">
            <w:pPr>
              <w:pStyle w:val="HTMLPreformatted"/>
              <w:numPr>
                <w:ilvl w:val="0"/>
                <w:numId w:val="36"/>
              </w:numPr>
              <w:jc w:val="both"/>
              <w:rPr>
                <w:rFonts w:ascii="Verdana" w:hAnsi="Verdana"/>
                <w:sz w:val="20"/>
                <w:szCs w:val="20"/>
              </w:rPr>
            </w:pPr>
            <w:r w:rsidRPr="0007516E">
              <w:rPr>
                <w:rFonts w:ascii="Verdana" w:hAnsi="Verdana" w:cs="Arial"/>
                <w:sz w:val="20"/>
              </w:rPr>
              <w:t xml:space="preserve">Анекс за „доставка и монтаж на обект ГД „Митко </w:t>
            </w:r>
            <w:proofErr w:type="spellStart"/>
            <w:r w:rsidRPr="0007516E">
              <w:rPr>
                <w:rFonts w:ascii="Verdana" w:hAnsi="Verdana" w:cs="Arial"/>
                <w:sz w:val="20"/>
              </w:rPr>
              <w:t>Палаувоз</w:t>
            </w:r>
            <w:proofErr w:type="spellEnd"/>
            <w:r w:rsidRPr="0007516E">
              <w:rPr>
                <w:rFonts w:ascii="Verdana" w:hAnsi="Verdana" w:cs="Arial"/>
                <w:sz w:val="20"/>
              </w:rPr>
              <w:t xml:space="preserve">“ на система от три каскадно свързани </w:t>
            </w:r>
            <w:proofErr w:type="spellStart"/>
            <w:r w:rsidRPr="0007516E">
              <w:rPr>
                <w:rFonts w:ascii="Verdana" w:hAnsi="Verdana" w:cs="Arial"/>
                <w:sz w:val="20"/>
              </w:rPr>
              <w:t>кондензни</w:t>
            </w:r>
            <w:proofErr w:type="spellEnd"/>
            <w:r w:rsidRPr="0007516E">
              <w:rPr>
                <w:rFonts w:ascii="Verdana" w:hAnsi="Verdana" w:cs="Arial"/>
                <w:sz w:val="20"/>
              </w:rPr>
              <w:t xml:space="preserve"> котли, </w:t>
            </w:r>
            <w:proofErr w:type="spellStart"/>
            <w:r w:rsidRPr="0007516E">
              <w:rPr>
                <w:rFonts w:ascii="Verdana" w:hAnsi="Verdana" w:cs="Arial"/>
                <w:sz w:val="20"/>
              </w:rPr>
              <w:t>димоотвеждане</w:t>
            </w:r>
            <w:proofErr w:type="spellEnd"/>
            <w:r w:rsidRPr="0007516E">
              <w:rPr>
                <w:rFonts w:ascii="Verdana" w:hAnsi="Verdana" w:cs="Arial"/>
                <w:sz w:val="20"/>
              </w:rPr>
              <w:t xml:space="preserve">, </w:t>
            </w:r>
            <w:proofErr w:type="spellStart"/>
            <w:r w:rsidRPr="0007516E">
              <w:rPr>
                <w:rFonts w:ascii="Verdana" w:hAnsi="Verdana" w:cs="Arial"/>
                <w:sz w:val="20"/>
              </w:rPr>
              <w:t>площадков</w:t>
            </w:r>
            <w:proofErr w:type="spellEnd"/>
            <w:r w:rsidRPr="0007516E">
              <w:rPr>
                <w:rFonts w:ascii="Verdana" w:hAnsi="Verdana" w:cs="Arial"/>
                <w:sz w:val="20"/>
              </w:rPr>
              <w:t xml:space="preserve"> газопровод, газова инсталация и </w:t>
            </w:r>
            <w:proofErr w:type="spellStart"/>
            <w:r w:rsidRPr="0007516E">
              <w:rPr>
                <w:rFonts w:ascii="Verdana" w:hAnsi="Verdana" w:cs="Arial"/>
                <w:sz w:val="20"/>
              </w:rPr>
              <w:t>свързане</w:t>
            </w:r>
            <w:proofErr w:type="spellEnd"/>
            <w:r w:rsidRPr="0007516E">
              <w:rPr>
                <w:rFonts w:ascii="Verdana" w:hAnsi="Verdana" w:cs="Arial"/>
                <w:sz w:val="20"/>
              </w:rPr>
              <w:t xml:space="preserve"> на системата с участък от </w:t>
            </w:r>
            <w:proofErr w:type="spellStart"/>
            <w:r w:rsidRPr="0007516E">
              <w:rPr>
                <w:rFonts w:ascii="Verdana" w:hAnsi="Verdana" w:cs="Arial"/>
                <w:sz w:val="20"/>
              </w:rPr>
              <w:t>топлопреносната</w:t>
            </w:r>
            <w:proofErr w:type="spellEnd"/>
            <w:r w:rsidRPr="0007516E">
              <w:rPr>
                <w:rFonts w:ascii="Verdana" w:hAnsi="Verdana" w:cs="Arial"/>
                <w:sz w:val="20"/>
              </w:rPr>
              <w:t xml:space="preserve"> мрежа“ на стойност приблизително 164 лв. без ДДС.</w:t>
            </w:r>
          </w:p>
          <w:p w14:paraId="4F7F7316" w14:textId="77777777" w:rsidR="00D56F61" w:rsidRPr="0007516E" w:rsidRDefault="00D56F61" w:rsidP="009972FF">
            <w:pPr>
              <w:pStyle w:val="HTMLPreformatted"/>
              <w:jc w:val="both"/>
              <w:rPr>
                <w:rFonts w:ascii="Verdana" w:hAnsi="Verdana"/>
                <w:sz w:val="20"/>
                <w:szCs w:val="20"/>
              </w:rPr>
            </w:pPr>
          </w:p>
          <w:p w14:paraId="4F7F7317" w14:textId="77777777" w:rsidR="00D56F61" w:rsidRPr="0007516E" w:rsidRDefault="00D56F61" w:rsidP="009972FF">
            <w:pPr>
              <w:pStyle w:val="HTMLPreformatted"/>
              <w:numPr>
                <w:ilvl w:val="0"/>
                <w:numId w:val="34"/>
              </w:numPr>
              <w:jc w:val="both"/>
              <w:rPr>
                <w:rFonts w:ascii="Verdana" w:hAnsi="Verdana"/>
                <w:sz w:val="20"/>
                <w:szCs w:val="20"/>
                <w:u w:val="single"/>
              </w:rPr>
            </w:pPr>
            <w:r w:rsidRPr="0007516E">
              <w:rPr>
                <w:rFonts w:ascii="Verdana" w:hAnsi="Verdana"/>
                <w:sz w:val="20"/>
                <w:szCs w:val="20"/>
                <w:u w:val="single"/>
              </w:rPr>
              <w:t>Договор за авариен ремонт</w:t>
            </w:r>
          </w:p>
          <w:p w14:paraId="4F7F7318" w14:textId="77777777" w:rsidR="00D56F61" w:rsidRPr="0007516E" w:rsidRDefault="00D56F61" w:rsidP="009972FF">
            <w:pPr>
              <w:pStyle w:val="HTMLPreformatted"/>
              <w:jc w:val="both"/>
              <w:rPr>
                <w:rFonts w:ascii="Verdana" w:hAnsi="Verdana"/>
                <w:sz w:val="20"/>
                <w:szCs w:val="20"/>
              </w:rPr>
            </w:pPr>
          </w:p>
          <w:p w14:paraId="4F7F7319" w14:textId="77777777" w:rsidR="00D56F61" w:rsidRDefault="00D56F61" w:rsidP="009972FF">
            <w:pPr>
              <w:pStyle w:val="HTMLPreformatted"/>
              <w:jc w:val="both"/>
              <w:rPr>
                <w:rFonts w:ascii="Verdana" w:hAnsi="Verdana"/>
                <w:sz w:val="20"/>
                <w:szCs w:val="20"/>
              </w:rPr>
            </w:pPr>
            <w:r w:rsidRPr="0007516E">
              <w:rPr>
                <w:rFonts w:ascii="Verdana" w:hAnsi="Verdana"/>
                <w:sz w:val="20"/>
                <w:szCs w:val="20"/>
              </w:rPr>
              <w:t>Допълнително във връзка с настъпила авария на Инсталацията за комбинирано производство на топлинна и електрическа енергия, Дружеството е сключило договор за  извършване на авариен ремонт на двигател №JF193/5791671 на Инсталацията за комбинирано производство на топлинна и електрическа енергия на стойност 58 хил.лв.</w:t>
            </w:r>
          </w:p>
          <w:p w14:paraId="4F7F731A" w14:textId="77777777" w:rsidR="00D56F61" w:rsidRDefault="00D56F61" w:rsidP="009972FF">
            <w:pPr>
              <w:pStyle w:val="HTMLPreformatted"/>
              <w:jc w:val="both"/>
              <w:rPr>
                <w:rFonts w:ascii="Verdana" w:hAnsi="Verdana"/>
                <w:sz w:val="20"/>
                <w:szCs w:val="20"/>
              </w:rPr>
            </w:pPr>
          </w:p>
          <w:p w14:paraId="4F7F731B" w14:textId="77777777" w:rsidR="00D56F61" w:rsidRDefault="00D56F61" w:rsidP="009972FF">
            <w:pPr>
              <w:pStyle w:val="HTMLPreformatted"/>
              <w:jc w:val="both"/>
              <w:rPr>
                <w:rFonts w:ascii="Verdana" w:hAnsi="Verdana"/>
                <w:sz w:val="20"/>
                <w:szCs w:val="20"/>
              </w:rPr>
            </w:pPr>
          </w:p>
          <w:p w14:paraId="4F7F731C" w14:textId="77777777" w:rsidR="00D56F61" w:rsidRPr="0007516E" w:rsidRDefault="00D56F61" w:rsidP="009972FF">
            <w:pPr>
              <w:pStyle w:val="HTMLPreformatted"/>
              <w:jc w:val="both"/>
              <w:rPr>
                <w:rFonts w:ascii="Verdana" w:hAnsi="Verdana"/>
                <w:sz w:val="20"/>
                <w:szCs w:val="20"/>
              </w:rPr>
            </w:pPr>
          </w:p>
        </w:tc>
      </w:tr>
      <w:tr w:rsidR="00D56F61" w:rsidRPr="0007516E" w14:paraId="4F7F7384" w14:textId="77777777" w:rsidTr="009972FF">
        <w:trPr>
          <w:trHeight w:val="131"/>
          <w:tblCellSpacing w:w="0" w:type="dxa"/>
        </w:trPr>
        <w:tc>
          <w:tcPr>
            <w:tcW w:w="9450" w:type="dxa"/>
            <w:vAlign w:val="center"/>
          </w:tcPr>
          <w:p w14:paraId="4F7F731E" w14:textId="77777777" w:rsidR="00D56F61" w:rsidRPr="00BF41B7" w:rsidRDefault="00D56F61" w:rsidP="009972FF">
            <w:pPr>
              <w:pStyle w:val="HTMLPreformatted"/>
              <w:jc w:val="both"/>
              <w:rPr>
                <w:rFonts w:ascii="Verdana" w:hAnsi="Verdana"/>
                <w:b/>
                <w:sz w:val="20"/>
                <w:szCs w:val="20"/>
              </w:rPr>
            </w:pPr>
            <w:r w:rsidRPr="00BF41B7">
              <w:rPr>
                <w:rFonts w:ascii="Verdana" w:hAnsi="Verdana"/>
                <w:b/>
                <w:sz w:val="20"/>
                <w:szCs w:val="20"/>
              </w:rPr>
              <w:lastRenderedPageBreak/>
              <w:t xml:space="preserve">4. Информация относно сделките, сключени между </w:t>
            </w:r>
            <w:proofErr w:type="spellStart"/>
            <w:r w:rsidRPr="00BF41B7">
              <w:rPr>
                <w:rFonts w:ascii="Verdana" w:hAnsi="Verdana"/>
                <w:b/>
                <w:sz w:val="20"/>
                <w:szCs w:val="20"/>
              </w:rPr>
              <w:t>емитента</w:t>
            </w:r>
            <w:proofErr w:type="spellEnd"/>
            <w:r w:rsidRPr="00BF41B7">
              <w:rPr>
                <w:rFonts w:ascii="Verdana" w:hAnsi="Verdana"/>
                <w:b/>
                <w:sz w:val="20"/>
                <w:szCs w:val="20"/>
              </w:rPr>
              <w:t xml:space="preserve">, съответно лицето по §1д от допълнителните разпоредби на ЗППЦК, и свързани лица, през отчетния период, предложения за сключване на такива сделки, както и сделки, които са извън обичайната му дейност или съществено се отклоняват от пазарните условия, по които </w:t>
            </w:r>
            <w:proofErr w:type="spellStart"/>
            <w:r w:rsidRPr="00BF41B7">
              <w:rPr>
                <w:rFonts w:ascii="Verdana" w:hAnsi="Verdana"/>
                <w:b/>
                <w:sz w:val="20"/>
                <w:szCs w:val="20"/>
              </w:rPr>
              <w:t>емитентът</w:t>
            </w:r>
            <w:proofErr w:type="spellEnd"/>
            <w:r w:rsidRPr="00BF41B7">
              <w:rPr>
                <w:rFonts w:ascii="Verdana" w:hAnsi="Verdana"/>
                <w:b/>
                <w:sz w:val="20"/>
                <w:szCs w:val="20"/>
              </w:rPr>
              <w:t xml:space="preserve">, съответно лицето по §1д от допълнителните разпоредби на ЗППЦК, или негово  дъщерно дружество е страна с посочване на стойността на сделките, </w:t>
            </w:r>
            <w:r w:rsidRPr="003E25A2">
              <w:rPr>
                <w:rFonts w:ascii="Verdana" w:hAnsi="Verdana"/>
                <w:b/>
                <w:sz w:val="20"/>
                <w:szCs w:val="20"/>
              </w:rPr>
              <w:t>характера на свързаността</w:t>
            </w:r>
            <w:r w:rsidRPr="00BF41B7">
              <w:rPr>
                <w:rFonts w:ascii="Verdana" w:hAnsi="Verdana"/>
                <w:b/>
                <w:sz w:val="20"/>
                <w:szCs w:val="20"/>
              </w:rPr>
              <w:t xml:space="preserve"> и всяка информация, необходима за оценка на въздействието върху финансовото състояние на </w:t>
            </w:r>
            <w:proofErr w:type="spellStart"/>
            <w:r w:rsidRPr="00BF41B7">
              <w:rPr>
                <w:rFonts w:ascii="Verdana" w:hAnsi="Verdana"/>
                <w:b/>
                <w:sz w:val="20"/>
                <w:szCs w:val="20"/>
              </w:rPr>
              <w:t>емитента</w:t>
            </w:r>
            <w:proofErr w:type="spellEnd"/>
            <w:r w:rsidRPr="00BF41B7">
              <w:rPr>
                <w:rFonts w:ascii="Verdana" w:hAnsi="Verdana"/>
                <w:b/>
                <w:sz w:val="20"/>
                <w:szCs w:val="20"/>
              </w:rPr>
              <w:t>, съответно лицето по §1д от допълнителните разпоредби на ЗППЦК.</w:t>
            </w:r>
          </w:p>
          <w:p w14:paraId="4F7F731F" w14:textId="77777777" w:rsidR="00D56F61" w:rsidRPr="00CF76C8" w:rsidRDefault="00D56F61" w:rsidP="009972FF">
            <w:pPr>
              <w:pStyle w:val="HTMLPreformatted"/>
              <w:jc w:val="both"/>
              <w:rPr>
                <w:rFonts w:ascii="Verdana" w:hAnsi="Verdana"/>
                <w:sz w:val="20"/>
                <w:szCs w:val="20"/>
              </w:rPr>
            </w:pPr>
            <w:r w:rsidRPr="00CF76C8">
              <w:rPr>
                <w:rFonts w:ascii="Verdana" w:hAnsi="Verdana"/>
                <w:sz w:val="20"/>
                <w:szCs w:val="20"/>
              </w:rPr>
              <w:t>Табл.9/хил.</w:t>
            </w:r>
            <w:proofErr w:type="spellStart"/>
            <w:r w:rsidRPr="00CF76C8">
              <w:rPr>
                <w:rFonts w:ascii="Verdana" w:hAnsi="Verdana"/>
                <w:sz w:val="20"/>
                <w:szCs w:val="20"/>
              </w:rPr>
              <w:t>лв</w:t>
            </w:r>
            <w:proofErr w:type="spellEnd"/>
            <w:r w:rsidRPr="00CF76C8">
              <w:rPr>
                <w:rFonts w:ascii="Verdana" w:hAnsi="Verdana"/>
                <w:sz w:val="20"/>
                <w:szCs w:val="20"/>
              </w:rPr>
              <w:t>/</w:t>
            </w:r>
          </w:p>
          <w:tbl>
            <w:tblPr>
              <w:tblW w:w="9287" w:type="dxa"/>
              <w:tblInd w:w="64" w:type="dxa"/>
              <w:tblLayout w:type="fixed"/>
              <w:tblCellMar>
                <w:left w:w="70" w:type="dxa"/>
                <w:right w:w="70" w:type="dxa"/>
              </w:tblCellMar>
              <w:tblLook w:val="04A0" w:firstRow="1" w:lastRow="0" w:firstColumn="1" w:lastColumn="0" w:noHBand="0" w:noVBand="1"/>
            </w:tblPr>
            <w:tblGrid>
              <w:gridCol w:w="3315"/>
              <w:gridCol w:w="1693"/>
              <w:gridCol w:w="4279"/>
            </w:tblGrid>
            <w:tr w:rsidR="00E8159C" w:rsidRPr="00BF41B7" w14:paraId="513AAF56" w14:textId="77777777" w:rsidTr="00E8159C">
              <w:trPr>
                <w:trHeight w:val="219"/>
              </w:trPr>
              <w:tc>
                <w:tcPr>
                  <w:tcW w:w="928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751C1410" w14:textId="2D72D64E" w:rsidR="00E8159C" w:rsidRPr="00BF41B7" w:rsidRDefault="00E8159C" w:rsidP="00E8159C">
                  <w:pPr>
                    <w:jc w:val="left"/>
                    <w:rPr>
                      <w:rFonts w:ascii="Verdana" w:hAnsi="Verdana" w:cs="Vrinda"/>
                      <w:b/>
                      <w:bCs/>
                      <w:sz w:val="20"/>
                      <w:lang w:eastAsia="bg-BG"/>
                    </w:rPr>
                  </w:pPr>
                  <w:r w:rsidRPr="00E8159C">
                    <w:rPr>
                      <w:rFonts w:ascii="Verdana" w:hAnsi="Verdana" w:cs="Vrinda"/>
                      <w:b/>
                      <w:bCs/>
                      <w:sz w:val="20"/>
                      <w:lang w:eastAsia="bg-BG"/>
                    </w:rPr>
                    <w:t>Продажби на свързани лица извън групата - приходи</w:t>
                  </w:r>
                </w:p>
              </w:tc>
            </w:tr>
            <w:tr w:rsidR="00D56F61" w:rsidRPr="00BF41B7" w14:paraId="4F7F7323" w14:textId="77777777" w:rsidTr="009972FF">
              <w:trPr>
                <w:trHeight w:val="219"/>
              </w:trPr>
              <w:tc>
                <w:tcPr>
                  <w:tcW w:w="33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F7320" w14:textId="77777777" w:rsidR="00D56F61" w:rsidRPr="00BF41B7" w:rsidRDefault="00D56F61" w:rsidP="009972FF">
                  <w:pPr>
                    <w:jc w:val="center"/>
                    <w:rPr>
                      <w:rFonts w:ascii="Verdana" w:hAnsi="Verdana" w:cs="Vrinda"/>
                      <w:b/>
                      <w:bCs/>
                      <w:sz w:val="20"/>
                      <w:lang w:eastAsia="bg-BG"/>
                    </w:rPr>
                  </w:pPr>
                  <w:proofErr w:type="spellStart"/>
                  <w:r w:rsidRPr="00BF41B7">
                    <w:rPr>
                      <w:rFonts w:ascii="Verdana" w:hAnsi="Verdana" w:cs="Arial"/>
                      <w:b/>
                      <w:bCs/>
                      <w:sz w:val="20"/>
                      <w:lang w:eastAsia="bg-BG"/>
                    </w:rPr>
                    <w:t>Свързанолице</w:t>
                  </w:r>
                  <w:proofErr w:type="spellEnd"/>
                  <w:r w:rsidRPr="00BF41B7">
                    <w:rPr>
                      <w:rFonts w:ascii="Verdana" w:hAnsi="Verdana" w:cs="Vrinda"/>
                      <w:b/>
                      <w:bCs/>
                      <w:sz w:val="20"/>
                      <w:lang w:eastAsia="bg-BG"/>
                    </w:rPr>
                    <w:t xml:space="preserve"> - </w:t>
                  </w:r>
                  <w:r w:rsidRPr="00BF41B7">
                    <w:rPr>
                      <w:rFonts w:ascii="Verdana" w:hAnsi="Verdana" w:cs="Arial"/>
                      <w:b/>
                      <w:bCs/>
                      <w:sz w:val="20"/>
                      <w:lang w:eastAsia="bg-BG"/>
                    </w:rPr>
                    <w:t>клиент</w:t>
                  </w:r>
                </w:p>
              </w:tc>
              <w:tc>
                <w:tcPr>
                  <w:tcW w:w="1693" w:type="dxa"/>
                  <w:tcBorders>
                    <w:top w:val="single" w:sz="4" w:space="0" w:color="auto"/>
                    <w:left w:val="nil"/>
                    <w:bottom w:val="single" w:sz="4" w:space="0" w:color="auto"/>
                    <w:right w:val="single" w:sz="4" w:space="0" w:color="auto"/>
                  </w:tcBorders>
                  <w:shd w:val="clear" w:color="000000" w:fill="FFFFFF"/>
                  <w:noWrap/>
                  <w:vAlign w:val="center"/>
                  <w:hideMark/>
                </w:tcPr>
                <w:p w14:paraId="4F7F7321" w14:textId="77777777" w:rsidR="00D56F61" w:rsidRPr="00BF41B7" w:rsidRDefault="00D56F61" w:rsidP="009972FF">
                  <w:pPr>
                    <w:jc w:val="center"/>
                    <w:rPr>
                      <w:rFonts w:ascii="Verdana" w:hAnsi="Verdana" w:cs="Vrinda"/>
                      <w:b/>
                      <w:bCs/>
                      <w:sz w:val="20"/>
                      <w:lang w:eastAsia="bg-BG"/>
                    </w:rPr>
                  </w:pPr>
                  <w:proofErr w:type="spellStart"/>
                  <w:r w:rsidRPr="00BF41B7">
                    <w:rPr>
                      <w:rFonts w:ascii="Verdana" w:hAnsi="Verdana" w:cs="Arial"/>
                      <w:b/>
                      <w:bCs/>
                      <w:sz w:val="20"/>
                      <w:lang w:eastAsia="bg-BG"/>
                    </w:rPr>
                    <w:t>Видсделка</w:t>
                  </w:r>
                  <w:proofErr w:type="spellEnd"/>
                </w:p>
              </w:tc>
              <w:tc>
                <w:tcPr>
                  <w:tcW w:w="4279" w:type="dxa"/>
                  <w:tcBorders>
                    <w:top w:val="single" w:sz="4" w:space="0" w:color="auto"/>
                    <w:left w:val="nil"/>
                    <w:bottom w:val="single" w:sz="4" w:space="0" w:color="auto"/>
                    <w:right w:val="single" w:sz="4" w:space="0" w:color="auto"/>
                  </w:tcBorders>
                  <w:shd w:val="clear" w:color="auto" w:fill="auto"/>
                  <w:noWrap/>
                  <w:vAlign w:val="center"/>
                  <w:hideMark/>
                </w:tcPr>
                <w:p w14:paraId="4F7F7322" w14:textId="77777777" w:rsidR="00D56F61" w:rsidRPr="00BF41B7" w:rsidRDefault="00D56F61" w:rsidP="009972FF">
                  <w:pPr>
                    <w:jc w:val="center"/>
                    <w:rPr>
                      <w:rFonts w:ascii="Verdana" w:hAnsi="Verdana" w:cs="Vrinda"/>
                      <w:b/>
                      <w:bCs/>
                      <w:sz w:val="20"/>
                      <w:lang w:eastAsia="bg-BG"/>
                    </w:rPr>
                  </w:pPr>
                  <w:r w:rsidRPr="00BF41B7">
                    <w:rPr>
                      <w:rFonts w:ascii="Verdana" w:hAnsi="Verdana" w:cs="Vrinda"/>
                      <w:b/>
                      <w:bCs/>
                      <w:sz w:val="20"/>
                      <w:lang w:eastAsia="bg-BG"/>
                    </w:rPr>
                    <w:t xml:space="preserve">2019 </w:t>
                  </w:r>
                  <w:r w:rsidRPr="00BF41B7">
                    <w:rPr>
                      <w:rFonts w:ascii="Verdana" w:hAnsi="Verdana" w:cs="Arial"/>
                      <w:b/>
                      <w:bCs/>
                      <w:sz w:val="20"/>
                      <w:lang w:eastAsia="bg-BG"/>
                    </w:rPr>
                    <w:t>г</w:t>
                  </w:r>
                  <w:r w:rsidRPr="00BF41B7">
                    <w:rPr>
                      <w:rFonts w:ascii="Verdana" w:hAnsi="Verdana" w:cs="Vrinda"/>
                      <w:b/>
                      <w:bCs/>
                      <w:sz w:val="20"/>
                      <w:lang w:eastAsia="bg-BG"/>
                    </w:rPr>
                    <w:t>.</w:t>
                  </w:r>
                </w:p>
              </w:tc>
            </w:tr>
            <w:tr w:rsidR="00D56F61" w:rsidRPr="00BF41B7" w14:paraId="4F7F7327" w14:textId="77777777" w:rsidTr="009972FF">
              <w:trPr>
                <w:trHeight w:val="260"/>
              </w:trPr>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14:paraId="4F7F7324" w14:textId="77777777" w:rsidR="00D56F61" w:rsidRPr="00BF41B7" w:rsidRDefault="00D56F61" w:rsidP="009972FF">
                  <w:pPr>
                    <w:rPr>
                      <w:rFonts w:ascii="Verdana" w:hAnsi="Verdana" w:cs="Vrinda"/>
                      <w:sz w:val="20"/>
                      <w:lang w:eastAsia="bg-BG"/>
                    </w:rPr>
                  </w:pPr>
                  <w:r w:rsidRPr="00BF41B7">
                    <w:rPr>
                      <w:rFonts w:ascii="Verdana" w:hAnsi="Verdana" w:cs="Vrinda"/>
                      <w:sz w:val="20"/>
                      <w:lang w:eastAsia="bg-BG"/>
                    </w:rPr>
                    <w:t>"</w:t>
                  </w:r>
                  <w:r w:rsidRPr="00BF41B7">
                    <w:rPr>
                      <w:rFonts w:ascii="Verdana" w:hAnsi="Verdana" w:cs="Arial"/>
                      <w:sz w:val="20"/>
                      <w:lang w:eastAsia="bg-BG"/>
                    </w:rPr>
                    <w:t>Овергаз</w:t>
                  </w:r>
                  <w:r w:rsidR="00B67B2D">
                    <w:rPr>
                      <w:rFonts w:ascii="Verdana" w:hAnsi="Verdana" w:cs="Arial"/>
                      <w:sz w:val="20"/>
                      <w:lang w:eastAsia="bg-BG"/>
                    </w:rPr>
                    <w:t xml:space="preserve"> </w:t>
                  </w:r>
                  <w:r w:rsidRPr="00BF41B7">
                    <w:rPr>
                      <w:rFonts w:ascii="Verdana" w:hAnsi="Verdana" w:cs="Arial"/>
                      <w:sz w:val="20"/>
                      <w:lang w:eastAsia="bg-BG"/>
                    </w:rPr>
                    <w:t>Мрежи</w:t>
                  </w:r>
                  <w:r w:rsidRPr="00BF41B7">
                    <w:rPr>
                      <w:rFonts w:ascii="Verdana" w:hAnsi="Verdana" w:cs="Vrinda"/>
                      <w:sz w:val="20"/>
                      <w:lang w:eastAsia="bg-BG"/>
                    </w:rPr>
                    <w:t xml:space="preserve">" </w:t>
                  </w:r>
                  <w:r w:rsidRPr="00BF41B7">
                    <w:rPr>
                      <w:rFonts w:ascii="Verdana" w:hAnsi="Verdana" w:cs="Arial"/>
                      <w:sz w:val="20"/>
                      <w:lang w:eastAsia="bg-BG"/>
                    </w:rPr>
                    <w:t>АД</w:t>
                  </w:r>
                </w:p>
              </w:tc>
              <w:tc>
                <w:tcPr>
                  <w:tcW w:w="1693" w:type="dxa"/>
                  <w:tcBorders>
                    <w:top w:val="nil"/>
                    <w:left w:val="nil"/>
                    <w:bottom w:val="single" w:sz="4" w:space="0" w:color="auto"/>
                    <w:right w:val="single" w:sz="4" w:space="0" w:color="auto"/>
                  </w:tcBorders>
                  <w:shd w:val="clear" w:color="auto" w:fill="auto"/>
                  <w:noWrap/>
                  <w:vAlign w:val="center"/>
                  <w:hideMark/>
                </w:tcPr>
                <w:p w14:paraId="4F7F7325" w14:textId="77777777" w:rsidR="00D56F61" w:rsidRPr="00BF41B7" w:rsidRDefault="00D56F61" w:rsidP="009972FF">
                  <w:pPr>
                    <w:jc w:val="center"/>
                    <w:rPr>
                      <w:rFonts w:ascii="Verdana" w:hAnsi="Verdana" w:cs="Vrinda"/>
                      <w:sz w:val="20"/>
                      <w:lang w:eastAsia="bg-BG"/>
                    </w:rPr>
                  </w:pPr>
                  <w:r w:rsidRPr="00BF41B7">
                    <w:rPr>
                      <w:rFonts w:ascii="Verdana" w:hAnsi="Verdana" w:cs="Arial"/>
                      <w:sz w:val="20"/>
                      <w:lang w:eastAsia="bg-BG"/>
                    </w:rPr>
                    <w:t>услуга</w:t>
                  </w:r>
                </w:p>
              </w:tc>
              <w:tc>
                <w:tcPr>
                  <w:tcW w:w="4279" w:type="dxa"/>
                  <w:tcBorders>
                    <w:top w:val="nil"/>
                    <w:left w:val="nil"/>
                    <w:bottom w:val="single" w:sz="4" w:space="0" w:color="auto"/>
                    <w:right w:val="single" w:sz="4" w:space="0" w:color="auto"/>
                  </w:tcBorders>
                  <w:shd w:val="clear" w:color="000000" w:fill="FFFFFF"/>
                  <w:noWrap/>
                  <w:vAlign w:val="center"/>
                  <w:hideMark/>
                </w:tcPr>
                <w:p w14:paraId="4F7F7326" w14:textId="77777777" w:rsidR="00D56F61" w:rsidRPr="00BF41B7" w:rsidRDefault="00D56F61" w:rsidP="009972FF">
                  <w:pPr>
                    <w:jc w:val="center"/>
                    <w:rPr>
                      <w:rFonts w:ascii="Verdana" w:hAnsi="Verdana" w:cs="Vrinda"/>
                      <w:sz w:val="20"/>
                      <w:lang w:eastAsia="bg-BG"/>
                    </w:rPr>
                  </w:pPr>
                  <w:r w:rsidRPr="00BF41B7">
                    <w:rPr>
                      <w:rFonts w:ascii="Verdana" w:hAnsi="Verdana" w:cs="Vrinda"/>
                      <w:sz w:val="20"/>
                      <w:lang w:eastAsia="bg-BG"/>
                    </w:rPr>
                    <w:t>4</w:t>
                  </w:r>
                </w:p>
              </w:tc>
            </w:tr>
            <w:tr w:rsidR="00D56F61" w:rsidRPr="00BF41B7" w14:paraId="4F7F732B" w14:textId="77777777" w:rsidTr="009972FF">
              <w:trPr>
                <w:trHeight w:val="273"/>
              </w:trPr>
              <w:tc>
                <w:tcPr>
                  <w:tcW w:w="3315" w:type="dxa"/>
                  <w:tcBorders>
                    <w:top w:val="nil"/>
                    <w:left w:val="single" w:sz="4" w:space="0" w:color="auto"/>
                    <w:bottom w:val="single" w:sz="4" w:space="0" w:color="auto"/>
                    <w:right w:val="single" w:sz="4" w:space="0" w:color="auto"/>
                  </w:tcBorders>
                  <w:shd w:val="clear" w:color="000000" w:fill="C5D9F1"/>
                  <w:noWrap/>
                  <w:vAlign w:val="center"/>
                  <w:hideMark/>
                </w:tcPr>
                <w:p w14:paraId="4F7F7328" w14:textId="77777777" w:rsidR="00D56F61" w:rsidRPr="00BF41B7" w:rsidRDefault="00D56F61" w:rsidP="009972FF">
                  <w:pPr>
                    <w:rPr>
                      <w:rFonts w:ascii="Verdana" w:hAnsi="Verdana" w:cs="Vrinda"/>
                      <w:b/>
                      <w:bCs/>
                      <w:sz w:val="20"/>
                      <w:lang w:eastAsia="bg-BG"/>
                    </w:rPr>
                  </w:pPr>
                  <w:r w:rsidRPr="00BF41B7">
                    <w:rPr>
                      <w:rFonts w:ascii="Verdana" w:hAnsi="Verdana" w:cs="Arial"/>
                      <w:b/>
                      <w:bCs/>
                      <w:sz w:val="20"/>
                      <w:lang w:eastAsia="bg-BG"/>
                    </w:rPr>
                    <w:t>Общо</w:t>
                  </w:r>
                </w:p>
              </w:tc>
              <w:tc>
                <w:tcPr>
                  <w:tcW w:w="1693" w:type="dxa"/>
                  <w:tcBorders>
                    <w:top w:val="nil"/>
                    <w:left w:val="nil"/>
                    <w:bottom w:val="single" w:sz="4" w:space="0" w:color="auto"/>
                    <w:right w:val="single" w:sz="4" w:space="0" w:color="auto"/>
                  </w:tcBorders>
                  <w:shd w:val="clear" w:color="000000" w:fill="C5D9F1"/>
                  <w:noWrap/>
                  <w:vAlign w:val="center"/>
                  <w:hideMark/>
                </w:tcPr>
                <w:p w14:paraId="4F7F7329" w14:textId="77777777" w:rsidR="00D56F61" w:rsidRPr="00BF41B7" w:rsidRDefault="00D56F61" w:rsidP="009972FF">
                  <w:pPr>
                    <w:jc w:val="center"/>
                    <w:rPr>
                      <w:rFonts w:ascii="Verdana" w:hAnsi="Verdana" w:cs="Vrinda"/>
                      <w:b/>
                      <w:bCs/>
                      <w:sz w:val="20"/>
                      <w:lang w:eastAsia="bg-BG"/>
                    </w:rPr>
                  </w:pPr>
                </w:p>
              </w:tc>
              <w:tc>
                <w:tcPr>
                  <w:tcW w:w="4279" w:type="dxa"/>
                  <w:tcBorders>
                    <w:top w:val="nil"/>
                    <w:left w:val="nil"/>
                    <w:bottom w:val="single" w:sz="4" w:space="0" w:color="auto"/>
                    <w:right w:val="single" w:sz="4" w:space="0" w:color="auto"/>
                  </w:tcBorders>
                  <w:shd w:val="clear" w:color="000000" w:fill="C5D9F1"/>
                  <w:noWrap/>
                  <w:vAlign w:val="center"/>
                  <w:hideMark/>
                </w:tcPr>
                <w:p w14:paraId="4F7F732A" w14:textId="77777777" w:rsidR="00D56F61" w:rsidRPr="00BF41B7" w:rsidRDefault="00D56F61" w:rsidP="009972FF">
                  <w:pPr>
                    <w:jc w:val="center"/>
                    <w:rPr>
                      <w:rFonts w:ascii="Verdana" w:hAnsi="Verdana" w:cs="Vrinda"/>
                      <w:b/>
                      <w:bCs/>
                      <w:sz w:val="20"/>
                      <w:lang w:eastAsia="bg-BG"/>
                    </w:rPr>
                  </w:pPr>
                  <w:r w:rsidRPr="00BF41B7">
                    <w:rPr>
                      <w:rFonts w:ascii="Verdana" w:hAnsi="Verdana" w:cs="Vrinda"/>
                      <w:b/>
                      <w:bCs/>
                      <w:sz w:val="20"/>
                      <w:lang w:eastAsia="bg-BG"/>
                    </w:rPr>
                    <w:t>4</w:t>
                  </w:r>
                </w:p>
              </w:tc>
            </w:tr>
          </w:tbl>
          <w:p w14:paraId="4F7F732C" w14:textId="77777777" w:rsidR="00D56F61" w:rsidRDefault="00D56F61" w:rsidP="009972FF">
            <w:pPr>
              <w:rPr>
                <w:rFonts w:ascii="Verdana" w:hAnsi="Verdana" w:cs="Vrinda"/>
                <w:sz w:val="20"/>
              </w:rPr>
            </w:pPr>
          </w:p>
          <w:p w14:paraId="4F7F732D" w14:textId="77777777" w:rsidR="00D56F61" w:rsidRPr="00CF76C8" w:rsidRDefault="00D56F61" w:rsidP="009972FF">
            <w:pPr>
              <w:rPr>
                <w:rFonts w:ascii="Verdana" w:hAnsi="Verdana" w:cs="Vrinda"/>
                <w:sz w:val="20"/>
              </w:rPr>
            </w:pPr>
            <w:r w:rsidRPr="00CF76C8">
              <w:rPr>
                <w:rFonts w:ascii="Verdana" w:hAnsi="Verdana"/>
                <w:sz w:val="20"/>
              </w:rPr>
              <w:t>Табл.10/хил.</w:t>
            </w:r>
            <w:proofErr w:type="spellStart"/>
            <w:r w:rsidRPr="00CF76C8">
              <w:rPr>
                <w:rFonts w:ascii="Verdana" w:hAnsi="Verdana"/>
                <w:sz w:val="20"/>
              </w:rPr>
              <w:t>лв</w:t>
            </w:r>
            <w:proofErr w:type="spellEnd"/>
            <w:r w:rsidRPr="00CF76C8">
              <w:rPr>
                <w:rFonts w:ascii="Verdana" w:hAnsi="Verdana"/>
                <w:sz w:val="20"/>
              </w:rPr>
              <w:t>/</w:t>
            </w:r>
          </w:p>
          <w:tbl>
            <w:tblPr>
              <w:tblW w:w="929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0"/>
              <w:gridCol w:w="2287"/>
              <w:gridCol w:w="3685"/>
            </w:tblGrid>
            <w:tr w:rsidR="00D56F61" w:rsidRPr="00BF41B7" w14:paraId="4F7F732F" w14:textId="77777777" w:rsidTr="009972FF">
              <w:trPr>
                <w:trHeight w:val="273"/>
              </w:trPr>
              <w:tc>
                <w:tcPr>
                  <w:tcW w:w="9292" w:type="dxa"/>
                  <w:gridSpan w:val="3"/>
                  <w:shd w:val="clear" w:color="000000" w:fill="FFFFFF"/>
                  <w:noWrap/>
                  <w:vAlign w:val="bottom"/>
                </w:tcPr>
                <w:p w14:paraId="4F7F732E" w14:textId="77777777" w:rsidR="00D56F61" w:rsidRPr="00BF41B7" w:rsidRDefault="00D56F61" w:rsidP="009972FF">
                  <w:pPr>
                    <w:rPr>
                      <w:rFonts w:ascii="Verdana" w:hAnsi="Verdana" w:cs="Vrinda"/>
                      <w:sz w:val="20"/>
                    </w:rPr>
                  </w:pPr>
                  <w:r w:rsidRPr="00BF41B7">
                    <w:rPr>
                      <w:rFonts w:ascii="Verdana" w:hAnsi="Verdana" w:cs="Arial"/>
                      <w:b/>
                      <w:bCs/>
                      <w:sz w:val="20"/>
                      <w:lang w:eastAsia="bg-BG"/>
                    </w:rPr>
                    <w:t>Покупки</w:t>
                  </w:r>
                  <w:r>
                    <w:rPr>
                      <w:rFonts w:ascii="Verdana" w:hAnsi="Verdana" w:cs="Arial"/>
                      <w:b/>
                      <w:bCs/>
                      <w:sz w:val="20"/>
                      <w:lang w:val="en-US" w:eastAsia="bg-BG"/>
                    </w:rPr>
                    <w:t xml:space="preserve"> </w:t>
                  </w:r>
                  <w:r w:rsidRPr="00BF41B7">
                    <w:rPr>
                      <w:rFonts w:ascii="Verdana" w:hAnsi="Verdana" w:cs="Arial"/>
                      <w:b/>
                      <w:bCs/>
                      <w:sz w:val="20"/>
                      <w:lang w:eastAsia="bg-BG"/>
                    </w:rPr>
                    <w:t>от</w:t>
                  </w:r>
                  <w:r>
                    <w:rPr>
                      <w:rFonts w:ascii="Verdana" w:hAnsi="Verdana" w:cs="Arial"/>
                      <w:b/>
                      <w:bCs/>
                      <w:sz w:val="20"/>
                      <w:lang w:val="en-US" w:eastAsia="bg-BG"/>
                    </w:rPr>
                    <w:t xml:space="preserve"> </w:t>
                  </w:r>
                  <w:proofErr w:type="spellStart"/>
                  <w:r w:rsidRPr="00BF41B7">
                    <w:rPr>
                      <w:rFonts w:ascii="Verdana" w:hAnsi="Verdana" w:cs="Arial"/>
                      <w:b/>
                      <w:bCs/>
                      <w:sz w:val="20"/>
                      <w:lang w:eastAsia="bg-BG"/>
                    </w:rPr>
                    <w:t>свързанилица</w:t>
                  </w:r>
                  <w:proofErr w:type="spellEnd"/>
                  <w:r>
                    <w:rPr>
                      <w:rFonts w:ascii="Verdana" w:hAnsi="Verdana" w:cs="Arial"/>
                      <w:b/>
                      <w:bCs/>
                      <w:sz w:val="20"/>
                      <w:lang w:val="en-US" w:eastAsia="bg-BG"/>
                    </w:rPr>
                    <w:t xml:space="preserve"> </w:t>
                  </w:r>
                  <w:r w:rsidRPr="00BF41B7">
                    <w:rPr>
                      <w:rFonts w:ascii="Verdana" w:hAnsi="Verdana" w:cs="Arial"/>
                      <w:b/>
                      <w:bCs/>
                      <w:sz w:val="20"/>
                      <w:lang w:eastAsia="bg-BG"/>
                    </w:rPr>
                    <w:t>в</w:t>
                  </w:r>
                  <w:r>
                    <w:rPr>
                      <w:rFonts w:ascii="Verdana" w:hAnsi="Verdana" w:cs="Arial"/>
                      <w:b/>
                      <w:bCs/>
                      <w:sz w:val="20"/>
                      <w:lang w:val="en-US" w:eastAsia="bg-BG"/>
                    </w:rPr>
                    <w:t xml:space="preserve"> </w:t>
                  </w:r>
                  <w:r w:rsidRPr="00BF41B7">
                    <w:rPr>
                      <w:rFonts w:ascii="Verdana" w:hAnsi="Verdana" w:cs="Arial"/>
                      <w:b/>
                      <w:bCs/>
                      <w:sz w:val="20"/>
                      <w:lang w:eastAsia="bg-BG"/>
                    </w:rPr>
                    <w:t>групата</w:t>
                  </w:r>
                  <w:r w:rsidRPr="00BF41B7">
                    <w:rPr>
                      <w:rFonts w:ascii="Verdana" w:hAnsi="Verdana" w:cs="Vrinda"/>
                      <w:b/>
                      <w:bCs/>
                      <w:sz w:val="20"/>
                      <w:lang w:eastAsia="bg-BG"/>
                    </w:rPr>
                    <w:t xml:space="preserve"> - </w:t>
                  </w:r>
                  <w:r w:rsidRPr="00BF41B7">
                    <w:rPr>
                      <w:rFonts w:ascii="Verdana" w:hAnsi="Verdana" w:cs="Arial"/>
                      <w:b/>
                      <w:bCs/>
                      <w:sz w:val="20"/>
                      <w:lang w:eastAsia="bg-BG"/>
                    </w:rPr>
                    <w:t>разходи</w:t>
                  </w:r>
                </w:p>
              </w:tc>
            </w:tr>
            <w:tr w:rsidR="00D56F61" w:rsidRPr="00BF41B7" w14:paraId="4F7F7333" w14:textId="77777777" w:rsidTr="009972FF">
              <w:trPr>
                <w:trHeight w:val="273"/>
              </w:trPr>
              <w:tc>
                <w:tcPr>
                  <w:tcW w:w="3320" w:type="dxa"/>
                  <w:shd w:val="clear" w:color="000000" w:fill="FFFFFF"/>
                  <w:noWrap/>
                  <w:vAlign w:val="bottom"/>
                </w:tcPr>
                <w:p w14:paraId="4F7F7330" w14:textId="77777777" w:rsidR="00D56F61" w:rsidRPr="00BF41B7" w:rsidRDefault="00D56F61" w:rsidP="009972FF">
                  <w:pPr>
                    <w:rPr>
                      <w:rFonts w:ascii="Verdana" w:hAnsi="Verdana" w:cs="Vrinda"/>
                      <w:b/>
                      <w:bCs/>
                      <w:sz w:val="20"/>
                      <w:lang w:eastAsia="bg-BG"/>
                    </w:rPr>
                  </w:pPr>
                  <w:proofErr w:type="spellStart"/>
                  <w:r w:rsidRPr="00BF41B7">
                    <w:rPr>
                      <w:rFonts w:ascii="Verdana" w:hAnsi="Verdana" w:cs="Arial"/>
                      <w:b/>
                      <w:bCs/>
                      <w:sz w:val="20"/>
                      <w:lang w:eastAsia="bg-BG"/>
                    </w:rPr>
                    <w:t>Свързанолице</w:t>
                  </w:r>
                  <w:proofErr w:type="spellEnd"/>
                  <w:r w:rsidRPr="00BF41B7">
                    <w:rPr>
                      <w:rFonts w:ascii="Verdana" w:hAnsi="Verdana" w:cs="Vrinda"/>
                      <w:b/>
                      <w:bCs/>
                      <w:sz w:val="20"/>
                      <w:lang w:eastAsia="bg-BG"/>
                    </w:rPr>
                    <w:t xml:space="preserve"> - </w:t>
                  </w:r>
                  <w:r w:rsidRPr="00BF41B7">
                    <w:rPr>
                      <w:rFonts w:ascii="Verdana" w:hAnsi="Verdana" w:cs="Arial"/>
                      <w:b/>
                      <w:bCs/>
                      <w:sz w:val="20"/>
                      <w:lang w:eastAsia="bg-BG"/>
                    </w:rPr>
                    <w:t>доставчик</w:t>
                  </w:r>
                </w:p>
              </w:tc>
              <w:tc>
                <w:tcPr>
                  <w:tcW w:w="2287" w:type="dxa"/>
                  <w:shd w:val="clear" w:color="000000" w:fill="FFFFFF"/>
                  <w:noWrap/>
                  <w:vAlign w:val="bottom"/>
                </w:tcPr>
                <w:p w14:paraId="4F7F7331" w14:textId="77777777" w:rsidR="00D56F61" w:rsidRPr="00BF41B7" w:rsidRDefault="00D56F61" w:rsidP="009972FF">
                  <w:pPr>
                    <w:jc w:val="center"/>
                    <w:rPr>
                      <w:rFonts w:ascii="Verdana" w:hAnsi="Verdana" w:cs="Vrinda"/>
                      <w:b/>
                      <w:bCs/>
                      <w:sz w:val="20"/>
                      <w:lang w:eastAsia="bg-BG"/>
                    </w:rPr>
                  </w:pPr>
                  <w:proofErr w:type="spellStart"/>
                  <w:r w:rsidRPr="00BF41B7">
                    <w:rPr>
                      <w:rFonts w:ascii="Verdana" w:hAnsi="Verdana" w:cs="Arial"/>
                      <w:b/>
                      <w:bCs/>
                      <w:sz w:val="20"/>
                      <w:lang w:eastAsia="bg-BG"/>
                    </w:rPr>
                    <w:t>Видсделка</w:t>
                  </w:r>
                  <w:proofErr w:type="spellEnd"/>
                </w:p>
              </w:tc>
              <w:tc>
                <w:tcPr>
                  <w:tcW w:w="3685" w:type="dxa"/>
                  <w:shd w:val="clear" w:color="000000" w:fill="FFFFFF"/>
                  <w:noWrap/>
                  <w:vAlign w:val="center"/>
                </w:tcPr>
                <w:p w14:paraId="4F7F7332" w14:textId="77777777" w:rsidR="00D56F61" w:rsidRPr="00BF41B7" w:rsidRDefault="00D56F61" w:rsidP="009972FF">
                  <w:pPr>
                    <w:jc w:val="center"/>
                    <w:rPr>
                      <w:rFonts w:ascii="Verdana" w:hAnsi="Verdana" w:cs="Vrinda"/>
                      <w:b/>
                      <w:bCs/>
                      <w:sz w:val="20"/>
                      <w:lang w:eastAsia="bg-BG"/>
                    </w:rPr>
                  </w:pPr>
                  <w:r w:rsidRPr="00BF41B7">
                    <w:rPr>
                      <w:rFonts w:ascii="Verdana" w:hAnsi="Verdana" w:cs="Vrinda"/>
                      <w:b/>
                      <w:bCs/>
                      <w:sz w:val="20"/>
                      <w:lang w:eastAsia="bg-BG"/>
                    </w:rPr>
                    <w:t xml:space="preserve">2019 </w:t>
                  </w:r>
                  <w:r w:rsidRPr="00BF41B7">
                    <w:rPr>
                      <w:rFonts w:ascii="Verdana" w:hAnsi="Verdana" w:cs="Arial"/>
                      <w:b/>
                      <w:bCs/>
                      <w:sz w:val="20"/>
                      <w:lang w:eastAsia="bg-BG"/>
                    </w:rPr>
                    <w:t>г</w:t>
                  </w:r>
                  <w:r w:rsidRPr="00BF41B7">
                    <w:rPr>
                      <w:rFonts w:ascii="Verdana" w:hAnsi="Verdana" w:cs="Vrinda"/>
                      <w:b/>
                      <w:bCs/>
                      <w:sz w:val="20"/>
                      <w:lang w:eastAsia="bg-BG"/>
                    </w:rPr>
                    <w:t>.</w:t>
                  </w:r>
                </w:p>
              </w:tc>
            </w:tr>
            <w:tr w:rsidR="00D56F61" w:rsidRPr="00BF41B7" w14:paraId="4F7F7337" w14:textId="77777777" w:rsidTr="009972FF">
              <w:trPr>
                <w:trHeight w:val="353"/>
              </w:trPr>
              <w:tc>
                <w:tcPr>
                  <w:tcW w:w="3320" w:type="dxa"/>
                  <w:shd w:val="clear" w:color="000000" w:fill="FFFFFF"/>
                  <w:noWrap/>
                  <w:vAlign w:val="bottom"/>
                  <w:hideMark/>
                </w:tcPr>
                <w:p w14:paraId="4F7F7334" w14:textId="77777777" w:rsidR="00D56F61" w:rsidRPr="00BF41B7" w:rsidRDefault="00D56F61" w:rsidP="009972FF">
                  <w:pPr>
                    <w:rPr>
                      <w:rFonts w:ascii="Verdana" w:hAnsi="Verdana" w:cs="Vrinda"/>
                      <w:sz w:val="20"/>
                      <w:lang w:eastAsia="bg-BG"/>
                    </w:rPr>
                  </w:pPr>
                  <w:r w:rsidRPr="00BF41B7">
                    <w:rPr>
                      <w:rFonts w:ascii="Verdana" w:hAnsi="Verdana" w:cs="Vrinda"/>
                      <w:sz w:val="20"/>
                      <w:lang w:eastAsia="bg-BG"/>
                    </w:rPr>
                    <w:t>"</w:t>
                  </w:r>
                  <w:r w:rsidRPr="00BF41B7">
                    <w:rPr>
                      <w:rFonts w:ascii="Verdana" w:hAnsi="Verdana" w:cs="Arial"/>
                      <w:sz w:val="20"/>
                      <w:lang w:eastAsia="bg-BG"/>
                    </w:rPr>
                    <w:t>Овергаз</w:t>
                  </w:r>
                  <w:r w:rsidR="00B67B2D">
                    <w:rPr>
                      <w:rFonts w:ascii="Verdana" w:hAnsi="Verdana" w:cs="Arial"/>
                      <w:sz w:val="20"/>
                      <w:lang w:eastAsia="bg-BG"/>
                    </w:rPr>
                    <w:t xml:space="preserve"> </w:t>
                  </w:r>
                  <w:r w:rsidRPr="00BF41B7">
                    <w:rPr>
                      <w:rFonts w:ascii="Verdana" w:hAnsi="Verdana" w:cs="Arial"/>
                      <w:sz w:val="20"/>
                      <w:lang w:eastAsia="bg-BG"/>
                    </w:rPr>
                    <w:t>Холдинг</w:t>
                  </w:r>
                  <w:r w:rsidRPr="00BF41B7">
                    <w:rPr>
                      <w:rFonts w:ascii="Verdana" w:hAnsi="Verdana" w:cs="Vrinda"/>
                      <w:sz w:val="20"/>
                      <w:lang w:eastAsia="bg-BG"/>
                    </w:rPr>
                    <w:t xml:space="preserve">" </w:t>
                  </w:r>
                  <w:r w:rsidRPr="00BF41B7">
                    <w:rPr>
                      <w:rFonts w:ascii="Verdana" w:hAnsi="Verdana" w:cs="Arial"/>
                      <w:sz w:val="20"/>
                      <w:lang w:eastAsia="bg-BG"/>
                    </w:rPr>
                    <w:t>АД</w:t>
                  </w:r>
                </w:p>
              </w:tc>
              <w:tc>
                <w:tcPr>
                  <w:tcW w:w="2287" w:type="dxa"/>
                  <w:shd w:val="clear" w:color="000000" w:fill="FFFFFF"/>
                  <w:noWrap/>
                  <w:vAlign w:val="bottom"/>
                  <w:hideMark/>
                </w:tcPr>
                <w:p w14:paraId="4F7F7335" w14:textId="77777777" w:rsidR="00D56F61" w:rsidRPr="00BF41B7" w:rsidRDefault="00D56F61" w:rsidP="009972FF">
                  <w:pPr>
                    <w:jc w:val="center"/>
                    <w:rPr>
                      <w:rFonts w:ascii="Verdana" w:hAnsi="Verdana" w:cs="Vrinda"/>
                      <w:sz w:val="20"/>
                      <w:lang w:eastAsia="bg-BG"/>
                    </w:rPr>
                  </w:pPr>
                  <w:r w:rsidRPr="00BF41B7">
                    <w:rPr>
                      <w:rFonts w:ascii="Verdana" w:hAnsi="Verdana" w:cs="Arial"/>
                      <w:sz w:val="20"/>
                      <w:lang w:eastAsia="bg-BG"/>
                    </w:rPr>
                    <w:t>услуга</w:t>
                  </w:r>
                  <w:r w:rsidRPr="00BF41B7">
                    <w:rPr>
                      <w:rFonts w:ascii="Verdana" w:hAnsi="Verdana" w:cs="Vrinda"/>
                      <w:sz w:val="20"/>
                      <w:lang w:eastAsia="bg-BG"/>
                    </w:rPr>
                    <w:t xml:space="preserve">, </w:t>
                  </w:r>
                  <w:r w:rsidRPr="00BF41B7">
                    <w:rPr>
                      <w:rFonts w:ascii="Verdana" w:hAnsi="Verdana" w:cs="Arial"/>
                      <w:sz w:val="20"/>
                      <w:lang w:eastAsia="bg-BG"/>
                    </w:rPr>
                    <w:t>неустойки</w:t>
                  </w:r>
                </w:p>
              </w:tc>
              <w:tc>
                <w:tcPr>
                  <w:tcW w:w="3685" w:type="dxa"/>
                  <w:shd w:val="clear" w:color="000000" w:fill="FFFFFF"/>
                  <w:noWrap/>
                  <w:vAlign w:val="center"/>
                  <w:hideMark/>
                </w:tcPr>
                <w:p w14:paraId="4F7F7336" w14:textId="77777777" w:rsidR="00D56F61" w:rsidRPr="00BF41B7" w:rsidRDefault="00D56F61" w:rsidP="009972FF">
                  <w:pPr>
                    <w:jc w:val="center"/>
                    <w:rPr>
                      <w:rFonts w:ascii="Verdana" w:hAnsi="Verdana" w:cs="Vrinda"/>
                      <w:sz w:val="20"/>
                      <w:lang w:eastAsia="bg-BG"/>
                    </w:rPr>
                  </w:pPr>
                  <w:r w:rsidRPr="00BF41B7">
                    <w:rPr>
                      <w:rFonts w:ascii="Verdana" w:hAnsi="Verdana" w:cs="Vrinda"/>
                      <w:sz w:val="20"/>
                      <w:lang w:eastAsia="bg-BG"/>
                    </w:rPr>
                    <w:t>27</w:t>
                  </w:r>
                </w:p>
              </w:tc>
            </w:tr>
            <w:tr w:rsidR="00D56F61" w:rsidRPr="00BF41B7" w14:paraId="4F7F733B" w14:textId="77777777" w:rsidTr="009972FF">
              <w:trPr>
                <w:trHeight w:val="273"/>
              </w:trPr>
              <w:tc>
                <w:tcPr>
                  <w:tcW w:w="3320" w:type="dxa"/>
                  <w:shd w:val="clear" w:color="000000" w:fill="FFFFFF"/>
                  <w:noWrap/>
                  <w:vAlign w:val="bottom"/>
                  <w:hideMark/>
                </w:tcPr>
                <w:p w14:paraId="4F7F7338" w14:textId="77777777" w:rsidR="00D56F61" w:rsidRPr="00BF41B7" w:rsidRDefault="00D56F61" w:rsidP="009972FF">
                  <w:pPr>
                    <w:rPr>
                      <w:rFonts w:ascii="Verdana" w:hAnsi="Verdana" w:cs="Vrinda"/>
                      <w:sz w:val="20"/>
                      <w:lang w:eastAsia="bg-BG"/>
                    </w:rPr>
                  </w:pPr>
                  <w:r w:rsidRPr="00BF41B7">
                    <w:rPr>
                      <w:rFonts w:ascii="Verdana" w:hAnsi="Verdana" w:cs="Vrinda"/>
                      <w:sz w:val="20"/>
                      <w:lang w:eastAsia="bg-BG"/>
                    </w:rPr>
                    <w:t>"</w:t>
                  </w:r>
                  <w:r w:rsidRPr="00BF41B7">
                    <w:rPr>
                      <w:rFonts w:ascii="Verdana" w:hAnsi="Verdana" w:cs="Arial"/>
                      <w:sz w:val="20"/>
                      <w:lang w:eastAsia="bg-BG"/>
                    </w:rPr>
                    <w:t>Вестител</w:t>
                  </w:r>
                  <w:r w:rsidR="00B67B2D">
                    <w:rPr>
                      <w:rFonts w:ascii="Verdana" w:hAnsi="Verdana" w:cs="Arial"/>
                      <w:sz w:val="20"/>
                      <w:lang w:eastAsia="bg-BG"/>
                    </w:rPr>
                    <w:t xml:space="preserve"> </w:t>
                  </w:r>
                  <w:r w:rsidRPr="00BF41B7">
                    <w:rPr>
                      <w:rFonts w:ascii="Verdana" w:hAnsi="Verdana" w:cs="Arial"/>
                      <w:sz w:val="20"/>
                      <w:lang w:eastAsia="bg-BG"/>
                    </w:rPr>
                    <w:t>БГ</w:t>
                  </w:r>
                  <w:r w:rsidRPr="00BF41B7">
                    <w:rPr>
                      <w:rFonts w:ascii="Verdana" w:hAnsi="Verdana" w:cs="Vrinda"/>
                      <w:sz w:val="20"/>
                      <w:lang w:eastAsia="bg-BG"/>
                    </w:rPr>
                    <w:t xml:space="preserve">" </w:t>
                  </w:r>
                  <w:r w:rsidRPr="00BF41B7">
                    <w:rPr>
                      <w:rFonts w:ascii="Verdana" w:hAnsi="Verdana" w:cs="Arial"/>
                      <w:sz w:val="20"/>
                      <w:lang w:eastAsia="bg-BG"/>
                    </w:rPr>
                    <w:t>АД</w:t>
                  </w:r>
                </w:p>
              </w:tc>
              <w:tc>
                <w:tcPr>
                  <w:tcW w:w="2287" w:type="dxa"/>
                  <w:shd w:val="clear" w:color="000000" w:fill="FFFFFF"/>
                  <w:noWrap/>
                  <w:vAlign w:val="bottom"/>
                  <w:hideMark/>
                </w:tcPr>
                <w:p w14:paraId="4F7F7339" w14:textId="77777777" w:rsidR="00D56F61" w:rsidRPr="00BF41B7" w:rsidRDefault="00D56F61" w:rsidP="009972FF">
                  <w:pPr>
                    <w:jc w:val="center"/>
                    <w:rPr>
                      <w:rFonts w:ascii="Verdana" w:hAnsi="Verdana" w:cs="Vrinda"/>
                      <w:sz w:val="20"/>
                      <w:lang w:eastAsia="bg-BG"/>
                    </w:rPr>
                  </w:pPr>
                  <w:r w:rsidRPr="00BF41B7">
                    <w:rPr>
                      <w:rFonts w:ascii="Verdana" w:hAnsi="Verdana" w:cs="Arial"/>
                      <w:sz w:val="20"/>
                      <w:lang w:eastAsia="bg-BG"/>
                    </w:rPr>
                    <w:t>услуга</w:t>
                  </w:r>
                </w:p>
              </w:tc>
              <w:tc>
                <w:tcPr>
                  <w:tcW w:w="3685" w:type="dxa"/>
                  <w:shd w:val="clear" w:color="000000" w:fill="FFFFFF"/>
                  <w:noWrap/>
                  <w:vAlign w:val="center"/>
                  <w:hideMark/>
                </w:tcPr>
                <w:p w14:paraId="4F7F733A" w14:textId="77777777" w:rsidR="00D56F61" w:rsidRPr="00BF41B7" w:rsidRDefault="00D56F61" w:rsidP="009972FF">
                  <w:pPr>
                    <w:jc w:val="center"/>
                    <w:rPr>
                      <w:rFonts w:ascii="Verdana" w:hAnsi="Verdana" w:cs="Vrinda"/>
                      <w:sz w:val="20"/>
                      <w:lang w:eastAsia="bg-BG"/>
                    </w:rPr>
                  </w:pPr>
                  <w:r w:rsidRPr="00BF41B7">
                    <w:rPr>
                      <w:rFonts w:ascii="Verdana" w:hAnsi="Verdana" w:cs="Vrinda"/>
                      <w:sz w:val="20"/>
                      <w:lang w:eastAsia="bg-BG"/>
                    </w:rPr>
                    <w:t>1</w:t>
                  </w:r>
                </w:p>
              </w:tc>
            </w:tr>
            <w:tr w:rsidR="00D56F61" w:rsidRPr="00BF41B7" w14:paraId="4F7F733F" w14:textId="77777777" w:rsidTr="009972FF">
              <w:trPr>
                <w:trHeight w:val="273"/>
              </w:trPr>
              <w:tc>
                <w:tcPr>
                  <w:tcW w:w="3320" w:type="dxa"/>
                  <w:shd w:val="clear" w:color="000000" w:fill="FFFFFF"/>
                  <w:noWrap/>
                  <w:vAlign w:val="bottom"/>
                  <w:hideMark/>
                </w:tcPr>
                <w:p w14:paraId="4F7F733C" w14:textId="77777777" w:rsidR="00D56F61" w:rsidRPr="00BF41B7" w:rsidRDefault="00D56F61" w:rsidP="009972FF">
                  <w:pPr>
                    <w:rPr>
                      <w:rFonts w:ascii="Verdana" w:hAnsi="Verdana" w:cs="Vrinda"/>
                      <w:sz w:val="20"/>
                      <w:lang w:eastAsia="bg-BG"/>
                    </w:rPr>
                  </w:pPr>
                  <w:r w:rsidRPr="00BF41B7">
                    <w:rPr>
                      <w:rFonts w:ascii="Verdana" w:hAnsi="Verdana" w:cs="Vrinda"/>
                      <w:sz w:val="20"/>
                      <w:lang w:eastAsia="bg-BG"/>
                    </w:rPr>
                    <w:t>"</w:t>
                  </w:r>
                  <w:proofErr w:type="spellStart"/>
                  <w:r w:rsidRPr="00BF41B7">
                    <w:rPr>
                      <w:rFonts w:ascii="Verdana" w:hAnsi="Verdana" w:cs="Arial"/>
                      <w:sz w:val="20"/>
                      <w:lang w:eastAsia="bg-BG"/>
                    </w:rPr>
                    <w:t>Оу</w:t>
                  </w:r>
                  <w:proofErr w:type="spellEnd"/>
                  <w:r w:rsidR="00B67B2D">
                    <w:rPr>
                      <w:rFonts w:ascii="Verdana" w:hAnsi="Verdana" w:cs="Arial"/>
                      <w:sz w:val="20"/>
                      <w:lang w:eastAsia="bg-BG"/>
                    </w:rPr>
                    <w:t xml:space="preserve"> </w:t>
                  </w:r>
                  <w:r w:rsidRPr="00BF41B7">
                    <w:rPr>
                      <w:rFonts w:ascii="Verdana" w:hAnsi="Verdana" w:cs="Arial"/>
                      <w:sz w:val="20"/>
                      <w:lang w:eastAsia="bg-BG"/>
                    </w:rPr>
                    <w:t>Джи</w:t>
                  </w:r>
                  <w:r w:rsidR="00B67B2D">
                    <w:rPr>
                      <w:rFonts w:ascii="Verdana" w:hAnsi="Verdana" w:cs="Arial"/>
                      <w:sz w:val="20"/>
                      <w:lang w:eastAsia="bg-BG"/>
                    </w:rPr>
                    <w:t xml:space="preserve"> </w:t>
                  </w:r>
                  <w:r w:rsidRPr="00BF41B7">
                    <w:rPr>
                      <w:rFonts w:ascii="Verdana" w:hAnsi="Verdana" w:cs="Arial"/>
                      <w:sz w:val="20"/>
                      <w:lang w:eastAsia="bg-BG"/>
                    </w:rPr>
                    <w:t>Транс</w:t>
                  </w:r>
                  <w:r w:rsidRPr="00BF41B7">
                    <w:rPr>
                      <w:rFonts w:ascii="Verdana" w:hAnsi="Verdana" w:cs="Vrinda"/>
                      <w:sz w:val="20"/>
                      <w:lang w:eastAsia="bg-BG"/>
                    </w:rPr>
                    <w:t xml:space="preserve">" </w:t>
                  </w:r>
                  <w:r w:rsidRPr="00BF41B7">
                    <w:rPr>
                      <w:rFonts w:ascii="Verdana" w:hAnsi="Verdana" w:cs="Arial"/>
                      <w:sz w:val="20"/>
                      <w:lang w:eastAsia="bg-BG"/>
                    </w:rPr>
                    <w:t>АД</w:t>
                  </w:r>
                </w:p>
              </w:tc>
              <w:tc>
                <w:tcPr>
                  <w:tcW w:w="2287" w:type="dxa"/>
                  <w:shd w:val="clear" w:color="000000" w:fill="FFFFFF"/>
                  <w:noWrap/>
                  <w:vAlign w:val="bottom"/>
                  <w:hideMark/>
                </w:tcPr>
                <w:p w14:paraId="4F7F733D" w14:textId="77777777" w:rsidR="00D56F61" w:rsidRPr="00BF41B7" w:rsidRDefault="00D56F61" w:rsidP="009972FF">
                  <w:pPr>
                    <w:jc w:val="center"/>
                    <w:rPr>
                      <w:rFonts w:ascii="Verdana" w:hAnsi="Verdana" w:cs="Vrinda"/>
                      <w:sz w:val="20"/>
                      <w:lang w:eastAsia="bg-BG"/>
                    </w:rPr>
                  </w:pPr>
                  <w:r w:rsidRPr="00BF41B7">
                    <w:rPr>
                      <w:rFonts w:ascii="Verdana" w:hAnsi="Verdana" w:cs="Arial"/>
                      <w:sz w:val="20"/>
                      <w:lang w:eastAsia="bg-BG"/>
                    </w:rPr>
                    <w:t>услуга</w:t>
                  </w:r>
                </w:p>
              </w:tc>
              <w:tc>
                <w:tcPr>
                  <w:tcW w:w="3685" w:type="dxa"/>
                  <w:shd w:val="clear" w:color="000000" w:fill="FFFFFF"/>
                  <w:noWrap/>
                  <w:vAlign w:val="center"/>
                  <w:hideMark/>
                </w:tcPr>
                <w:p w14:paraId="4F7F733E" w14:textId="77777777" w:rsidR="00D56F61" w:rsidRPr="00BF41B7" w:rsidRDefault="00D56F61" w:rsidP="009972FF">
                  <w:pPr>
                    <w:jc w:val="center"/>
                    <w:rPr>
                      <w:rFonts w:ascii="Verdana" w:hAnsi="Verdana" w:cs="Vrinda"/>
                      <w:sz w:val="20"/>
                      <w:lang w:eastAsia="bg-BG"/>
                    </w:rPr>
                  </w:pPr>
                  <w:r w:rsidRPr="00BF41B7">
                    <w:rPr>
                      <w:rFonts w:ascii="Verdana" w:hAnsi="Verdana" w:cs="Vrinda"/>
                      <w:sz w:val="20"/>
                      <w:lang w:eastAsia="bg-BG"/>
                    </w:rPr>
                    <w:t>53</w:t>
                  </w:r>
                </w:p>
              </w:tc>
            </w:tr>
            <w:tr w:rsidR="00D56F61" w:rsidRPr="00BF41B7" w14:paraId="4F7F7343" w14:textId="77777777" w:rsidTr="009972FF">
              <w:trPr>
                <w:trHeight w:val="273"/>
              </w:trPr>
              <w:tc>
                <w:tcPr>
                  <w:tcW w:w="3320" w:type="dxa"/>
                  <w:shd w:val="clear" w:color="000000" w:fill="FFFFFF"/>
                  <w:noWrap/>
                  <w:vAlign w:val="bottom"/>
                  <w:hideMark/>
                </w:tcPr>
                <w:p w14:paraId="4F7F7340" w14:textId="77777777" w:rsidR="00D56F61" w:rsidRPr="00BF41B7" w:rsidRDefault="00D56F61" w:rsidP="009972FF">
                  <w:pPr>
                    <w:rPr>
                      <w:rFonts w:ascii="Verdana" w:hAnsi="Verdana" w:cs="Vrinda"/>
                      <w:sz w:val="20"/>
                      <w:lang w:eastAsia="bg-BG"/>
                    </w:rPr>
                  </w:pPr>
                  <w:r w:rsidRPr="00BF41B7">
                    <w:rPr>
                      <w:rFonts w:ascii="Verdana" w:hAnsi="Verdana" w:cs="Vrinda"/>
                      <w:sz w:val="20"/>
                      <w:lang w:eastAsia="bg-BG"/>
                    </w:rPr>
                    <w:t>"</w:t>
                  </w:r>
                  <w:r w:rsidRPr="00BF41B7">
                    <w:rPr>
                      <w:rFonts w:ascii="Verdana" w:hAnsi="Verdana" w:cs="Arial"/>
                      <w:sz w:val="20"/>
                      <w:lang w:eastAsia="bg-BG"/>
                    </w:rPr>
                    <w:t>Овергаз</w:t>
                  </w:r>
                  <w:r w:rsidR="00B67B2D">
                    <w:rPr>
                      <w:rFonts w:ascii="Verdana" w:hAnsi="Verdana" w:cs="Arial"/>
                      <w:sz w:val="20"/>
                      <w:lang w:eastAsia="bg-BG"/>
                    </w:rPr>
                    <w:t xml:space="preserve"> </w:t>
                  </w:r>
                  <w:r w:rsidRPr="00BF41B7">
                    <w:rPr>
                      <w:rFonts w:ascii="Verdana" w:hAnsi="Verdana" w:cs="Arial"/>
                      <w:sz w:val="20"/>
                      <w:lang w:eastAsia="bg-BG"/>
                    </w:rPr>
                    <w:t>Инк</w:t>
                  </w:r>
                  <w:r w:rsidRPr="00BF41B7">
                    <w:rPr>
                      <w:rFonts w:ascii="Verdana" w:hAnsi="Verdana" w:cs="Vrinda"/>
                      <w:sz w:val="20"/>
                      <w:lang w:eastAsia="bg-BG"/>
                    </w:rPr>
                    <w:t xml:space="preserve">" </w:t>
                  </w:r>
                  <w:r w:rsidRPr="00BF41B7">
                    <w:rPr>
                      <w:rFonts w:ascii="Verdana" w:hAnsi="Verdana" w:cs="Arial"/>
                      <w:sz w:val="20"/>
                      <w:lang w:eastAsia="bg-BG"/>
                    </w:rPr>
                    <w:t>АД</w:t>
                  </w:r>
                </w:p>
              </w:tc>
              <w:tc>
                <w:tcPr>
                  <w:tcW w:w="2287" w:type="dxa"/>
                  <w:shd w:val="clear" w:color="000000" w:fill="FFFFFF"/>
                  <w:noWrap/>
                  <w:vAlign w:val="bottom"/>
                  <w:hideMark/>
                </w:tcPr>
                <w:p w14:paraId="4F7F7341" w14:textId="77777777" w:rsidR="00D56F61" w:rsidRPr="00BF41B7" w:rsidRDefault="00D56F61" w:rsidP="009972FF">
                  <w:pPr>
                    <w:jc w:val="center"/>
                    <w:rPr>
                      <w:rFonts w:ascii="Verdana" w:hAnsi="Verdana" w:cs="Vrinda"/>
                      <w:sz w:val="20"/>
                      <w:lang w:eastAsia="bg-BG"/>
                    </w:rPr>
                  </w:pPr>
                  <w:r w:rsidRPr="00BF41B7">
                    <w:rPr>
                      <w:rFonts w:ascii="Verdana" w:hAnsi="Verdana" w:cs="Arial"/>
                      <w:sz w:val="20"/>
                      <w:lang w:eastAsia="bg-BG"/>
                    </w:rPr>
                    <w:t>услуга</w:t>
                  </w:r>
                </w:p>
              </w:tc>
              <w:tc>
                <w:tcPr>
                  <w:tcW w:w="3685" w:type="dxa"/>
                  <w:shd w:val="clear" w:color="000000" w:fill="FFFFFF"/>
                  <w:noWrap/>
                  <w:vAlign w:val="center"/>
                  <w:hideMark/>
                </w:tcPr>
                <w:p w14:paraId="4F7F7342" w14:textId="77777777" w:rsidR="00D56F61" w:rsidRPr="00BF41B7" w:rsidRDefault="00D56F61" w:rsidP="009972FF">
                  <w:pPr>
                    <w:jc w:val="center"/>
                    <w:rPr>
                      <w:rFonts w:ascii="Verdana" w:hAnsi="Verdana" w:cs="Vrinda"/>
                      <w:sz w:val="20"/>
                      <w:lang w:eastAsia="bg-BG"/>
                    </w:rPr>
                  </w:pPr>
                  <w:r w:rsidRPr="00BF41B7">
                    <w:rPr>
                      <w:rFonts w:ascii="Verdana" w:hAnsi="Verdana" w:cs="Vrinda"/>
                      <w:sz w:val="20"/>
                      <w:lang w:eastAsia="bg-BG"/>
                    </w:rPr>
                    <w:t>1</w:t>
                  </w:r>
                </w:p>
              </w:tc>
            </w:tr>
            <w:tr w:rsidR="00D56F61" w:rsidRPr="00BF41B7" w14:paraId="4F7F7347" w14:textId="77777777" w:rsidTr="009972FF">
              <w:trPr>
                <w:trHeight w:val="273"/>
              </w:trPr>
              <w:tc>
                <w:tcPr>
                  <w:tcW w:w="3320" w:type="dxa"/>
                  <w:shd w:val="clear" w:color="000000" w:fill="FFFFFF"/>
                  <w:noWrap/>
                  <w:vAlign w:val="bottom"/>
                  <w:hideMark/>
                </w:tcPr>
                <w:p w14:paraId="4F7F7344" w14:textId="77777777" w:rsidR="00D56F61" w:rsidRPr="00BF41B7" w:rsidRDefault="00D56F61" w:rsidP="009972FF">
                  <w:pPr>
                    <w:rPr>
                      <w:rFonts w:ascii="Verdana" w:hAnsi="Verdana" w:cs="Vrinda"/>
                      <w:sz w:val="20"/>
                      <w:lang w:eastAsia="bg-BG"/>
                    </w:rPr>
                  </w:pPr>
                  <w:r w:rsidRPr="00BF41B7">
                    <w:rPr>
                      <w:rFonts w:ascii="Verdana" w:hAnsi="Verdana" w:cs="Vrinda"/>
                      <w:sz w:val="20"/>
                      <w:lang w:eastAsia="bg-BG"/>
                    </w:rPr>
                    <w:lastRenderedPageBreak/>
                    <w:t>"</w:t>
                  </w:r>
                  <w:r w:rsidRPr="00BF41B7">
                    <w:rPr>
                      <w:rFonts w:ascii="Verdana" w:hAnsi="Verdana" w:cs="Arial"/>
                      <w:sz w:val="20"/>
                      <w:lang w:eastAsia="bg-BG"/>
                    </w:rPr>
                    <w:t>Овергаз</w:t>
                  </w:r>
                  <w:r w:rsidR="00B67B2D">
                    <w:rPr>
                      <w:rFonts w:ascii="Verdana" w:hAnsi="Verdana" w:cs="Arial"/>
                      <w:sz w:val="20"/>
                      <w:lang w:eastAsia="bg-BG"/>
                    </w:rPr>
                    <w:t xml:space="preserve"> </w:t>
                  </w:r>
                  <w:r w:rsidRPr="00BF41B7">
                    <w:rPr>
                      <w:rFonts w:ascii="Verdana" w:hAnsi="Verdana" w:cs="Arial"/>
                      <w:sz w:val="20"/>
                      <w:lang w:eastAsia="bg-BG"/>
                    </w:rPr>
                    <w:t>Мрежи</w:t>
                  </w:r>
                  <w:r w:rsidRPr="00BF41B7">
                    <w:rPr>
                      <w:rFonts w:ascii="Verdana" w:hAnsi="Verdana" w:cs="Vrinda"/>
                      <w:sz w:val="20"/>
                      <w:lang w:eastAsia="bg-BG"/>
                    </w:rPr>
                    <w:t xml:space="preserve">" </w:t>
                  </w:r>
                  <w:r w:rsidRPr="00BF41B7">
                    <w:rPr>
                      <w:rFonts w:ascii="Verdana" w:hAnsi="Verdana" w:cs="Arial"/>
                      <w:sz w:val="20"/>
                      <w:lang w:eastAsia="bg-BG"/>
                    </w:rPr>
                    <w:t>АД</w:t>
                  </w:r>
                </w:p>
              </w:tc>
              <w:tc>
                <w:tcPr>
                  <w:tcW w:w="2287" w:type="dxa"/>
                  <w:shd w:val="clear" w:color="000000" w:fill="FFFFFF"/>
                  <w:noWrap/>
                  <w:vAlign w:val="bottom"/>
                  <w:hideMark/>
                </w:tcPr>
                <w:p w14:paraId="4F7F7345" w14:textId="77777777" w:rsidR="00D56F61" w:rsidRPr="00BF41B7" w:rsidRDefault="00D56F61" w:rsidP="009972FF">
                  <w:pPr>
                    <w:jc w:val="center"/>
                    <w:rPr>
                      <w:rFonts w:ascii="Verdana" w:hAnsi="Verdana" w:cs="Vrinda"/>
                      <w:sz w:val="20"/>
                      <w:lang w:eastAsia="bg-BG"/>
                    </w:rPr>
                  </w:pPr>
                  <w:r w:rsidRPr="00BF41B7">
                    <w:rPr>
                      <w:rFonts w:ascii="Verdana" w:hAnsi="Verdana" w:cs="Arial"/>
                      <w:sz w:val="20"/>
                      <w:lang w:eastAsia="bg-BG"/>
                    </w:rPr>
                    <w:t>услуга</w:t>
                  </w:r>
                  <w:r w:rsidRPr="00BF41B7">
                    <w:rPr>
                      <w:rFonts w:ascii="Verdana" w:hAnsi="Verdana" w:cs="Vrinda"/>
                      <w:sz w:val="20"/>
                      <w:lang w:eastAsia="bg-BG"/>
                    </w:rPr>
                    <w:t>/</w:t>
                  </w:r>
                  <w:r w:rsidRPr="00BF41B7">
                    <w:rPr>
                      <w:rFonts w:ascii="Verdana" w:hAnsi="Verdana" w:cs="Arial"/>
                      <w:sz w:val="20"/>
                      <w:lang w:eastAsia="bg-BG"/>
                    </w:rPr>
                    <w:t>материал</w:t>
                  </w:r>
                </w:p>
              </w:tc>
              <w:tc>
                <w:tcPr>
                  <w:tcW w:w="3685" w:type="dxa"/>
                  <w:shd w:val="clear" w:color="000000" w:fill="FFFFFF"/>
                  <w:noWrap/>
                  <w:vAlign w:val="center"/>
                  <w:hideMark/>
                </w:tcPr>
                <w:p w14:paraId="4F7F7346" w14:textId="77777777" w:rsidR="00D56F61" w:rsidRPr="00BF41B7" w:rsidRDefault="00D56F61" w:rsidP="009972FF">
                  <w:pPr>
                    <w:jc w:val="center"/>
                    <w:rPr>
                      <w:rFonts w:ascii="Verdana" w:hAnsi="Verdana" w:cs="Vrinda"/>
                      <w:sz w:val="20"/>
                      <w:lang w:eastAsia="bg-BG"/>
                    </w:rPr>
                  </w:pPr>
                  <w:r w:rsidRPr="00BF41B7">
                    <w:rPr>
                      <w:rFonts w:ascii="Verdana" w:hAnsi="Verdana" w:cs="Vrinda"/>
                      <w:sz w:val="20"/>
                      <w:lang w:eastAsia="bg-BG"/>
                    </w:rPr>
                    <w:t>3 746</w:t>
                  </w:r>
                </w:p>
              </w:tc>
            </w:tr>
            <w:tr w:rsidR="00D56F61" w:rsidRPr="00BF41B7" w14:paraId="4F7F7353" w14:textId="77777777" w:rsidTr="009972FF">
              <w:trPr>
                <w:trHeight w:val="273"/>
              </w:trPr>
              <w:tc>
                <w:tcPr>
                  <w:tcW w:w="3320" w:type="dxa"/>
                  <w:shd w:val="clear" w:color="000000" w:fill="FFFFFF"/>
                  <w:noWrap/>
                  <w:vAlign w:val="bottom"/>
                  <w:hideMark/>
                </w:tcPr>
                <w:p w14:paraId="4F7F7350" w14:textId="77777777" w:rsidR="00D56F61" w:rsidRPr="00BF41B7" w:rsidRDefault="00D56F61" w:rsidP="009972FF">
                  <w:pPr>
                    <w:rPr>
                      <w:rFonts w:ascii="Verdana" w:hAnsi="Verdana" w:cs="Vrinda"/>
                      <w:sz w:val="20"/>
                      <w:lang w:eastAsia="bg-BG"/>
                    </w:rPr>
                  </w:pPr>
                  <w:r w:rsidRPr="00BF41B7">
                    <w:rPr>
                      <w:rFonts w:ascii="Verdana" w:hAnsi="Verdana" w:cs="Vrinda"/>
                      <w:sz w:val="20"/>
                      <w:lang w:eastAsia="bg-BG"/>
                    </w:rPr>
                    <w:t>"</w:t>
                  </w:r>
                  <w:r w:rsidRPr="00BF41B7">
                    <w:rPr>
                      <w:rFonts w:ascii="Verdana" w:hAnsi="Verdana" w:cs="Arial"/>
                      <w:sz w:val="20"/>
                      <w:lang w:eastAsia="bg-BG"/>
                    </w:rPr>
                    <w:t>Овергаз</w:t>
                  </w:r>
                  <w:r w:rsidR="00B67B2D">
                    <w:rPr>
                      <w:rFonts w:ascii="Verdana" w:hAnsi="Verdana" w:cs="Arial"/>
                      <w:sz w:val="20"/>
                      <w:lang w:eastAsia="bg-BG"/>
                    </w:rPr>
                    <w:t xml:space="preserve"> </w:t>
                  </w:r>
                  <w:r w:rsidRPr="00BF41B7">
                    <w:rPr>
                      <w:rFonts w:ascii="Verdana" w:hAnsi="Verdana" w:cs="Arial"/>
                      <w:sz w:val="20"/>
                      <w:lang w:eastAsia="bg-BG"/>
                    </w:rPr>
                    <w:t>Инженеринг</w:t>
                  </w:r>
                  <w:r w:rsidRPr="00BF41B7">
                    <w:rPr>
                      <w:rFonts w:ascii="Verdana" w:hAnsi="Verdana" w:cs="Vrinda"/>
                      <w:sz w:val="20"/>
                      <w:lang w:eastAsia="bg-BG"/>
                    </w:rPr>
                    <w:t xml:space="preserve">" </w:t>
                  </w:r>
                  <w:r w:rsidRPr="00BF41B7">
                    <w:rPr>
                      <w:rFonts w:ascii="Verdana" w:hAnsi="Verdana" w:cs="Arial"/>
                      <w:sz w:val="20"/>
                      <w:lang w:eastAsia="bg-BG"/>
                    </w:rPr>
                    <w:t>АД</w:t>
                  </w:r>
                </w:p>
              </w:tc>
              <w:tc>
                <w:tcPr>
                  <w:tcW w:w="2287" w:type="dxa"/>
                  <w:shd w:val="clear" w:color="000000" w:fill="FFFFFF"/>
                  <w:noWrap/>
                  <w:vAlign w:val="bottom"/>
                  <w:hideMark/>
                </w:tcPr>
                <w:p w14:paraId="4F7F7351" w14:textId="77777777" w:rsidR="00D56F61" w:rsidRPr="00BF41B7" w:rsidRDefault="00D56F61" w:rsidP="009972FF">
                  <w:pPr>
                    <w:jc w:val="center"/>
                    <w:rPr>
                      <w:rFonts w:ascii="Verdana" w:hAnsi="Verdana" w:cs="Vrinda"/>
                      <w:sz w:val="20"/>
                      <w:lang w:eastAsia="bg-BG"/>
                    </w:rPr>
                  </w:pPr>
                  <w:r w:rsidRPr="00BF41B7">
                    <w:rPr>
                      <w:rFonts w:ascii="Verdana" w:hAnsi="Verdana" w:cs="Arial"/>
                      <w:sz w:val="20"/>
                      <w:lang w:eastAsia="bg-BG"/>
                    </w:rPr>
                    <w:t>услуга</w:t>
                  </w:r>
                </w:p>
              </w:tc>
              <w:tc>
                <w:tcPr>
                  <w:tcW w:w="3685" w:type="dxa"/>
                  <w:shd w:val="clear" w:color="000000" w:fill="FFFFFF"/>
                  <w:noWrap/>
                  <w:vAlign w:val="center"/>
                  <w:hideMark/>
                </w:tcPr>
                <w:p w14:paraId="4F7F7352" w14:textId="77777777" w:rsidR="00D56F61" w:rsidRPr="00BF41B7" w:rsidRDefault="00D56F61" w:rsidP="009972FF">
                  <w:pPr>
                    <w:jc w:val="center"/>
                    <w:rPr>
                      <w:rFonts w:ascii="Verdana" w:hAnsi="Verdana" w:cs="Vrinda"/>
                      <w:sz w:val="20"/>
                      <w:lang w:eastAsia="bg-BG"/>
                    </w:rPr>
                  </w:pPr>
                  <w:r w:rsidRPr="00BF41B7">
                    <w:rPr>
                      <w:rFonts w:ascii="Verdana" w:hAnsi="Verdana" w:cs="Vrinda"/>
                      <w:sz w:val="20"/>
                      <w:lang w:eastAsia="bg-BG"/>
                    </w:rPr>
                    <w:t>407</w:t>
                  </w:r>
                </w:p>
              </w:tc>
            </w:tr>
            <w:tr w:rsidR="00D56F61" w:rsidRPr="00BF41B7" w14:paraId="4F7F7357" w14:textId="77777777" w:rsidTr="009972FF">
              <w:trPr>
                <w:trHeight w:val="273"/>
              </w:trPr>
              <w:tc>
                <w:tcPr>
                  <w:tcW w:w="3320" w:type="dxa"/>
                  <w:shd w:val="clear" w:color="auto" w:fill="B8CCE4"/>
                  <w:noWrap/>
                  <w:vAlign w:val="bottom"/>
                  <w:hideMark/>
                </w:tcPr>
                <w:p w14:paraId="4F7F7354" w14:textId="77777777" w:rsidR="00D56F61" w:rsidRPr="00BF41B7" w:rsidRDefault="00D56F61" w:rsidP="009972FF">
                  <w:pPr>
                    <w:rPr>
                      <w:rFonts w:ascii="Verdana" w:hAnsi="Verdana" w:cs="Vrinda"/>
                      <w:b/>
                      <w:bCs/>
                      <w:sz w:val="20"/>
                      <w:lang w:eastAsia="bg-BG"/>
                    </w:rPr>
                  </w:pPr>
                  <w:r w:rsidRPr="00BF41B7">
                    <w:rPr>
                      <w:rFonts w:ascii="Verdana" w:hAnsi="Verdana" w:cs="Arial"/>
                      <w:b/>
                      <w:bCs/>
                      <w:sz w:val="20"/>
                      <w:lang w:eastAsia="bg-BG"/>
                    </w:rPr>
                    <w:t>Общо</w:t>
                  </w:r>
                </w:p>
              </w:tc>
              <w:tc>
                <w:tcPr>
                  <w:tcW w:w="2287" w:type="dxa"/>
                  <w:shd w:val="clear" w:color="auto" w:fill="B8CCE4"/>
                  <w:noWrap/>
                  <w:vAlign w:val="bottom"/>
                  <w:hideMark/>
                </w:tcPr>
                <w:p w14:paraId="4F7F7355" w14:textId="77777777" w:rsidR="00D56F61" w:rsidRPr="00BF41B7" w:rsidRDefault="00D56F61" w:rsidP="009972FF">
                  <w:pPr>
                    <w:jc w:val="center"/>
                    <w:rPr>
                      <w:rFonts w:ascii="Verdana" w:hAnsi="Verdana" w:cs="Vrinda"/>
                      <w:b/>
                      <w:bCs/>
                      <w:sz w:val="20"/>
                      <w:lang w:eastAsia="bg-BG"/>
                    </w:rPr>
                  </w:pPr>
                  <w:r w:rsidRPr="00BF41B7">
                    <w:rPr>
                      <w:rFonts w:ascii="Verdana" w:hAnsi="Verdana" w:cs="Vrinda"/>
                      <w:b/>
                      <w:bCs/>
                      <w:sz w:val="20"/>
                      <w:lang w:eastAsia="bg-BG"/>
                    </w:rPr>
                    <w:t> </w:t>
                  </w:r>
                </w:p>
              </w:tc>
              <w:tc>
                <w:tcPr>
                  <w:tcW w:w="3685" w:type="dxa"/>
                  <w:shd w:val="clear" w:color="auto" w:fill="B8CCE4"/>
                  <w:noWrap/>
                  <w:vAlign w:val="center"/>
                  <w:hideMark/>
                </w:tcPr>
                <w:p w14:paraId="4F7F7356" w14:textId="77777777" w:rsidR="00D56F61" w:rsidRPr="00675FFF" w:rsidRDefault="00D56F61" w:rsidP="009972FF">
                  <w:pPr>
                    <w:jc w:val="center"/>
                    <w:rPr>
                      <w:rFonts w:ascii="Verdana" w:hAnsi="Verdana" w:cs="Vrinda"/>
                      <w:b/>
                      <w:bCs/>
                      <w:sz w:val="20"/>
                      <w:lang w:val="en-US" w:eastAsia="bg-BG"/>
                    </w:rPr>
                  </w:pPr>
                  <w:r>
                    <w:rPr>
                      <w:rFonts w:ascii="Verdana" w:hAnsi="Verdana" w:cs="Vrinda"/>
                      <w:b/>
                      <w:bCs/>
                      <w:sz w:val="20"/>
                      <w:lang w:eastAsia="bg-BG"/>
                    </w:rPr>
                    <w:t>4 2</w:t>
                  </w:r>
                  <w:r>
                    <w:rPr>
                      <w:rFonts w:ascii="Verdana" w:hAnsi="Verdana" w:cs="Vrinda"/>
                      <w:b/>
                      <w:bCs/>
                      <w:sz w:val="20"/>
                      <w:lang w:val="en-US" w:eastAsia="bg-BG"/>
                    </w:rPr>
                    <w:t>35</w:t>
                  </w:r>
                </w:p>
              </w:tc>
            </w:tr>
          </w:tbl>
          <w:p w14:paraId="4F7F7358" w14:textId="77777777" w:rsidR="00D56F61" w:rsidRPr="00BF41B7" w:rsidRDefault="00D56F61" w:rsidP="009972FF">
            <w:pPr>
              <w:pStyle w:val="HTMLPreformatted"/>
              <w:jc w:val="both"/>
              <w:rPr>
                <w:rFonts w:ascii="Verdana" w:hAnsi="Verdana"/>
                <w:b/>
                <w:sz w:val="20"/>
                <w:szCs w:val="20"/>
              </w:rPr>
            </w:pPr>
          </w:p>
          <w:p w14:paraId="4F7F7359" w14:textId="77777777" w:rsidR="00D56F61" w:rsidRDefault="00D56F61" w:rsidP="009972FF">
            <w:pPr>
              <w:pStyle w:val="HTMLPreformatted"/>
              <w:jc w:val="both"/>
              <w:rPr>
                <w:rFonts w:ascii="Verdana" w:hAnsi="Verdana"/>
                <w:b/>
                <w:sz w:val="20"/>
                <w:szCs w:val="20"/>
                <w:lang w:val="en-US"/>
              </w:rPr>
            </w:pPr>
          </w:p>
          <w:p w14:paraId="4F7F735A" w14:textId="77777777" w:rsidR="00D56F61" w:rsidRPr="00675FFF" w:rsidRDefault="00D56F61" w:rsidP="009972FF">
            <w:pPr>
              <w:pStyle w:val="HTMLPreformatted"/>
              <w:jc w:val="both"/>
              <w:rPr>
                <w:rFonts w:ascii="Verdana" w:hAnsi="Verdana"/>
                <w:b/>
                <w:sz w:val="20"/>
                <w:szCs w:val="20"/>
                <w:lang w:val="en-US"/>
              </w:rPr>
            </w:pPr>
          </w:p>
          <w:p w14:paraId="4F7F735B" w14:textId="77777777" w:rsidR="00D56F61" w:rsidRPr="00BF41B7" w:rsidRDefault="00D56F61" w:rsidP="009972FF">
            <w:pPr>
              <w:pStyle w:val="HTMLPreformatted"/>
              <w:jc w:val="both"/>
              <w:rPr>
                <w:rFonts w:ascii="Verdana" w:hAnsi="Verdana"/>
                <w:sz w:val="20"/>
                <w:szCs w:val="20"/>
              </w:rPr>
            </w:pPr>
            <w:r w:rsidRPr="00BF41B7">
              <w:rPr>
                <w:rFonts w:ascii="Verdana" w:hAnsi="Verdana"/>
                <w:sz w:val="20"/>
                <w:szCs w:val="20"/>
              </w:rPr>
              <w:t>Дружеството е сключило следните договори, анекси и споразумения със свързани лица:</w:t>
            </w:r>
          </w:p>
          <w:p w14:paraId="4F7F735C" w14:textId="77777777" w:rsidR="00D56F61" w:rsidRPr="00BF41B7" w:rsidRDefault="00D56F61" w:rsidP="009972FF">
            <w:pPr>
              <w:pStyle w:val="HTMLPreformatted"/>
              <w:jc w:val="both"/>
              <w:rPr>
                <w:rFonts w:ascii="Verdana" w:hAnsi="Verdana"/>
                <w:sz w:val="20"/>
                <w:szCs w:val="20"/>
              </w:rPr>
            </w:pPr>
          </w:p>
          <w:p w14:paraId="4F7F735D" w14:textId="77777777" w:rsidR="00D56F61" w:rsidRPr="00BF41B7" w:rsidRDefault="00D56F61" w:rsidP="009972FF">
            <w:pPr>
              <w:numPr>
                <w:ilvl w:val="0"/>
                <w:numId w:val="37"/>
              </w:numPr>
              <w:rPr>
                <w:rFonts w:ascii="Verdana" w:hAnsi="Verdana"/>
                <w:b/>
                <w:sz w:val="20"/>
                <w:lang w:eastAsia="bg-BG"/>
              </w:rPr>
            </w:pPr>
            <w:r w:rsidRPr="00BF41B7">
              <w:rPr>
                <w:rFonts w:ascii="Verdana" w:hAnsi="Verdana"/>
                <w:b/>
                <w:sz w:val="20"/>
              </w:rPr>
              <w:t>„</w:t>
            </w:r>
            <w:r w:rsidRPr="00BF41B7">
              <w:rPr>
                <w:rFonts w:ascii="Verdana" w:hAnsi="Verdana"/>
                <w:b/>
                <w:sz w:val="20"/>
                <w:lang w:eastAsia="bg-BG"/>
              </w:rPr>
              <w:t>Овергаз Мрежи“ АД</w:t>
            </w:r>
          </w:p>
          <w:p w14:paraId="4F7F735E"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Тристранно споразумение за медийно обслужване и ПР, сключено между „Топлофикация – </w:t>
            </w:r>
            <w:proofErr w:type="spellStart"/>
            <w:r w:rsidRPr="00BF41B7">
              <w:rPr>
                <w:rFonts w:ascii="Verdana" w:hAnsi="Verdana"/>
                <w:sz w:val="20"/>
                <w:lang w:eastAsia="bg-BG"/>
              </w:rPr>
              <w:t>Разград‘</w:t>
            </w:r>
            <w:proofErr w:type="spellEnd"/>
            <w:r w:rsidRPr="00BF41B7">
              <w:rPr>
                <w:rFonts w:ascii="Verdana" w:hAnsi="Verdana"/>
                <w:sz w:val="20"/>
                <w:lang w:eastAsia="bg-BG"/>
              </w:rPr>
              <w:t xml:space="preserve"> АД, „Овергаз Мрежи“ АД и „Овергаз Инк.“АД, сключено на 01.02.2019 г. ; </w:t>
            </w:r>
          </w:p>
          <w:p w14:paraId="4F7F735F"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Споразумение №3 от 27.05.2019г. за разсрочване на задължения по договор № CNT 12456 /21.09.2017г.;</w:t>
            </w:r>
          </w:p>
          <w:p w14:paraId="4F7F7360"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Споразумение за обработване на данни между администратор на лични данни и обработващ лични данни към Договор за предоставяне на консултации, с оглед съобразяване дейността на Възложителя с изискванията на българското и европейското законодателство.</w:t>
            </w:r>
          </w:p>
          <w:p w14:paraId="4F7F7361"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Договор за предоставяне на услуги  № </w:t>
            </w:r>
            <w:r w:rsidRPr="00BF41B7">
              <w:rPr>
                <w:rFonts w:ascii="Verdana" w:hAnsi="Verdana"/>
                <w:sz w:val="20"/>
                <w:lang w:val="en-US" w:eastAsia="bg-BG"/>
              </w:rPr>
              <w:t>CNT – 16342</w:t>
            </w:r>
            <w:r w:rsidRPr="00BF41B7">
              <w:rPr>
                <w:rFonts w:ascii="Verdana" w:hAnsi="Verdana"/>
                <w:sz w:val="20"/>
                <w:lang w:eastAsia="bg-BG"/>
              </w:rPr>
              <w:t>7</w:t>
            </w:r>
            <w:r w:rsidRPr="00BF41B7">
              <w:rPr>
                <w:rFonts w:ascii="Verdana" w:hAnsi="Verdana"/>
                <w:sz w:val="20"/>
                <w:lang w:val="en-US" w:eastAsia="bg-BG"/>
              </w:rPr>
              <w:t xml:space="preserve">/12.12.2019 </w:t>
            </w:r>
            <w:r w:rsidRPr="00BF41B7">
              <w:rPr>
                <w:rFonts w:ascii="Verdana" w:hAnsi="Verdana"/>
                <w:sz w:val="20"/>
                <w:lang w:eastAsia="bg-BG"/>
              </w:rPr>
              <w:t xml:space="preserve">г. – доставка и разпределение на природен газ за обект ДГ „Митко </w:t>
            </w:r>
            <w:proofErr w:type="spellStart"/>
            <w:r w:rsidRPr="00BF41B7">
              <w:rPr>
                <w:rFonts w:ascii="Verdana" w:hAnsi="Verdana"/>
                <w:sz w:val="20"/>
                <w:lang w:eastAsia="bg-BG"/>
              </w:rPr>
              <w:t>Палаузов</w:t>
            </w:r>
            <w:proofErr w:type="spellEnd"/>
            <w:r w:rsidRPr="00BF41B7">
              <w:rPr>
                <w:rFonts w:ascii="Verdana" w:hAnsi="Verdana"/>
                <w:sz w:val="20"/>
                <w:lang w:eastAsia="bg-BG"/>
              </w:rPr>
              <w:t xml:space="preserve">“ – разходите са на база </w:t>
            </w:r>
            <w:proofErr w:type="spellStart"/>
            <w:r w:rsidRPr="00BF41B7">
              <w:rPr>
                <w:rFonts w:ascii="Verdana" w:hAnsi="Verdana"/>
                <w:sz w:val="20"/>
                <w:lang w:eastAsia="bg-BG"/>
              </w:rPr>
              <w:t>потребено</w:t>
            </w:r>
            <w:proofErr w:type="spellEnd"/>
            <w:r w:rsidRPr="00BF41B7">
              <w:rPr>
                <w:rFonts w:ascii="Verdana" w:hAnsi="Verdana"/>
                <w:sz w:val="20"/>
                <w:lang w:eastAsia="bg-BG"/>
              </w:rPr>
              <w:t xml:space="preserve"> през месеца количество природен газ;</w:t>
            </w:r>
          </w:p>
          <w:p w14:paraId="4F7F7362"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Договор за предоставяне на услуги  № </w:t>
            </w:r>
            <w:r w:rsidRPr="00BF41B7">
              <w:rPr>
                <w:rFonts w:ascii="Verdana" w:hAnsi="Verdana"/>
                <w:sz w:val="20"/>
                <w:lang w:val="en-US" w:eastAsia="bg-BG"/>
              </w:rPr>
              <w:t xml:space="preserve">CNT – 163428/12.12.2019 </w:t>
            </w:r>
            <w:r w:rsidRPr="00BF41B7">
              <w:rPr>
                <w:rFonts w:ascii="Verdana" w:hAnsi="Verdana"/>
                <w:sz w:val="20"/>
                <w:lang w:eastAsia="bg-BG"/>
              </w:rPr>
              <w:t xml:space="preserve">г. – доставка и разпределение на природен газ за обект „Рока“ – разходите са на база </w:t>
            </w:r>
            <w:proofErr w:type="spellStart"/>
            <w:r w:rsidRPr="00BF41B7">
              <w:rPr>
                <w:rFonts w:ascii="Verdana" w:hAnsi="Verdana"/>
                <w:sz w:val="20"/>
                <w:lang w:eastAsia="bg-BG"/>
              </w:rPr>
              <w:t>потребено</w:t>
            </w:r>
            <w:proofErr w:type="spellEnd"/>
            <w:r w:rsidRPr="00BF41B7">
              <w:rPr>
                <w:rFonts w:ascii="Verdana" w:hAnsi="Verdana"/>
                <w:sz w:val="20"/>
                <w:lang w:eastAsia="bg-BG"/>
              </w:rPr>
              <w:t xml:space="preserve"> през месеца количество природен газ;</w:t>
            </w:r>
          </w:p>
          <w:p w14:paraId="4F7F7363" w14:textId="77777777" w:rsidR="00D56F61" w:rsidRPr="00BF41B7" w:rsidRDefault="00D56F61" w:rsidP="009972FF">
            <w:pPr>
              <w:ind w:left="720"/>
              <w:rPr>
                <w:rFonts w:ascii="Verdana" w:hAnsi="Verdana"/>
                <w:sz w:val="20"/>
                <w:lang w:eastAsia="bg-BG"/>
              </w:rPr>
            </w:pPr>
          </w:p>
          <w:p w14:paraId="4F7F7364" w14:textId="77777777" w:rsidR="00D56F61" w:rsidRPr="00BF41B7" w:rsidRDefault="00D56F61" w:rsidP="009972FF">
            <w:pPr>
              <w:ind w:left="720"/>
              <w:rPr>
                <w:rFonts w:ascii="Verdana" w:hAnsi="Verdana"/>
                <w:sz w:val="20"/>
                <w:lang w:eastAsia="bg-BG"/>
              </w:rPr>
            </w:pPr>
          </w:p>
          <w:p w14:paraId="4F7F7365" w14:textId="77777777" w:rsidR="00D56F61" w:rsidRPr="00BF41B7" w:rsidRDefault="00D56F61" w:rsidP="009972FF">
            <w:pPr>
              <w:numPr>
                <w:ilvl w:val="0"/>
                <w:numId w:val="37"/>
              </w:numPr>
              <w:rPr>
                <w:rFonts w:ascii="Verdana" w:hAnsi="Verdana"/>
                <w:b/>
                <w:sz w:val="20"/>
                <w:lang w:eastAsia="bg-BG"/>
              </w:rPr>
            </w:pPr>
            <w:r w:rsidRPr="00BF41B7">
              <w:rPr>
                <w:rFonts w:ascii="Verdana" w:hAnsi="Verdana"/>
                <w:b/>
                <w:sz w:val="20"/>
                <w:lang w:eastAsia="bg-BG"/>
              </w:rPr>
              <w:t>„</w:t>
            </w:r>
            <w:proofErr w:type="spellStart"/>
            <w:r w:rsidRPr="00BF41B7">
              <w:rPr>
                <w:rFonts w:ascii="Verdana" w:hAnsi="Verdana"/>
                <w:b/>
                <w:sz w:val="20"/>
                <w:lang w:eastAsia="bg-BG"/>
              </w:rPr>
              <w:t>Оу</w:t>
            </w:r>
            <w:proofErr w:type="spellEnd"/>
            <w:r w:rsidRPr="00BF41B7">
              <w:rPr>
                <w:rFonts w:ascii="Verdana" w:hAnsi="Verdana"/>
                <w:b/>
                <w:sz w:val="20"/>
                <w:lang w:eastAsia="bg-BG"/>
              </w:rPr>
              <w:t xml:space="preserve"> Джи Транс“ АД</w:t>
            </w:r>
          </w:p>
          <w:p w14:paraId="4F7F7366"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Анекс № 11, 12, 13 и 14 към Договор за предоставяне на транспортна услуга - </w:t>
            </w:r>
            <w:proofErr w:type="spellStart"/>
            <w:r w:rsidRPr="00BF41B7">
              <w:rPr>
                <w:rFonts w:ascii="Verdana" w:hAnsi="Verdana"/>
                <w:sz w:val="20"/>
                <w:lang w:eastAsia="bg-BG"/>
              </w:rPr>
              <w:t>Оу</w:t>
            </w:r>
            <w:proofErr w:type="spellEnd"/>
            <w:r w:rsidRPr="00BF41B7">
              <w:rPr>
                <w:rFonts w:ascii="Verdana" w:hAnsi="Verdana"/>
                <w:sz w:val="20"/>
                <w:lang w:eastAsia="bg-BG"/>
              </w:rPr>
              <w:t xml:space="preserve"> Джи Транс АД.</w:t>
            </w:r>
          </w:p>
          <w:p w14:paraId="4F7F7367" w14:textId="77777777" w:rsidR="00D56F61" w:rsidRPr="00BF41B7" w:rsidRDefault="00D56F61" w:rsidP="009972FF">
            <w:pPr>
              <w:ind w:left="720"/>
              <w:rPr>
                <w:rFonts w:ascii="Verdana" w:hAnsi="Verdana"/>
                <w:sz w:val="20"/>
                <w:lang w:eastAsia="bg-BG"/>
              </w:rPr>
            </w:pPr>
          </w:p>
          <w:p w14:paraId="4F7F7368" w14:textId="77777777" w:rsidR="00D56F61" w:rsidRPr="00BF41B7" w:rsidRDefault="00D56F61" w:rsidP="009972FF">
            <w:pPr>
              <w:numPr>
                <w:ilvl w:val="0"/>
                <w:numId w:val="37"/>
              </w:numPr>
              <w:rPr>
                <w:rFonts w:ascii="Verdana" w:hAnsi="Verdana"/>
                <w:b/>
                <w:sz w:val="20"/>
                <w:lang w:eastAsia="bg-BG"/>
              </w:rPr>
            </w:pPr>
            <w:r w:rsidRPr="00BF41B7">
              <w:rPr>
                <w:rFonts w:ascii="Verdana" w:hAnsi="Verdana"/>
                <w:b/>
                <w:sz w:val="20"/>
                <w:lang w:eastAsia="bg-BG"/>
              </w:rPr>
              <w:t>„Овергаз Холдинг“ АД</w:t>
            </w:r>
          </w:p>
          <w:p w14:paraId="4F7F7369"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Договор за "Софтуер за управление на проекти - </w:t>
            </w:r>
            <w:proofErr w:type="spellStart"/>
            <w:r w:rsidRPr="00BF41B7">
              <w:rPr>
                <w:rFonts w:ascii="Verdana" w:hAnsi="Verdana"/>
                <w:sz w:val="20"/>
                <w:lang w:eastAsia="bg-BG"/>
              </w:rPr>
              <w:t>Workflow</w:t>
            </w:r>
            <w:proofErr w:type="spellEnd"/>
            <w:r w:rsidRPr="00BF41B7">
              <w:rPr>
                <w:rFonts w:ascii="Verdana" w:hAnsi="Verdana"/>
                <w:sz w:val="20"/>
                <w:lang w:eastAsia="bg-BG"/>
              </w:rPr>
              <w:t xml:space="preserve">" от 18.01.2019 г. </w:t>
            </w:r>
          </w:p>
          <w:p w14:paraId="4F7F736A"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Анекс № 1 към Договора за предоставяне на услуги, свързани с обработването на лични данни;</w:t>
            </w:r>
          </w:p>
          <w:p w14:paraId="4F7F736B" w14:textId="77777777" w:rsidR="00D56F61" w:rsidRPr="00BF41B7" w:rsidRDefault="00D56F61" w:rsidP="009972FF">
            <w:pPr>
              <w:ind w:left="720"/>
              <w:rPr>
                <w:rFonts w:ascii="Verdana" w:hAnsi="Verdana"/>
                <w:sz w:val="20"/>
                <w:lang w:eastAsia="bg-BG"/>
              </w:rPr>
            </w:pPr>
          </w:p>
          <w:p w14:paraId="4F7F736C" w14:textId="77777777" w:rsidR="00D56F61" w:rsidRPr="00BF41B7" w:rsidRDefault="00D56F61" w:rsidP="009972FF">
            <w:pPr>
              <w:numPr>
                <w:ilvl w:val="0"/>
                <w:numId w:val="37"/>
              </w:numPr>
              <w:rPr>
                <w:rFonts w:ascii="Verdana" w:hAnsi="Verdana"/>
                <w:b/>
                <w:sz w:val="20"/>
                <w:lang w:eastAsia="bg-BG"/>
              </w:rPr>
            </w:pPr>
            <w:r w:rsidRPr="00BF41B7">
              <w:rPr>
                <w:rFonts w:ascii="Verdana" w:hAnsi="Verdana"/>
                <w:b/>
                <w:sz w:val="20"/>
                <w:lang w:eastAsia="bg-BG"/>
              </w:rPr>
              <w:t>„</w:t>
            </w:r>
            <w:proofErr w:type="spellStart"/>
            <w:r w:rsidRPr="00BF41B7">
              <w:rPr>
                <w:rFonts w:ascii="Verdana" w:hAnsi="Verdana"/>
                <w:b/>
                <w:sz w:val="20"/>
                <w:lang w:eastAsia="bg-BG"/>
              </w:rPr>
              <w:t>Оверга</w:t>
            </w:r>
            <w:proofErr w:type="spellEnd"/>
            <w:r w:rsidRPr="00BF41B7">
              <w:rPr>
                <w:rFonts w:ascii="Verdana" w:hAnsi="Verdana"/>
                <w:b/>
                <w:sz w:val="20"/>
                <w:lang w:eastAsia="bg-BG"/>
              </w:rPr>
              <w:t xml:space="preserve"> Капитал“ АД</w:t>
            </w:r>
          </w:p>
          <w:p w14:paraId="4F7F736D"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Договор №7 за поемане на кредитни ангажименти – издаване на банкова гаранция на стойност 4 804 лв. в полза на „</w:t>
            </w:r>
            <w:proofErr w:type="spellStart"/>
            <w:r w:rsidRPr="00BF41B7">
              <w:rPr>
                <w:rFonts w:ascii="Verdana" w:hAnsi="Verdana"/>
                <w:sz w:val="20"/>
                <w:lang w:eastAsia="bg-BG"/>
              </w:rPr>
              <w:t>Енерго</w:t>
            </w:r>
            <w:proofErr w:type="spellEnd"/>
            <w:r w:rsidRPr="00BF41B7">
              <w:rPr>
                <w:rFonts w:ascii="Verdana" w:hAnsi="Verdana"/>
                <w:sz w:val="20"/>
                <w:lang w:eastAsia="bg-BG"/>
              </w:rPr>
              <w:t xml:space="preserve"> – ПРО Енергийни услуги“ ЕООД</w:t>
            </w:r>
          </w:p>
          <w:p w14:paraId="4F7F736E" w14:textId="77777777" w:rsidR="00D56F61" w:rsidRPr="00BF41B7" w:rsidRDefault="00D56F61" w:rsidP="009972FF">
            <w:pPr>
              <w:rPr>
                <w:rFonts w:ascii="Verdana" w:hAnsi="Verdana"/>
                <w:sz w:val="20"/>
                <w:lang w:eastAsia="bg-BG"/>
              </w:rPr>
            </w:pPr>
          </w:p>
          <w:p w14:paraId="4F7F736F" w14:textId="77777777" w:rsidR="00D56F61" w:rsidRPr="00BF41B7" w:rsidRDefault="00D56F61" w:rsidP="009972FF">
            <w:pPr>
              <w:numPr>
                <w:ilvl w:val="0"/>
                <w:numId w:val="37"/>
              </w:numPr>
              <w:rPr>
                <w:rFonts w:ascii="Verdana" w:hAnsi="Verdana"/>
                <w:b/>
                <w:sz w:val="20"/>
                <w:lang w:eastAsia="bg-BG"/>
              </w:rPr>
            </w:pPr>
            <w:r w:rsidRPr="00BF41B7">
              <w:rPr>
                <w:rFonts w:ascii="Verdana" w:hAnsi="Verdana"/>
                <w:b/>
                <w:sz w:val="20"/>
                <w:lang w:eastAsia="bg-BG"/>
              </w:rPr>
              <w:t>„Овергаз Инженеринг“ АД</w:t>
            </w:r>
          </w:p>
          <w:p w14:paraId="4F7F7370"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Договор Общи условия № ОУ-ТплРз-2019 г.</w:t>
            </w:r>
          </w:p>
          <w:p w14:paraId="4F7F7371"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Анекс № ТплРз-1901/23.08.2019 г. – с предмет „Проектиране и доставка на четири броя нови индиректни абонатни станции, демонтаж на стари и монтаж на нови“  на стойност 50 404,71 лв. без ДДС;</w:t>
            </w:r>
          </w:p>
          <w:p w14:paraId="4F7F7372"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Анекс № ТплРз-1902/23.08.2019 г. – с предмет „доставка на материали и подмяна на аварирал участък от </w:t>
            </w:r>
            <w:proofErr w:type="spellStart"/>
            <w:r w:rsidRPr="00BF41B7">
              <w:rPr>
                <w:rFonts w:ascii="Verdana" w:hAnsi="Verdana"/>
                <w:sz w:val="20"/>
                <w:lang w:eastAsia="bg-BG"/>
              </w:rPr>
              <w:t>топлопреносната</w:t>
            </w:r>
            <w:proofErr w:type="spellEnd"/>
            <w:r w:rsidRPr="00BF41B7">
              <w:rPr>
                <w:rFonts w:ascii="Verdana" w:hAnsi="Verdana"/>
                <w:sz w:val="20"/>
                <w:lang w:eastAsia="bg-BG"/>
              </w:rPr>
              <w:t xml:space="preserve"> мрежа на „Топлофикация – Разград“ АД на стойност 24 905,81 лв. без ДДС;</w:t>
            </w:r>
          </w:p>
          <w:p w14:paraId="4F7F7373"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Анекс № ТплРз-1903/05.11.2019 г. – с предмет </w:t>
            </w:r>
            <w:r w:rsidRPr="00BF41B7">
              <w:rPr>
                <w:rFonts w:ascii="Verdana" w:hAnsi="Verdana" w:cs="Arial"/>
                <w:sz w:val="20"/>
              </w:rPr>
              <w:t xml:space="preserve">„доставка и монтаж на обект „Рока“ на система от три каскадно свързани </w:t>
            </w:r>
            <w:proofErr w:type="spellStart"/>
            <w:r w:rsidRPr="00BF41B7">
              <w:rPr>
                <w:rFonts w:ascii="Verdana" w:hAnsi="Verdana" w:cs="Arial"/>
                <w:sz w:val="20"/>
              </w:rPr>
              <w:t>кондензни</w:t>
            </w:r>
            <w:proofErr w:type="spellEnd"/>
            <w:r w:rsidRPr="00BF41B7">
              <w:rPr>
                <w:rFonts w:ascii="Verdana" w:hAnsi="Verdana" w:cs="Arial"/>
                <w:sz w:val="20"/>
              </w:rPr>
              <w:t xml:space="preserve"> котли, </w:t>
            </w:r>
            <w:proofErr w:type="spellStart"/>
            <w:r w:rsidRPr="00BF41B7">
              <w:rPr>
                <w:rFonts w:ascii="Verdana" w:hAnsi="Verdana" w:cs="Arial"/>
                <w:sz w:val="20"/>
              </w:rPr>
              <w:t>димоотвеждане</w:t>
            </w:r>
            <w:proofErr w:type="spellEnd"/>
            <w:r w:rsidRPr="00BF41B7">
              <w:rPr>
                <w:rFonts w:ascii="Verdana" w:hAnsi="Verdana" w:cs="Arial"/>
                <w:sz w:val="20"/>
              </w:rPr>
              <w:t xml:space="preserve">, </w:t>
            </w:r>
            <w:proofErr w:type="spellStart"/>
            <w:r w:rsidRPr="00BF41B7">
              <w:rPr>
                <w:rFonts w:ascii="Verdana" w:hAnsi="Verdana" w:cs="Arial"/>
                <w:sz w:val="20"/>
              </w:rPr>
              <w:t>площадков</w:t>
            </w:r>
            <w:proofErr w:type="spellEnd"/>
            <w:r w:rsidRPr="00BF41B7">
              <w:rPr>
                <w:rFonts w:ascii="Verdana" w:hAnsi="Verdana" w:cs="Arial"/>
                <w:sz w:val="20"/>
              </w:rPr>
              <w:t xml:space="preserve"> газопровод, газова инсталация и </w:t>
            </w:r>
            <w:proofErr w:type="spellStart"/>
            <w:r w:rsidRPr="00BF41B7">
              <w:rPr>
                <w:rFonts w:ascii="Verdana" w:hAnsi="Verdana" w:cs="Arial"/>
                <w:sz w:val="20"/>
              </w:rPr>
              <w:t>свързане</w:t>
            </w:r>
            <w:proofErr w:type="spellEnd"/>
            <w:r w:rsidRPr="00BF41B7">
              <w:rPr>
                <w:rFonts w:ascii="Verdana" w:hAnsi="Verdana" w:cs="Arial"/>
                <w:sz w:val="20"/>
              </w:rPr>
              <w:t xml:space="preserve"> на системата с участък от </w:t>
            </w:r>
            <w:proofErr w:type="spellStart"/>
            <w:r w:rsidRPr="00BF41B7">
              <w:rPr>
                <w:rFonts w:ascii="Verdana" w:hAnsi="Verdana" w:cs="Arial"/>
                <w:sz w:val="20"/>
              </w:rPr>
              <w:t>топлопреносната</w:t>
            </w:r>
            <w:proofErr w:type="spellEnd"/>
            <w:r w:rsidRPr="00BF41B7">
              <w:rPr>
                <w:rFonts w:ascii="Verdana" w:hAnsi="Verdana" w:cs="Arial"/>
                <w:sz w:val="20"/>
              </w:rPr>
              <w:t xml:space="preserve"> мрежа“ на стойност 168 561,12 лв. без ДДС;</w:t>
            </w:r>
          </w:p>
          <w:p w14:paraId="4F7F7374" w14:textId="77777777" w:rsidR="00D56F61" w:rsidRPr="00BF41B7" w:rsidRDefault="00D56F61" w:rsidP="009972FF">
            <w:pPr>
              <w:numPr>
                <w:ilvl w:val="0"/>
                <w:numId w:val="34"/>
              </w:numPr>
              <w:rPr>
                <w:rFonts w:ascii="Verdana" w:hAnsi="Verdana"/>
                <w:sz w:val="20"/>
                <w:lang w:eastAsia="bg-BG"/>
              </w:rPr>
            </w:pPr>
            <w:r w:rsidRPr="00BF41B7">
              <w:rPr>
                <w:rFonts w:ascii="Verdana" w:hAnsi="Verdana"/>
                <w:sz w:val="20"/>
                <w:lang w:eastAsia="bg-BG"/>
              </w:rPr>
              <w:t xml:space="preserve">Анекс № ТплРз-1904/05.11.2019 г. с предмет </w:t>
            </w:r>
            <w:r w:rsidRPr="00BF41B7">
              <w:rPr>
                <w:rFonts w:ascii="Verdana" w:hAnsi="Verdana" w:cs="Arial"/>
                <w:sz w:val="20"/>
              </w:rPr>
              <w:t xml:space="preserve">„доставка и монтаж на обект ГД „Митко </w:t>
            </w:r>
            <w:proofErr w:type="spellStart"/>
            <w:r w:rsidRPr="00BF41B7">
              <w:rPr>
                <w:rFonts w:ascii="Verdana" w:hAnsi="Verdana" w:cs="Arial"/>
                <w:sz w:val="20"/>
              </w:rPr>
              <w:t>Палаувоз</w:t>
            </w:r>
            <w:proofErr w:type="spellEnd"/>
            <w:r w:rsidRPr="00BF41B7">
              <w:rPr>
                <w:rFonts w:ascii="Verdana" w:hAnsi="Verdana" w:cs="Arial"/>
                <w:sz w:val="20"/>
              </w:rPr>
              <w:t xml:space="preserve">“ на система от три каскадно свързани </w:t>
            </w:r>
            <w:proofErr w:type="spellStart"/>
            <w:r w:rsidRPr="00BF41B7">
              <w:rPr>
                <w:rFonts w:ascii="Verdana" w:hAnsi="Verdana" w:cs="Arial"/>
                <w:sz w:val="20"/>
              </w:rPr>
              <w:t>кондензни</w:t>
            </w:r>
            <w:proofErr w:type="spellEnd"/>
            <w:r w:rsidRPr="00BF41B7">
              <w:rPr>
                <w:rFonts w:ascii="Verdana" w:hAnsi="Verdana" w:cs="Arial"/>
                <w:sz w:val="20"/>
              </w:rPr>
              <w:t xml:space="preserve"> котли, </w:t>
            </w:r>
            <w:proofErr w:type="spellStart"/>
            <w:r w:rsidRPr="00BF41B7">
              <w:rPr>
                <w:rFonts w:ascii="Verdana" w:hAnsi="Verdana" w:cs="Arial"/>
                <w:sz w:val="20"/>
              </w:rPr>
              <w:t>димоотвеждане</w:t>
            </w:r>
            <w:proofErr w:type="spellEnd"/>
            <w:r w:rsidRPr="00BF41B7">
              <w:rPr>
                <w:rFonts w:ascii="Verdana" w:hAnsi="Verdana" w:cs="Arial"/>
                <w:sz w:val="20"/>
              </w:rPr>
              <w:t xml:space="preserve">, </w:t>
            </w:r>
            <w:proofErr w:type="spellStart"/>
            <w:r w:rsidRPr="00BF41B7">
              <w:rPr>
                <w:rFonts w:ascii="Verdana" w:hAnsi="Verdana" w:cs="Arial"/>
                <w:sz w:val="20"/>
              </w:rPr>
              <w:t>площадков</w:t>
            </w:r>
            <w:proofErr w:type="spellEnd"/>
            <w:r w:rsidRPr="00BF41B7">
              <w:rPr>
                <w:rFonts w:ascii="Verdana" w:hAnsi="Verdana" w:cs="Arial"/>
                <w:sz w:val="20"/>
              </w:rPr>
              <w:t xml:space="preserve"> газопровод, газова инсталация и </w:t>
            </w:r>
            <w:proofErr w:type="spellStart"/>
            <w:r w:rsidRPr="00BF41B7">
              <w:rPr>
                <w:rFonts w:ascii="Verdana" w:hAnsi="Verdana" w:cs="Arial"/>
                <w:sz w:val="20"/>
              </w:rPr>
              <w:t>свързане</w:t>
            </w:r>
            <w:proofErr w:type="spellEnd"/>
            <w:r w:rsidRPr="00BF41B7">
              <w:rPr>
                <w:rFonts w:ascii="Verdana" w:hAnsi="Verdana" w:cs="Arial"/>
                <w:sz w:val="20"/>
              </w:rPr>
              <w:t xml:space="preserve"> на </w:t>
            </w:r>
            <w:r w:rsidRPr="00BF41B7">
              <w:rPr>
                <w:rFonts w:ascii="Verdana" w:hAnsi="Verdana" w:cs="Arial"/>
                <w:sz w:val="20"/>
              </w:rPr>
              <w:lastRenderedPageBreak/>
              <w:t xml:space="preserve">системата с участък от </w:t>
            </w:r>
            <w:proofErr w:type="spellStart"/>
            <w:r w:rsidRPr="00BF41B7">
              <w:rPr>
                <w:rFonts w:ascii="Verdana" w:hAnsi="Verdana" w:cs="Arial"/>
                <w:sz w:val="20"/>
              </w:rPr>
              <w:t>топлопреносната</w:t>
            </w:r>
            <w:proofErr w:type="spellEnd"/>
            <w:r w:rsidRPr="00BF41B7">
              <w:rPr>
                <w:rFonts w:ascii="Verdana" w:hAnsi="Verdana" w:cs="Arial"/>
                <w:sz w:val="20"/>
              </w:rPr>
              <w:t xml:space="preserve"> мрежа“ на стойност 163 506,36 лв. без ДДС.</w:t>
            </w:r>
          </w:p>
          <w:p w14:paraId="4F7F7375" w14:textId="77777777" w:rsidR="00D56F61" w:rsidRPr="00BF41B7" w:rsidRDefault="00D56F61" w:rsidP="009972FF">
            <w:pPr>
              <w:ind w:left="720"/>
              <w:rPr>
                <w:rFonts w:ascii="Verdana" w:hAnsi="Verdana"/>
                <w:sz w:val="20"/>
                <w:lang w:eastAsia="bg-BG"/>
              </w:rPr>
            </w:pPr>
          </w:p>
          <w:p w14:paraId="4F7F7376" w14:textId="77777777" w:rsidR="00D56F61" w:rsidRDefault="00D56F61" w:rsidP="009972FF">
            <w:pPr>
              <w:pStyle w:val="HTMLPreformatted"/>
              <w:jc w:val="both"/>
              <w:rPr>
                <w:rFonts w:ascii="Verdana" w:hAnsi="Verdana"/>
                <w:sz w:val="20"/>
                <w:szCs w:val="20"/>
                <w:lang w:val="en-US"/>
              </w:rPr>
            </w:pPr>
          </w:p>
          <w:p w14:paraId="4F7F7377" w14:textId="77777777" w:rsidR="00D56F61" w:rsidRPr="00675FFF" w:rsidRDefault="00D56F61" w:rsidP="009972FF">
            <w:pPr>
              <w:jc w:val="left"/>
              <w:rPr>
                <w:sz w:val="24"/>
                <w:szCs w:val="24"/>
                <w:lang w:eastAsia="bg-BG"/>
              </w:rPr>
            </w:pPr>
            <w:r w:rsidRPr="00675FFF">
              <w:rPr>
                <w:sz w:val="24"/>
                <w:szCs w:val="24"/>
                <w:lang w:eastAsia="bg-BG"/>
              </w:rPr>
              <w:t xml:space="preserve">- </w:t>
            </w:r>
            <w:r w:rsidRPr="00675FFF">
              <w:rPr>
                <w:rFonts w:ascii="Verdana" w:hAnsi="Verdana"/>
                <w:sz w:val="20"/>
                <w:lang w:eastAsia="bg-BG"/>
              </w:rPr>
              <w:t xml:space="preserve">Свързаността с </w:t>
            </w:r>
            <w:r w:rsidRPr="00675FFF">
              <w:rPr>
                <w:rFonts w:ascii="Verdana" w:hAnsi="Verdana"/>
                <w:b/>
                <w:bCs/>
                <w:sz w:val="20"/>
                <w:lang w:eastAsia="bg-BG"/>
              </w:rPr>
              <w:t>„Овергаз Мрежи” АД</w:t>
            </w:r>
            <w:r w:rsidRPr="00675FFF">
              <w:rPr>
                <w:rFonts w:ascii="Verdana" w:hAnsi="Verdana"/>
                <w:sz w:val="20"/>
                <w:lang w:eastAsia="bg-BG"/>
              </w:rPr>
              <w:t xml:space="preserve"> произтича от обстоятелството, че „Овергаз Мрежи”</w:t>
            </w:r>
            <w:r>
              <w:rPr>
                <w:rFonts w:ascii="Verdana" w:hAnsi="Verdana"/>
                <w:sz w:val="20"/>
                <w:lang w:eastAsia="bg-BG"/>
              </w:rPr>
              <w:t xml:space="preserve"> АД и „Топлофикация – Разград“ </w:t>
            </w:r>
            <w:r w:rsidRPr="00675FFF">
              <w:rPr>
                <w:rFonts w:ascii="Verdana" w:hAnsi="Verdana"/>
                <w:sz w:val="20"/>
                <w:lang w:eastAsia="bg-BG"/>
              </w:rPr>
              <w:t xml:space="preserve">АД имат общо крайно дружество-майка – „ Ди </w:t>
            </w:r>
            <w:proofErr w:type="spellStart"/>
            <w:r w:rsidRPr="00675FFF">
              <w:rPr>
                <w:rFonts w:ascii="Verdana" w:hAnsi="Verdana"/>
                <w:sz w:val="20"/>
                <w:lang w:eastAsia="bg-BG"/>
              </w:rPr>
              <w:t>Ди</w:t>
            </w:r>
            <w:proofErr w:type="spellEnd"/>
            <w:r w:rsidRPr="00675FFF">
              <w:rPr>
                <w:rFonts w:ascii="Verdana" w:hAnsi="Verdana"/>
                <w:sz w:val="20"/>
                <w:lang w:eastAsia="bg-BG"/>
              </w:rPr>
              <w:t xml:space="preserve"> Мениджмънт” АД (непряко чрез дружествата, основни акционери в капитала/собственици на капитала на всяко от свързаните дружества).</w:t>
            </w:r>
          </w:p>
          <w:p w14:paraId="4F7F7378" w14:textId="77777777" w:rsidR="00D56F61" w:rsidRPr="00675FFF" w:rsidRDefault="00D56F61" w:rsidP="009972FF">
            <w:pPr>
              <w:jc w:val="left"/>
              <w:rPr>
                <w:sz w:val="24"/>
                <w:szCs w:val="24"/>
                <w:lang w:eastAsia="bg-BG"/>
              </w:rPr>
            </w:pPr>
            <w:r w:rsidRPr="00675FFF">
              <w:rPr>
                <w:sz w:val="24"/>
                <w:szCs w:val="24"/>
                <w:lang w:eastAsia="bg-BG"/>
              </w:rPr>
              <w:t> </w:t>
            </w:r>
          </w:p>
          <w:p w14:paraId="4F7F7379" w14:textId="77777777" w:rsidR="00D56F61" w:rsidRPr="00675FFF" w:rsidRDefault="00D56F61" w:rsidP="009972FF">
            <w:pPr>
              <w:jc w:val="left"/>
              <w:rPr>
                <w:sz w:val="24"/>
                <w:szCs w:val="24"/>
                <w:lang w:eastAsia="bg-BG"/>
              </w:rPr>
            </w:pPr>
            <w:r w:rsidRPr="00675FFF">
              <w:rPr>
                <w:rFonts w:ascii="Verdana" w:hAnsi="Verdana"/>
                <w:sz w:val="20"/>
                <w:lang w:eastAsia="bg-BG"/>
              </w:rPr>
              <w:t xml:space="preserve">- Свързаността  на „Топлофикация – Разград” АД с </w:t>
            </w:r>
            <w:r w:rsidRPr="00675FFF">
              <w:rPr>
                <w:rFonts w:ascii="Verdana" w:hAnsi="Verdana"/>
                <w:b/>
                <w:bCs/>
                <w:sz w:val="20"/>
                <w:lang w:eastAsia="bg-BG"/>
              </w:rPr>
              <w:t>„Овергаз Инк” АД, „Овергаз Капитал” АД, „Овергаз Инженеринг” АД</w:t>
            </w:r>
            <w:r w:rsidRPr="00675FFF">
              <w:rPr>
                <w:rFonts w:ascii="Verdana" w:hAnsi="Verdana"/>
                <w:sz w:val="20"/>
                <w:lang w:eastAsia="bg-BG"/>
              </w:rPr>
              <w:t xml:space="preserve"> , произтича от обстоятелството, че дружеството-майка – „Овергаз Холдинг” АД е акционер с повече от 25 % капитал на </w:t>
            </w:r>
            <w:proofErr w:type="spellStart"/>
            <w:r w:rsidRPr="00675FFF">
              <w:rPr>
                <w:rFonts w:ascii="Verdana" w:hAnsi="Verdana"/>
                <w:sz w:val="20"/>
                <w:lang w:eastAsia="bg-BG"/>
              </w:rPr>
              <w:t>на</w:t>
            </w:r>
            <w:proofErr w:type="spellEnd"/>
            <w:r w:rsidRPr="00675FFF">
              <w:rPr>
                <w:rFonts w:ascii="Verdana" w:hAnsi="Verdana"/>
                <w:sz w:val="20"/>
                <w:lang w:eastAsia="bg-BG"/>
              </w:rPr>
              <w:t>  изброените дружества.</w:t>
            </w:r>
          </w:p>
          <w:p w14:paraId="4F7F737A" w14:textId="77777777" w:rsidR="00D56F61" w:rsidRPr="00675FFF" w:rsidRDefault="00D56F61" w:rsidP="009972FF">
            <w:pPr>
              <w:jc w:val="left"/>
              <w:rPr>
                <w:sz w:val="24"/>
                <w:szCs w:val="24"/>
                <w:lang w:eastAsia="bg-BG"/>
              </w:rPr>
            </w:pPr>
            <w:r w:rsidRPr="00675FFF">
              <w:rPr>
                <w:sz w:val="24"/>
                <w:szCs w:val="24"/>
                <w:lang w:eastAsia="bg-BG"/>
              </w:rPr>
              <w:t> </w:t>
            </w:r>
          </w:p>
          <w:p w14:paraId="4F7F737B" w14:textId="77777777" w:rsidR="00D56F61" w:rsidRPr="00675FFF" w:rsidRDefault="00D56F61" w:rsidP="009972FF">
            <w:pPr>
              <w:jc w:val="left"/>
              <w:rPr>
                <w:sz w:val="24"/>
                <w:szCs w:val="24"/>
                <w:lang w:eastAsia="bg-BG"/>
              </w:rPr>
            </w:pPr>
            <w:r w:rsidRPr="00675FFF">
              <w:rPr>
                <w:rFonts w:ascii="Verdana" w:hAnsi="Verdana"/>
                <w:sz w:val="20"/>
                <w:lang w:eastAsia="bg-BG"/>
              </w:rPr>
              <w:t xml:space="preserve"> - Свързаността на „Топлофикация – Разград” АД с </w:t>
            </w:r>
            <w:r w:rsidRPr="00675FFF">
              <w:rPr>
                <w:rFonts w:ascii="Verdana" w:hAnsi="Verdana"/>
                <w:b/>
                <w:bCs/>
                <w:sz w:val="20"/>
                <w:lang w:eastAsia="bg-BG"/>
              </w:rPr>
              <w:t>„ Овергаз Холдинг” АД</w:t>
            </w:r>
            <w:r w:rsidRPr="00675FFF">
              <w:rPr>
                <w:rFonts w:ascii="Verdana" w:hAnsi="Verdana"/>
                <w:sz w:val="20"/>
                <w:lang w:eastAsia="bg-BG"/>
              </w:rPr>
              <w:t xml:space="preserve"> произтича от обстоятелството, че „Овергаз Холдинг” АД притежава 99,</w:t>
            </w:r>
            <w:proofErr w:type="spellStart"/>
            <w:r w:rsidRPr="00675FFF">
              <w:rPr>
                <w:rFonts w:ascii="Verdana" w:hAnsi="Verdana"/>
                <w:sz w:val="20"/>
                <w:lang w:eastAsia="bg-BG"/>
              </w:rPr>
              <w:t>99</w:t>
            </w:r>
            <w:proofErr w:type="spellEnd"/>
            <w:r w:rsidRPr="00675FFF">
              <w:rPr>
                <w:rFonts w:ascii="Verdana" w:hAnsi="Verdana"/>
                <w:sz w:val="20"/>
                <w:lang w:eastAsia="bg-BG"/>
              </w:rPr>
              <w:t xml:space="preserve"> % от капитала на „Топлофикация – Разград“ АД.</w:t>
            </w:r>
          </w:p>
          <w:p w14:paraId="4F7F737C" w14:textId="77777777" w:rsidR="00D56F61" w:rsidRPr="00675FFF" w:rsidRDefault="00D56F61" w:rsidP="009972FF">
            <w:pPr>
              <w:jc w:val="left"/>
              <w:rPr>
                <w:sz w:val="24"/>
                <w:szCs w:val="24"/>
                <w:lang w:eastAsia="bg-BG"/>
              </w:rPr>
            </w:pPr>
            <w:r w:rsidRPr="00675FFF">
              <w:rPr>
                <w:sz w:val="24"/>
                <w:szCs w:val="24"/>
                <w:lang w:eastAsia="bg-BG"/>
              </w:rPr>
              <w:t> </w:t>
            </w:r>
          </w:p>
          <w:p w14:paraId="4F7F737D" w14:textId="77777777" w:rsidR="00D56F61" w:rsidRPr="00675FFF" w:rsidRDefault="00D56F61" w:rsidP="009972FF">
            <w:pPr>
              <w:jc w:val="left"/>
              <w:rPr>
                <w:sz w:val="24"/>
                <w:szCs w:val="24"/>
                <w:lang w:eastAsia="bg-BG"/>
              </w:rPr>
            </w:pPr>
            <w:r w:rsidRPr="00675FFF">
              <w:rPr>
                <w:rFonts w:ascii="Verdana" w:hAnsi="Verdana"/>
                <w:sz w:val="20"/>
                <w:lang w:eastAsia="bg-BG"/>
              </w:rPr>
              <w:t xml:space="preserve"> - Свързаността на "Топлофикация - Разград" АД с </w:t>
            </w:r>
            <w:r w:rsidRPr="00675FFF">
              <w:rPr>
                <w:rFonts w:ascii="Verdana" w:hAnsi="Verdana"/>
                <w:b/>
                <w:bCs/>
                <w:sz w:val="20"/>
                <w:lang w:eastAsia="bg-BG"/>
              </w:rPr>
              <w:t>"</w:t>
            </w:r>
            <w:proofErr w:type="spellStart"/>
            <w:r w:rsidRPr="00675FFF">
              <w:rPr>
                <w:rFonts w:ascii="Verdana" w:hAnsi="Verdana"/>
                <w:b/>
                <w:bCs/>
                <w:sz w:val="20"/>
                <w:lang w:eastAsia="bg-BG"/>
              </w:rPr>
              <w:t>Оу</w:t>
            </w:r>
            <w:proofErr w:type="spellEnd"/>
            <w:r w:rsidRPr="00675FFF">
              <w:rPr>
                <w:rFonts w:ascii="Verdana" w:hAnsi="Verdana"/>
                <w:b/>
                <w:bCs/>
                <w:sz w:val="20"/>
                <w:lang w:eastAsia="bg-BG"/>
              </w:rPr>
              <w:t xml:space="preserve"> Джи Транс" АД</w:t>
            </w:r>
            <w:r w:rsidRPr="00675FFF">
              <w:rPr>
                <w:rFonts w:ascii="Verdana" w:hAnsi="Verdana"/>
                <w:sz w:val="20"/>
                <w:lang w:eastAsia="bg-BG"/>
              </w:rPr>
              <w:t xml:space="preserve"> се дължи на това, че дружеството майка "Овергаз Холдинг" АД е акционер с 96,15% в "</w:t>
            </w:r>
            <w:proofErr w:type="spellStart"/>
            <w:r w:rsidRPr="00675FFF">
              <w:rPr>
                <w:rFonts w:ascii="Verdana" w:hAnsi="Verdana"/>
                <w:sz w:val="20"/>
                <w:lang w:eastAsia="bg-BG"/>
              </w:rPr>
              <w:t>Оу</w:t>
            </w:r>
            <w:proofErr w:type="spellEnd"/>
            <w:r w:rsidRPr="00675FFF">
              <w:rPr>
                <w:rFonts w:ascii="Verdana" w:hAnsi="Verdana"/>
                <w:sz w:val="20"/>
                <w:lang w:eastAsia="bg-BG"/>
              </w:rPr>
              <w:t xml:space="preserve"> Джи Транс" АД.</w:t>
            </w:r>
          </w:p>
          <w:p w14:paraId="4F7F737E" w14:textId="77777777" w:rsidR="00D56F61" w:rsidRPr="00675FFF" w:rsidRDefault="00D56F61" w:rsidP="009972FF">
            <w:pPr>
              <w:jc w:val="left"/>
              <w:rPr>
                <w:sz w:val="24"/>
                <w:szCs w:val="24"/>
                <w:lang w:eastAsia="bg-BG"/>
              </w:rPr>
            </w:pPr>
            <w:r w:rsidRPr="00675FFF">
              <w:rPr>
                <w:sz w:val="24"/>
                <w:szCs w:val="24"/>
                <w:lang w:eastAsia="bg-BG"/>
              </w:rPr>
              <w:t> </w:t>
            </w:r>
          </w:p>
          <w:p w14:paraId="4F7F737F" w14:textId="77777777" w:rsidR="00D56F61" w:rsidRDefault="00D56F61" w:rsidP="009972FF">
            <w:pPr>
              <w:jc w:val="left"/>
              <w:rPr>
                <w:rFonts w:ascii="Verdana" w:hAnsi="Verdana"/>
                <w:sz w:val="20"/>
                <w:lang w:val="en-US" w:eastAsia="bg-BG"/>
              </w:rPr>
            </w:pPr>
            <w:r w:rsidRPr="00675FFF">
              <w:rPr>
                <w:rFonts w:ascii="Verdana" w:hAnsi="Verdana"/>
                <w:sz w:val="20"/>
                <w:lang w:eastAsia="bg-BG"/>
              </w:rPr>
              <w:t xml:space="preserve"> - Дружеството </w:t>
            </w:r>
            <w:r w:rsidRPr="00675FFF">
              <w:rPr>
                <w:rFonts w:ascii="Verdana" w:hAnsi="Verdana"/>
                <w:b/>
                <w:bCs/>
                <w:sz w:val="20"/>
                <w:lang w:eastAsia="bg-BG"/>
              </w:rPr>
              <w:t>Вестител БГ АД</w:t>
            </w:r>
            <w:r w:rsidRPr="00675FFF">
              <w:rPr>
                <w:rFonts w:ascii="Verdana" w:hAnsi="Verdana"/>
                <w:sz w:val="20"/>
                <w:lang w:eastAsia="bg-BG"/>
              </w:rPr>
              <w:t xml:space="preserve">  е </w:t>
            </w:r>
            <w:proofErr w:type="spellStart"/>
            <w:r w:rsidRPr="00675FFF">
              <w:rPr>
                <w:rFonts w:ascii="Verdana" w:hAnsi="Verdana"/>
                <w:sz w:val="20"/>
                <w:lang w:eastAsia="bg-BG"/>
              </w:rPr>
              <w:t>асоцирано</w:t>
            </w:r>
            <w:proofErr w:type="spellEnd"/>
            <w:r w:rsidRPr="00675FFF">
              <w:rPr>
                <w:rFonts w:ascii="Verdana" w:hAnsi="Verdana"/>
                <w:sz w:val="20"/>
                <w:lang w:eastAsia="bg-BG"/>
              </w:rPr>
              <w:t xml:space="preserve"> на "Овергаз Холдинг" АД, тъй като "Овергаз  Холдинг" АД е акционер с 0,165% в същото. </w:t>
            </w:r>
          </w:p>
          <w:p w14:paraId="4F7F7380" w14:textId="77777777" w:rsidR="00D56F61" w:rsidRPr="00675FFF" w:rsidRDefault="00D56F61" w:rsidP="009972FF">
            <w:pPr>
              <w:jc w:val="left"/>
              <w:rPr>
                <w:rFonts w:ascii="Verdana" w:hAnsi="Verdana"/>
                <w:sz w:val="20"/>
                <w:lang w:val="en-US" w:eastAsia="bg-BG"/>
              </w:rPr>
            </w:pPr>
          </w:p>
          <w:p w14:paraId="4F7F7381" w14:textId="77777777" w:rsidR="00D56F61" w:rsidRPr="00675FFF" w:rsidRDefault="00D56F61" w:rsidP="009972FF">
            <w:pPr>
              <w:pStyle w:val="ListParagraph"/>
              <w:numPr>
                <w:ilvl w:val="0"/>
                <w:numId w:val="34"/>
              </w:numPr>
              <w:ind w:left="0"/>
              <w:jc w:val="left"/>
              <w:rPr>
                <w:sz w:val="24"/>
                <w:szCs w:val="24"/>
                <w:lang w:val="en-US" w:eastAsia="bg-BG"/>
              </w:rPr>
            </w:pPr>
            <w:r>
              <w:rPr>
                <w:lang w:val="en-US"/>
              </w:rPr>
              <w:t xml:space="preserve">-  </w:t>
            </w:r>
            <w:r>
              <w:rPr>
                <w:rFonts w:ascii="Verdana" w:hAnsi="Verdana"/>
                <w:sz w:val="20"/>
                <w:lang w:eastAsia="bg-BG"/>
              </w:rPr>
              <w:t>Овергаз Сервиз са свързани лица, защото има</w:t>
            </w:r>
            <w:r w:rsidRPr="003D748A">
              <w:rPr>
                <w:rFonts w:ascii="Verdana" w:hAnsi="Verdana"/>
                <w:sz w:val="20"/>
                <w:lang w:eastAsia="bg-BG"/>
              </w:rPr>
              <w:t xml:space="preserve"> общо крайно дружество-майка – „ Ди </w:t>
            </w:r>
            <w:proofErr w:type="spellStart"/>
            <w:r w:rsidRPr="003D748A">
              <w:rPr>
                <w:rFonts w:ascii="Verdana" w:hAnsi="Verdana"/>
                <w:sz w:val="20"/>
                <w:lang w:eastAsia="bg-BG"/>
              </w:rPr>
              <w:t>Ди</w:t>
            </w:r>
            <w:proofErr w:type="spellEnd"/>
            <w:r w:rsidRPr="003D748A">
              <w:rPr>
                <w:rFonts w:ascii="Verdana" w:hAnsi="Verdana"/>
                <w:sz w:val="20"/>
                <w:lang w:eastAsia="bg-BG"/>
              </w:rPr>
              <w:t xml:space="preserve"> Мениджмънт” АД.</w:t>
            </w:r>
          </w:p>
          <w:p w14:paraId="4F7F7382" w14:textId="77777777" w:rsidR="00D56F61" w:rsidRPr="00675FFF" w:rsidRDefault="00D56F61" w:rsidP="009972FF">
            <w:pPr>
              <w:pStyle w:val="HTMLPreformatted"/>
              <w:jc w:val="both"/>
              <w:rPr>
                <w:rFonts w:ascii="Verdana" w:hAnsi="Verdana"/>
                <w:sz w:val="20"/>
                <w:szCs w:val="20"/>
                <w:lang w:val="en-US"/>
              </w:rPr>
            </w:pPr>
          </w:p>
          <w:p w14:paraId="4F7F7383" w14:textId="77777777" w:rsidR="00D56F61" w:rsidRPr="0007516E" w:rsidRDefault="00D56F61" w:rsidP="009972FF">
            <w:pPr>
              <w:pStyle w:val="HTMLPreformatted"/>
              <w:jc w:val="both"/>
              <w:rPr>
                <w:rFonts w:ascii="Verdana" w:hAnsi="Verdana"/>
                <w:b/>
                <w:sz w:val="20"/>
                <w:szCs w:val="20"/>
              </w:rPr>
            </w:pPr>
          </w:p>
        </w:tc>
      </w:tr>
      <w:tr w:rsidR="00D56F61" w:rsidRPr="0007516E" w14:paraId="4F7F7393" w14:textId="77777777" w:rsidTr="009972FF">
        <w:trPr>
          <w:trHeight w:val="131"/>
          <w:tblCellSpacing w:w="0" w:type="dxa"/>
        </w:trPr>
        <w:tc>
          <w:tcPr>
            <w:tcW w:w="9450" w:type="dxa"/>
            <w:vAlign w:val="center"/>
          </w:tcPr>
          <w:p w14:paraId="4F7F7385" w14:textId="77777777" w:rsidR="00D56F61" w:rsidRPr="00915829" w:rsidRDefault="00D56F61" w:rsidP="009972FF">
            <w:pPr>
              <w:pStyle w:val="HTMLPreformatted"/>
              <w:jc w:val="both"/>
              <w:rPr>
                <w:rFonts w:ascii="Verdana" w:hAnsi="Verdana"/>
                <w:b/>
                <w:sz w:val="20"/>
                <w:szCs w:val="20"/>
              </w:rPr>
            </w:pPr>
            <w:r w:rsidRPr="00915829">
              <w:rPr>
                <w:rFonts w:ascii="Verdana" w:hAnsi="Verdana"/>
                <w:b/>
                <w:sz w:val="20"/>
                <w:szCs w:val="20"/>
              </w:rPr>
              <w:lastRenderedPageBreak/>
              <w:t xml:space="preserve">     5. Информация за събития и показатели с необичаен за </w:t>
            </w:r>
            <w:proofErr w:type="spellStart"/>
            <w:r w:rsidRPr="00915829">
              <w:rPr>
                <w:rFonts w:ascii="Verdana" w:hAnsi="Verdana"/>
                <w:b/>
                <w:sz w:val="20"/>
                <w:szCs w:val="20"/>
              </w:rPr>
              <w:t>емитента</w:t>
            </w:r>
            <w:proofErr w:type="spellEnd"/>
            <w:r w:rsidRPr="00915829">
              <w:rPr>
                <w:rFonts w:ascii="Verdana" w:hAnsi="Verdana"/>
                <w:b/>
                <w:sz w:val="20"/>
                <w:szCs w:val="20"/>
              </w:rPr>
              <w:t xml:space="preserve">, съответно лицето по §1д от допълнителните разпоредби на ЗППЦК, характер, имащи съществено влияние върху дейността му, и реализираните от него приходи и извършени разходи; оценка на влиянието им върху резултатите през текущата година. </w:t>
            </w:r>
          </w:p>
          <w:p w14:paraId="4F7F7386" w14:textId="77777777" w:rsidR="00D56F61" w:rsidRPr="0007516E" w:rsidRDefault="00D56F61" w:rsidP="009972FF">
            <w:pPr>
              <w:pStyle w:val="HTMLPreformatted"/>
              <w:jc w:val="both"/>
              <w:rPr>
                <w:rFonts w:ascii="Verdana" w:hAnsi="Verdana"/>
                <w:sz w:val="20"/>
                <w:szCs w:val="20"/>
              </w:rPr>
            </w:pPr>
          </w:p>
          <w:p w14:paraId="4F7F7387"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 xml:space="preserve">През разглеждания период с Протокол решение на едноличния собственик на капитала на „Топлофикация – Разград“ АД от 29.01.2019 г. е взето решение за увеличаване на капитала на Дружеството от 2 099 171 /два милиона деветдесет и девет </w:t>
            </w:r>
            <w:proofErr w:type="spellStart"/>
            <w:r w:rsidRPr="0007516E">
              <w:rPr>
                <w:rFonts w:ascii="Verdana" w:hAnsi="Verdana"/>
                <w:sz w:val="20"/>
                <w:szCs w:val="20"/>
              </w:rPr>
              <w:t>хилади</w:t>
            </w:r>
            <w:proofErr w:type="spellEnd"/>
            <w:r w:rsidRPr="0007516E">
              <w:rPr>
                <w:rFonts w:ascii="Verdana" w:hAnsi="Verdana"/>
                <w:sz w:val="20"/>
                <w:szCs w:val="20"/>
              </w:rPr>
              <w:t xml:space="preserve"> сто седемдесет и един/ лева на 7 000 </w:t>
            </w:r>
            <w:proofErr w:type="spellStart"/>
            <w:r w:rsidRPr="0007516E">
              <w:rPr>
                <w:rFonts w:ascii="Verdana" w:hAnsi="Verdana"/>
                <w:sz w:val="20"/>
                <w:szCs w:val="20"/>
              </w:rPr>
              <w:t>000</w:t>
            </w:r>
            <w:proofErr w:type="spellEnd"/>
            <w:r w:rsidRPr="0007516E">
              <w:rPr>
                <w:rFonts w:ascii="Verdana" w:hAnsi="Verdana"/>
                <w:sz w:val="20"/>
                <w:szCs w:val="20"/>
              </w:rPr>
              <w:t xml:space="preserve"> /седем милиона/ лева чрез издаване на нови 4 900 829 /четири милиона деветстотин хиляди осемстотин </w:t>
            </w:r>
            <w:r>
              <w:rPr>
                <w:rFonts w:ascii="Verdana" w:hAnsi="Verdana"/>
                <w:sz w:val="20"/>
                <w:szCs w:val="20"/>
              </w:rPr>
              <w:t>двадесет и девет/ броя обикнове</w:t>
            </w:r>
            <w:r w:rsidRPr="0007516E">
              <w:rPr>
                <w:rFonts w:ascii="Verdana" w:hAnsi="Verdana"/>
                <w:sz w:val="20"/>
                <w:szCs w:val="20"/>
              </w:rPr>
              <w:t>ни поименни налични акции с право на глас от капитала на „Топлофикация – Разград“ с номинал от 1 /един/ лев всяка една на обща стойност 4 900 829 /четири милиона деветстотин хиляди осемстотин двадесет и девет/ лева.</w:t>
            </w:r>
          </w:p>
          <w:p w14:paraId="4F7F7388"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Новоиздадените акции са записани какво следва:</w:t>
            </w:r>
          </w:p>
          <w:p w14:paraId="4F7F7389" w14:textId="77777777" w:rsidR="00D56F61" w:rsidRPr="0007516E" w:rsidRDefault="00D56F61" w:rsidP="009972FF">
            <w:pPr>
              <w:pStyle w:val="HTMLPreformatted"/>
              <w:numPr>
                <w:ilvl w:val="0"/>
                <w:numId w:val="34"/>
              </w:numPr>
              <w:ind w:left="357" w:hanging="357"/>
              <w:jc w:val="both"/>
              <w:rPr>
                <w:rFonts w:ascii="Verdana" w:hAnsi="Verdana"/>
                <w:sz w:val="20"/>
                <w:szCs w:val="20"/>
              </w:rPr>
            </w:pPr>
            <w:r w:rsidRPr="0007516E">
              <w:rPr>
                <w:rFonts w:ascii="Verdana" w:hAnsi="Verdana"/>
                <w:sz w:val="20"/>
                <w:szCs w:val="20"/>
              </w:rPr>
              <w:t xml:space="preserve">„Овергаз Холдинг“ АД записва 4 900 828 /четири милиона деветстотин хиляди осемстотин двадесет и осем/ броя обикновени налични поименни акции с право на глас, с номинална стойност 1 /един/ лев всяка, на обща номинална стойност 4 900 828 /четири милиона деветстотин хиляди осемстотин двадесет и осем/ лева. </w:t>
            </w:r>
          </w:p>
          <w:p w14:paraId="4F7F738A" w14:textId="77777777" w:rsidR="00D56F61" w:rsidRPr="0007516E" w:rsidRDefault="00D56F61" w:rsidP="009972FF">
            <w:pPr>
              <w:pStyle w:val="HTMLPreformatted"/>
              <w:numPr>
                <w:ilvl w:val="0"/>
                <w:numId w:val="34"/>
              </w:numPr>
              <w:ind w:left="357" w:hanging="357"/>
              <w:jc w:val="both"/>
              <w:rPr>
                <w:rFonts w:ascii="Verdana" w:hAnsi="Verdana"/>
                <w:sz w:val="20"/>
                <w:szCs w:val="20"/>
              </w:rPr>
            </w:pPr>
            <w:r>
              <w:rPr>
                <w:rFonts w:ascii="Verdana" w:hAnsi="Verdana"/>
                <w:sz w:val="20"/>
                <w:szCs w:val="20"/>
              </w:rPr>
              <w:t xml:space="preserve">„Овергаз </w:t>
            </w:r>
            <w:proofErr w:type="spellStart"/>
            <w:r>
              <w:rPr>
                <w:rFonts w:ascii="Verdana" w:hAnsi="Verdana"/>
                <w:sz w:val="20"/>
                <w:szCs w:val="20"/>
              </w:rPr>
              <w:t>Ди</w:t>
            </w:r>
            <w:r w:rsidRPr="0007516E">
              <w:rPr>
                <w:rFonts w:ascii="Verdana" w:hAnsi="Verdana"/>
                <w:sz w:val="20"/>
                <w:szCs w:val="20"/>
              </w:rPr>
              <w:t>рект</w:t>
            </w:r>
            <w:proofErr w:type="spellEnd"/>
            <w:r w:rsidRPr="0007516E">
              <w:rPr>
                <w:rFonts w:ascii="Verdana" w:hAnsi="Verdana"/>
                <w:sz w:val="20"/>
                <w:szCs w:val="20"/>
              </w:rPr>
              <w:t>“ АД записва 1 /един/ брой обикновена налична поименна акция с право на глас от увеличението на капитала, с номинала стойност 1 /един/ лев, на обща номинална стойност 1 /един/ лев.</w:t>
            </w:r>
          </w:p>
          <w:p w14:paraId="4F7F738B" w14:textId="77777777" w:rsidR="00D56F61" w:rsidRPr="0007516E" w:rsidRDefault="00D56F61" w:rsidP="009972FF">
            <w:pPr>
              <w:pStyle w:val="HTMLPreformatted"/>
              <w:jc w:val="both"/>
              <w:rPr>
                <w:rFonts w:ascii="Verdana" w:hAnsi="Verdana"/>
                <w:sz w:val="20"/>
                <w:szCs w:val="20"/>
              </w:rPr>
            </w:pPr>
          </w:p>
          <w:p w14:paraId="4F7F738C"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Емисионната стойност на записаната акция е равна на номиналната.</w:t>
            </w:r>
          </w:p>
          <w:p w14:paraId="4F7F738D" w14:textId="77777777" w:rsidR="00D56F61" w:rsidRPr="0007516E" w:rsidRDefault="00D56F61" w:rsidP="009972FF">
            <w:pPr>
              <w:pStyle w:val="HTMLPreformatted"/>
              <w:jc w:val="both"/>
              <w:rPr>
                <w:rFonts w:ascii="Verdana" w:hAnsi="Verdana"/>
                <w:sz w:val="20"/>
                <w:szCs w:val="20"/>
              </w:rPr>
            </w:pPr>
          </w:p>
          <w:p w14:paraId="4F7F738E"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След направената промяна в ра</w:t>
            </w:r>
            <w:r>
              <w:rPr>
                <w:rFonts w:ascii="Verdana" w:hAnsi="Verdana"/>
                <w:sz w:val="20"/>
                <w:szCs w:val="20"/>
              </w:rPr>
              <w:t>з</w:t>
            </w:r>
            <w:r w:rsidRPr="0007516E">
              <w:rPr>
                <w:rFonts w:ascii="Verdana" w:hAnsi="Verdana"/>
                <w:sz w:val="20"/>
                <w:szCs w:val="20"/>
              </w:rPr>
              <w:t xml:space="preserve">мера на капитала на Дружеството, собствения капитал </w:t>
            </w:r>
            <w:r w:rsidRPr="0007516E">
              <w:rPr>
                <w:rFonts w:ascii="Verdana" w:hAnsi="Verdana"/>
                <w:sz w:val="20"/>
                <w:szCs w:val="20"/>
              </w:rPr>
              <w:lastRenderedPageBreak/>
              <w:t xml:space="preserve">на Дружеството става положителен, като същевременно Дружеството променя </w:t>
            </w:r>
            <w:proofErr w:type="spellStart"/>
            <w:r w:rsidRPr="0007516E">
              <w:rPr>
                <w:rFonts w:ascii="Verdana" w:hAnsi="Verdana"/>
                <w:sz w:val="20"/>
                <w:szCs w:val="20"/>
              </w:rPr>
              <w:t>правноорганизационната</w:t>
            </w:r>
            <w:proofErr w:type="spellEnd"/>
            <w:r w:rsidRPr="0007516E">
              <w:rPr>
                <w:rFonts w:ascii="Verdana" w:hAnsi="Verdana"/>
                <w:sz w:val="20"/>
                <w:szCs w:val="20"/>
              </w:rPr>
              <w:t xml:space="preserve"> си форма от еднолично акционерно дружество /ЕАД/ на акционерно дружество /АД/.</w:t>
            </w:r>
          </w:p>
          <w:p w14:paraId="4F7F738F" w14:textId="77777777" w:rsidR="00D56F61" w:rsidRDefault="00D56F61" w:rsidP="009972FF">
            <w:pPr>
              <w:rPr>
                <w:rFonts w:ascii="Verdana" w:hAnsi="Verdana"/>
                <w:sz w:val="20"/>
                <w:lang w:val="en-US"/>
              </w:rPr>
            </w:pPr>
          </w:p>
          <w:p w14:paraId="4F7F7390" w14:textId="77777777" w:rsidR="00D56F61" w:rsidRPr="00156EDE" w:rsidRDefault="00D56F61" w:rsidP="009972FF">
            <w:pPr>
              <w:rPr>
                <w:rFonts w:ascii="Verdana" w:hAnsi="Verdana"/>
                <w:sz w:val="20"/>
                <w:lang w:val="en-US"/>
              </w:rPr>
            </w:pPr>
            <w:r>
              <w:rPr>
                <w:rFonts w:ascii="Verdana" w:hAnsi="Verdana"/>
                <w:sz w:val="20"/>
              </w:rPr>
              <w:t>Друго събитие, със съществено значение за дейността му е свързано с и</w:t>
            </w:r>
            <w:proofErr w:type="spellStart"/>
            <w:r w:rsidRPr="00156EDE">
              <w:rPr>
                <w:rFonts w:ascii="Verdana" w:hAnsi="Verdana"/>
                <w:sz w:val="20"/>
                <w:lang w:val="en-US"/>
              </w:rPr>
              <w:t>злизане</w:t>
            </w:r>
            <w:proofErr w:type="spellEnd"/>
            <w:r w:rsidRPr="00156EDE">
              <w:rPr>
                <w:rFonts w:ascii="Verdana" w:hAnsi="Verdana"/>
                <w:sz w:val="20"/>
                <w:lang w:val="en-US"/>
              </w:rPr>
              <w:t xml:space="preserve"> </w:t>
            </w:r>
            <w:proofErr w:type="spellStart"/>
            <w:r w:rsidRPr="00156EDE">
              <w:rPr>
                <w:rFonts w:ascii="Verdana" w:hAnsi="Verdana"/>
                <w:sz w:val="20"/>
                <w:lang w:val="en-US"/>
              </w:rPr>
              <w:t>от</w:t>
            </w:r>
            <w:proofErr w:type="spellEnd"/>
            <w:r w:rsidRPr="00156EDE">
              <w:rPr>
                <w:rFonts w:ascii="Verdana" w:hAnsi="Verdana"/>
                <w:sz w:val="20"/>
                <w:lang w:val="en-US"/>
              </w:rPr>
              <w:t xml:space="preserve"> </w:t>
            </w:r>
            <w:proofErr w:type="spellStart"/>
            <w:r w:rsidRPr="00156EDE">
              <w:rPr>
                <w:rFonts w:ascii="Verdana" w:hAnsi="Verdana"/>
                <w:sz w:val="20"/>
                <w:lang w:val="en-US"/>
              </w:rPr>
              <w:t>Европейската</w:t>
            </w:r>
            <w:proofErr w:type="spellEnd"/>
            <w:r w:rsidRPr="00156EDE">
              <w:rPr>
                <w:rFonts w:ascii="Verdana" w:hAnsi="Verdana"/>
                <w:sz w:val="20"/>
                <w:lang w:val="en-US"/>
              </w:rPr>
              <w:t xml:space="preserve"> </w:t>
            </w:r>
            <w:proofErr w:type="spellStart"/>
            <w:r w:rsidRPr="00156EDE">
              <w:rPr>
                <w:rFonts w:ascii="Verdana" w:hAnsi="Verdana"/>
                <w:sz w:val="20"/>
                <w:lang w:val="en-US"/>
              </w:rPr>
              <w:t>схемата</w:t>
            </w:r>
            <w:proofErr w:type="spellEnd"/>
            <w:r w:rsidRPr="00156EDE">
              <w:rPr>
                <w:rFonts w:ascii="Verdana" w:hAnsi="Verdana"/>
                <w:sz w:val="20"/>
                <w:lang w:val="en-US"/>
              </w:rPr>
              <w:t xml:space="preserve"> за </w:t>
            </w:r>
            <w:proofErr w:type="spellStart"/>
            <w:r w:rsidRPr="00156EDE">
              <w:rPr>
                <w:rFonts w:ascii="Verdana" w:hAnsi="Verdana"/>
                <w:sz w:val="20"/>
                <w:lang w:val="en-US"/>
              </w:rPr>
              <w:t>търговия</w:t>
            </w:r>
            <w:proofErr w:type="spellEnd"/>
            <w:r w:rsidRPr="00156EDE">
              <w:rPr>
                <w:rFonts w:ascii="Verdana" w:hAnsi="Verdana"/>
                <w:sz w:val="20"/>
                <w:lang w:val="en-US"/>
              </w:rPr>
              <w:t xml:space="preserve"> с </w:t>
            </w:r>
            <w:proofErr w:type="spellStart"/>
            <w:r w:rsidRPr="00156EDE">
              <w:rPr>
                <w:rFonts w:ascii="Verdana" w:hAnsi="Verdana"/>
                <w:sz w:val="20"/>
                <w:lang w:val="en-US"/>
              </w:rPr>
              <w:t>емисии</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парникови</w:t>
            </w:r>
            <w:proofErr w:type="spellEnd"/>
            <w:r w:rsidRPr="00156EDE">
              <w:rPr>
                <w:rFonts w:ascii="Verdana" w:hAnsi="Verdana"/>
                <w:sz w:val="20"/>
                <w:lang w:val="en-US"/>
              </w:rPr>
              <w:t xml:space="preserve"> </w:t>
            </w:r>
            <w:proofErr w:type="spellStart"/>
            <w:r w:rsidRPr="00156EDE">
              <w:rPr>
                <w:rFonts w:ascii="Verdana" w:hAnsi="Verdana"/>
                <w:sz w:val="20"/>
                <w:lang w:val="en-US"/>
              </w:rPr>
              <w:t>газове</w:t>
            </w:r>
            <w:proofErr w:type="spellEnd"/>
            <w:r w:rsidRPr="00156EDE">
              <w:rPr>
                <w:rFonts w:ascii="Verdana" w:hAnsi="Verdana"/>
                <w:sz w:val="20"/>
                <w:lang w:val="en-US"/>
              </w:rPr>
              <w:t xml:space="preserve"> (ЕСТЕ) </w:t>
            </w:r>
            <w:r>
              <w:rPr>
                <w:rFonts w:ascii="Verdana" w:hAnsi="Verdana"/>
                <w:sz w:val="20"/>
              </w:rPr>
              <w:t xml:space="preserve">на Дружеството, </w:t>
            </w:r>
            <w:proofErr w:type="spellStart"/>
            <w:r w:rsidRPr="00156EDE">
              <w:rPr>
                <w:rFonts w:ascii="Verdana" w:hAnsi="Verdana"/>
                <w:sz w:val="20"/>
                <w:lang w:val="en-US"/>
              </w:rPr>
              <w:t>считано</w:t>
            </w:r>
            <w:proofErr w:type="spellEnd"/>
            <w:r w:rsidRPr="00156EDE">
              <w:rPr>
                <w:rFonts w:ascii="Verdana" w:hAnsi="Verdana"/>
                <w:sz w:val="20"/>
                <w:lang w:val="en-US"/>
              </w:rPr>
              <w:t xml:space="preserve"> </w:t>
            </w:r>
            <w:proofErr w:type="spellStart"/>
            <w:r w:rsidRPr="00156EDE">
              <w:rPr>
                <w:rFonts w:ascii="Verdana" w:hAnsi="Verdana"/>
                <w:sz w:val="20"/>
                <w:lang w:val="en-US"/>
              </w:rPr>
              <w:t>от</w:t>
            </w:r>
            <w:proofErr w:type="spellEnd"/>
            <w:r w:rsidRPr="00156EDE">
              <w:rPr>
                <w:rFonts w:ascii="Verdana" w:hAnsi="Verdana"/>
                <w:sz w:val="20"/>
                <w:lang w:val="en-US"/>
              </w:rPr>
              <w:t xml:space="preserve"> 30.12.2019 г. </w:t>
            </w:r>
            <w:proofErr w:type="spellStart"/>
            <w:r w:rsidRPr="00156EDE">
              <w:rPr>
                <w:rFonts w:ascii="Verdana" w:hAnsi="Verdana"/>
                <w:sz w:val="20"/>
                <w:lang w:val="en-US"/>
              </w:rPr>
              <w:t>Това</w:t>
            </w:r>
            <w:proofErr w:type="spellEnd"/>
            <w:r w:rsidRPr="00156EDE">
              <w:rPr>
                <w:rFonts w:ascii="Verdana" w:hAnsi="Verdana"/>
                <w:sz w:val="20"/>
                <w:lang w:val="en-US"/>
              </w:rPr>
              <w:t xml:space="preserve"> </w:t>
            </w:r>
            <w:proofErr w:type="spellStart"/>
            <w:r w:rsidRPr="00156EDE">
              <w:rPr>
                <w:rFonts w:ascii="Verdana" w:hAnsi="Verdana"/>
                <w:sz w:val="20"/>
                <w:lang w:val="en-US"/>
              </w:rPr>
              <w:t>бе</w:t>
            </w:r>
            <w:proofErr w:type="spellEnd"/>
            <w:r w:rsidRPr="00156EDE">
              <w:rPr>
                <w:rFonts w:ascii="Verdana" w:hAnsi="Verdana"/>
                <w:sz w:val="20"/>
                <w:lang w:val="en-US"/>
              </w:rPr>
              <w:t xml:space="preserve"> </w:t>
            </w:r>
            <w:proofErr w:type="spellStart"/>
            <w:r w:rsidRPr="00156EDE">
              <w:rPr>
                <w:rFonts w:ascii="Verdana" w:hAnsi="Verdana"/>
                <w:sz w:val="20"/>
                <w:lang w:val="en-US"/>
              </w:rPr>
              <w:t>постигато</w:t>
            </w:r>
            <w:proofErr w:type="spellEnd"/>
            <w:r w:rsidRPr="00156EDE">
              <w:rPr>
                <w:rFonts w:ascii="Verdana" w:hAnsi="Verdana"/>
                <w:sz w:val="20"/>
                <w:lang w:val="en-US"/>
              </w:rPr>
              <w:t xml:space="preserve"> </w:t>
            </w:r>
            <w:proofErr w:type="spellStart"/>
            <w:r w:rsidRPr="00156EDE">
              <w:rPr>
                <w:rFonts w:ascii="Verdana" w:hAnsi="Verdana"/>
                <w:sz w:val="20"/>
                <w:lang w:val="en-US"/>
              </w:rPr>
              <w:t>чрез</w:t>
            </w:r>
            <w:proofErr w:type="spellEnd"/>
            <w:r w:rsidRPr="00156EDE">
              <w:rPr>
                <w:rFonts w:ascii="Verdana" w:hAnsi="Verdana"/>
                <w:sz w:val="20"/>
                <w:lang w:val="en-US"/>
              </w:rPr>
              <w:t xml:space="preserve"> </w:t>
            </w:r>
            <w:proofErr w:type="spellStart"/>
            <w:r w:rsidRPr="00156EDE">
              <w:rPr>
                <w:rFonts w:ascii="Verdana" w:hAnsi="Verdana"/>
                <w:sz w:val="20"/>
                <w:lang w:val="en-US"/>
              </w:rPr>
              <w:t>извеждане</w:t>
            </w:r>
            <w:proofErr w:type="spellEnd"/>
            <w:r w:rsidRPr="00156EDE">
              <w:rPr>
                <w:rFonts w:ascii="Verdana" w:hAnsi="Verdana"/>
                <w:sz w:val="20"/>
                <w:lang w:val="en-US"/>
              </w:rPr>
              <w:t xml:space="preserve"> </w:t>
            </w:r>
            <w:proofErr w:type="spellStart"/>
            <w:r w:rsidRPr="00156EDE">
              <w:rPr>
                <w:rFonts w:ascii="Verdana" w:hAnsi="Verdana"/>
                <w:sz w:val="20"/>
                <w:lang w:val="en-US"/>
              </w:rPr>
              <w:t>от</w:t>
            </w:r>
            <w:proofErr w:type="spellEnd"/>
            <w:r w:rsidRPr="00156EDE">
              <w:rPr>
                <w:rFonts w:ascii="Verdana" w:hAnsi="Verdana"/>
                <w:sz w:val="20"/>
                <w:lang w:val="en-US"/>
              </w:rPr>
              <w:t xml:space="preserve"> </w:t>
            </w:r>
            <w:proofErr w:type="spellStart"/>
            <w:r w:rsidRPr="00156EDE">
              <w:rPr>
                <w:rFonts w:ascii="Verdana" w:hAnsi="Verdana"/>
                <w:sz w:val="20"/>
                <w:lang w:val="en-US"/>
              </w:rPr>
              <w:t>експлоатация</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резервни</w:t>
            </w:r>
            <w:proofErr w:type="spellEnd"/>
            <w:r w:rsidRPr="00156EDE">
              <w:rPr>
                <w:rFonts w:ascii="Verdana" w:hAnsi="Verdana"/>
                <w:sz w:val="20"/>
                <w:lang w:val="en-US"/>
              </w:rPr>
              <w:t xml:space="preserve"> </w:t>
            </w:r>
            <w:proofErr w:type="spellStart"/>
            <w:r w:rsidRPr="00156EDE">
              <w:rPr>
                <w:rFonts w:ascii="Verdana" w:hAnsi="Verdana"/>
                <w:sz w:val="20"/>
                <w:lang w:val="en-US"/>
              </w:rPr>
              <w:t>мощности</w:t>
            </w:r>
            <w:proofErr w:type="spellEnd"/>
            <w:r w:rsidRPr="00156EDE">
              <w:rPr>
                <w:rFonts w:ascii="Verdana" w:hAnsi="Verdana"/>
                <w:sz w:val="20"/>
                <w:lang w:val="en-US"/>
              </w:rPr>
              <w:t xml:space="preserve">, </w:t>
            </w:r>
            <w:proofErr w:type="spellStart"/>
            <w:r w:rsidRPr="00156EDE">
              <w:rPr>
                <w:rFonts w:ascii="Verdana" w:hAnsi="Verdana"/>
                <w:sz w:val="20"/>
                <w:lang w:val="en-US"/>
              </w:rPr>
              <w:t>следствие</w:t>
            </w:r>
            <w:proofErr w:type="spellEnd"/>
            <w:r w:rsidRPr="00156EDE">
              <w:rPr>
                <w:rFonts w:ascii="Verdana" w:hAnsi="Verdana"/>
                <w:sz w:val="20"/>
                <w:lang w:val="en-US"/>
              </w:rPr>
              <w:t xml:space="preserve"> </w:t>
            </w:r>
            <w:proofErr w:type="spellStart"/>
            <w:r w:rsidRPr="00156EDE">
              <w:rPr>
                <w:rFonts w:ascii="Verdana" w:hAnsi="Verdana"/>
                <w:sz w:val="20"/>
                <w:lang w:val="en-US"/>
              </w:rPr>
              <w:t>извършване</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настройка</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водогрейни</w:t>
            </w:r>
            <w:proofErr w:type="spellEnd"/>
            <w:r w:rsidRPr="00156EDE">
              <w:rPr>
                <w:rFonts w:ascii="Verdana" w:hAnsi="Verdana"/>
                <w:sz w:val="20"/>
                <w:lang w:val="en-US"/>
              </w:rPr>
              <w:t xml:space="preserve"> </w:t>
            </w:r>
            <w:proofErr w:type="spellStart"/>
            <w:r w:rsidRPr="00156EDE">
              <w:rPr>
                <w:rFonts w:ascii="Verdana" w:hAnsi="Verdana"/>
                <w:sz w:val="20"/>
                <w:lang w:val="en-US"/>
              </w:rPr>
              <w:t>котли</w:t>
            </w:r>
            <w:proofErr w:type="spellEnd"/>
            <w:r w:rsidRPr="00156EDE">
              <w:rPr>
                <w:rFonts w:ascii="Verdana" w:hAnsi="Verdana"/>
                <w:sz w:val="20"/>
                <w:lang w:val="en-US"/>
              </w:rPr>
              <w:t xml:space="preserve"> за </w:t>
            </w:r>
            <w:proofErr w:type="spellStart"/>
            <w:r w:rsidRPr="00156EDE">
              <w:rPr>
                <w:rFonts w:ascii="Verdana" w:hAnsi="Verdana"/>
                <w:sz w:val="20"/>
                <w:lang w:val="en-US"/>
              </w:rPr>
              <w:t>работа</w:t>
            </w:r>
            <w:proofErr w:type="spellEnd"/>
            <w:r w:rsidRPr="00156EDE">
              <w:rPr>
                <w:rFonts w:ascii="Verdana" w:hAnsi="Verdana"/>
                <w:sz w:val="20"/>
                <w:lang w:val="en-US"/>
              </w:rPr>
              <w:t xml:space="preserve"> с </w:t>
            </w:r>
            <w:proofErr w:type="spellStart"/>
            <w:r w:rsidRPr="00156EDE">
              <w:rPr>
                <w:rFonts w:ascii="Verdana" w:hAnsi="Verdana"/>
                <w:sz w:val="20"/>
                <w:lang w:val="en-US"/>
              </w:rPr>
              <w:t>резервно</w:t>
            </w:r>
            <w:proofErr w:type="spellEnd"/>
            <w:r w:rsidRPr="00156EDE">
              <w:rPr>
                <w:rFonts w:ascii="Verdana" w:hAnsi="Verdana"/>
                <w:sz w:val="20"/>
                <w:lang w:val="en-US"/>
              </w:rPr>
              <w:t xml:space="preserve"> </w:t>
            </w:r>
            <w:proofErr w:type="spellStart"/>
            <w:r w:rsidRPr="00156EDE">
              <w:rPr>
                <w:rFonts w:ascii="Verdana" w:hAnsi="Verdana"/>
                <w:sz w:val="20"/>
                <w:lang w:val="en-US"/>
              </w:rPr>
              <w:t>гориво</w:t>
            </w:r>
            <w:proofErr w:type="spellEnd"/>
            <w:r w:rsidRPr="00156EDE">
              <w:rPr>
                <w:rFonts w:ascii="Verdana" w:hAnsi="Verdana"/>
                <w:sz w:val="20"/>
                <w:lang w:val="en-US"/>
              </w:rPr>
              <w:t xml:space="preserve"> "</w:t>
            </w:r>
            <w:proofErr w:type="spellStart"/>
            <w:r w:rsidRPr="00156EDE">
              <w:rPr>
                <w:rFonts w:ascii="Verdana" w:hAnsi="Verdana"/>
                <w:sz w:val="20"/>
                <w:lang w:val="en-US"/>
              </w:rPr>
              <w:t>мазут</w:t>
            </w:r>
            <w:proofErr w:type="spellEnd"/>
            <w:r w:rsidRPr="00156EDE">
              <w:rPr>
                <w:rFonts w:ascii="Verdana" w:hAnsi="Verdana"/>
                <w:sz w:val="20"/>
                <w:lang w:val="en-US"/>
              </w:rPr>
              <w:t xml:space="preserve">". </w:t>
            </w:r>
            <w:proofErr w:type="spellStart"/>
            <w:r w:rsidRPr="00156EDE">
              <w:rPr>
                <w:rFonts w:ascii="Verdana" w:hAnsi="Verdana"/>
                <w:sz w:val="20"/>
                <w:lang w:val="en-US"/>
              </w:rPr>
              <w:t>По</w:t>
            </w:r>
            <w:proofErr w:type="spellEnd"/>
            <w:r w:rsidRPr="00156EDE">
              <w:rPr>
                <w:rFonts w:ascii="Verdana" w:hAnsi="Verdana"/>
                <w:sz w:val="20"/>
                <w:lang w:val="en-US"/>
              </w:rPr>
              <w:t xml:space="preserve"> </w:t>
            </w:r>
            <w:proofErr w:type="spellStart"/>
            <w:r w:rsidRPr="00156EDE">
              <w:rPr>
                <w:rFonts w:ascii="Verdana" w:hAnsi="Verdana"/>
                <w:sz w:val="20"/>
                <w:lang w:val="en-US"/>
              </w:rPr>
              <w:t>този</w:t>
            </w:r>
            <w:proofErr w:type="spellEnd"/>
            <w:r w:rsidRPr="00156EDE">
              <w:rPr>
                <w:rFonts w:ascii="Verdana" w:hAnsi="Verdana"/>
                <w:sz w:val="20"/>
                <w:lang w:val="en-US"/>
              </w:rPr>
              <w:t xml:space="preserve"> </w:t>
            </w:r>
            <w:proofErr w:type="spellStart"/>
            <w:r w:rsidRPr="00156EDE">
              <w:rPr>
                <w:rFonts w:ascii="Verdana" w:hAnsi="Verdana"/>
                <w:sz w:val="20"/>
                <w:lang w:val="en-US"/>
              </w:rPr>
              <w:t>начин</w:t>
            </w:r>
            <w:proofErr w:type="spellEnd"/>
            <w:r w:rsidRPr="00156EDE">
              <w:rPr>
                <w:rFonts w:ascii="Verdana" w:hAnsi="Verdana"/>
                <w:sz w:val="20"/>
                <w:lang w:val="en-US"/>
              </w:rPr>
              <w:t xml:space="preserve"> </w:t>
            </w:r>
            <w:proofErr w:type="spellStart"/>
            <w:r w:rsidRPr="00156EDE">
              <w:rPr>
                <w:rFonts w:ascii="Verdana" w:hAnsi="Verdana"/>
                <w:sz w:val="20"/>
                <w:lang w:val="en-US"/>
              </w:rPr>
              <w:t>се</w:t>
            </w:r>
            <w:proofErr w:type="spellEnd"/>
            <w:r w:rsidRPr="00156EDE">
              <w:rPr>
                <w:rFonts w:ascii="Verdana" w:hAnsi="Verdana"/>
                <w:sz w:val="20"/>
                <w:lang w:val="en-US"/>
              </w:rPr>
              <w:t xml:space="preserve"> </w:t>
            </w:r>
            <w:proofErr w:type="spellStart"/>
            <w:r w:rsidRPr="00156EDE">
              <w:rPr>
                <w:rFonts w:ascii="Verdana" w:hAnsi="Verdana"/>
                <w:sz w:val="20"/>
                <w:lang w:val="en-US"/>
              </w:rPr>
              <w:t>постигна</w:t>
            </w:r>
            <w:proofErr w:type="spellEnd"/>
            <w:r w:rsidRPr="00156EDE">
              <w:rPr>
                <w:rFonts w:ascii="Verdana" w:hAnsi="Verdana"/>
                <w:sz w:val="20"/>
                <w:lang w:val="en-US"/>
              </w:rPr>
              <w:t xml:space="preserve"> </w:t>
            </w:r>
            <w:proofErr w:type="spellStart"/>
            <w:r w:rsidRPr="00156EDE">
              <w:rPr>
                <w:rFonts w:ascii="Verdana" w:hAnsi="Verdana"/>
                <w:sz w:val="20"/>
                <w:lang w:val="en-US"/>
              </w:rPr>
              <w:t>намаляване</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общата</w:t>
            </w:r>
            <w:proofErr w:type="spellEnd"/>
            <w:r w:rsidRPr="00156EDE">
              <w:rPr>
                <w:rFonts w:ascii="Verdana" w:hAnsi="Verdana"/>
                <w:sz w:val="20"/>
                <w:lang w:val="en-US"/>
              </w:rPr>
              <w:t xml:space="preserve"> </w:t>
            </w:r>
            <w:proofErr w:type="spellStart"/>
            <w:r w:rsidRPr="00156EDE">
              <w:rPr>
                <w:rFonts w:ascii="Verdana" w:hAnsi="Verdana"/>
                <w:sz w:val="20"/>
                <w:lang w:val="en-US"/>
              </w:rPr>
              <w:t>номинална</w:t>
            </w:r>
            <w:proofErr w:type="spellEnd"/>
            <w:r w:rsidRPr="00156EDE">
              <w:rPr>
                <w:rFonts w:ascii="Verdana" w:hAnsi="Verdana"/>
                <w:sz w:val="20"/>
                <w:lang w:val="en-US"/>
              </w:rPr>
              <w:t xml:space="preserve"> </w:t>
            </w:r>
            <w:proofErr w:type="spellStart"/>
            <w:r w:rsidRPr="00156EDE">
              <w:rPr>
                <w:rFonts w:ascii="Verdana" w:hAnsi="Verdana"/>
                <w:sz w:val="20"/>
                <w:lang w:val="en-US"/>
              </w:rPr>
              <w:t>топлинна</w:t>
            </w:r>
            <w:proofErr w:type="spellEnd"/>
            <w:r w:rsidRPr="00156EDE">
              <w:rPr>
                <w:rFonts w:ascii="Verdana" w:hAnsi="Verdana"/>
                <w:sz w:val="20"/>
                <w:lang w:val="en-US"/>
              </w:rPr>
              <w:t xml:space="preserve"> </w:t>
            </w:r>
            <w:proofErr w:type="spellStart"/>
            <w:r w:rsidRPr="00156EDE">
              <w:rPr>
                <w:rFonts w:ascii="Verdana" w:hAnsi="Verdana"/>
                <w:sz w:val="20"/>
                <w:lang w:val="en-US"/>
              </w:rPr>
              <w:t>мощност</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територията</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Централата</w:t>
            </w:r>
            <w:proofErr w:type="spellEnd"/>
            <w:r w:rsidRPr="00156EDE">
              <w:rPr>
                <w:rFonts w:ascii="Verdana" w:hAnsi="Verdana"/>
                <w:sz w:val="20"/>
                <w:lang w:val="en-US"/>
              </w:rPr>
              <w:t xml:space="preserve"> </w:t>
            </w:r>
            <w:proofErr w:type="spellStart"/>
            <w:r w:rsidRPr="00156EDE">
              <w:rPr>
                <w:rFonts w:ascii="Verdana" w:hAnsi="Verdana"/>
                <w:sz w:val="20"/>
                <w:lang w:val="en-US"/>
              </w:rPr>
              <w:t>до</w:t>
            </w:r>
            <w:proofErr w:type="spellEnd"/>
            <w:r w:rsidRPr="00156EDE">
              <w:rPr>
                <w:rFonts w:ascii="Verdana" w:hAnsi="Verdana"/>
                <w:sz w:val="20"/>
                <w:lang w:val="en-US"/>
              </w:rPr>
              <w:t xml:space="preserve"> 18,422 MW. </w:t>
            </w:r>
            <w:proofErr w:type="spellStart"/>
            <w:r w:rsidRPr="00156EDE">
              <w:rPr>
                <w:rFonts w:ascii="Verdana" w:hAnsi="Verdana"/>
                <w:sz w:val="20"/>
                <w:lang w:val="en-US"/>
              </w:rPr>
              <w:t>Допълнително</w:t>
            </w:r>
            <w:proofErr w:type="spellEnd"/>
            <w:r w:rsidRPr="00156EDE">
              <w:rPr>
                <w:rFonts w:ascii="Verdana" w:hAnsi="Verdana"/>
                <w:sz w:val="20"/>
                <w:lang w:val="en-US"/>
              </w:rPr>
              <w:t xml:space="preserve"> </w:t>
            </w:r>
            <w:proofErr w:type="spellStart"/>
            <w:r w:rsidRPr="00156EDE">
              <w:rPr>
                <w:rFonts w:ascii="Verdana" w:hAnsi="Verdana"/>
                <w:sz w:val="20"/>
                <w:lang w:val="en-US"/>
              </w:rPr>
              <w:t>бяха</w:t>
            </w:r>
            <w:proofErr w:type="spellEnd"/>
            <w:r w:rsidRPr="00156EDE">
              <w:rPr>
                <w:rFonts w:ascii="Verdana" w:hAnsi="Verdana"/>
                <w:sz w:val="20"/>
                <w:lang w:val="en-US"/>
              </w:rPr>
              <w:t xml:space="preserve"> </w:t>
            </w:r>
            <w:proofErr w:type="spellStart"/>
            <w:r w:rsidRPr="00156EDE">
              <w:rPr>
                <w:rFonts w:ascii="Verdana" w:hAnsi="Verdana"/>
                <w:sz w:val="20"/>
                <w:lang w:val="en-US"/>
              </w:rPr>
              <w:t>изградени</w:t>
            </w:r>
            <w:proofErr w:type="spellEnd"/>
            <w:r w:rsidRPr="00156EDE">
              <w:rPr>
                <w:rFonts w:ascii="Verdana" w:hAnsi="Verdana"/>
                <w:sz w:val="20"/>
                <w:lang w:val="en-US"/>
              </w:rPr>
              <w:t xml:space="preserve"> </w:t>
            </w:r>
            <w:proofErr w:type="spellStart"/>
            <w:r w:rsidRPr="00156EDE">
              <w:rPr>
                <w:rFonts w:ascii="Verdana" w:hAnsi="Verdana"/>
                <w:sz w:val="20"/>
                <w:lang w:val="en-US"/>
              </w:rPr>
              <w:t>два</w:t>
            </w:r>
            <w:proofErr w:type="spellEnd"/>
            <w:r w:rsidRPr="00156EDE">
              <w:rPr>
                <w:rFonts w:ascii="Verdana" w:hAnsi="Verdana"/>
                <w:sz w:val="20"/>
                <w:lang w:val="en-US"/>
              </w:rPr>
              <w:t xml:space="preserve"> </w:t>
            </w:r>
            <w:proofErr w:type="spellStart"/>
            <w:r w:rsidRPr="00156EDE">
              <w:rPr>
                <w:rFonts w:ascii="Verdana" w:hAnsi="Verdana"/>
                <w:sz w:val="20"/>
                <w:lang w:val="en-US"/>
              </w:rPr>
              <w:t>броя</w:t>
            </w:r>
            <w:proofErr w:type="spellEnd"/>
            <w:r w:rsidRPr="00156EDE">
              <w:rPr>
                <w:rFonts w:ascii="Verdana" w:hAnsi="Verdana"/>
                <w:sz w:val="20"/>
                <w:lang w:val="en-US"/>
              </w:rPr>
              <w:t xml:space="preserve"> </w:t>
            </w:r>
            <w:proofErr w:type="spellStart"/>
            <w:r w:rsidRPr="00156EDE">
              <w:rPr>
                <w:rFonts w:ascii="Verdana" w:hAnsi="Verdana"/>
                <w:sz w:val="20"/>
                <w:lang w:val="en-US"/>
              </w:rPr>
              <w:t>изнесени</w:t>
            </w:r>
            <w:proofErr w:type="spellEnd"/>
            <w:r w:rsidRPr="00156EDE">
              <w:rPr>
                <w:rFonts w:ascii="Verdana" w:hAnsi="Verdana"/>
                <w:sz w:val="20"/>
                <w:lang w:val="en-US"/>
              </w:rPr>
              <w:t xml:space="preserve"> </w:t>
            </w:r>
            <w:proofErr w:type="spellStart"/>
            <w:r w:rsidRPr="00156EDE">
              <w:rPr>
                <w:rFonts w:ascii="Verdana" w:hAnsi="Verdana"/>
                <w:sz w:val="20"/>
                <w:lang w:val="en-US"/>
              </w:rPr>
              <w:t>котелни</w:t>
            </w:r>
            <w:proofErr w:type="spellEnd"/>
            <w:r w:rsidRPr="00156EDE">
              <w:rPr>
                <w:rFonts w:ascii="Verdana" w:hAnsi="Verdana"/>
                <w:sz w:val="20"/>
                <w:lang w:val="en-US"/>
              </w:rPr>
              <w:t xml:space="preserve">, </w:t>
            </w:r>
            <w:proofErr w:type="spellStart"/>
            <w:r w:rsidRPr="00156EDE">
              <w:rPr>
                <w:rFonts w:ascii="Verdana" w:hAnsi="Verdana"/>
                <w:sz w:val="20"/>
                <w:lang w:val="en-US"/>
              </w:rPr>
              <w:t>същите</w:t>
            </w:r>
            <w:proofErr w:type="spellEnd"/>
            <w:r w:rsidRPr="00156EDE">
              <w:rPr>
                <w:rFonts w:ascii="Verdana" w:hAnsi="Verdana"/>
                <w:sz w:val="20"/>
                <w:lang w:val="en-US"/>
              </w:rPr>
              <w:t xml:space="preserve"> с </w:t>
            </w:r>
            <w:proofErr w:type="spellStart"/>
            <w:r w:rsidRPr="00156EDE">
              <w:rPr>
                <w:rFonts w:ascii="Verdana" w:hAnsi="Verdana"/>
                <w:sz w:val="20"/>
                <w:lang w:val="en-US"/>
              </w:rPr>
              <w:t>характер</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върхови</w:t>
            </w:r>
            <w:proofErr w:type="spellEnd"/>
            <w:r w:rsidRPr="00156EDE">
              <w:rPr>
                <w:rFonts w:ascii="Verdana" w:hAnsi="Verdana"/>
                <w:sz w:val="20"/>
                <w:lang w:val="en-US"/>
              </w:rPr>
              <w:t xml:space="preserve"> </w:t>
            </w:r>
            <w:proofErr w:type="spellStart"/>
            <w:r w:rsidRPr="00156EDE">
              <w:rPr>
                <w:rFonts w:ascii="Verdana" w:hAnsi="Verdana"/>
                <w:sz w:val="20"/>
                <w:lang w:val="en-US"/>
              </w:rPr>
              <w:t>мощности</w:t>
            </w:r>
            <w:proofErr w:type="spellEnd"/>
            <w:r w:rsidRPr="00156EDE">
              <w:rPr>
                <w:rFonts w:ascii="Verdana" w:hAnsi="Verdana"/>
                <w:sz w:val="20"/>
                <w:lang w:val="en-US"/>
              </w:rPr>
              <w:t xml:space="preserve">. </w:t>
            </w:r>
            <w:proofErr w:type="spellStart"/>
            <w:r w:rsidRPr="00156EDE">
              <w:rPr>
                <w:rFonts w:ascii="Verdana" w:hAnsi="Verdana"/>
                <w:sz w:val="20"/>
                <w:lang w:val="en-US"/>
              </w:rPr>
              <w:t>Тази</w:t>
            </w:r>
            <w:proofErr w:type="spellEnd"/>
            <w:r w:rsidRPr="00156EDE">
              <w:rPr>
                <w:rFonts w:ascii="Verdana" w:hAnsi="Verdana"/>
                <w:sz w:val="20"/>
                <w:lang w:val="en-US"/>
              </w:rPr>
              <w:t xml:space="preserve"> </w:t>
            </w:r>
            <w:proofErr w:type="spellStart"/>
            <w:r w:rsidRPr="00156EDE">
              <w:rPr>
                <w:rFonts w:ascii="Verdana" w:hAnsi="Verdana"/>
                <w:sz w:val="20"/>
                <w:lang w:val="en-US"/>
              </w:rPr>
              <w:t>промяна</w:t>
            </w:r>
            <w:proofErr w:type="spellEnd"/>
            <w:r w:rsidRPr="00156EDE">
              <w:rPr>
                <w:rFonts w:ascii="Verdana" w:hAnsi="Verdana"/>
                <w:sz w:val="20"/>
                <w:lang w:val="en-US"/>
              </w:rPr>
              <w:t xml:space="preserve"> </w:t>
            </w:r>
            <w:proofErr w:type="spellStart"/>
            <w:r w:rsidRPr="00156EDE">
              <w:rPr>
                <w:rFonts w:ascii="Verdana" w:hAnsi="Verdana"/>
                <w:sz w:val="20"/>
                <w:lang w:val="en-US"/>
              </w:rPr>
              <w:t>ще</w:t>
            </w:r>
            <w:proofErr w:type="spellEnd"/>
            <w:r w:rsidRPr="00156EDE">
              <w:rPr>
                <w:rFonts w:ascii="Verdana" w:hAnsi="Verdana"/>
                <w:sz w:val="20"/>
                <w:lang w:val="en-US"/>
              </w:rPr>
              <w:t xml:space="preserve"> </w:t>
            </w:r>
            <w:proofErr w:type="spellStart"/>
            <w:r w:rsidRPr="00156EDE">
              <w:rPr>
                <w:rFonts w:ascii="Verdana" w:hAnsi="Verdana"/>
                <w:sz w:val="20"/>
                <w:lang w:val="en-US"/>
              </w:rPr>
              <w:t>доведе</w:t>
            </w:r>
            <w:proofErr w:type="spellEnd"/>
            <w:r w:rsidRPr="00156EDE">
              <w:rPr>
                <w:rFonts w:ascii="Verdana" w:hAnsi="Verdana"/>
                <w:sz w:val="20"/>
                <w:lang w:val="en-US"/>
              </w:rPr>
              <w:t xml:space="preserve"> </w:t>
            </w:r>
            <w:proofErr w:type="spellStart"/>
            <w:r w:rsidRPr="00156EDE">
              <w:rPr>
                <w:rFonts w:ascii="Verdana" w:hAnsi="Verdana"/>
                <w:sz w:val="20"/>
                <w:lang w:val="en-US"/>
              </w:rPr>
              <w:t>до</w:t>
            </w:r>
            <w:proofErr w:type="spellEnd"/>
            <w:r w:rsidRPr="00156EDE">
              <w:rPr>
                <w:rFonts w:ascii="Verdana" w:hAnsi="Verdana"/>
                <w:sz w:val="20"/>
                <w:lang w:val="en-US"/>
              </w:rPr>
              <w:t xml:space="preserve"> </w:t>
            </w:r>
            <w:proofErr w:type="spellStart"/>
            <w:r w:rsidRPr="00156EDE">
              <w:rPr>
                <w:rFonts w:ascii="Verdana" w:hAnsi="Verdana"/>
                <w:sz w:val="20"/>
                <w:lang w:val="en-US"/>
              </w:rPr>
              <w:t>елиминиране</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разхода</w:t>
            </w:r>
            <w:proofErr w:type="spellEnd"/>
            <w:r w:rsidRPr="00156EDE">
              <w:rPr>
                <w:rFonts w:ascii="Verdana" w:hAnsi="Verdana"/>
                <w:sz w:val="20"/>
                <w:lang w:val="en-US"/>
              </w:rPr>
              <w:t xml:space="preserve"> за </w:t>
            </w:r>
            <w:proofErr w:type="spellStart"/>
            <w:r w:rsidRPr="00156EDE">
              <w:rPr>
                <w:rFonts w:ascii="Verdana" w:hAnsi="Verdana"/>
                <w:sz w:val="20"/>
                <w:lang w:val="en-US"/>
              </w:rPr>
              <w:t>квоти</w:t>
            </w:r>
            <w:proofErr w:type="spellEnd"/>
            <w:r w:rsidRPr="00156EDE">
              <w:rPr>
                <w:rFonts w:ascii="Verdana" w:hAnsi="Verdana"/>
                <w:sz w:val="20"/>
                <w:lang w:val="en-US"/>
              </w:rPr>
              <w:t xml:space="preserve"> за </w:t>
            </w:r>
            <w:proofErr w:type="spellStart"/>
            <w:r w:rsidRPr="00156EDE">
              <w:rPr>
                <w:rFonts w:ascii="Verdana" w:hAnsi="Verdana"/>
                <w:sz w:val="20"/>
                <w:lang w:val="en-US"/>
              </w:rPr>
              <w:t>емисии</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парникови</w:t>
            </w:r>
            <w:proofErr w:type="spellEnd"/>
            <w:r w:rsidRPr="00156EDE">
              <w:rPr>
                <w:rFonts w:ascii="Verdana" w:hAnsi="Verdana"/>
                <w:sz w:val="20"/>
                <w:lang w:val="en-US"/>
              </w:rPr>
              <w:t xml:space="preserve"> </w:t>
            </w:r>
            <w:proofErr w:type="spellStart"/>
            <w:r w:rsidRPr="00156EDE">
              <w:rPr>
                <w:rFonts w:ascii="Verdana" w:hAnsi="Verdana"/>
                <w:sz w:val="20"/>
                <w:lang w:val="en-US"/>
              </w:rPr>
              <w:t>газове</w:t>
            </w:r>
            <w:proofErr w:type="spellEnd"/>
            <w:r w:rsidRPr="00156EDE">
              <w:rPr>
                <w:rFonts w:ascii="Verdana" w:hAnsi="Verdana"/>
                <w:sz w:val="20"/>
                <w:lang w:val="en-US"/>
              </w:rPr>
              <w:t xml:space="preserve">, </w:t>
            </w:r>
            <w:proofErr w:type="spellStart"/>
            <w:r w:rsidRPr="00156EDE">
              <w:rPr>
                <w:rFonts w:ascii="Verdana" w:hAnsi="Verdana"/>
                <w:sz w:val="20"/>
                <w:lang w:val="en-US"/>
              </w:rPr>
              <w:t>който</w:t>
            </w:r>
            <w:proofErr w:type="spellEnd"/>
            <w:r w:rsidRPr="00156EDE">
              <w:rPr>
                <w:rFonts w:ascii="Verdana" w:hAnsi="Verdana"/>
                <w:sz w:val="20"/>
                <w:lang w:val="en-US"/>
              </w:rPr>
              <w:t xml:space="preserve"> </w:t>
            </w:r>
            <w:proofErr w:type="spellStart"/>
            <w:r w:rsidRPr="00156EDE">
              <w:rPr>
                <w:rFonts w:ascii="Verdana" w:hAnsi="Verdana"/>
                <w:sz w:val="20"/>
                <w:lang w:val="en-US"/>
              </w:rPr>
              <w:t>през</w:t>
            </w:r>
            <w:proofErr w:type="spellEnd"/>
            <w:r w:rsidRPr="00156EDE">
              <w:rPr>
                <w:rFonts w:ascii="Verdana" w:hAnsi="Verdana"/>
                <w:sz w:val="20"/>
                <w:lang w:val="en-US"/>
              </w:rPr>
              <w:t xml:space="preserve"> </w:t>
            </w:r>
            <w:proofErr w:type="spellStart"/>
            <w:r w:rsidRPr="00156EDE">
              <w:rPr>
                <w:rFonts w:ascii="Verdana" w:hAnsi="Verdana"/>
                <w:sz w:val="20"/>
                <w:lang w:val="en-US"/>
              </w:rPr>
              <w:t>годините</w:t>
            </w:r>
            <w:proofErr w:type="spellEnd"/>
            <w:r w:rsidRPr="00156EDE">
              <w:rPr>
                <w:rFonts w:ascii="Verdana" w:hAnsi="Verdana"/>
                <w:sz w:val="20"/>
                <w:lang w:val="en-US"/>
              </w:rPr>
              <w:t xml:space="preserve"> </w:t>
            </w:r>
            <w:proofErr w:type="spellStart"/>
            <w:r w:rsidRPr="00156EDE">
              <w:rPr>
                <w:rFonts w:ascii="Verdana" w:hAnsi="Verdana"/>
                <w:sz w:val="20"/>
                <w:lang w:val="en-US"/>
              </w:rPr>
              <w:t>формира</w:t>
            </w:r>
            <w:proofErr w:type="spellEnd"/>
            <w:r w:rsidRPr="00156EDE">
              <w:rPr>
                <w:rFonts w:ascii="Verdana" w:hAnsi="Verdana"/>
                <w:sz w:val="20"/>
                <w:lang w:val="en-US"/>
              </w:rPr>
              <w:t xml:space="preserve"> </w:t>
            </w:r>
            <w:proofErr w:type="spellStart"/>
            <w:r w:rsidRPr="00156EDE">
              <w:rPr>
                <w:rFonts w:ascii="Verdana" w:hAnsi="Verdana"/>
                <w:sz w:val="20"/>
                <w:lang w:val="en-US"/>
              </w:rPr>
              <w:t>значителен</w:t>
            </w:r>
            <w:proofErr w:type="spellEnd"/>
            <w:r w:rsidRPr="00156EDE">
              <w:rPr>
                <w:rFonts w:ascii="Verdana" w:hAnsi="Verdana"/>
                <w:sz w:val="20"/>
                <w:lang w:val="en-US"/>
              </w:rPr>
              <w:t xml:space="preserve"> </w:t>
            </w:r>
            <w:proofErr w:type="spellStart"/>
            <w:r w:rsidRPr="00156EDE">
              <w:rPr>
                <w:rFonts w:ascii="Verdana" w:hAnsi="Verdana"/>
                <w:sz w:val="20"/>
                <w:lang w:val="en-US"/>
              </w:rPr>
              <w:t>дял</w:t>
            </w:r>
            <w:proofErr w:type="spellEnd"/>
            <w:r w:rsidRPr="00156EDE">
              <w:rPr>
                <w:rFonts w:ascii="Verdana" w:hAnsi="Verdana"/>
                <w:sz w:val="20"/>
                <w:lang w:val="en-US"/>
              </w:rPr>
              <w:t xml:space="preserve"> </w:t>
            </w:r>
            <w:proofErr w:type="spellStart"/>
            <w:r w:rsidRPr="00156EDE">
              <w:rPr>
                <w:rFonts w:ascii="Verdana" w:hAnsi="Verdana"/>
                <w:sz w:val="20"/>
                <w:lang w:val="en-US"/>
              </w:rPr>
              <w:t>от</w:t>
            </w:r>
            <w:proofErr w:type="spellEnd"/>
            <w:r w:rsidRPr="00156EDE">
              <w:rPr>
                <w:rFonts w:ascii="Verdana" w:hAnsi="Verdana"/>
                <w:sz w:val="20"/>
                <w:lang w:val="en-US"/>
              </w:rPr>
              <w:t xml:space="preserve"> </w:t>
            </w:r>
            <w:proofErr w:type="spellStart"/>
            <w:r w:rsidRPr="00156EDE">
              <w:rPr>
                <w:rFonts w:ascii="Verdana" w:hAnsi="Verdana"/>
                <w:sz w:val="20"/>
                <w:lang w:val="en-US"/>
              </w:rPr>
              <w:t>общите</w:t>
            </w:r>
            <w:proofErr w:type="spellEnd"/>
            <w:r w:rsidRPr="00156EDE">
              <w:rPr>
                <w:rFonts w:ascii="Verdana" w:hAnsi="Verdana"/>
                <w:sz w:val="20"/>
                <w:lang w:val="en-US"/>
              </w:rPr>
              <w:t xml:space="preserve"> </w:t>
            </w:r>
            <w:proofErr w:type="spellStart"/>
            <w:r w:rsidRPr="00156EDE">
              <w:rPr>
                <w:rFonts w:ascii="Verdana" w:hAnsi="Verdana"/>
                <w:sz w:val="20"/>
                <w:lang w:val="en-US"/>
              </w:rPr>
              <w:t>разходи</w:t>
            </w:r>
            <w:proofErr w:type="spellEnd"/>
            <w:r w:rsidRPr="00156EDE">
              <w:rPr>
                <w:rFonts w:ascii="Verdana" w:hAnsi="Verdana"/>
                <w:sz w:val="20"/>
                <w:lang w:val="en-US"/>
              </w:rPr>
              <w:t xml:space="preserve"> </w:t>
            </w:r>
            <w:proofErr w:type="spellStart"/>
            <w:r w:rsidRPr="00156EDE">
              <w:rPr>
                <w:rFonts w:ascii="Verdana" w:hAnsi="Verdana"/>
                <w:sz w:val="20"/>
                <w:lang w:val="en-US"/>
              </w:rPr>
              <w:t>на</w:t>
            </w:r>
            <w:proofErr w:type="spellEnd"/>
            <w:r w:rsidRPr="00156EDE">
              <w:rPr>
                <w:rFonts w:ascii="Verdana" w:hAnsi="Verdana"/>
                <w:sz w:val="20"/>
                <w:lang w:val="en-US"/>
              </w:rPr>
              <w:t xml:space="preserve"> </w:t>
            </w:r>
            <w:proofErr w:type="spellStart"/>
            <w:r w:rsidRPr="00156EDE">
              <w:rPr>
                <w:rFonts w:ascii="Verdana" w:hAnsi="Verdana"/>
                <w:sz w:val="20"/>
                <w:lang w:val="en-US"/>
              </w:rPr>
              <w:t>Дружеството</w:t>
            </w:r>
            <w:proofErr w:type="spellEnd"/>
            <w:r w:rsidRPr="00156EDE">
              <w:rPr>
                <w:rFonts w:ascii="Verdana" w:hAnsi="Verdana"/>
                <w:sz w:val="20"/>
                <w:lang w:val="en-US"/>
              </w:rPr>
              <w:t>.</w:t>
            </w:r>
          </w:p>
          <w:p w14:paraId="4F7F7391" w14:textId="77777777" w:rsidR="00D56F61" w:rsidRDefault="00D56F61" w:rsidP="009972FF">
            <w:pPr>
              <w:rPr>
                <w:rFonts w:ascii="Verdana" w:hAnsi="Verdana"/>
                <w:sz w:val="20"/>
              </w:rPr>
            </w:pPr>
          </w:p>
          <w:p w14:paraId="4F7F7392" w14:textId="77777777" w:rsidR="00D56F61" w:rsidRPr="0007516E" w:rsidRDefault="00D56F61" w:rsidP="009972FF">
            <w:pPr>
              <w:rPr>
                <w:rFonts w:ascii="Verdana" w:hAnsi="Verdana"/>
                <w:sz w:val="20"/>
              </w:rPr>
            </w:pPr>
          </w:p>
        </w:tc>
      </w:tr>
      <w:tr w:rsidR="00D56F61" w:rsidRPr="0007516E" w14:paraId="4F7F7398" w14:textId="77777777" w:rsidTr="009972FF">
        <w:trPr>
          <w:trHeight w:val="131"/>
          <w:tblCellSpacing w:w="0" w:type="dxa"/>
        </w:trPr>
        <w:tc>
          <w:tcPr>
            <w:tcW w:w="9450" w:type="dxa"/>
            <w:vAlign w:val="center"/>
          </w:tcPr>
          <w:p w14:paraId="4F7F7394" w14:textId="77777777" w:rsidR="00D56F61" w:rsidRPr="0007516E" w:rsidRDefault="00D56F61" w:rsidP="009972FF">
            <w:pPr>
              <w:pStyle w:val="HTMLPreformatted"/>
              <w:jc w:val="both"/>
              <w:rPr>
                <w:rFonts w:ascii="Verdana" w:hAnsi="Verdana"/>
                <w:b/>
                <w:sz w:val="20"/>
                <w:szCs w:val="20"/>
              </w:rPr>
            </w:pPr>
            <w:r w:rsidRPr="0007516E">
              <w:rPr>
                <w:rFonts w:ascii="Verdana" w:hAnsi="Verdana"/>
                <w:b/>
                <w:sz w:val="20"/>
                <w:szCs w:val="20"/>
              </w:rPr>
              <w:lastRenderedPageBreak/>
              <w:t xml:space="preserve">6.  Информация за сделки, водени </w:t>
            </w:r>
            <w:proofErr w:type="spellStart"/>
            <w:r w:rsidRPr="0007516E">
              <w:rPr>
                <w:rFonts w:ascii="Verdana" w:hAnsi="Verdana"/>
                <w:b/>
                <w:sz w:val="20"/>
                <w:szCs w:val="20"/>
              </w:rPr>
              <w:t>извънбалансово</w:t>
            </w:r>
            <w:proofErr w:type="spellEnd"/>
            <w:r w:rsidRPr="0007516E">
              <w:rPr>
                <w:rFonts w:ascii="Verdana" w:hAnsi="Verdana"/>
                <w:b/>
                <w:sz w:val="20"/>
                <w:szCs w:val="20"/>
              </w:rPr>
              <w:t xml:space="preserve"> - характер и бизнес цел,посочване финансовото въздействие на сделките върху дейността, ако рискът и ползите от тези сделки са съществени за </w:t>
            </w:r>
            <w:proofErr w:type="spellStart"/>
            <w:r w:rsidRPr="0007516E">
              <w:rPr>
                <w:rFonts w:ascii="Verdana" w:hAnsi="Verdana"/>
                <w:b/>
                <w:sz w:val="20"/>
                <w:szCs w:val="20"/>
              </w:rPr>
              <w:t>емитента</w:t>
            </w:r>
            <w:proofErr w:type="spellEnd"/>
            <w:r w:rsidRPr="0007516E">
              <w:rPr>
                <w:rFonts w:ascii="Verdana" w:hAnsi="Verdana"/>
                <w:b/>
                <w:sz w:val="20"/>
                <w:szCs w:val="20"/>
              </w:rPr>
              <w:t xml:space="preserve">, съответно лицето по §1д от допълнителните разпоредби на ЗППЦК, и ако разкриването на тази информация е съществено за оценката на финансовото състояние на </w:t>
            </w:r>
            <w:proofErr w:type="spellStart"/>
            <w:r w:rsidRPr="0007516E">
              <w:rPr>
                <w:rFonts w:ascii="Verdana" w:hAnsi="Verdana"/>
                <w:b/>
                <w:sz w:val="20"/>
                <w:szCs w:val="20"/>
              </w:rPr>
              <w:t>емитента</w:t>
            </w:r>
            <w:proofErr w:type="spellEnd"/>
            <w:r w:rsidRPr="0007516E">
              <w:rPr>
                <w:rFonts w:ascii="Verdana" w:hAnsi="Verdana"/>
                <w:b/>
                <w:sz w:val="20"/>
                <w:szCs w:val="20"/>
              </w:rPr>
              <w:t>, съответно лицето по §1д от допълнителните разпоредби на ЗППЦК</w:t>
            </w:r>
          </w:p>
          <w:p w14:paraId="4F7F7395" w14:textId="77777777" w:rsidR="00D56F61" w:rsidRPr="0007516E" w:rsidRDefault="00D56F61" w:rsidP="009972FF">
            <w:pPr>
              <w:pStyle w:val="HTMLPreformatted"/>
              <w:jc w:val="both"/>
              <w:rPr>
                <w:rFonts w:ascii="Verdana" w:hAnsi="Verdana"/>
                <w:b/>
                <w:sz w:val="20"/>
                <w:szCs w:val="20"/>
              </w:rPr>
            </w:pPr>
          </w:p>
          <w:p w14:paraId="4F7F7396"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rPr>
              <w:t>През 2019 г. Дружеството не е сключвало такива сделки.</w:t>
            </w:r>
          </w:p>
          <w:p w14:paraId="4F7F7397" w14:textId="77777777" w:rsidR="00D56F61" w:rsidRPr="0007516E" w:rsidRDefault="00D56F61" w:rsidP="009972FF">
            <w:pPr>
              <w:pStyle w:val="HTMLPreformatted"/>
              <w:jc w:val="both"/>
              <w:rPr>
                <w:rFonts w:ascii="Verdana" w:hAnsi="Verdana"/>
                <w:sz w:val="20"/>
                <w:szCs w:val="20"/>
              </w:rPr>
            </w:pPr>
          </w:p>
        </w:tc>
      </w:tr>
      <w:tr w:rsidR="00D56F61" w:rsidRPr="0007516E" w14:paraId="4F7F739D" w14:textId="77777777" w:rsidTr="009972FF">
        <w:trPr>
          <w:trHeight w:val="131"/>
          <w:tblCellSpacing w:w="0" w:type="dxa"/>
        </w:trPr>
        <w:tc>
          <w:tcPr>
            <w:tcW w:w="9450" w:type="dxa"/>
            <w:vAlign w:val="center"/>
          </w:tcPr>
          <w:p w14:paraId="4F7F7399" w14:textId="77777777" w:rsidR="00D56F61" w:rsidRPr="0007516E" w:rsidRDefault="00D56F61" w:rsidP="009972FF">
            <w:pPr>
              <w:pStyle w:val="HTMLPreformatted"/>
              <w:jc w:val="both"/>
              <w:rPr>
                <w:rFonts w:ascii="Verdana" w:hAnsi="Verdana"/>
                <w:b/>
                <w:sz w:val="20"/>
                <w:szCs w:val="20"/>
                <w:lang w:val="ru-RU"/>
              </w:rPr>
            </w:pPr>
            <w:r w:rsidRPr="0007516E">
              <w:rPr>
                <w:rFonts w:ascii="Verdana" w:hAnsi="Verdana"/>
                <w:b/>
                <w:sz w:val="20"/>
                <w:szCs w:val="20"/>
              </w:rPr>
              <w:t xml:space="preserve">7. Информация за дялови участия на </w:t>
            </w:r>
            <w:proofErr w:type="spellStart"/>
            <w:r w:rsidRPr="0007516E">
              <w:rPr>
                <w:rFonts w:ascii="Verdana" w:hAnsi="Verdana"/>
                <w:b/>
                <w:sz w:val="20"/>
                <w:szCs w:val="20"/>
              </w:rPr>
              <w:t>емитента</w:t>
            </w:r>
            <w:proofErr w:type="spellEnd"/>
            <w:r w:rsidRPr="0007516E">
              <w:rPr>
                <w:rFonts w:ascii="Verdana" w:hAnsi="Verdana"/>
                <w:b/>
                <w:sz w:val="20"/>
                <w:szCs w:val="20"/>
              </w:rPr>
              <w:t xml:space="preserve">, съответно лицето по §1д от допълнителните разпоредби на ЗППЦК, за основните му инвестиции в страната и в чужбина (в ценни книжа, финансови инструменти, нематериални активи и недвижими имоти), както и инвестициите в дялови ценни книжа извън </w:t>
            </w:r>
            <w:proofErr w:type="spellStart"/>
            <w:r w:rsidRPr="0007516E">
              <w:rPr>
                <w:rFonts w:ascii="Verdana" w:hAnsi="Verdana"/>
                <w:b/>
                <w:sz w:val="20"/>
                <w:szCs w:val="20"/>
              </w:rPr>
              <w:t>неговатагрупа</w:t>
            </w:r>
            <w:proofErr w:type="spellEnd"/>
            <w:r w:rsidRPr="0007516E">
              <w:rPr>
                <w:rFonts w:ascii="Verdana" w:hAnsi="Verdana"/>
                <w:b/>
                <w:sz w:val="20"/>
                <w:szCs w:val="20"/>
              </w:rPr>
              <w:t xml:space="preserve">, предприятия по смисъла на Закона за </w:t>
            </w:r>
            <w:proofErr w:type="spellStart"/>
            <w:r w:rsidRPr="0007516E">
              <w:rPr>
                <w:rFonts w:ascii="Verdana" w:hAnsi="Verdana"/>
                <w:b/>
                <w:sz w:val="20"/>
                <w:szCs w:val="20"/>
              </w:rPr>
              <w:t>счетоводсството</w:t>
            </w:r>
            <w:proofErr w:type="spellEnd"/>
            <w:r w:rsidRPr="0007516E">
              <w:rPr>
                <w:rFonts w:ascii="Verdana" w:hAnsi="Verdana"/>
                <w:b/>
                <w:sz w:val="20"/>
                <w:szCs w:val="20"/>
              </w:rPr>
              <w:t xml:space="preserve"> и източниците/начините на финансиране </w:t>
            </w:r>
          </w:p>
          <w:p w14:paraId="4F7F739A" w14:textId="77777777" w:rsidR="00D56F61" w:rsidRPr="0007516E" w:rsidRDefault="00D56F61" w:rsidP="009972FF">
            <w:pPr>
              <w:pStyle w:val="HTMLPreformatted"/>
              <w:jc w:val="both"/>
              <w:rPr>
                <w:rFonts w:ascii="Verdana" w:hAnsi="Verdana"/>
                <w:b/>
                <w:sz w:val="20"/>
                <w:szCs w:val="20"/>
                <w:lang w:val="ru-RU"/>
              </w:rPr>
            </w:pPr>
          </w:p>
          <w:p w14:paraId="4F7F739B"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lang w:val="ru-RU"/>
              </w:rPr>
              <w:t>Дружеството няма инвестиции и дялови участия.</w:t>
            </w:r>
          </w:p>
          <w:p w14:paraId="4F7F739C" w14:textId="77777777" w:rsidR="00D56F61" w:rsidRPr="0007516E" w:rsidRDefault="00D56F61" w:rsidP="009972FF">
            <w:pPr>
              <w:pStyle w:val="HTMLPreformatted"/>
              <w:jc w:val="both"/>
              <w:rPr>
                <w:rFonts w:ascii="Verdana" w:hAnsi="Verdana"/>
                <w:sz w:val="20"/>
                <w:szCs w:val="20"/>
              </w:rPr>
            </w:pPr>
          </w:p>
        </w:tc>
      </w:tr>
      <w:tr w:rsidR="00D56F61" w:rsidRPr="0080247E" w14:paraId="4F7F73D0" w14:textId="77777777" w:rsidTr="009972FF">
        <w:trPr>
          <w:trHeight w:val="131"/>
          <w:tblCellSpacing w:w="0" w:type="dxa"/>
        </w:trPr>
        <w:tc>
          <w:tcPr>
            <w:tcW w:w="9450" w:type="dxa"/>
            <w:vAlign w:val="center"/>
          </w:tcPr>
          <w:p w14:paraId="4F7F739E" w14:textId="77777777" w:rsidR="00D56F61" w:rsidRPr="00DD09F5" w:rsidRDefault="00D56F61" w:rsidP="009972FF">
            <w:pPr>
              <w:pStyle w:val="HTMLPreformatted"/>
              <w:jc w:val="both"/>
              <w:rPr>
                <w:rFonts w:ascii="Verdana" w:hAnsi="Verdana"/>
                <w:b/>
                <w:sz w:val="20"/>
                <w:szCs w:val="20"/>
              </w:rPr>
            </w:pPr>
            <w:r w:rsidRPr="00BF41B7">
              <w:rPr>
                <w:rFonts w:ascii="Verdana" w:hAnsi="Verdana"/>
                <w:b/>
                <w:sz w:val="20"/>
                <w:szCs w:val="20"/>
              </w:rPr>
              <w:t xml:space="preserve">8.  Информация относно сключените от </w:t>
            </w:r>
            <w:proofErr w:type="spellStart"/>
            <w:r w:rsidRPr="00BF41B7">
              <w:rPr>
                <w:rFonts w:ascii="Verdana" w:hAnsi="Verdana"/>
                <w:b/>
                <w:sz w:val="20"/>
                <w:szCs w:val="20"/>
              </w:rPr>
              <w:t>емитента</w:t>
            </w:r>
            <w:proofErr w:type="spellEnd"/>
            <w:r w:rsidRPr="00BF41B7">
              <w:rPr>
                <w:rFonts w:ascii="Verdana" w:hAnsi="Verdana"/>
                <w:b/>
                <w:sz w:val="20"/>
                <w:szCs w:val="20"/>
              </w:rPr>
              <w:t xml:space="preserve">, съответно лицето по §1д от допълнителните разпоредби на ЗППЦК, от негово дъщерно дружество или дружество майка, в качеството им на </w:t>
            </w:r>
            <w:proofErr w:type="spellStart"/>
            <w:r w:rsidRPr="00BF41B7">
              <w:rPr>
                <w:rFonts w:ascii="Verdana" w:hAnsi="Verdana"/>
                <w:b/>
                <w:sz w:val="20"/>
                <w:szCs w:val="20"/>
              </w:rPr>
              <w:t>заемополучатели</w:t>
            </w:r>
            <w:proofErr w:type="spellEnd"/>
            <w:r w:rsidRPr="00BF41B7">
              <w:rPr>
                <w:rFonts w:ascii="Verdana" w:hAnsi="Verdana"/>
                <w:b/>
                <w:sz w:val="20"/>
                <w:szCs w:val="20"/>
              </w:rPr>
              <w:t>, договори за заем с посочване на условията по тях, включително на крайните срокове за изплащане, както и информация за предоставени гаранции и поемане на задължения</w:t>
            </w:r>
          </w:p>
          <w:p w14:paraId="4F7F739F" w14:textId="77777777" w:rsidR="00D56F61" w:rsidRPr="00FF49D7" w:rsidRDefault="00D56F61" w:rsidP="009972FF">
            <w:pPr>
              <w:pStyle w:val="HTMLPreformatted"/>
              <w:jc w:val="both"/>
              <w:rPr>
                <w:rFonts w:ascii="Verdana" w:hAnsi="Verdana"/>
                <w:b/>
                <w:sz w:val="20"/>
                <w:szCs w:val="20"/>
              </w:rPr>
            </w:pPr>
          </w:p>
          <w:p w14:paraId="4F7F73A0" w14:textId="77777777" w:rsidR="00D56F61" w:rsidRPr="00D11AFE" w:rsidRDefault="00D56F61" w:rsidP="009972FF">
            <w:pPr>
              <w:pStyle w:val="HTMLPreformatted"/>
              <w:jc w:val="both"/>
              <w:rPr>
                <w:rFonts w:ascii="Verdana" w:hAnsi="Verdana"/>
                <w:sz w:val="20"/>
                <w:szCs w:val="20"/>
              </w:rPr>
            </w:pPr>
            <w:r>
              <w:rPr>
                <w:rFonts w:ascii="Verdana" w:hAnsi="Verdana"/>
                <w:sz w:val="20"/>
                <w:szCs w:val="20"/>
              </w:rPr>
              <w:t xml:space="preserve">През 2019 г.  с Протокол от извънредно събрание на акционерите на „Топлофикация – Разград“ АД от 17.06.2019 г., е взето решение „Овергаз Холдинг“ АД да направи допълнителна парична вноска в </w:t>
            </w:r>
            <w:proofErr w:type="spellStart"/>
            <w:r>
              <w:rPr>
                <w:rFonts w:ascii="Verdana" w:hAnsi="Verdana"/>
                <w:sz w:val="20"/>
                <w:szCs w:val="20"/>
              </w:rPr>
              <w:t>капита</w:t>
            </w:r>
            <w:proofErr w:type="spellEnd"/>
            <w:r>
              <w:rPr>
                <w:rFonts w:ascii="Verdana" w:hAnsi="Verdana"/>
                <w:sz w:val="20"/>
                <w:szCs w:val="20"/>
              </w:rPr>
              <w:t xml:space="preserve"> на Дружеството в размер на 500 000 /петстотин хиляди/ лева, поради временна необходимост от парични средства в Дружеството. Сумата следва да се предостави за срок от 2 години. За предоставената вноска Дружеството дължи лихва в размер на 7,17% на годишна база.  Към края на 2019 г. усвоената сума е в размер на 370 хил.лв.</w:t>
            </w:r>
          </w:p>
          <w:p w14:paraId="4F7F73A1" w14:textId="77777777" w:rsidR="00D56F61" w:rsidRDefault="00D56F61" w:rsidP="009972FF">
            <w:pPr>
              <w:pStyle w:val="HTMLPreformatted"/>
              <w:jc w:val="both"/>
              <w:rPr>
                <w:rFonts w:ascii="Verdana" w:hAnsi="Verdana"/>
                <w:sz w:val="20"/>
                <w:szCs w:val="20"/>
              </w:rPr>
            </w:pPr>
          </w:p>
          <w:p w14:paraId="4F7F73A2" w14:textId="77777777" w:rsidR="00D56F61" w:rsidRDefault="00D56F61" w:rsidP="009972FF">
            <w:pPr>
              <w:pStyle w:val="HTMLPreformatted"/>
              <w:jc w:val="both"/>
              <w:rPr>
                <w:rFonts w:ascii="Verdana" w:hAnsi="Verdana"/>
                <w:sz w:val="20"/>
                <w:szCs w:val="20"/>
                <w:lang w:val="en-US"/>
              </w:rPr>
            </w:pPr>
            <w:r>
              <w:rPr>
                <w:rFonts w:ascii="Verdana" w:hAnsi="Verdana"/>
                <w:sz w:val="20"/>
                <w:szCs w:val="20"/>
              </w:rPr>
              <w:t xml:space="preserve">Към 31.12.2019 г. „Топлофикация – Разград” </w:t>
            </w:r>
            <w:r w:rsidRPr="0080247E">
              <w:rPr>
                <w:rFonts w:ascii="Verdana" w:hAnsi="Verdana"/>
                <w:sz w:val="20"/>
                <w:szCs w:val="20"/>
              </w:rPr>
              <w:t xml:space="preserve">АД има задължения </w:t>
            </w:r>
            <w:r>
              <w:rPr>
                <w:rFonts w:ascii="Verdana" w:hAnsi="Verdana"/>
                <w:sz w:val="20"/>
                <w:szCs w:val="20"/>
              </w:rPr>
              <w:t>в размер на  29 925,32</w:t>
            </w:r>
            <w:r w:rsidRPr="0080247E">
              <w:rPr>
                <w:rFonts w:ascii="Verdana" w:hAnsi="Verdana"/>
                <w:sz w:val="20"/>
                <w:szCs w:val="20"/>
              </w:rPr>
              <w:t xml:space="preserve"> лв. по договор за банков кредит с „</w:t>
            </w:r>
            <w:proofErr w:type="spellStart"/>
            <w:r w:rsidRPr="0080247E">
              <w:rPr>
                <w:rFonts w:ascii="Verdana" w:hAnsi="Verdana"/>
                <w:sz w:val="20"/>
                <w:szCs w:val="20"/>
              </w:rPr>
              <w:t>ПроКредит</w:t>
            </w:r>
            <w:proofErr w:type="spellEnd"/>
            <w:r w:rsidRPr="0080247E">
              <w:rPr>
                <w:rFonts w:ascii="Verdana" w:hAnsi="Verdana"/>
                <w:sz w:val="20"/>
                <w:szCs w:val="20"/>
              </w:rPr>
              <w:t xml:space="preserve"> </w:t>
            </w:r>
            <w:proofErr w:type="spellStart"/>
            <w:r w:rsidRPr="0080247E">
              <w:rPr>
                <w:rFonts w:ascii="Verdana" w:hAnsi="Verdana"/>
                <w:sz w:val="20"/>
                <w:szCs w:val="20"/>
              </w:rPr>
              <w:t>Банк</w:t>
            </w:r>
            <w:proofErr w:type="spellEnd"/>
            <w:r w:rsidRPr="0080247E">
              <w:rPr>
                <w:rFonts w:ascii="Verdana" w:hAnsi="Verdana"/>
                <w:sz w:val="20"/>
                <w:szCs w:val="20"/>
              </w:rPr>
              <w:t xml:space="preserve"> (България)” ЕАД от 22.12</w:t>
            </w:r>
            <w:r>
              <w:rPr>
                <w:rFonts w:ascii="Verdana" w:hAnsi="Verdana"/>
                <w:sz w:val="20"/>
                <w:szCs w:val="20"/>
              </w:rPr>
              <w:t xml:space="preserve">.2009 г. Към 31.12.2019 </w:t>
            </w:r>
            <w:r w:rsidRPr="0080247E">
              <w:rPr>
                <w:rFonts w:ascii="Verdana" w:hAnsi="Verdana"/>
                <w:sz w:val="20"/>
                <w:szCs w:val="20"/>
              </w:rPr>
              <w:t>г. лихвения % е в размер 4,5, а крайния срок за погасяване – месец Януари 2020г.</w:t>
            </w:r>
            <w:r>
              <w:rPr>
                <w:rFonts w:ascii="Verdana" w:hAnsi="Verdana"/>
                <w:sz w:val="20"/>
                <w:szCs w:val="20"/>
              </w:rPr>
              <w:t xml:space="preserve"> (последна вноска по кредита).</w:t>
            </w:r>
          </w:p>
          <w:p w14:paraId="4F7F73A3" w14:textId="77777777" w:rsidR="00D56F61" w:rsidRDefault="00D56F61" w:rsidP="009972FF">
            <w:pPr>
              <w:pStyle w:val="HTMLPreformatted"/>
              <w:jc w:val="both"/>
              <w:rPr>
                <w:rFonts w:ascii="Verdana" w:hAnsi="Verdana"/>
                <w:sz w:val="20"/>
                <w:szCs w:val="20"/>
                <w:lang w:val="en-US"/>
              </w:rPr>
            </w:pPr>
          </w:p>
          <w:p w14:paraId="4F7F73A4" w14:textId="77777777" w:rsidR="00D56F61" w:rsidRDefault="00D56F61" w:rsidP="009972FF">
            <w:pPr>
              <w:pStyle w:val="HTMLPreformatted"/>
              <w:jc w:val="both"/>
              <w:rPr>
                <w:rFonts w:ascii="Verdana" w:hAnsi="Verdana"/>
                <w:sz w:val="20"/>
                <w:szCs w:val="20"/>
              </w:rPr>
            </w:pPr>
            <w:r>
              <w:rPr>
                <w:rFonts w:ascii="Verdana" w:hAnsi="Verdana"/>
                <w:sz w:val="20"/>
                <w:szCs w:val="20"/>
              </w:rPr>
              <w:t xml:space="preserve">През отчетната 2019г. „Овергаз </w:t>
            </w:r>
            <w:proofErr w:type="spellStart"/>
            <w:r>
              <w:rPr>
                <w:rFonts w:ascii="Verdana" w:hAnsi="Verdana"/>
                <w:sz w:val="20"/>
                <w:szCs w:val="20"/>
              </w:rPr>
              <w:t>Директ</w:t>
            </w:r>
            <w:proofErr w:type="spellEnd"/>
            <w:r>
              <w:rPr>
                <w:rFonts w:ascii="Verdana" w:hAnsi="Verdana"/>
                <w:sz w:val="20"/>
                <w:szCs w:val="20"/>
              </w:rPr>
              <w:t>“ ООД не е сключвало договори за банкови заеми.</w:t>
            </w:r>
          </w:p>
          <w:p w14:paraId="4F7F73A5" w14:textId="77777777" w:rsidR="00D56F61" w:rsidRDefault="00D56F61" w:rsidP="009972FF">
            <w:pPr>
              <w:pStyle w:val="HTMLPreformatted"/>
              <w:jc w:val="both"/>
              <w:rPr>
                <w:rFonts w:ascii="Verdana" w:hAnsi="Verdana"/>
                <w:sz w:val="20"/>
                <w:szCs w:val="20"/>
              </w:rPr>
            </w:pPr>
          </w:p>
          <w:p w14:paraId="4F7F73A6" w14:textId="77777777" w:rsidR="00D56F61" w:rsidRPr="00BF41B7" w:rsidRDefault="00D56F61" w:rsidP="009972FF">
            <w:pPr>
              <w:rPr>
                <w:rFonts w:ascii="Verdana" w:hAnsi="Verdana"/>
                <w:sz w:val="20"/>
                <w:lang w:eastAsia="bg-BG"/>
              </w:rPr>
            </w:pPr>
            <w:r w:rsidRPr="00BF41B7">
              <w:rPr>
                <w:rFonts w:ascii="Verdana" w:hAnsi="Verdana"/>
                <w:sz w:val="20"/>
                <w:lang w:eastAsia="bg-BG"/>
              </w:rPr>
              <w:t xml:space="preserve">През отчетната 2019 г. „Овергаз Холдинг” АД е сключвал договори за заем в качеството си на </w:t>
            </w:r>
            <w:proofErr w:type="spellStart"/>
            <w:r w:rsidRPr="00BF41B7">
              <w:rPr>
                <w:rFonts w:ascii="Verdana" w:hAnsi="Verdana"/>
                <w:sz w:val="20"/>
                <w:lang w:eastAsia="bg-BG"/>
              </w:rPr>
              <w:t>заемополучател</w:t>
            </w:r>
            <w:proofErr w:type="spellEnd"/>
            <w:r w:rsidRPr="00BF41B7">
              <w:rPr>
                <w:rFonts w:ascii="Verdana" w:hAnsi="Verdana"/>
                <w:sz w:val="20"/>
                <w:lang w:eastAsia="bg-BG"/>
              </w:rPr>
              <w:t>, както следва:</w:t>
            </w:r>
          </w:p>
          <w:p w14:paraId="4F7F73A7" w14:textId="77777777" w:rsidR="00D56F61" w:rsidRPr="00BF41B7" w:rsidRDefault="00D56F61" w:rsidP="009972FF">
            <w:pPr>
              <w:rPr>
                <w:rFonts w:ascii="Verdana" w:hAnsi="Verdana"/>
                <w:sz w:val="20"/>
                <w:lang w:eastAsia="bg-BG"/>
              </w:rPr>
            </w:pPr>
            <w:r>
              <w:rPr>
                <w:rFonts w:ascii="Verdana" w:hAnsi="Verdana"/>
                <w:sz w:val="20"/>
                <w:lang w:eastAsia="bg-BG"/>
              </w:rPr>
              <w:t xml:space="preserve">                                  Табл.11</w:t>
            </w:r>
          </w:p>
          <w:tbl>
            <w:tblPr>
              <w:tblW w:w="9291" w:type="dxa"/>
              <w:tblInd w:w="55" w:type="dxa"/>
              <w:tblLayout w:type="fixed"/>
              <w:tblCellMar>
                <w:left w:w="70" w:type="dxa"/>
                <w:right w:w="70" w:type="dxa"/>
              </w:tblCellMar>
              <w:tblLook w:val="04A0" w:firstRow="1" w:lastRow="0" w:firstColumn="1" w:lastColumn="0" w:noHBand="0" w:noVBand="1"/>
            </w:tblPr>
            <w:tblGrid>
              <w:gridCol w:w="1353"/>
              <w:gridCol w:w="1559"/>
              <w:gridCol w:w="1559"/>
              <w:gridCol w:w="1560"/>
              <w:gridCol w:w="1275"/>
              <w:gridCol w:w="1985"/>
            </w:tblGrid>
            <w:tr w:rsidR="00D56F61" w:rsidRPr="00BF41B7" w14:paraId="4F7F73AE" w14:textId="77777777" w:rsidTr="009972FF">
              <w:trPr>
                <w:trHeight w:val="435"/>
              </w:trPr>
              <w:tc>
                <w:tcPr>
                  <w:tcW w:w="1353" w:type="dxa"/>
                  <w:tcBorders>
                    <w:top w:val="single" w:sz="8" w:space="0" w:color="auto"/>
                    <w:left w:val="single" w:sz="8" w:space="0" w:color="auto"/>
                    <w:bottom w:val="single" w:sz="8" w:space="0" w:color="auto"/>
                    <w:right w:val="single" w:sz="8" w:space="0" w:color="auto"/>
                  </w:tcBorders>
                  <w:vAlign w:val="center"/>
                  <w:hideMark/>
                </w:tcPr>
                <w:p w14:paraId="4F7F73A8" w14:textId="77777777" w:rsidR="00D56F61" w:rsidRPr="00BF41B7" w:rsidRDefault="00D56F61" w:rsidP="009972FF">
                  <w:pPr>
                    <w:jc w:val="center"/>
                    <w:rPr>
                      <w:rFonts w:ascii="Verdana" w:hAnsi="Verdana"/>
                      <w:b/>
                      <w:bCs/>
                      <w:sz w:val="20"/>
                      <w:lang w:eastAsia="bg-BG"/>
                    </w:rPr>
                  </w:pPr>
                  <w:r w:rsidRPr="00BF41B7">
                    <w:rPr>
                      <w:rFonts w:ascii="Verdana" w:hAnsi="Verdana"/>
                      <w:b/>
                      <w:bCs/>
                      <w:sz w:val="20"/>
                      <w:lang w:eastAsia="bg-BG"/>
                    </w:rPr>
                    <w:t>Договор</w:t>
                  </w:r>
                </w:p>
              </w:tc>
              <w:tc>
                <w:tcPr>
                  <w:tcW w:w="1559" w:type="dxa"/>
                  <w:tcBorders>
                    <w:top w:val="single" w:sz="8" w:space="0" w:color="auto"/>
                    <w:left w:val="nil"/>
                    <w:bottom w:val="single" w:sz="8" w:space="0" w:color="auto"/>
                    <w:right w:val="single" w:sz="4" w:space="0" w:color="auto"/>
                  </w:tcBorders>
                  <w:vAlign w:val="center"/>
                  <w:hideMark/>
                </w:tcPr>
                <w:p w14:paraId="4F7F73A9" w14:textId="77777777" w:rsidR="00D56F61" w:rsidRPr="00BF41B7" w:rsidRDefault="00D56F61" w:rsidP="009972FF">
                  <w:pPr>
                    <w:jc w:val="center"/>
                    <w:rPr>
                      <w:rFonts w:ascii="Verdana" w:hAnsi="Verdana"/>
                      <w:b/>
                      <w:bCs/>
                      <w:sz w:val="20"/>
                      <w:lang w:eastAsia="bg-BG"/>
                    </w:rPr>
                  </w:pPr>
                  <w:r w:rsidRPr="00BF41B7">
                    <w:rPr>
                      <w:rFonts w:ascii="Verdana" w:hAnsi="Verdana"/>
                      <w:b/>
                      <w:bCs/>
                      <w:sz w:val="20"/>
                      <w:lang w:eastAsia="bg-BG"/>
                    </w:rPr>
                    <w:t>Вид</w:t>
                  </w:r>
                </w:p>
              </w:tc>
              <w:tc>
                <w:tcPr>
                  <w:tcW w:w="1559" w:type="dxa"/>
                  <w:tcBorders>
                    <w:top w:val="single" w:sz="4" w:space="0" w:color="auto"/>
                    <w:left w:val="single" w:sz="4" w:space="0" w:color="auto"/>
                    <w:bottom w:val="single" w:sz="8" w:space="0" w:color="auto"/>
                    <w:right w:val="single" w:sz="4" w:space="0" w:color="auto"/>
                  </w:tcBorders>
                  <w:vAlign w:val="center"/>
                  <w:hideMark/>
                </w:tcPr>
                <w:p w14:paraId="4F7F73AA" w14:textId="77777777" w:rsidR="00D56F61" w:rsidRPr="00BF41B7" w:rsidRDefault="00D56F61" w:rsidP="009972FF">
                  <w:pPr>
                    <w:jc w:val="center"/>
                    <w:rPr>
                      <w:rFonts w:ascii="Verdana" w:hAnsi="Verdana"/>
                      <w:b/>
                      <w:bCs/>
                      <w:sz w:val="20"/>
                      <w:lang w:eastAsia="bg-BG"/>
                    </w:rPr>
                  </w:pPr>
                  <w:bookmarkStart w:id="8" w:name="_Hlk35512728"/>
                  <w:r w:rsidRPr="00BF41B7">
                    <w:rPr>
                      <w:rFonts w:ascii="Verdana" w:hAnsi="Verdana"/>
                      <w:b/>
                      <w:bCs/>
                      <w:sz w:val="20"/>
                      <w:lang w:eastAsia="bg-BG"/>
                    </w:rPr>
                    <w:t>Договорен размер на кредита</w:t>
                  </w:r>
                  <w:bookmarkEnd w:id="8"/>
                </w:p>
              </w:tc>
              <w:tc>
                <w:tcPr>
                  <w:tcW w:w="1560" w:type="dxa"/>
                  <w:tcBorders>
                    <w:top w:val="single" w:sz="8" w:space="0" w:color="auto"/>
                    <w:left w:val="single" w:sz="4" w:space="0" w:color="auto"/>
                    <w:bottom w:val="single" w:sz="8" w:space="0" w:color="auto"/>
                    <w:right w:val="single" w:sz="4" w:space="0" w:color="auto"/>
                  </w:tcBorders>
                  <w:vAlign w:val="center"/>
                </w:tcPr>
                <w:p w14:paraId="4F7F73AB" w14:textId="77777777" w:rsidR="00D56F61" w:rsidRPr="00BF41B7" w:rsidRDefault="00D56F61" w:rsidP="009972FF">
                  <w:pPr>
                    <w:jc w:val="center"/>
                    <w:rPr>
                      <w:rFonts w:ascii="Verdana" w:hAnsi="Verdana"/>
                      <w:b/>
                      <w:bCs/>
                      <w:sz w:val="20"/>
                      <w:lang w:eastAsia="bg-BG"/>
                    </w:rPr>
                  </w:pPr>
                  <w:r w:rsidRPr="00BF41B7">
                    <w:rPr>
                      <w:rFonts w:ascii="Verdana" w:hAnsi="Verdana"/>
                      <w:b/>
                      <w:bCs/>
                      <w:sz w:val="20"/>
                      <w:lang w:eastAsia="bg-BG"/>
                    </w:rPr>
                    <w:t>Размер към 31.12.2019</w:t>
                  </w:r>
                </w:p>
              </w:tc>
              <w:tc>
                <w:tcPr>
                  <w:tcW w:w="1275" w:type="dxa"/>
                  <w:tcBorders>
                    <w:top w:val="single" w:sz="8" w:space="0" w:color="auto"/>
                    <w:left w:val="single" w:sz="4" w:space="0" w:color="auto"/>
                    <w:bottom w:val="single" w:sz="8" w:space="0" w:color="auto"/>
                    <w:right w:val="single" w:sz="4" w:space="0" w:color="auto"/>
                  </w:tcBorders>
                  <w:vAlign w:val="center"/>
                  <w:hideMark/>
                </w:tcPr>
                <w:p w14:paraId="4F7F73AC" w14:textId="77777777" w:rsidR="00D56F61" w:rsidRPr="00BF41B7" w:rsidRDefault="00D56F61" w:rsidP="009972FF">
                  <w:pPr>
                    <w:jc w:val="center"/>
                    <w:rPr>
                      <w:rFonts w:ascii="Verdana" w:hAnsi="Verdana"/>
                      <w:b/>
                      <w:bCs/>
                      <w:sz w:val="20"/>
                      <w:lang w:eastAsia="bg-BG"/>
                    </w:rPr>
                  </w:pPr>
                  <w:r w:rsidRPr="00BF41B7">
                    <w:rPr>
                      <w:rFonts w:ascii="Verdana" w:hAnsi="Verdana"/>
                      <w:b/>
                      <w:bCs/>
                      <w:sz w:val="20"/>
                      <w:lang w:eastAsia="bg-BG"/>
                    </w:rPr>
                    <w:t>Годишен лихвен процент</w:t>
                  </w:r>
                </w:p>
              </w:tc>
              <w:tc>
                <w:tcPr>
                  <w:tcW w:w="1985" w:type="dxa"/>
                  <w:tcBorders>
                    <w:top w:val="single" w:sz="8" w:space="0" w:color="auto"/>
                    <w:left w:val="single" w:sz="4" w:space="0" w:color="auto"/>
                    <w:bottom w:val="single" w:sz="8" w:space="0" w:color="auto"/>
                    <w:right w:val="single" w:sz="8" w:space="0" w:color="auto"/>
                  </w:tcBorders>
                  <w:vAlign w:val="center"/>
                  <w:hideMark/>
                </w:tcPr>
                <w:p w14:paraId="4F7F73AD" w14:textId="77777777" w:rsidR="00D56F61" w:rsidRPr="00BF41B7" w:rsidRDefault="00D56F61" w:rsidP="009972FF">
                  <w:pPr>
                    <w:jc w:val="center"/>
                    <w:rPr>
                      <w:rFonts w:ascii="Verdana" w:hAnsi="Verdana"/>
                      <w:b/>
                      <w:bCs/>
                      <w:sz w:val="20"/>
                      <w:lang w:eastAsia="bg-BG"/>
                    </w:rPr>
                  </w:pPr>
                  <w:r w:rsidRPr="00BF41B7">
                    <w:rPr>
                      <w:rFonts w:ascii="Verdana" w:hAnsi="Verdana"/>
                      <w:b/>
                      <w:bCs/>
                      <w:sz w:val="20"/>
                      <w:lang w:eastAsia="bg-BG"/>
                    </w:rPr>
                    <w:t>Срок на договора</w:t>
                  </w:r>
                </w:p>
              </w:tc>
            </w:tr>
            <w:tr w:rsidR="00D56F61" w:rsidRPr="007D166C" w14:paraId="4F7F73B5" w14:textId="77777777" w:rsidTr="009972FF">
              <w:trPr>
                <w:trHeight w:val="1065"/>
              </w:trPr>
              <w:tc>
                <w:tcPr>
                  <w:tcW w:w="1353" w:type="dxa"/>
                  <w:tcBorders>
                    <w:top w:val="nil"/>
                    <w:left w:val="single" w:sz="8" w:space="0" w:color="auto"/>
                    <w:bottom w:val="single" w:sz="8" w:space="0" w:color="auto"/>
                    <w:right w:val="single" w:sz="8" w:space="0" w:color="auto"/>
                  </w:tcBorders>
                  <w:vAlign w:val="center"/>
                  <w:hideMark/>
                </w:tcPr>
                <w:p w14:paraId="4F7F73AF" w14:textId="77777777" w:rsidR="00D56F61" w:rsidRPr="00381AD3" w:rsidRDefault="00D56F61" w:rsidP="009972FF">
                  <w:pPr>
                    <w:rPr>
                      <w:rFonts w:ascii="Verdana" w:hAnsi="Verdana"/>
                      <w:sz w:val="20"/>
                      <w:lang w:eastAsia="bg-BG"/>
                    </w:rPr>
                  </w:pPr>
                  <w:r w:rsidRPr="00BF41B7">
                    <w:rPr>
                      <w:rFonts w:ascii="Verdana" w:hAnsi="Verdana"/>
                      <w:sz w:val="20"/>
                      <w:lang w:eastAsia="bg-BG"/>
                    </w:rPr>
                    <w:t>„Овергаз Капитал“</w:t>
                  </w:r>
                  <w:r>
                    <w:rPr>
                      <w:rFonts w:ascii="Verdana" w:hAnsi="Verdana"/>
                      <w:sz w:val="20"/>
                      <w:lang w:val="en-US" w:eastAsia="bg-BG"/>
                    </w:rPr>
                    <w:t xml:space="preserve"> АД</w:t>
                  </w:r>
                </w:p>
              </w:tc>
              <w:tc>
                <w:tcPr>
                  <w:tcW w:w="1559" w:type="dxa"/>
                  <w:tcBorders>
                    <w:top w:val="nil"/>
                    <w:left w:val="nil"/>
                    <w:bottom w:val="single" w:sz="8" w:space="0" w:color="auto"/>
                    <w:right w:val="single" w:sz="4" w:space="0" w:color="auto"/>
                  </w:tcBorders>
                  <w:vAlign w:val="center"/>
                </w:tcPr>
                <w:p w14:paraId="4F7F73B0" w14:textId="77777777" w:rsidR="00D56F61" w:rsidRPr="00BF41B7" w:rsidRDefault="00D56F61" w:rsidP="009972FF">
                  <w:pPr>
                    <w:rPr>
                      <w:rFonts w:ascii="Verdana" w:hAnsi="Verdana"/>
                      <w:sz w:val="20"/>
                      <w:lang w:eastAsia="bg-BG"/>
                    </w:rPr>
                  </w:pPr>
                  <w:r w:rsidRPr="00BF41B7">
                    <w:rPr>
                      <w:rFonts w:ascii="Verdana" w:hAnsi="Verdana"/>
                      <w:sz w:val="20"/>
                      <w:lang w:eastAsia="bg-BG"/>
                    </w:rPr>
                    <w:t>Целеви заем</w:t>
                  </w:r>
                </w:p>
              </w:tc>
              <w:tc>
                <w:tcPr>
                  <w:tcW w:w="1559" w:type="dxa"/>
                  <w:tcBorders>
                    <w:top w:val="single" w:sz="8" w:space="0" w:color="auto"/>
                    <w:left w:val="single" w:sz="4" w:space="0" w:color="auto"/>
                    <w:bottom w:val="single" w:sz="8" w:space="0" w:color="auto"/>
                    <w:right w:val="single" w:sz="4" w:space="0" w:color="auto"/>
                  </w:tcBorders>
                  <w:vAlign w:val="center"/>
                  <w:hideMark/>
                </w:tcPr>
                <w:p w14:paraId="4F7F73B1" w14:textId="77777777" w:rsidR="00D56F61" w:rsidRPr="00BF41B7" w:rsidRDefault="00D56F61" w:rsidP="009972FF">
                  <w:pPr>
                    <w:rPr>
                      <w:rFonts w:ascii="Verdana" w:hAnsi="Verdana"/>
                      <w:sz w:val="20"/>
                      <w:lang w:val="en-US" w:eastAsia="bg-BG"/>
                    </w:rPr>
                  </w:pPr>
                  <w:r w:rsidRPr="00BF41B7">
                    <w:rPr>
                      <w:rFonts w:ascii="Verdana" w:hAnsi="Verdana"/>
                      <w:sz w:val="20"/>
                      <w:lang w:eastAsia="bg-BG"/>
                    </w:rPr>
                    <w:t xml:space="preserve">500 000 </w:t>
                  </w:r>
                  <w:r w:rsidRPr="00BF41B7">
                    <w:rPr>
                      <w:rFonts w:ascii="Verdana" w:hAnsi="Verdana"/>
                      <w:sz w:val="20"/>
                      <w:lang w:val="en-US" w:eastAsia="bg-BG"/>
                    </w:rPr>
                    <w:t>BGN</w:t>
                  </w:r>
                </w:p>
              </w:tc>
              <w:tc>
                <w:tcPr>
                  <w:tcW w:w="1560" w:type="dxa"/>
                  <w:tcBorders>
                    <w:top w:val="single" w:sz="8" w:space="0" w:color="auto"/>
                    <w:left w:val="single" w:sz="4" w:space="0" w:color="auto"/>
                    <w:bottom w:val="single" w:sz="8" w:space="0" w:color="auto"/>
                    <w:right w:val="single" w:sz="4" w:space="0" w:color="auto"/>
                  </w:tcBorders>
                  <w:vAlign w:val="center"/>
                </w:tcPr>
                <w:p w14:paraId="4F7F73B2" w14:textId="77777777" w:rsidR="00D56F61" w:rsidRPr="00BF41B7" w:rsidRDefault="00D56F61" w:rsidP="009972FF">
                  <w:pPr>
                    <w:rPr>
                      <w:rFonts w:ascii="Verdana" w:hAnsi="Verdana"/>
                      <w:sz w:val="20"/>
                      <w:lang w:val="en-US" w:eastAsia="bg-BG"/>
                    </w:rPr>
                  </w:pPr>
                  <w:r w:rsidRPr="00BF41B7">
                    <w:rPr>
                      <w:rFonts w:ascii="Verdana" w:hAnsi="Verdana"/>
                      <w:sz w:val="20"/>
                      <w:lang w:eastAsia="bg-BG"/>
                    </w:rPr>
                    <w:t xml:space="preserve">370 000 </w:t>
                  </w:r>
                  <w:r w:rsidRPr="00BF41B7">
                    <w:rPr>
                      <w:rFonts w:ascii="Verdana" w:hAnsi="Verdana"/>
                      <w:sz w:val="20"/>
                      <w:lang w:val="en-US" w:eastAsia="bg-BG"/>
                    </w:rPr>
                    <w:t>BGN</w:t>
                  </w:r>
                </w:p>
              </w:tc>
              <w:tc>
                <w:tcPr>
                  <w:tcW w:w="1275" w:type="dxa"/>
                  <w:tcBorders>
                    <w:top w:val="nil"/>
                    <w:left w:val="single" w:sz="4" w:space="0" w:color="auto"/>
                    <w:bottom w:val="single" w:sz="8" w:space="0" w:color="auto"/>
                    <w:right w:val="single" w:sz="4" w:space="0" w:color="auto"/>
                  </w:tcBorders>
                  <w:vAlign w:val="center"/>
                </w:tcPr>
                <w:p w14:paraId="4F7F73B3" w14:textId="77777777" w:rsidR="00D56F61" w:rsidRPr="00BF41B7" w:rsidRDefault="00D56F61" w:rsidP="009972FF">
                  <w:pPr>
                    <w:rPr>
                      <w:rFonts w:ascii="Verdana" w:hAnsi="Verdana"/>
                      <w:sz w:val="20"/>
                      <w:lang w:eastAsia="bg-BG"/>
                    </w:rPr>
                  </w:pPr>
                  <w:r w:rsidRPr="00BF41B7">
                    <w:rPr>
                      <w:rFonts w:ascii="Verdana" w:hAnsi="Verdana"/>
                      <w:sz w:val="20"/>
                      <w:lang w:eastAsia="bg-BG"/>
                    </w:rPr>
                    <w:t>7.17 %</w:t>
                  </w:r>
                </w:p>
              </w:tc>
              <w:tc>
                <w:tcPr>
                  <w:tcW w:w="1985" w:type="dxa"/>
                  <w:tcBorders>
                    <w:top w:val="nil"/>
                    <w:left w:val="single" w:sz="4" w:space="0" w:color="auto"/>
                    <w:bottom w:val="single" w:sz="8" w:space="0" w:color="auto"/>
                    <w:right w:val="single" w:sz="8" w:space="0" w:color="auto"/>
                  </w:tcBorders>
                  <w:vAlign w:val="center"/>
                  <w:hideMark/>
                </w:tcPr>
                <w:p w14:paraId="4F7F73B4" w14:textId="77777777" w:rsidR="00D56F61" w:rsidRPr="007D166C" w:rsidRDefault="00D56F61" w:rsidP="009972FF">
                  <w:pPr>
                    <w:rPr>
                      <w:rFonts w:ascii="Verdana" w:hAnsi="Verdana"/>
                      <w:sz w:val="20"/>
                      <w:lang w:eastAsia="bg-BG"/>
                    </w:rPr>
                  </w:pPr>
                  <w:r w:rsidRPr="00BF41B7">
                    <w:rPr>
                      <w:rFonts w:ascii="Verdana" w:hAnsi="Verdana"/>
                      <w:sz w:val="20"/>
                      <w:lang w:eastAsia="bg-BG"/>
                    </w:rPr>
                    <w:t xml:space="preserve">до </w:t>
                  </w:r>
                  <w:r w:rsidRPr="00BF41B7">
                    <w:rPr>
                      <w:rFonts w:ascii="Verdana" w:hAnsi="Verdana"/>
                      <w:sz w:val="20"/>
                      <w:lang w:val="en-US" w:eastAsia="bg-BG"/>
                    </w:rPr>
                    <w:t>31.01.2022</w:t>
                  </w:r>
                  <w:r w:rsidRPr="00BF41B7">
                    <w:rPr>
                      <w:rFonts w:ascii="Verdana" w:hAnsi="Verdana"/>
                      <w:sz w:val="20"/>
                      <w:lang w:eastAsia="bg-BG"/>
                    </w:rPr>
                    <w:t xml:space="preserve"> г.</w:t>
                  </w:r>
                </w:p>
              </w:tc>
            </w:tr>
          </w:tbl>
          <w:p w14:paraId="4F7F73B6" w14:textId="77777777" w:rsidR="00D56F61" w:rsidRPr="001B24C7" w:rsidRDefault="00D56F61" w:rsidP="009972FF">
            <w:pPr>
              <w:pStyle w:val="HTMLPreformatted"/>
              <w:jc w:val="both"/>
              <w:rPr>
                <w:rFonts w:ascii="Verdana" w:hAnsi="Verdana"/>
                <w:sz w:val="20"/>
                <w:szCs w:val="20"/>
              </w:rPr>
            </w:pPr>
          </w:p>
          <w:p w14:paraId="4F7F73B7" w14:textId="77777777" w:rsidR="00D56F61" w:rsidRDefault="00D56F61" w:rsidP="009972FF">
            <w:pPr>
              <w:pStyle w:val="HTMLPreformatted"/>
              <w:jc w:val="both"/>
              <w:rPr>
                <w:rFonts w:ascii="Verdana" w:hAnsi="Verdana"/>
                <w:sz w:val="20"/>
                <w:szCs w:val="20"/>
              </w:rPr>
            </w:pPr>
          </w:p>
          <w:p w14:paraId="4F7F73B8" w14:textId="77777777" w:rsidR="00D56F61" w:rsidRPr="00DD09F5" w:rsidRDefault="00D56F61" w:rsidP="009972FF">
            <w:pPr>
              <w:pStyle w:val="HTMLPreformatted"/>
              <w:jc w:val="both"/>
              <w:rPr>
                <w:rFonts w:ascii="Verdana" w:hAnsi="Verdana"/>
                <w:b/>
                <w:sz w:val="20"/>
                <w:szCs w:val="20"/>
              </w:rPr>
            </w:pPr>
            <w:r w:rsidRPr="00BF41B7">
              <w:rPr>
                <w:rFonts w:ascii="Verdana" w:hAnsi="Verdana"/>
                <w:b/>
                <w:sz w:val="20"/>
                <w:szCs w:val="20"/>
              </w:rPr>
              <w:t xml:space="preserve">9. Информация относно сключените от </w:t>
            </w:r>
            <w:proofErr w:type="spellStart"/>
            <w:r w:rsidRPr="00BF41B7">
              <w:rPr>
                <w:rFonts w:ascii="Verdana" w:hAnsi="Verdana"/>
                <w:b/>
                <w:sz w:val="20"/>
                <w:szCs w:val="20"/>
              </w:rPr>
              <w:t>емитента</w:t>
            </w:r>
            <w:proofErr w:type="spellEnd"/>
            <w:r w:rsidRPr="00BF41B7">
              <w:rPr>
                <w:rFonts w:ascii="Verdana" w:hAnsi="Verdana"/>
                <w:b/>
                <w:sz w:val="20"/>
                <w:szCs w:val="20"/>
              </w:rPr>
              <w:t>, съответно лицето по §1д от допълнителните разпоредби на ЗППЦК, от негово дъщерно дружество или дружество майка, в качеството им на заемодатели, договори за заем, включително предоставяне на гаранции от всякакъв вид, в т.ч. на свързани лица, с посочване на конкретните условията по тях, включително на крайните срокове за плащане, и целта, за която са били отпуснати</w:t>
            </w:r>
          </w:p>
          <w:p w14:paraId="4F7F73B9" w14:textId="77777777" w:rsidR="00D56F61" w:rsidRPr="00E31C3D" w:rsidRDefault="00D56F61" w:rsidP="009972FF">
            <w:pPr>
              <w:pStyle w:val="HTMLPreformatted"/>
              <w:jc w:val="both"/>
              <w:rPr>
                <w:rFonts w:ascii="Verdana" w:hAnsi="Verdana"/>
                <w:b/>
                <w:sz w:val="20"/>
                <w:szCs w:val="20"/>
                <w:highlight w:val="magenta"/>
              </w:rPr>
            </w:pPr>
          </w:p>
          <w:p w14:paraId="4F7F73BA" w14:textId="77777777" w:rsidR="00D56F61" w:rsidRDefault="00D56F61" w:rsidP="009972FF">
            <w:pPr>
              <w:pStyle w:val="HTMLPreformatted"/>
              <w:jc w:val="both"/>
              <w:rPr>
                <w:rFonts w:ascii="Verdana" w:hAnsi="Verdana"/>
                <w:sz w:val="20"/>
                <w:szCs w:val="20"/>
              </w:rPr>
            </w:pPr>
            <w:r w:rsidRPr="0080247E">
              <w:rPr>
                <w:rFonts w:ascii="Verdana" w:hAnsi="Verdana"/>
                <w:sz w:val="20"/>
                <w:szCs w:val="20"/>
              </w:rPr>
              <w:t>През 201</w:t>
            </w:r>
            <w:r>
              <w:rPr>
                <w:rFonts w:ascii="Verdana" w:hAnsi="Verdana"/>
                <w:sz w:val="20"/>
                <w:szCs w:val="20"/>
              </w:rPr>
              <w:t>9</w:t>
            </w:r>
            <w:r w:rsidRPr="0080247E">
              <w:rPr>
                <w:rFonts w:ascii="Verdana" w:hAnsi="Verdana"/>
                <w:sz w:val="20"/>
                <w:szCs w:val="20"/>
              </w:rPr>
              <w:t xml:space="preserve"> г. „Топлофикация – Разград</w:t>
            </w:r>
            <w:r>
              <w:rPr>
                <w:rFonts w:ascii="Verdana" w:hAnsi="Verdana"/>
                <w:sz w:val="20"/>
                <w:szCs w:val="20"/>
              </w:rPr>
              <w:t xml:space="preserve">“ </w:t>
            </w:r>
            <w:r w:rsidRPr="0080247E">
              <w:rPr>
                <w:rFonts w:ascii="Verdana" w:hAnsi="Verdana"/>
                <w:sz w:val="20"/>
                <w:szCs w:val="20"/>
              </w:rPr>
              <w:t xml:space="preserve">АД има сключени договор за </w:t>
            </w:r>
            <w:r>
              <w:rPr>
                <w:rFonts w:ascii="Verdana" w:hAnsi="Verdana"/>
                <w:sz w:val="20"/>
                <w:szCs w:val="20"/>
              </w:rPr>
              <w:t>издаване на банкова гаранция в размер на 4 804,00 лв. с „Овергаз Капитал” АД.</w:t>
            </w:r>
          </w:p>
          <w:p w14:paraId="4F7F73BB" w14:textId="77777777" w:rsidR="00D56F61" w:rsidRDefault="00D56F61" w:rsidP="009972FF">
            <w:pPr>
              <w:pStyle w:val="HTMLPreformatted"/>
              <w:jc w:val="both"/>
              <w:rPr>
                <w:rFonts w:ascii="Verdana" w:hAnsi="Verdana"/>
                <w:sz w:val="20"/>
                <w:szCs w:val="20"/>
              </w:rPr>
            </w:pPr>
          </w:p>
          <w:p w14:paraId="4F7F73BC" w14:textId="77777777" w:rsidR="00D56F61" w:rsidRDefault="00D56F61" w:rsidP="009972FF">
            <w:pPr>
              <w:pStyle w:val="HTMLPreformatted"/>
              <w:jc w:val="both"/>
              <w:rPr>
                <w:rFonts w:ascii="Verdana" w:hAnsi="Verdana"/>
                <w:sz w:val="20"/>
                <w:szCs w:val="20"/>
              </w:rPr>
            </w:pPr>
            <w:r>
              <w:rPr>
                <w:rFonts w:ascii="Verdana" w:hAnsi="Verdana"/>
                <w:sz w:val="20"/>
                <w:szCs w:val="20"/>
              </w:rPr>
              <w:t xml:space="preserve">През отчетната 2019г. „Овергаз </w:t>
            </w:r>
            <w:proofErr w:type="spellStart"/>
            <w:r>
              <w:rPr>
                <w:rFonts w:ascii="Verdana" w:hAnsi="Verdana"/>
                <w:sz w:val="20"/>
                <w:szCs w:val="20"/>
              </w:rPr>
              <w:t>Директ</w:t>
            </w:r>
            <w:proofErr w:type="spellEnd"/>
            <w:r>
              <w:rPr>
                <w:rFonts w:ascii="Verdana" w:hAnsi="Verdana"/>
                <w:sz w:val="20"/>
                <w:szCs w:val="20"/>
              </w:rPr>
              <w:t xml:space="preserve">“ ООД не е предоставял и поемал </w:t>
            </w:r>
            <w:proofErr w:type="spellStart"/>
            <w:r>
              <w:rPr>
                <w:rFonts w:ascii="Verdana" w:hAnsi="Verdana"/>
                <w:sz w:val="20"/>
                <w:szCs w:val="20"/>
              </w:rPr>
              <w:t>друи</w:t>
            </w:r>
            <w:proofErr w:type="spellEnd"/>
            <w:r>
              <w:rPr>
                <w:rFonts w:ascii="Verdana" w:hAnsi="Verdana"/>
                <w:sz w:val="20"/>
                <w:szCs w:val="20"/>
              </w:rPr>
              <w:t xml:space="preserve"> задължения.</w:t>
            </w:r>
          </w:p>
          <w:p w14:paraId="4F7F73BD" w14:textId="77777777" w:rsidR="00D56F61" w:rsidRDefault="00D56F61" w:rsidP="009972FF">
            <w:pPr>
              <w:pStyle w:val="HTMLPreformatted"/>
              <w:jc w:val="both"/>
              <w:rPr>
                <w:rFonts w:ascii="Verdana" w:hAnsi="Verdana"/>
                <w:sz w:val="20"/>
                <w:szCs w:val="20"/>
              </w:rPr>
            </w:pPr>
          </w:p>
          <w:p w14:paraId="4F7F73BE" w14:textId="77777777" w:rsidR="00D56F61" w:rsidRDefault="00D56F61" w:rsidP="009972FF">
            <w:pPr>
              <w:rPr>
                <w:rFonts w:ascii="Verdana" w:hAnsi="Verdana"/>
                <w:sz w:val="20"/>
                <w:lang w:eastAsia="bg-BG"/>
              </w:rPr>
            </w:pPr>
            <w:bookmarkStart w:id="9" w:name="_Hlk35512732"/>
            <w:r w:rsidRPr="007D166C">
              <w:rPr>
                <w:rFonts w:ascii="Verdana" w:hAnsi="Verdana"/>
                <w:sz w:val="20"/>
                <w:lang w:eastAsia="bg-BG"/>
              </w:rPr>
              <w:t xml:space="preserve">През отчетната </w:t>
            </w:r>
            <w:r w:rsidRPr="007D166C">
              <w:rPr>
                <w:rFonts w:ascii="Verdana" w:hAnsi="Verdana"/>
                <w:sz w:val="20"/>
                <w:lang w:val="en-US" w:eastAsia="bg-BG"/>
              </w:rPr>
              <w:t>2019</w:t>
            </w:r>
            <w:r w:rsidRPr="007D166C">
              <w:rPr>
                <w:rFonts w:ascii="Verdana" w:hAnsi="Verdana"/>
                <w:sz w:val="20"/>
                <w:lang w:eastAsia="bg-BG"/>
              </w:rPr>
              <w:t xml:space="preserve"> г. „Овергаз Холдинг” АД не е сключвал договори за заем в качеството си на заемодател.</w:t>
            </w:r>
            <w:bookmarkEnd w:id="9"/>
          </w:p>
          <w:p w14:paraId="4F7F73BF" w14:textId="77777777" w:rsidR="00D56F61" w:rsidRDefault="00D56F61" w:rsidP="009972FF">
            <w:pPr>
              <w:rPr>
                <w:rFonts w:ascii="Verdana" w:hAnsi="Verdana"/>
                <w:sz w:val="20"/>
                <w:lang w:eastAsia="bg-BG"/>
              </w:rPr>
            </w:pPr>
          </w:p>
          <w:p w14:paraId="4F7F73C0" w14:textId="77777777" w:rsidR="00D56F61" w:rsidRPr="007D166C" w:rsidRDefault="00D56F61" w:rsidP="009972FF">
            <w:pPr>
              <w:rPr>
                <w:rFonts w:ascii="Verdana" w:hAnsi="Verdana"/>
                <w:sz w:val="20"/>
                <w:lang w:eastAsia="bg-BG"/>
              </w:rPr>
            </w:pPr>
            <w:r w:rsidRPr="007D166C">
              <w:rPr>
                <w:rFonts w:ascii="Verdana" w:hAnsi="Verdana"/>
                <w:sz w:val="20"/>
                <w:lang w:eastAsia="bg-BG"/>
              </w:rPr>
              <w:t xml:space="preserve">През отчетната 2019 г. „Овергаз Холдинг” АД е предоставял и поемал други задължения, както следва: </w:t>
            </w:r>
          </w:p>
          <w:p w14:paraId="4F7F73C1" w14:textId="77777777" w:rsidR="00D56F61" w:rsidRPr="007D166C" w:rsidRDefault="00D56F61" w:rsidP="009972FF">
            <w:pPr>
              <w:rPr>
                <w:rFonts w:ascii="Verdana" w:hAnsi="Verdana"/>
                <w:sz w:val="20"/>
                <w:lang w:eastAsia="bg-BG"/>
              </w:rPr>
            </w:pPr>
            <w:r>
              <w:rPr>
                <w:rFonts w:ascii="Verdana" w:hAnsi="Verdana"/>
                <w:sz w:val="20"/>
                <w:lang w:eastAsia="bg-BG"/>
              </w:rPr>
              <w:t xml:space="preserve">                         Табл.12</w:t>
            </w:r>
          </w:p>
          <w:tbl>
            <w:tblPr>
              <w:tblW w:w="9375" w:type="dxa"/>
              <w:tblInd w:w="55" w:type="dxa"/>
              <w:tblLayout w:type="fixed"/>
              <w:tblCellMar>
                <w:left w:w="70" w:type="dxa"/>
                <w:right w:w="70" w:type="dxa"/>
              </w:tblCellMar>
              <w:tblLook w:val="0000" w:firstRow="0" w:lastRow="0" w:firstColumn="0" w:lastColumn="0" w:noHBand="0" w:noVBand="0"/>
            </w:tblPr>
            <w:tblGrid>
              <w:gridCol w:w="3904"/>
              <w:gridCol w:w="2951"/>
              <w:gridCol w:w="2520"/>
            </w:tblGrid>
            <w:tr w:rsidR="00D56F61" w:rsidRPr="007D166C" w14:paraId="4F7F73C5" w14:textId="77777777" w:rsidTr="009972FF">
              <w:trPr>
                <w:trHeight w:val="435"/>
              </w:trPr>
              <w:tc>
                <w:tcPr>
                  <w:tcW w:w="3904" w:type="dxa"/>
                  <w:tcBorders>
                    <w:top w:val="single" w:sz="8" w:space="0" w:color="auto"/>
                    <w:left w:val="single" w:sz="8" w:space="0" w:color="auto"/>
                    <w:bottom w:val="single" w:sz="8" w:space="0" w:color="auto"/>
                    <w:right w:val="single" w:sz="8" w:space="0" w:color="auto"/>
                  </w:tcBorders>
                  <w:shd w:val="clear" w:color="auto" w:fill="auto"/>
                  <w:vAlign w:val="center"/>
                </w:tcPr>
                <w:p w14:paraId="4F7F73C2" w14:textId="77777777" w:rsidR="00D56F61" w:rsidRPr="007D166C" w:rsidRDefault="00D56F61" w:rsidP="009972FF">
                  <w:pPr>
                    <w:rPr>
                      <w:rFonts w:ascii="Verdana" w:hAnsi="Verdana"/>
                      <w:b/>
                      <w:bCs/>
                      <w:sz w:val="20"/>
                      <w:lang w:eastAsia="bg-BG"/>
                    </w:rPr>
                  </w:pPr>
                  <w:r w:rsidRPr="007D166C">
                    <w:rPr>
                      <w:rFonts w:ascii="Verdana" w:hAnsi="Verdana"/>
                      <w:b/>
                      <w:bCs/>
                      <w:sz w:val="20"/>
                      <w:lang w:eastAsia="bg-BG"/>
                    </w:rPr>
                    <w:t>Договор</w:t>
                  </w:r>
                </w:p>
              </w:tc>
              <w:tc>
                <w:tcPr>
                  <w:tcW w:w="2951" w:type="dxa"/>
                  <w:tcBorders>
                    <w:top w:val="single" w:sz="8" w:space="0" w:color="auto"/>
                    <w:left w:val="nil"/>
                    <w:bottom w:val="single" w:sz="8" w:space="0" w:color="auto"/>
                    <w:right w:val="single" w:sz="8" w:space="0" w:color="auto"/>
                  </w:tcBorders>
                  <w:shd w:val="clear" w:color="auto" w:fill="auto"/>
                  <w:vAlign w:val="center"/>
                </w:tcPr>
                <w:p w14:paraId="4F7F73C3" w14:textId="77777777" w:rsidR="00D56F61" w:rsidRPr="007D166C" w:rsidRDefault="00D56F61" w:rsidP="009972FF">
                  <w:pPr>
                    <w:rPr>
                      <w:rFonts w:ascii="Verdana" w:hAnsi="Verdana"/>
                      <w:b/>
                      <w:bCs/>
                      <w:sz w:val="20"/>
                      <w:lang w:eastAsia="bg-BG"/>
                    </w:rPr>
                  </w:pPr>
                  <w:r w:rsidRPr="007D166C">
                    <w:rPr>
                      <w:rFonts w:ascii="Verdana" w:hAnsi="Verdana"/>
                      <w:b/>
                      <w:bCs/>
                      <w:sz w:val="20"/>
                      <w:lang w:eastAsia="bg-BG"/>
                    </w:rPr>
                    <w:t>Предоставени гаранции/поети задължения от "Овергаз Холдинг" АД</w:t>
                  </w:r>
                </w:p>
              </w:tc>
              <w:tc>
                <w:tcPr>
                  <w:tcW w:w="2520" w:type="dxa"/>
                  <w:tcBorders>
                    <w:top w:val="single" w:sz="8" w:space="0" w:color="auto"/>
                    <w:left w:val="nil"/>
                    <w:bottom w:val="single" w:sz="8" w:space="0" w:color="auto"/>
                    <w:right w:val="single" w:sz="8" w:space="0" w:color="auto"/>
                  </w:tcBorders>
                  <w:shd w:val="clear" w:color="auto" w:fill="auto"/>
                  <w:vAlign w:val="center"/>
                </w:tcPr>
                <w:p w14:paraId="4F7F73C4" w14:textId="77777777" w:rsidR="00D56F61" w:rsidRPr="007D166C" w:rsidRDefault="00D56F61" w:rsidP="009972FF">
                  <w:pPr>
                    <w:rPr>
                      <w:rFonts w:ascii="Verdana" w:hAnsi="Verdana"/>
                      <w:b/>
                      <w:bCs/>
                      <w:sz w:val="20"/>
                      <w:lang w:eastAsia="bg-BG"/>
                    </w:rPr>
                  </w:pPr>
                  <w:r w:rsidRPr="007D166C">
                    <w:rPr>
                      <w:rFonts w:ascii="Verdana" w:hAnsi="Verdana"/>
                      <w:b/>
                      <w:bCs/>
                      <w:sz w:val="20"/>
                      <w:lang w:eastAsia="bg-BG"/>
                    </w:rPr>
                    <w:t>Договорен размер на кредита</w:t>
                  </w:r>
                </w:p>
              </w:tc>
            </w:tr>
            <w:tr w:rsidR="00D56F61" w:rsidRPr="007D166C" w14:paraId="4F7F73C9" w14:textId="77777777" w:rsidTr="009972FF">
              <w:trPr>
                <w:trHeight w:val="1065"/>
              </w:trPr>
              <w:tc>
                <w:tcPr>
                  <w:tcW w:w="3904" w:type="dxa"/>
                  <w:tcBorders>
                    <w:top w:val="nil"/>
                    <w:left w:val="single" w:sz="8" w:space="0" w:color="auto"/>
                    <w:bottom w:val="single" w:sz="8" w:space="0" w:color="auto"/>
                    <w:right w:val="single" w:sz="8" w:space="0" w:color="auto"/>
                  </w:tcBorders>
                  <w:shd w:val="clear" w:color="000000" w:fill="FFFFFF"/>
                  <w:vAlign w:val="center"/>
                </w:tcPr>
                <w:p w14:paraId="4F7F73C6" w14:textId="77777777" w:rsidR="00D56F61" w:rsidRPr="007D166C" w:rsidRDefault="00D56F61" w:rsidP="009972FF">
                  <w:pPr>
                    <w:rPr>
                      <w:rFonts w:ascii="Verdana" w:hAnsi="Verdana"/>
                      <w:sz w:val="20"/>
                      <w:lang w:eastAsia="bg-BG"/>
                    </w:rPr>
                  </w:pPr>
                  <w:r w:rsidRPr="007D166C">
                    <w:rPr>
                      <w:rFonts w:ascii="Verdana" w:hAnsi="Verdana"/>
                      <w:sz w:val="20"/>
                      <w:lang w:eastAsia="bg-BG"/>
                    </w:rPr>
                    <w:t>"Българо-американска кредитна банка" АД /кредитор/, "Методия" АД /кредитополучател/  - Договор за банков кредит под формата на овърдрафт № 100-0197/08.11.2019 г.</w:t>
                  </w:r>
                </w:p>
              </w:tc>
              <w:tc>
                <w:tcPr>
                  <w:tcW w:w="2951" w:type="dxa"/>
                  <w:tcBorders>
                    <w:top w:val="nil"/>
                    <w:left w:val="nil"/>
                    <w:bottom w:val="single" w:sz="8" w:space="0" w:color="auto"/>
                    <w:right w:val="single" w:sz="8" w:space="0" w:color="auto"/>
                  </w:tcBorders>
                  <w:shd w:val="clear" w:color="auto" w:fill="auto"/>
                  <w:vAlign w:val="center"/>
                </w:tcPr>
                <w:p w14:paraId="4F7F73C7" w14:textId="77777777" w:rsidR="00D56F61" w:rsidRPr="007D166C" w:rsidRDefault="00D56F61" w:rsidP="009972FF">
                  <w:pPr>
                    <w:rPr>
                      <w:rFonts w:ascii="Verdana" w:hAnsi="Verdana"/>
                      <w:sz w:val="20"/>
                      <w:lang w:eastAsia="bg-BG"/>
                    </w:rPr>
                  </w:pPr>
                  <w:r w:rsidRPr="007D166C">
                    <w:rPr>
                      <w:rFonts w:ascii="Verdana" w:hAnsi="Verdana"/>
                      <w:sz w:val="20"/>
                      <w:lang w:eastAsia="bg-BG"/>
                    </w:rPr>
                    <w:t>Поръчител</w:t>
                  </w:r>
                </w:p>
              </w:tc>
              <w:tc>
                <w:tcPr>
                  <w:tcW w:w="2520" w:type="dxa"/>
                  <w:tcBorders>
                    <w:top w:val="nil"/>
                    <w:left w:val="nil"/>
                    <w:bottom w:val="single" w:sz="8" w:space="0" w:color="auto"/>
                    <w:right w:val="single" w:sz="8" w:space="0" w:color="auto"/>
                  </w:tcBorders>
                  <w:shd w:val="clear" w:color="000000" w:fill="FFFFFF"/>
                  <w:vAlign w:val="center"/>
                </w:tcPr>
                <w:p w14:paraId="4F7F73C8" w14:textId="77777777" w:rsidR="00D56F61" w:rsidRPr="007D166C" w:rsidRDefault="00D56F61" w:rsidP="009972FF">
                  <w:pPr>
                    <w:rPr>
                      <w:rFonts w:ascii="Verdana" w:hAnsi="Verdana"/>
                      <w:sz w:val="20"/>
                      <w:lang w:eastAsia="bg-BG"/>
                    </w:rPr>
                  </w:pPr>
                  <w:r w:rsidRPr="007D166C">
                    <w:rPr>
                      <w:rFonts w:ascii="Verdana" w:hAnsi="Verdana"/>
                      <w:sz w:val="20"/>
                      <w:lang w:eastAsia="bg-BG"/>
                    </w:rPr>
                    <w:t>до 500 000 лв.</w:t>
                  </w:r>
                </w:p>
              </w:tc>
            </w:tr>
            <w:tr w:rsidR="00D56F61" w:rsidRPr="007D166C" w14:paraId="4F7F73CD" w14:textId="77777777" w:rsidTr="009972FF">
              <w:trPr>
                <w:trHeight w:val="1065"/>
              </w:trPr>
              <w:tc>
                <w:tcPr>
                  <w:tcW w:w="3904" w:type="dxa"/>
                  <w:tcBorders>
                    <w:top w:val="nil"/>
                    <w:left w:val="single" w:sz="8" w:space="0" w:color="auto"/>
                    <w:bottom w:val="single" w:sz="8" w:space="0" w:color="auto"/>
                    <w:right w:val="single" w:sz="8" w:space="0" w:color="auto"/>
                  </w:tcBorders>
                  <w:shd w:val="clear" w:color="000000" w:fill="FFFFFF"/>
                  <w:vAlign w:val="center"/>
                </w:tcPr>
                <w:p w14:paraId="4F7F73CA" w14:textId="77777777" w:rsidR="00D56F61" w:rsidRPr="007D166C" w:rsidRDefault="00D56F61" w:rsidP="009972FF">
                  <w:pPr>
                    <w:rPr>
                      <w:rFonts w:ascii="Verdana" w:hAnsi="Verdana"/>
                      <w:sz w:val="20"/>
                      <w:lang w:eastAsia="bg-BG"/>
                    </w:rPr>
                  </w:pPr>
                  <w:r w:rsidRPr="007D166C">
                    <w:rPr>
                      <w:rFonts w:ascii="Verdana" w:hAnsi="Verdana"/>
                      <w:sz w:val="20"/>
                      <w:lang w:eastAsia="bg-BG"/>
                    </w:rPr>
                    <w:t xml:space="preserve">"Българо-американска кредитна банка" АД /кредитор/, "Методия" АД /кредитополучател/  - Договор за </w:t>
                  </w:r>
                  <w:proofErr w:type="spellStart"/>
                  <w:r w:rsidRPr="007D166C">
                    <w:rPr>
                      <w:rFonts w:ascii="Verdana" w:hAnsi="Verdana"/>
                      <w:sz w:val="20"/>
                      <w:lang w:eastAsia="bg-BG"/>
                    </w:rPr>
                    <w:t>револвираща</w:t>
                  </w:r>
                  <w:proofErr w:type="spellEnd"/>
                  <w:r w:rsidRPr="007D166C">
                    <w:rPr>
                      <w:rFonts w:ascii="Verdana" w:hAnsi="Verdana"/>
                      <w:sz w:val="20"/>
                      <w:lang w:eastAsia="bg-BG"/>
                    </w:rPr>
                    <w:t xml:space="preserve"> кредитна </w:t>
                  </w:r>
                  <w:proofErr w:type="spellStart"/>
                  <w:r w:rsidRPr="007D166C">
                    <w:rPr>
                      <w:rFonts w:ascii="Verdana" w:hAnsi="Verdana"/>
                      <w:sz w:val="20"/>
                      <w:lang w:eastAsia="bg-BG"/>
                    </w:rPr>
                    <w:t>лининя</w:t>
                  </w:r>
                  <w:proofErr w:type="spellEnd"/>
                  <w:r w:rsidRPr="007D166C">
                    <w:rPr>
                      <w:rFonts w:ascii="Verdana" w:hAnsi="Verdana"/>
                      <w:sz w:val="20"/>
                      <w:lang w:eastAsia="bg-BG"/>
                    </w:rPr>
                    <w:t xml:space="preserve"> № 100-0196/08.11.2019 г.</w:t>
                  </w:r>
                </w:p>
              </w:tc>
              <w:tc>
                <w:tcPr>
                  <w:tcW w:w="2951" w:type="dxa"/>
                  <w:tcBorders>
                    <w:top w:val="nil"/>
                    <w:left w:val="nil"/>
                    <w:bottom w:val="single" w:sz="8" w:space="0" w:color="auto"/>
                    <w:right w:val="single" w:sz="8" w:space="0" w:color="auto"/>
                  </w:tcBorders>
                  <w:shd w:val="clear" w:color="auto" w:fill="auto"/>
                  <w:vAlign w:val="center"/>
                </w:tcPr>
                <w:p w14:paraId="4F7F73CB" w14:textId="77777777" w:rsidR="00D56F61" w:rsidRPr="007D166C" w:rsidRDefault="00D56F61" w:rsidP="009972FF">
                  <w:pPr>
                    <w:rPr>
                      <w:rFonts w:ascii="Verdana" w:hAnsi="Verdana"/>
                      <w:sz w:val="20"/>
                      <w:lang w:eastAsia="bg-BG"/>
                    </w:rPr>
                  </w:pPr>
                  <w:r w:rsidRPr="007D166C">
                    <w:rPr>
                      <w:rFonts w:ascii="Verdana" w:hAnsi="Verdana"/>
                      <w:sz w:val="20"/>
                      <w:lang w:eastAsia="bg-BG"/>
                    </w:rPr>
                    <w:t>Поръчител</w:t>
                  </w:r>
                </w:p>
              </w:tc>
              <w:tc>
                <w:tcPr>
                  <w:tcW w:w="2520" w:type="dxa"/>
                  <w:tcBorders>
                    <w:top w:val="nil"/>
                    <w:left w:val="nil"/>
                    <w:bottom w:val="single" w:sz="8" w:space="0" w:color="auto"/>
                    <w:right w:val="single" w:sz="8" w:space="0" w:color="auto"/>
                  </w:tcBorders>
                  <w:shd w:val="clear" w:color="000000" w:fill="FFFFFF"/>
                  <w:vAlign w:val="center"/>
                </w:tcPr>
                <w:p w14:paraId="4F7F73CC" w14:textId="77777777" w:rsidR="00D56F61" w:rsidRPr="007D166C" w:rsidRDefault="00D56F61" w:rsidP="009972FF">
                  <w:pPr>
                    <w:rPr>
                      <w:rFonts w:ascii="Verdana" w:hAnsi="Verdana"/>
                      <w:sz w:val="20"/>
                      <w:lang w:eastAsia="bg-BG"/>
                    </w:rPr>
                  </w:pPr>
                  <w:r w:rsidRPr="007D166C">
                    <w:rPr>
                      <w:rFonts w:ascii="Verdana" w:hAnsi="Verdana"/>
                      <w:sz w:val="20"/>
                      <w:lang w:eastAsia="bg-BG"/>
                    </w:rPr>
                    <w:t>до 1 100 000 лв.</w:t>
                  </w:r>
                </w:p>
              </w:tc>
            </w:tr>
          </w:tbl>
          <w:p w14:paraId="4F7F73CE" w14:textId="77777777" w:rsidR="00D56F61" w:rsidRPr="007D166C" w:rsidRDefault="00D56F61" w:rsidP="009972FF">
            <w:pPr>
              <w:rPr>
                <w:rFonts w:ascii="Verdana" w:hAnsi="Verdana"/>
                <w:sz w:val="20"/>
                <w:lang w:eastAsia="bg-BG"/>
              </w:rPr>
            </w:pPr>
          </w:p>
          <w:p w14:paraId="4F7F73CF" w14:textId="77777777" w:rsidR="00D56F61" w:rsidRPr="0080247E" w:rsidRDefault="00D56F61" w:rsidP="009972FF">
            <w:pPr>
              <w:pStyle w:val="HTMLPreformatted"/>
              <w:jc w:val="both"/>
              <w:rPr>
                <w:rFonts w:ascii="Verdana" w:hAnsi="Verdana"/>
                <w:sz w:val="20"/>
                <w:szCs w:val="20"/>
              </w:rPr>
            </w:pPr>
          </w:p>
        </w:tc>
      </w:tr>
      <w:tr w:rsidR="00D56F61" w:rsidRPr="0080247E" w14:paraId="4F7F73D2" w14:textId="77777777" w:rsidTr="009972FF">
        <w:trPr>
          <w:trHeight w:val="131"/>
          <w:tblCellSpacing w:w="0" w:type="dxa"/>
        </w:trPr>
        <w:tc>
          <w:tcPr>
            <w:tcW w:w="9450" w:type="dxa"/>
            <w:vAlign w:val="center"/>
          </w:tcPr>
          <w:p w14:paraId="4F7F73D1" w14:textId="77777777" w:rsidR="00D56F61" w:rsidRPr="0080247E" w:rsidRDefault="00D56F61" w:rsidP="009972FF">
            <w:pPr>
              <w:pStyle w:val="HTMLPreformatted"/>
              <w:jc w:val="both"/>
              <w:rPr>
                <w:rFonts w:ascii="Verdana" w:hAnsi="Verdana"/>
                <w:b/>
                <w:sz w:val="20"/>
                <w:szCs w:val="20"/>
              </w:rPr>
            </w:pPr>
          </w:p>
        </w:tc>
      </w:tr>
      <w:tr w:rsidR="00D56F61" w:rsidRPr="0080247E" w14:paraId="4F7F73D7" w14:textId="77777777" w:rsidTr="009972FF">
        <w:trPr>
          <w:trHeight w:val="131"/>
          <w:tblCellSpacing w:w="0" w:type="dxa"/>
        </w:trPr>
        <w:tc>
          <w:tcPr>
            <w:tcW w:w="9450" w:type="dxa"/>
            <w:vAlign w:val="center"/>
          </w:tcPr>
          <w:p w14:paraId="4F7F73D3"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10.Информация за използването на средствата от извършена нова емисия ценни книжа през отчетния период </w:t>
            </w:r>
          </w:p>
          <w:p w14:paraId="4F7F73D4" w14:textId="77777777" w:rsidR="00D56F61" w:rsidRPr="0080247E" w:rsidRDefault="00D56F61" w:rsidP="009972FF">
            <w:pPr>
              <w:pStyle w:val="HTMLPreformatted"/>
              <w:jc w:val="both"/>
              <w:rPr>
                <w:rFonts w:ascii="Verdana" w:hAnsi="Verdana"/>
                <w:b/>
                <w:sz w:val="20"/>
                <w:szCs w:val="20"/>
              </w:rPr>
            </w:pPr>
          </w:p>
          <w:p w14:paraId="4F7F73D5" w14:textId="77777777" w:rsidR="00D56F61" w:rsidRPr="00E53814" w:rsidRDefault="00D56F61" w:rsidP="009972FF">
            <w:pPr>
              <w:pStyle w:val="HTMLPreformatted"/>
              <w:jc w:val="both"/>
              <w:rPr>
                <w:rFonts w:ascii="Verdana" w:hAnsi="Verdana"/>
                <w:b/>
                <w:sz w:val="20"/>
                <w:szCs w:val="20"/>
              </w:rPr>
            </w:pPr>
            <w:r>
              <w:rPr>
                <w:rFonts w:ascii="Verdana" w:hAnsi="Verdana"/>
                <w:sz w:val="20"/>
                <w:szCs w:val="20"/>
              </w:rPr>
              <w:t xml:space="preserve">С протокол от 29.01.2019г. на едноличния собственик на Дружеството е взето решение </w:t>
            </w:r>
            <w:r>
              <w:rPr>
                <w:rFonts w:ascii="Verdana" w:hAnsi="Verdana"/>
                <w:sz w:val="20"/>
                <w:szCs w:val="20"/>
              </w:rPr>
              <w:lastRenderedPageBreak/>
              <w:t>да бъде увеличен капитала от 2 099 171 лв. на 7 000 </w:t>
            </w:r>
            <w:proofErr w:type="spellStart"/>
            <w:r>
              <w:rPr>
                <w:rFonts w:ascii="Verdana" w:hAnsi="Verdana"/>
                <w:sz w:val="20"/>
                <w:szCs w:val="20"/>
              </w:rPr>
              <w:t>000</w:t>
            </w:r>
            <w:proofErr w:type="spellEnd"/>
            <w:r>
              <w:rPr>
                <w:rFonts w:ascii="Verdana" w:hAnsi="Verdana"/>
                <w:sz w:val="20"/>
                <w:szCs w:val="20"/>
              </w:rPr>
              <w:t xml:space="preserve">  лв. чрез издаване на нови 4 900 829 броя обикновени поименни налични акции, всяка от  която е с номинал 1 лев за брой.</w:t>
            </w:r>
          </w:p>
          <w:p w14:paraId="4F7F73D6" w14:textId="77777777" w:rsidR="00D56F61" w:rsidRPr="0080247E" w:rsidRDefault="00D56F61" w:rsidP="009972FF">
            <w:pPr>
              <w:pStyle w:val="HTMLPreformatted"/>
              <w:jc w:val="both"/>
              <w:rPr>
                <w:rFonts w:ascii="Verdana" w:hAnsi="Verdana"/>
                <w:sz w:val="20"/>
                <w:szCs w:val="20"/>
              </w:rPr>
            </w:pPr>
          </w:p>
        </w:tc>
      </w:tr>
      <w:tr w:rsidR="00D56F61" w:rsidRPr="0080247E" w14:paraId="4F7F73DD" w14:textId="77777777" w:rsidTr="009972FF">
        <w:trPr>
          <w:trHeight w:val="131"/>
          <w:tblCellSpacing w:w="0" w:type="dxa"/>
        </w:trPr>
        <w:tc>
          <w:tcPr>
            <w:tcW w:w="9450" w:type="dxa"/>
            <w:vAlign w:val="center"/>
          </w:tcPr>
          <w:p w14:paraId="4F7F73D8"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lastRenderedPageBreak/>
              <w:t xml:space="preserve">11.Анализ на съотношението между постигнатите финансови резултати, отразени във финансовия отчет за финансовата година, и по-рано публикувани прогнози за тези резултати </w:t>
            </w:r>
          </w:p>
          <w:p w14:paraId="4F7F73D9" w14:textId="77777777" w:rsidR="00D56F61" w:rsidRPr="0080247E" w:rsidRDefault="00D56F61" w:rsidP="009972FF">
            <w:pPr>
              <w:pStyle w:val="HTMLPreformatted"/>
              <w:jc w:val="both"/>
              <w:rPr>
                <w:rFonts w:ascii="Verdana" w:hAnsi="Verdana"/>
                <w:b/>
                <w:sz w:val="20"/>
                <w:szCs w:val="20"/>
              </w:rPr>
            </w:pPr>
          </w:p>
          <w:p w14:paraId="4F7F73DA" w14:textId="77777777" w:rsidR="00D56F61" w:rsidRPr="00251371" w:rsidRDefault="00D56F61" w:rsidP="009972FF">
            <w:pPr>
              <w:pStyle w:val="HTMLPreformatted"/>
              <w:jc w:val="both"/>
              <w:rPr>
                <w:rFonts w:ascii="Verdana" w:hAnsi="Verdana"/>
                <w:sz w:val="20"/>
                <w:szCs w:val="20"/>
              </w:rPr>
            </w:pPr>
            <w:r w:rsidRPr="002F0C97">
              <w:rPr>
                <w:rFonts w:ascii="Verdana" w:hAnsi="Verdana"/>
                <w:sz w:val="20"/>
                <w:szCs w:val="20"/>
              </w:rPr>
              <w:t xml:space="preserve">Анализът на финансовите показатели показва загуба на Дружеството в размер на </w:t>
            </w:r>
            <w:r>
              <w:rPr>
                <w:rFonts w:ascii="Verdana" w:hAnsi="Verdana"/>
                <w:sz w:val="20"/>
                <w:szCs w:val="20"/>
              </w:rPr>
              <w:t>1 201</w:t>
            </w:r>
            <w:r w:rsidRPr="002F0C97">
              <w:rPr>
                <w:rFonts w:ascii="Verdana" w:hAnsi="Verdana"/>
                <w:sz w:val="20"/>
                <w:szCs w:val="20"/>
              </w:rPr>
              <w:t xml:space="preserve"> хил.лв.</w:t>
            </w:r>
            <w:r>
              <w:rPr>
                <w:rFonts w:ascii="Verdana" w:hAnsi="Verdana"/>
                <w:sz w:val="20"/>
                <w:szCs w:val="20"/>
              </w:rPr>
              <w:t>, като Дружеството не е публикувало предварителни прогнозни данни.</w:t>
            </w:r>
          </w:p>
          <w:p w14:paraId="4F7F73DB" w14:textId="77777777" w:rsidR="00D56F61" w:rsidRDefault="00D56F61" w:rsidP="009972FF">
            <w:pPr>
              <w:pStyle w:val="HTMLPreformatted"/>
              <w:jc w:val="both"/>
              <w:rPr>
                <w:rFonts w:ascii="Verdana" w:hAnsi="Verdana"/>
                <w:sz w:val="20"/>
                <w:szCs w:val="20"/>
              </w:rPr>
            </w:pPr>
          </w:p>
          <w:p w14:paraId="4F7F73DC" w14:textId="77777777" w:rsidR="00D56F61" w:rsidRPr="0080247E" w:rsidRDefault="00D56F61" w:rsidP="009972FF">
            <w:pPr>
              <w:pStyle w:val="HTMLPreformatted"/>
              <w:jc w:val="both"/>
              <w:rPr>
                <w:rFonts w:ascii="Verdana" w:hAnsi="Verdana"/>
                <w:b/>
                <w:sz w:val="20"/>
                <w:szCs w:val="20"/>
              </w:rPr>
            </w:pPr>
          </w:p>
        </w:tc>
      </w:tr>
      <w:tr w:rsidR="00D56F61" w:rsidRPr="002F0C97" w14:paraId="4F7F73E8" w14:textId="77777777" w:rsidTr="009972FF">
        <w:trPr>
          <w:trHeight w:val="131"/>
          <w:tblCellSpacing w:w="0" w:type="dxa"/>
        </w:trPr>
        <w:tc>
          <w:tcPr>
            <w:tcW w:w="9450" w:type="dxa"/>
            <w:vAlign w:val="center"/>
          </w:tcPr>
          <w:p w14:paraId="4F7F73DE" w14:textId="77777777" w:rsidR="00D56F61" w:rsidRDefault="00D56F61" w:rsidP="009972FF">
            <w:pPr>
              <w:rPr>
                <w:rFonts w:ascii="Verdana" w:hAnsi="Verdana"/>
                <w:b/>
                <w:sz w:val="20"/>
              </w:rPr>
            </w:pPr>
            <w:r w:rsidRPr="0080247E">
              <w:rPr>
                <w:rFonts w:ascii="Verdana" w:hAnsi="Verdana"/>
                <w:b/>
                <w:sz w:val="20"/>
              </w:rPr>
              <w:t xml:space="preserve">12.  Анализ и оценка на политиката относно управлението на финансовите ресурси с посочване на възможностите за обслужване на задълженията, евентуалните заплахи и мерки, които </w:t>
            </w:r>
            <w:proofErr w:type="spellStart"/>
            <w:r w:rsidRPr="0080247E">
              <w:rPr>
                <w:rFonts w:ascii="Verdana" w:hAnsi="Verdana"/>
                <w:b/>
                <w:sz w:val="20"/>
              </w:rPr>
              <w:t>емитентът</w:t>
            </w:r>
            <w:proofErr w:type="spellEnd"/>
            <w:r w:rsidRPr="0080247E">
              <w:rPr>
                <w:rFonts w:ascii="Verdana" w:hAnsi="Verdana"/>
                <w:b/>
                <w:sz w:val="20"/>
              </w:rPr>
              <w:t>, съответно лицето по §1д от допълнителните разпоредби на ЗППЦК е предприел или предстои да предприеме с оглед отстраняването им</w:t>
            </w:r>
            <w:r>
              <w:rPr>
                <w:rFonts w:ascii="Verdana" w:hAnsi="Verdana"/>
                <w:b/>
                <w:sz w:val="20"/>
              </w:rPr>
              <w:t>.</w:t>
            </w:r>
          </w:p>
          <w:p w14:paraId="4F7F73DF" w14:textId="77777777" w:rsidR="00D56F61" w:rsidRPr="00553763" w:rsidRDefault="00D56F61" w:rsidP="009972FF">
            <w:pPr>
              <w:rPr>
                <w:rFonts w:ascii="Verdana" w:hAnsi="Verdana"/>
                <w:b/>
                <w:sz w:val="20"/>
              </w:rPr>
            </w:pPr>
          </w:p>
          <w:p w14:paraId="4F7F73E0" w14:textId="77777777" w:rsidR="00D56F61" w:rsidRPr="0080247E" w:rsidRDefault="00D56F61" w:rsidP="009972FF">
            <w:pPr>
              <w:rPr>
                <w:rFonts w:ascii="Verdana" w:hAnsi="Verdana" w:cs="Verdana"/>
                <w:sz w:val="20"/>
              </w:rPr>
            </w:pPr>
            <w:r w:rsidRPr="0080247E">
              <w:rPr>
                <w:rFonts w:ascii="Verdana" w:hAnsi="Verdana" w:cs="Verdana"/>
                <w:sz w:val="20"/>
              </w:rPr>
              <w:t xml:space="preserve">Дружеството управлява финансовите си ресурси в зависимост от паричните постъпления и генерираните задължения към Доставчиците. Паричните постъпления са функция на сезонния характер на дейността, което рефлектира върху </w:t>
            </w:r>
            <w:r>
              <w:rPr>
                <w:rFonts w:ascii="Verdana" w:hAnsi="Verdana" w:cs="Verdana"/>
                <w:sz w:val="20"/>
              </w:rPr>
              <w:t>не</w:t>
            </w:r>
            <w:r w:rsidRPr="0080247E">
              <w:rPr>
                <w:rFonts w:ascii="Verdana" w:hAnsi="Verdana" w:cs="Verdana"/>
                <w:sz w:val="20"/>
              </w:rPr>
              <w:t>възможността за навременно обслужв</w:t>
            </w:r>
            <w:r>
              <w:rPr>
                <w:rFonts w:ascii="Verdana" w:hAnsi="Verdana" w:cs="Verdana"/>
                <w:sz w:val="20"/>
              </w:rPr>
              <w:t>ане на възникналите задължения.</w:t>
            </w:r>
          </w:p>
          <w:p w14:paraId="4F7F73E1" w14:textId="77777777" w:rsidR="00D56F61" w:rsidRPr="0080247E" w:rsidRDefault="00D56F61" w:rsidP="009972FF">
            <w:pPr>
              <w:rPr>
                <w:rFonts w:ascii="Verdana" w:hAnsi="Verdana" w:cs="Verdana"/>
                <w:sz w:val="20"/>
                <w:u w:val="single"/>
              </w:rPr>
            </w:pPr>
            <w:r w:rsidRPr="0080247E">
              <w:rPr>
                <w:rFonts w:ascii="Verdana" w:hAnsi="Verdana" w:cs="Verdana"/>
                <w:sz w:val="20"/>
                <w:u w:val="single"/>
              </w:rPr>
              <w:t>Основни фактори, оказващи влияние върху дейността са свързани с:</w:t>
            </w:r>
          </w:p>
          <w:p w14:paraId="4F7F73E2" w14:textId="77777777" w:rsidR="00D56F61" w:rsidRDefault="00D56F61" w:rsidP="009972FF">
            <w:pPr>
              <w:rPr>
                <w:rFonts w:ascii="Verdana" w:hAnsi="Verdana" w:cs="Verdana"/>
                <w:sz w:val="20"/>
              </w:rPr>
            </w:pPr>
            <w:r w:rsidRPr="0080247E">
              <w:rPr>
                <w:rFonts w:ascii="Verdana" w:hAnsi="Verdana" w:cs="Verdana"/>
                <w:sz w:val="20"/>
              </w:rPr>
              <w:t>- липса на ясна политика по отношение развитието на сектора;</w:t>
            </w:r>
          </w:p>
          <w:p w14:paraId="4F7F73E3" w14:textId="77777777" w:rsidR="00D56F61" w:rsidRPr="0080247E" w:rsidRDefault="00D56F61" w:rsidP="009972FF">
            <w:pPr>
              <w:rPr>
                <w:rFonts w:ascii="Verdana" w:hAnsi="Verdana" w:cs="Verdana"/>
                <w:sz w:val="20"/>
              </w:rPr>
            </w:pPr>
            <w:r>
              <w:rPr>
                <w:rFonts w:ascii="Verdana" w:hAnsi="Verdana" w:cs="Verdana"/>
                <w:sz w:val="20"/>
              </w:rPr>
              <w:t xml:space="preserve">- липса на ясен и прозрачен механизъм от страна на Комисията за енергийно и водно регулиране по отношение на процеса на ценообразуване. </w:t>
            </w:r>
          </w:p>
          <w:p w14:paraId="4F7F73E4" w14:textId="77777777" w:rsidR="00D56F61" w:rsidRPr="0080247E" w:rsidRDefault="00D56F61" w:rsidP="009972FF">
            <w:pPr>
              <w:rPr>
                <w:rFonts w:ascii="Verdana" w:hAnsi="Verdana" w:cs="Verdana"/>
                <w:sz w:val="20"/>
              </w:rPr>
            </w:pPr>
            <w:r w:rsidRPr="0080247E">
              <w:rPr>
                <w:rFonts w:ascii="Verdana" w:hAnsi="Verdana" w:cs="Verdana"/>
                <w:sz w:val="20"/>
              </w:rPr>
              <w:t>- сезонен характер на услугите на Дружеството;</w:t>
            </w:r>
          </w:p>
          <w:p w14:paraId="4F7F73E5" w14:textId="77777777" w:rsidR="00D56F61" w:rsidRPr="0080247E" w:rsidRDefault="00D56F61" w:rsidP="009972FF">
            <w:pPr>
              <w:rPr>
                <w:rFonts w:ascii="Verdana" w:hAnsi="Verdana" w:cs="Verdana"/>
                <w:sz w:val="20"/>
              </w:rPr>
            </w:pPr>
            <w:r w:rsidRPr="0080247E">
              <w:rPr>
                <w:rFonts w:ascii="Verdana" w:hAnsi="Verdana" w:cs="Verdana"/>
                <w:sz w:val="20"/>
              </w:rPr>
              <w:t>- ограничен набор от „лостове“ и механизми, посредством които да се гарантират навременни постъпления на парични средства;</w:t>
            </w:r>
          </w:p>
          <w:p w14:paraId="4F7F73E6" w14:textId="77777777" w:rsidR="00D56F61" w:rsidRDefault="00D56F61" w:rsidP="009972FF">
            <w:pPr>
              <w:rPr>
                <w:rFonts w:ascii="Verdana" w:hAnsi="Verdana" w:cs="Courier New"/>
                <w:sz w:val="20"/>
              </w:rPr>
            </w:pPr>
            <w:r w:rsidRPr="0080247E">
              <w:rPr>
                <w:rFonts w:ascii="Verdana" w:hAnsi="Verdana" w:cs="Verdana"/>
                <w:sz w:val="20"/>
              </w:rPr>
              <w:t>- ниска покупателна способност на населението и др.</w:t>
            </w:r>
          </w:p>
          <w:p w14:paraId="4F7F73E7" w14:textId="77777777" w:rsidR="00D56F61" w:rsidRPr="002F0C97" w:rsidRDefault="00D56F61" w:rsidP="009972FF">
            <w:pPr>
              <w:rPr>
                <w:rFonts w:ascii="Verdana" w:hAnsi="Verdana" w:cs="Courier New"/>
                <w:sz w:val="20"/>
              </w:rPr>
            </w:pPr>
          </w:p>
        </w:tc>
      </w:tr>
      <w:tr w:rsidR="00D56F61" w:rsidRPr="0080247E" w14:paraId="4F7F73F1" w14:textId="77777777" w:rsidTr="009972FF">
        <w:trPr>
          <w:trHeight w:val="131"/>
          <w:tblCellSpacing w:w="0" w:type="dxa"/>
        </w:trPr>
        <w:tc>
          <w:tcPr>
            <w:tcW w:w="9450" w:type="dxa"/>
            <w:vAlign w:val="center"/>
          </w:tcPr>
          <w:p w14:paraId="4F7F73E9" w14:textId="77777777" w:rsidR="00D56F61" w:rsidRPr="0080247E" w:rsidRDefault="00D56F61" w:rsidP="009972FF">
            <w:pPr>
              <w:pStyle w:val="HTMLPreformatted"/>
              <w:jc w:val="both"/>
              <w:rPr>
                <w:rFonts w:ascii="Verdana" w:hAnsi="Verdana"/>
                <w:sz w:val="20"/>
                <w:szCs w:val="20"/>
              </w:rPr>
            </w:pPr>
            <w:r w:rsidRPr="0080247E">
              <w:rPr>
                <w:rFonts w:ascii="Verdana" w:hAnsi="Verdana"/>
                <w:b/>
                <w:sz w:val="20"/>
                <w:szCs w:val="20"/>
              </w:rPr>
              <w:t>13.  Оценка на възможностите за реализация на инвестиционните намерения с посочване на размера на разполагаемите средства и отразяване на възможните промени в структурата на финансиране на тази дейност</w:t>
            </w:r>
            <w:r w:rsidRPr="0080247E">
              <w:rPr>
                <w:rFonts w:ascii="Verdana" w:hAnsi="Verdana"/>
                <w:sz w:val="20"/>
                <w:szCs w:val="20"/>
              </w:rPr>
              <w:t>.</w:t>
            </w:r>
          </w:p>
          <w:p w14:paraId="4F7F73EA" w14:textId="77777777" w:rsidR="00D56F61" w:rsidRPr="0080247E" w:rsidRDefault="00D56F61" w:rsidP="009972FF">
            <w:pPr>
              <w:pStyle w:val="HTMLPreformatted"/>
              <w:jc w:val="both"/>
              <w:rPr>
                <w:rFonts w:ascii="Verdana" w:hAnsi="Verdana"/>
                <w:sz w:val="20"/>
                <w:szCs w:val="20"/>
              </w:rPr>
            </w:pPr>
          </w:p>
          <w:p w14:paraId="4F7F73EB" w14:textId="77777777" w:rsidR="00D56F61" w:rsidRDefault="00D56F61" w:rsidP="009972FF">
            <w:pPr>
              <w:pStyle w:val="HTMLPreformatted"/>
              <w:jc w:val="both"/>
              <w:rPr>
                <w:rFonts w:ascii="Verdana" w:hAnsi="Verdana"/>
                <w:sz w:val="20"/>
                <w:szCs w:val="20"/>
              </w:rPr>
            </w:pPr>
            <w:r w:rsidRPr="0080247E">
              <w:rPr>
                <w:rFonts w:ascii="Verdana" w:hAnsi="Verdana"/>
                <w:sz w:val="20"/>
                <w:szCs w:val="20"/>
              </w:rPr>
              <w:t>Еже</w:t>
            </w:r>
            <w:r>
              <w:rPr>
                <w:rFonts w:ascii="Verdana" w:hAnsi="Verdana"/>
                <w:sz w:val="20"/>
                <w:szCs w:val="20"/>
              </w:rPr>
              <w:t xml:space="preserve">годно „Топлофикация – Разград“ </w:t>
            </w:r>
            <w:r w:rsidRPr="0080247E">
              <w:rPr>
                <w:rFonts w:ascii="Verdana" w:hAnsi="Verdana"/>
                <w:sz w:val="20"/>
                <w:szCs w:val="20"/>
              </w:rPr>
              <w:t xml:space="preserve">АД отчита инвестиции на различна стойност съсредоточени в рехабилитация и подмяна на налични активи в </w:t>
            </w:r>
            <w:proofErr w:type="spellStart"/>
            <w:r w:rsidRPr="0080247E">
              <w:rPr>
                <w:rFonts w:ascii="Verdana" w:hAnsi="Verdana"/>
                <w:sz w:val="20"/>
                <w:szCs w:val="20"/>
              </w:rPr>
              <w:t>топлои</w:t>
            </w:r>
            <w:r>
              <w:rPr>
                <w:rFonts w:ascii="Verdana" w:hAnsi="Verdana"/>
                <w:sz w:val="20"/>
                <w:szCs w:val="20"/>
              </w:rPr>
              <w:t>зточника</w:t>
            </w:r>
            <w:proofErr w:type="spellEnd"/>
            <w:r>
              <w:rPr>
                <w:rFonts w:ascii="Verdana" w:hAnsi="Verdana"/>
                <w:sz w:val="20"/>
                <w:szCs w:val="20"/>
              </w:rPr>
              <w:t xml:space="preserve"> и </w:t>
            </w:r>
            <w:proofErr w:type="spellStart"/>
            <w:r>
              <w:rPr>
                <w:rFonts w:ascii="Verdana" w:hAnsi="Verdana"/>
                <w:sz w:val="20"/>
                <w:szCs w:val="20"/>
              </w:rPr>
              <w:t>топлопреноса</w:t>
            </w:r>
            <w:proofErr w:type="spellEnd"/>
            <w:r>
              <w:rPr>
                <w:rFonts w:ascii="Verdana" w:hAnsi="Verdana"/>
                <w:sz w:val="20"/>
                <w:szCs w:val="20"/>
              </w:rPr>
              <w:t xml:space="preserve">. </w:t>
            </w:r>
          </w:p>
          <w:p w14:paraId="4F7F73EC" w14:textId="77777777" w:rsidR="00D56F61" w:rsidRDefault="00D56F61" w:rsidP="009972FF">
            <w:pPr>
              <w:pStyle w:val="HTMLPreformatted"/>
              <w:jc w:val="both"/>
              <w:rPr>
                <w:rFonts w:ascii="Verdana" w:hAnsi="Verdana"/>
                <w:sz w:val="20"/>
                <w:szCs w:val="20"/>
              </w:rPr>
            </w:pPr>
            <w:r>
              <w:rPr>
                <w:rFonts w:ascii="Verdana" w:hAnsi="Verdana"/>
                <w:sz w:val="20"/>
                <w:szCs w:val="20"/>
              </w:rPr>
              <w:t>През 2019 г. Дружеството отчита инвестиции в размер на 244 хил.</w:t>
            </w:r>
            <w:proofErr w:type="spellStart"/>
            <w:r>
              <w:rPr>
                <w:rFonts w:ascii="Verdana" w:hAnsi="Verdana"/>
                <w:sz w:val="20"/>
                <w:szCs w:val="20"/>
              </w:rPr>
              <w:t>лв</w:t>
            </w:r>
            <w:proofErr w:type="spellEnd"/>
            <w:r>
              <w:rPr>
                <w:rFonts w:ascii="Verdana" w:hAnsi="Verdana"/>
                <w:sz w:val="20"/>
                <w:szCs w:val="20"/>
              </w:rPr>
              <w:t xml:space="preserve">, свързани с подмяна на </w:t>
            </w:r>
            <w:proofErr w:type="spellStart"/>
            <w:r>
              <w:rPr>
                <w:rFonts w:ascii="Verdana" w:hAnsi="Verdana"/>
                <w:sz w:val="20"/>
                <w:szCs w:val="20"/>
              </w:rPr>
              <w:t>четори</w:t>
            </w:r>
            <w:proofErr w:type="spellEnd"/>
            <w:r>
              <w:rPr>
                <w:rFonts w:ascii="Verdana" w:hAnsi="Verdana"/>
                <w:sz w:val="20"/>
                <w:szCs w:val="20"/>
              </w:rPr>
              <w:t xml:space="preserve"> броя абонатни станции, подмяна на участък от </w:t>
            </w:r>
            <w:proofErr w:type="spellStart"/>
            <w:r>
              <w:rPr>
                <w:rFonts w:ascii="Verdana" w:hAnsi="Verdana"/>
                <w:sz w:val="20"/>
                <w:szCs w:val="20"/>
              </w:rPr>
              <w:t>топлопреносната</w:t>
            </w:r>
            <w:proofErr w:type="spellEnd"/>
            <w:r>
              <w:rPr>
                <w:rFonts w:ascii="Verdana" w:hAnsi="Verdana"/>
                <w:sz w:val="20"/>
                <w:szCs w:val="20"/>
              </w:rPr>
              <w:t xml:space="preserve"> мрежа, въвеждане на един брой котелна газова инсталация и др. Дружеството е предвидило заемни средства за изграждане единствено на котелната газова инсталация и </w:t>
            </w:r>
            <w:r w:rsidRPr="009D23D9">
              <w:rPr>
                <w:rFonts w:ascii="Verdana" w:hAnsi="Verdana"/>
                <w:sz w:val="20"/>
                <w:szCs w:val="20"/>
              </w:rPr>
              <w:t>10 хил.лв. - финансов лизинг -наем на помещение</w:t>
            </w:r>
            <w:r>
              <w:rPr>
                <w:rFonts w:ascii="Verdana" w:hAnsi="Verdana"/>
                <w:sz w:val="20"/>
                <w:szCs w:val="20"/>
              </w:rPr>
              <w:t>.</w:t>
            </w:r>
          </w:p>
          <w:p w14:paraId="4F7F73ED" w14:textId="77777777" w:rsidR="00D56F61" w:rsidRDefault="00D56F61" w:rsidP="009972FF">
            <w:pPr>
              <w:pStyle w:val="HTMLPreformatted"/>
              <w:jc w:val="both"/>
              <w:rPr>
                <w:rFonts w:ascii="Verdana" w:hAnsi="Verdana"/>
                <w:sz w:val="20"/>
                <w:szCs w:val="20"/>
              </w:rPr>
            </w:pPr>
          </w:p>
          <w:p w14:paraId="4F7F73EE" w14:textId="77777777" w:rsidR="00D56F61" w:rsidRPr="00274B9A" w:rsidRDefault="00D56F61" w:rsidP="009972FF">
            <w:pPr>
              <w:pStyle w:val="HTMLPreformatted"/>
              <w:jc w:val="both"/>
              <w:rPr>
                <w:rFonts w:ascii="Verdana" w:hAnsi="Verdana"/>
                <w:sz w:val="20"/>
                <w:szCs w:val="20"/>
              </w:rPr>
            </w:pPr>
            <w:r>
              <w:rPr>
                <w:rFonts w:ascii="Verdana" w:hAnsi="Verdana"/>
                <w:sz w:val="20"/>
                <w:szCs w:val="20"/>
              </w:rPr>
              <w:t>За 2020</w:t>
            </w:r>
            <w:r w:rsidRPr="0080247E">
              <w:rPr>
                <w:rFonts w:ascii="Verdana" w:hAnsi="Verdana"/>
                <w:sz w:val="20"/>
                <w:szCs w:val="20"/>
              </w:rPr>
              <w:t xml:space="preserve"> г. Дружеството планирани инвестиции </w:t>
            </w:r>
            <w:r>
              <w:rPr>
                <w:rFonts w:ascii="Verdana" w:hAnsi="Verdana"/>
                <w:sz w:val="20"/>
                <w:szCs w:val="20"/>
              </w:rPr>
              <w:t xml:space="preserve"> в размер на 382</w:t>
            </w:r>
            <w:r w:rsidRPr="006D524D">
              <w:rPr>
                <w:rFonts w:ascii="Verdana" w:hAnsi="Verdana"/>
                <w:sz w:val="20"/>
                <w:szCs w:val="20"/>
              </w:rPr>
              <w:t xml:space="preserve"> хил.лв.</w:t>
            </w:r>
            <w:r>
              <w:rPr>
                <w:rFonts w:ascii="Verdana" w:hAnsi="Verdana"/>
                <w:sz w:val="20"/>
                <w:szCs w:val="20"/>
              </w:rPr>
              <w:t>, от които 180 хил.лв. за изграждане на втората котелна газова инсталация, също със заемни средства.</w:t>
            </w:r>
          </w:p>
          <w:p w14:paraId="4F7F73EF" w14:textId="77777777" w:rsidR="00D56F61" w:rsidRDefault="00D56F61" w:rsidP="009972FF">
            <w:pPr>
              <w:pStyle w:val="HTMLPreformatted"/>
              <w:jc w:val="both"/>
              <w:rPr>
                <w:rFonts w:ascii="Verdana" w:hAnsi="Verdana"/>
                <w:sz w:val="20"/>
                <w:szCs w:val="20"/>
              </w:rPr>
            </w:pPr>
          </w:p>
          <w:p w14:paraId="4F7F73F0" w14:textId="77777777" w:rsidR="00D56F61" w:rsidRPr="0080247E" w:rsidRDefault="00D56F61" w:rsidP="009972FF">
            <w:pPr>
              <w:pStyle w:val="HTMLPreformatted"/>
              <w:jc w:val="both"/>
              <w:rPr>
                <w:rFonts w:ascii="Verdana" w:hAnsi="Verdana"/>
                <w:sz w:val="20"/>
                <w:szCs w:val="20"/>
              </w:rPr>
            </w:pPr>
          </w:p>
        </w:tc>
      </w:tr>
      <w:tr w:rsidR="00D56F61" w:rsidRPr="00874E2B" w14:paraId="4F7F7417" w14:textId="77777777" w:rsidTr="009972FF">
        <w:trPr>
          <w:trHeight w:val="131"/>
          <w:tblCellSpacing w:w="0" w:type="dxa"/>
        </w:trPr>
        <w:tc>
          <w:tcPr>
            <w:tcW w:w="9450" w:type="dxa"/>
            <w:vAlign w:val="center"/>
          </w:tcPr>
          <w:p w14:paraId="4F7F73F2" w14:textId="77777777" w:rsidR="00D56F61" w:rsidRPr="00874E2B" w:rsidRDefault="00D56F61" w:rsidP="009972FF">
            <w:pPr>
              <w:pStyle w:val="HTMLPreformatted"/>
              <w:jc w:val="both"/>
              <w:rPr>
                <w:rFonts w:ascii="Verdana" w:hAnsi="Verdana"/>
                <w:sz w:val="20"/>
                <w:szCs w:val="20"/>
              </w:rPr>
            </w:pPr>
            <w:r w:rsidRPr="00874E2B">
              <w:rPr>
                <w:rFonts w:ascii="Verdana" w:hAnsi="Verdana"/>
                <w:b/>
                <w:sz w:val="20"/>
                <w:szCs w:val="20"/>
              </w:rPr>
              <w:t xml:space="preserve">     14. Информация за настъпили промени през отчетния период в основните принципи за управление на </w:t>
            </w:r>
            <w:proofErr w:type="spellStart"/>
            <w:r w:rsidRPr="00874E2B">
              <w:rPr>
                <w:rFonts w:ascii="Verdana" w:hAnsi="Verdana"/>
                <w:b/>
                <w:sz w:val="20"/>
                <w:szCs w:val="20"/>
              </w:rPr>
              <w:t>емитента</w:t>
            </w:r>
            <w:proofErr w:type="spellEnd"/>
            <w:r w:rsidRPr="00874E2B">
              <w:rPr>
                <w:rFonts w:ascii="Verdana" w:hAnsi="Verdana"/>
                <w:b/>
                <w:sz w:val="20"/>
                <w:szCs w:val="20"/>
              </w:rPr>
              <w:t xml:space="preserve">, съответно лицето по §1д от допълнителните разпоредби на ЗППЦК и на неговата група, предприятия по смисъла на Закона за счетоводството </w:t>
            </w:r>
          </w:p>
          <w:p w14:paraId="4F7F73F3" w14:textId="77777777" w:rsidR="00D56F61" w:rsidRPr="00874E2B" w:rsidRDefault="00D56F61" w:rsidP="009972FF">
            <w:pPr>
              <w:pStyle w:val="HTMLPreformatted"/>
              <w:jc w:val="both"/>
              <w:rPr>
                <w:rFonts w:ascii="Verdana" w:hAnsi="Verdana"/>
                <w:sz w:val="20"/>
                <w:szCs w:val="20"/>
              </w:rPr>
            </w:pPr>
          </w:p>
          <w:p w14:paraId="4F7F73F4" w14:textId="77777777" w:rsidR="00D56F61" w:rsidRPr="00874E2B" w:rsidRDefault="00D56F61" w:rsidP="009972FF">
            <w:pPr>
              <w:rPr>
                <w:rFonts w:ascii="Verdana" w:hAnsi="Verdana"/>
                <w:sz w:val="20"/>
                <w:lang w:eastAsia="bg-BG"/>
              </w:rPr>
            </w:pPr>
            <w:r w:rsidRPr="00874E2B">
              <w:rPr>
                <w:rFonts w:ascii="Verdana" w:hAnsi="Verdana"/>
                <w:sz w:val="20"/>
                <w:lang w:eastAsia="bg-BG"/>
              </w:rPr>
              <w:t>В предприятието-майка „Овергаз Холдинг“ АД е настъпила следната промяна в състава на Съвета на директорите:</w:t>
            </w:r>
          </w:p>
          <w:p w14:paraId="4F7F73F5" w14:textId="77777777" w:rsidR="00D56F61" w:rsidRPr="00874E2B" w:rsidRDefault="00D56F61" w:rsidP="009972FF">
            <w:pPr>
              <w:rPr>
                <w:rFonts w:ascii="Verdana" w:hAnsi="Verdana"/>
                <w:sz w:val="20"/>
                <w:lang w:eastAsia="bg-BG"/>
              </w:rPr>
            </w:pPr>
            <w:r w:rsidRPr="00874E2B">
              <w:rPr>
                <w:rFonts w:ascii="Verdana" w:hAnsi="Verdana"/>
                <w:sz w:val="20"/>
                <w:lang w:eastAsia="bg-BG"/>
              </w:rPr>
              <w:lastRenderedPageBreak/>
              <w:t>- Сашо Георгиев Дончев – Председател на Съвета на директорите</w:t>
            </w:r>
          </w:p>
          <w:p w14:paraId="4F7F73F6" w14:textId="77777777" w:rsidR="00D56F61" w:rsidRPr="00874E2B" w:rsidRDefault="00D56F61" w:rsidP="009972FF">
            <w:pPr>
              <w:rPr>
                <w:rFonts w:ascii="Verdana" w:hAnsi="Verdana"/>
                <w:sz w:val="20"/>
                <w:lang w:eastAsia="bg-BG"/>
              </w:rPr>
            </w:pPr>
            <w:r w:rsidRPr="00874E2B">
              <w:rPr>
                <w:rFonts w:ascii="Verdana" w:hAnsi="Verdana"/>
                <w:sz w:val="20"/>
                <w:lang w:eastAsia="bg-BG"/>
              </w:rPr>
              <w:t>- Пламен Георгиев Дончев – Зам.председател на Съвета на директорите</w:t>
            </w:r>
          </w:p>
          <w:p w14:paraId="4F7F73F7" w14:textId="77777777" w:rsidR="00D56F61" w:rsidRPr="00874E2B" w:rsidRDefault="00D56F61" w:rsidP="009972FF">
            <w:pPr>
              <w:rPr>
                <w:rFonts w:ascii="Verdana" w:hAnsi="Verdana"/>
                <w:sz w:val="20"/>
                <w:lang w:eastAsia="bg-BG"/>
              </w:rPr>
            </w:pPr>
            <w:r w:rsidRPr="00874E2B">
              <w:rPr>
                <w:rFonts w:ascii="Verdana" w:hAnsi="Verdana"/>
                <w:sz w:val="20"/>
                <w:lang w:eastAsia="bg-BG"/>
              </w:rPr>
              <w:t>- Емилия Дечева Георгиева – Изпълнителен директор</w:t>
            </w:r>
          </w:p>
          <w:p w14:paraId="4F7F73F8" w14:textId="77777777" w:rsidR="00D56F61" w:rsidRPr="00874E2B" w:rsidRDefault="00D56F61" w:rsidP="009972FF">
            <w:pPr>
              <w:rPr>
                <w:rFonts w:ascii="Verdana" w:hAnsi="Verdana"/>
                <w:sz w:val="20"/>
                <w:lang w:eastAsia="bg-BG"/>
              </w:rPr>
            </w:pPr>
            <w:r w:rsidRPr="00874E2B">
              <w:rPr>
                <w:rFonts w:ascii="Verdana" w:hAnsi="Verdana"/>
                <w:sz w:val="20"/>
                <w:lang w:eastAsia="bg-BG"/>
              </w:rPr>
              <w:t>- Стефка Христова Найденова – Член на Съвета на директори</w:t>
            </w:r>
          </w:p>
          <w:p w14:paraId="4F7F73F9" w14:textId="77777777" w:rsidR="00D56F61" w:rsidRPr="00874E2B" w:rsidRDefault="00D56F61" w:rsidP="009972FF">
            <w:pPr>
              <w:rPr>
                <w:rFonts w:ascii="Verdana" w:hAnsi="Verdana"/>
                <w:sz w:val="20"/>
                <w:lang w:eastAsia="bg-BG"/>
              </w:rPr>
            </w:pPr>
            <w:r w:rsidRPr="00874E2B">
              <w:rPr>
                <w:rFonts w:ascii="Verdana" w:hAnsi="Verdana"/>
                <w:sz w:val="20"/>
                <w:lang w:eastAsia="bg-BG"/>
              </w:rPr>
              <w:t>- Явор Веселинов Маноилов - Член на Съвета на директори, промяната е вписана в Търговския регистър под номер 20190607150907.</w:t>
            </w:r>
          </w:p>
          <w:p w14:paraId="4F7F73FA" w14:textId="77777777" w:rsidR="00D56F61" w:rsidRPr="00874E2B" w:rsidRDefault="00D56F61" w:rsidP="009972FF">
            <w:pPr>
              <w:rPr>
                <w:rFonts w:ascii="Verdana" w:hAnsi="Verdana"/>
                <w:sz w:val="20"/>
                <w:lang w:val="en-US" w:eastAsia="bg-BG"/>
              </w:rPr>
            </w:pPr>
          </w:p>
          <w:p w14:paraId="4F7F73FB" w14:textId="77777777" w:rsidR="00D56F61" w:rsidRPr="00874E2B" w:rsidRDefault="00D56F61" w:rsidP="009972FF">
            <w:pPr>
              <w:tabs>
                <w:tab w:val="left" w:pos="284"/>
              </w:tabs>
              <w:rPr>
                <w:rFonts w:ascii="Verdana" w:hAnsi="Verdana"/>
                <w:sz w:val="20"/>
                <w:lang w:eastAsia="bg-BG"/>
              </w:rPr>
            </w:pPr>
            <w:r w:rsidRPr="00874E2B">
              <w:rPr>
                <w:rFonts w:ascii="Verdana" w:hAnsi="Verdana"/>
                <w:b/>
                <w:sz w:val="20"/>
                <w:lang w:eastAsia="bg-BG"/>
              </w:rPr>
              <w:t>„Овергаз Инженеринг“ АД</w:t>
            </w:r>
            <w:r w:rsidRPr="00874E2B">
              <w:rPr>
                <w:rFonts w:ascii="Verdana" w:hAnsi="Verdana"/>
                <w:sz w:val="20"/>
                <w:lang w:eastAsia="bg-BG"/>
              </w:rPr>
              <w:t xml:space="preserve"> (дружество, в което „Овергаз Холдинг“ АД притежава 60 % от капитала), с ЕИК 838102661 - на 16.05.2018г. е вписан промяна в състава на Съвета на директорите, а именно:</w:t>
            </w:r>
          </w:p>
          <w:p w14:paraId="4F7F73FC" w14:textId="77777777" w:rsidR="00D56F61" w:rsidRPr="00874E2B" w:rsidRDefault="00D56F61" w:rsidP="009972FF">
            <w:pPr>
              <w:rPr>
                <w:rFonts w:ascii="Verdana" w:hAnsi="Verdana"/>
                <w:sz w:val="20"/>
                <w:lang w:eastAsia="bg-BG"/>
              </w:rPr>
            </w:pPr>
            <w:r w:rsidRPr="00874E2B">
              <w:rPr>
                <w:rFonts w:ascii="Verdana" w:hAnsi="Verdana"/>
                <w:sz w:val="20"/>
                <w:lang w:eastAsia="bg-BG"/>
              </w:rPr>
              <w:t>-  Станислав Петров Бойчев - Изпълнителен директор;</w:t>
            </w:r>
          </w:p>
          <w:p w14:paraId="4F7F73FD" w14:textId="77777777" w:rsidR="00D56F61" w:rsidRPr="00874E2B" w:rsidRDefault="00D56F61" w:rsidP="009972FF">
            <w:pPr>
              <w:rPr>
                <w:rFonts w:ascii="Verdana" w:hAnsi="Verdana"/>
                <w:sz w:val="20"/>
                <w:lang w:eastAsia="bg-BG"/>
              </w:rPr>
            </w:pPr>
            <w:r w:rsidRPr="00874E2B">
              <w:rPr>
                <w:rFonts w:ascii="Verdana" w:hAnsi="Verdana"/>
                <w:sz w:val="20"/>
                <w:lang w:eastAsia="bg-BG"/>
              </w:rPr>
              <w:t>- „Овергаз Холдинг“ АД, представлявано от Сашо Георгиев Дончев – Председател на Съвета на директорите</w:t>
            </w:r>
          </w:p>
          <w:p w14:paraId="4F7F73FE" w14:textId="77777777" w:rsidR="00D56F61" w:rsidRPr="00874E2B" w:rsidRDefault="00D56F61" w:rsidP="009972FF">
            <w:pPr>
              <w:rPr>
                <w:rFonts w:ascii="Verdana" w:hAnsi="Verdana"/>
                <w:sz w:val="20"/>
                <w:lang w:eastAsia="bg-BG"/>
              </w:rPr>
            </w:pPr>
            <w:r w:rsidRPr="00874E2B">
              <w:rPr>
                <w:rFonts w:ascii="Verdana" w:hAnsi="Verdana"/>
                <w:sz w:val="20"/>
                <w:lang w:eastAsia="bg-BG"/>
              </w:rPr>
              <w:t>- Сергей Тодоров Андреев – Зам. Председател на Съвета на директорите и Изпълнителен директор,</w:t>
            </w:r>
          </w:p>
          <w:p w14:paraId="4F7F73FF" w14:textId="77777777" w:rsidR="00D56F61" w:rsidRPr="00874E2B" w:rsidRDefault="00D56F61" w:rsidP="009972FF">
            <w:pPr>
              <w:rPr>
                <w:rFonts w:ascii="Verdana" w:hAnsi="Verdana"/>
                <w:sz w:val="20"/>
                <w:lang w:eastAsia="bg-BG"/>
              </w:rPr>
            </w:pPr>
            <w:r w:rsidRPr="00874E2B">
              <w:rPr>
                <w:rFonts w:ascii="Verdana" w:hAnsi="Verdana"/>
                <w:sz w:val="20"/>
                <w:lang w:eastAsia="bg-BG"/>
              </w:rPr>
              <w:t>- Илиян Петров Илиев – член на Съвета на директорите</w:t>
            </w:r>
          </w:p>
          <w:p w14:paraId="4F7F7400" w14:textId="77777777" w:rsidR="00D56F61" w:rsidRPr="00874E2B" w:rsidRDefault="00D56F61" w:rsidP="009972FF">
            <w:pPr>
              <w:rPr>
                <w:rFonts w:ascii="Verdana" w:hAnsi="Verdana"/>
                <w:sz w:val="20"/>
                <w:lang w:eastAsia="bg-BG"/>
              </w:rPr>
            </w:pPr>
            <w:r w:rsidRPr="00874E2B">
              <w:rPr>
                <w:rFonts w:ascii="Verdana" w:hAnsi="Verdana"/>
                <w:sz w:val="20"/>
                <w:lang w:eastAsia="bg-BG"/>
              </w:rPr>
              <w:t>- Кирил Атанасов Марковски - член на Съвета на директорите, промяната е вписана в Търговския регистър под номер 20190805153321.</w:t>
            </w:r>
          </w:p>
          <w:p w14:paraId="4F7F7401" w14:textId="77777777" w:rsidR="00D56F61" w:rsidRPr="00874E2B" w:rsidRDefault="00D56F61" w:rsidP="009972FF">
            <w:pPr>
              <w:rPr>
                <w:rFonts w:ascii="Verdana" w:hAnsi="Verdana"/>
                <w:sz w:val="20"/>
                <w:lang w:eastAsia="bg-BG"/>
              </w:rPr>
            </w:pPr>
          </w:p>
          <w:p w14:paraId="4F7F7402" w14:textId="77777777" w:rsidR="00D56F61" w:rsidRPr="00874E2B" w:rsidRDefault="00D56F61" w:rsidP="009972FF">
            <w:pPr>
              <w:rPr>
                <w:rFonts w:ascii="Verdana" w:hAnsi="Verdana"/>
                <w:sz w:val="20"/>
                <w:lang w:eastAsia="bg-BG"/>
              </w:rPr>
            </w:pPr>
            <w:r w:rsidRPr="00874E2B">
              <w:rPr>
                <w:rFonts w:ascii="Verdana" w:hAnsi="Verdana"/>
                <w:b/>
                <w:sz w:val="20"/>
                <w:lang w:eastAsia="bg-BG"/>
              </w:rPr>
              <w:t>„</w:t>
            </w:r>
            <w:proofErr w:type="spellStart"/>
            <w:r w:rsidRPr="00874E2B">
              <w:rPr>
                <w:rFonts w:ascii="Verdana" w:hAnsi="Verdana"/>
                <w:b/>
                <w:sz w:val="20"/>
                <w:lang w:eastAsia="bg-BG"/>
              </w:rPr>
              <w:t>Овердрайв</w:t>
            </w:r>
            <w:proofErr w:type="spellEnd"/>
            <w:r w:rsidRPr="00874E2B">
              <w:rPr>
                <w:rFonts w:ascii="Verdana" w:hAnsi="Verdana"/>
                <w:b/>
                <w:sz w:val="20"/>
                <w:lang w:eastAsia="bg-BG"/>
              </w:rPr>
              <w:t>“ АД</w:t>
            </w:r>
            <w:r w:rsidRPr="00874E2B">
              <w:rPr>
                <w:rFonts w:ascii="Verdana" w:hAnsi="Verdana"/>
                <w:sz w:val="20"/>
                <w:lang w:eastAsia="bg-BG"/>
              </w:rPr>
              <w:t xml:space="preserve"> (дружество, в което „Овергаз Холдинг“ АД притежава 99,5098% от капитала) с ЕИК 1314135399 е вписан промяна в състава на Съвета на директорите, а именно:</w:t>
            </w:r>
          </w:p>
          <w:p w14:paraId="4F7F7403" w14:textId="77777777" w:rsidR="00D56F61" w:rsidRPr="00874E2B" w:rsidRDefault="00D56F61" w:rsidP="009972FF">
            <w:pPr>
              <w:rPr>
                <w:rFonts w:ascii="Verdana" w:hAnsi="Verdana"/>
                <w:sz w:val="20"/>
                <w:lang w:eastAsia="bg-BG"/>
              </w:rPr>
            </w:pPr>
            <w:r w:rsidRPr="00874E2B">
              <w:rPr>
                <w:rFonts w:ascii="Verdana" w:hAnsi="Verdana"/>
                <w:sz w:val="20"/>
                <w:lang w:eastAsia="bg-BG"/>
              </w:rPr>
              <w:t>- Георги Дончев - Зам. председател на СД</w:t>
            </w:r>
          </w:p>
          <w:p w14:paraId="4F7F7404" w14:textId="77777777" w:rsidR="00D56F61" w:rsidRPr="00874E2B" w:rsidRDefault="00D56F61" w:rsidP="009972FF">
            <w:pPr>
              <w:rPr>
                <w:rFonts w:ascii="Verdana" w:hAnsi="Verdana"/>
                <w:sz w:val="20"/>
                <w:lang w:eastAsia="bg-BG"/>
              </w:rPr>
            </w:pPr>
            <w:r w:rsidRPr="00874E2B">
              <w:rPr>
                <w:rFonts w:ascii="Verdana" w:hAnsi="Verdana"/>
                <w:sz w:val="20"/>
                <w:lang w:eastAsia="bg-BG"/>
              </w:rPr>
              <w:t xml:space="preserve">- Даниел Михал Дончев –Председател на СД </w:t>
            </w:r>
          </w:p>
          <w:p w14:paraId="4F7F7405" w14:textId="77777777" w:rsidR="00D56F61" w:rsidRPr="00874E2B" w:rsidRDefault="00D56F61" w:rsidP="009972FF">
            <w:pPr>
              <w:rPr>
                <w:rFonts w:ascii="Verdana" w:hAnsi="Verdana"/>
                <w:sz w:val="20"/>
                <w:lang w:eastAsia="bg-BG"/>
              </w:rPr>
            </w:pPr>
            <w:r w:rsidRPr="00874E2B">
              <w:rPr>
                <w:rFonts w:ascii="Verdana" w:hAnsi="Verdana"/>
                <w:sz w:val="20"/>
                <w:lang w:eastAsia="bg-BG"/>
              </w:rPr>
              <w:t xml:space="preserve">- Марио Георгиев </w:t>
            </w:r>
            <w:proofErr w:type="spellStart"/>
            <w:r w:rsidRPr="00874E2B">
              <w:rPr>
                <w:rFonts w:ascii="Verdana" w:hAnsi="Verdana"/>
                <w:sz w:val="20"/>
                <w:lang w:eastAsia="bg-BG"/>
              </w:rPr>
              <w:t>Гюзелев</w:t>
            </w:r>
            <w:proofErr w:type="spellEnd"/>
            <w:r w:rsidRPr="00874E2B">
              <w:rPr>
                <w:rFonts w:ascii="Verdana" w:hAnsi="Verdana"/>
                <w:sz w:val="20"/>
                <w:lang w:eastAsia="bg-BG"/>
              </w:rPr>
              <w:t xml:space="preserve"> - Член на СД</w:t>
            </w:r>
          </w:p>
          <w:p w14:paraId="4F7F7406" w14:textId="77777777" w:rsidR="00D56F61" w:rsidRPr="00874E2B" w:rsidRDefault="00D56F61" w:rsidP="009972FF">
            <w:pPr>
              <w:rPr>
                <w:rFonts w:ascii="Verdana" w:hAnsi="Verdana"/>
                <w:sz w:val="20"/>
                <w:lang w:eastAsia="bg-BG"/>
              </w:rPr>
            </w:pPr>
            <w:r w:rsidRPr="00874E2B">
              <w:rPr>
                <w:rFonts w:ascii="Verdana" w:hAnsi="Verdana"/>
                <w:sz w:val="20"/>
                <w:lang w:eastAsia="bg-BG"/>
              </w:rPr>
              <w:t xml:space="preserve">- Веселин Джамал </w:t>
            </w:r>
            <w:proofErr w:type="spellStart"/>
            <w:r w:rsidRPr="00874E2B">
              <w:rPr>
                <w:rFonts w:ascii="Verdana" w:hAnsi="Verdana"/>
                <w:sz w:val="20"/>
                <w:lang w:eastAsia="bg-BG"/>
              </w:rPr>
              <w:t>Хамуд</w:t>
            </w:r>
            <w:proofErr w:type="spellEnd"/>
            <w:r w:rsidRPr="00874E2B">
              <w:rPr>
                <w:rFonts w:ascii="Verdana" w:hAnsi="Verdana"/>
                <w:sz w:val="20"/>
                <w:lang w:eastAsia="bg-BG"/>
              </w:rPr>
              <w:t xml:space="preserve"> - Член на СД</w:t>
            </w:r>
          </w:p>
          <w:p w14:paraId="4F7F7407" w14:textId="77777777" w:rsidR="00D56F61" w:rsidRPr="00874E2B" w:rsidRDefault="00D56F61" w:rsidP="009972FF">
            <w:pPr>
              <w:rPr>
                <w:rFonts w:ascii="Verdana" w:hAnsi="Verdana"/>
                <w:sz w:val="20"/>
                <w:lang w:eastAsia="bg-BG"/>
              </w:rPr>
            </w:pPr>
            <w:r w:rsidRPr="00874E2B">
              <w:rPr>
                <w:rFonts w:ascii="Verdana" w:hAnsi="Verdana"/>
                <w:sz w:val="20"/>
                <w:lang w:eastAsia="bg-BG"/>
              </w:rPr>
              <w:t>- Стефан Мирчев Петров – Изпълнителен директор, промяната е вписана в Търговския регистър под номер 20190212130522.</w:t>
            </w:r>
          </w:p>
          <w:p w14:paraId="4F7F7408" w14:textId="77777777" w:rsidR="00D56F61" w:rsidRPr="00874E2B" w:rsidRDefault="00D56F61" w:rsidP="009972FF">
            <w:pPr>
              <w:rPr>
                <w:rFonts w:ascii="Verdana" w:hAnsi="Verdana"/>
                <w:sz w:val="20"/>
                <w:lang w:eastAsia="bg-BG"/>
              </w:rPr>
            </w:pPr>
          </w:p>
          <w:p w14:paraId="4F7F7409" w14:textId="77777777" w:rsidR="00D56F61" w:rsidRPr="00874E2B" w:rsidRDefault="00D56F61" w:rsidP="009972FF">
            <w:pPr>
              <w:rPr>
                <w:rFonts w:ascii="Verdana" w:hAnsi="Verdana"/>
                <w:sz w:val="20"/>
                <w:lang w:eastAsia="bg-BG"/>
              </w:rPr>
            </w:pPr>
            <w:r w:rsidRPr="00874E2B">
              <w:rPr>
                <w:rFonts w:ascii="Verdana" w:hAnsi="Verdana"/>
                <w:b/>
                <w:sz w:val="20"/>
                <w:lang w:eastAsia="bg-BG"/>
              </w:rPr>
              <w:t>„</w:t>
            </w:r>
            <w:proofErr w:type="spellStart"/>
            <w:r w:rsidRPr="00874E2B">
              <w:rPr>
                <w:rFonts w:ascii="Verdana" w:hAnsi="Verdana"/>
                <w:b/>
                <w:sz w:val="20"/>
                <w:lang w:eastAsia="bg-BG"/>
              </w:rPr>
              <w:t>Оу</w:t>
            </w:r>
            <w:proofErr w:type="spellEnd"/>
            <w:r w:rsidRPr="00874E2B">
              <w:rPr>
                <w:rFonts w:ascii="Verdana" w:hAnsi="Verdana"/>
                <w:b/>
                <w:sz w:val="20"/>
                <w:lang w:eastAsia="bg-BG"/>
              </w:rPr>
              <w:t xml:space="preserve"> Джи </w:t>
            </w:r>
            <w:proofErr w:type="spellStart"/>
            <w:r w:rsidRPr="00874E2B">
              <w:rPr>
                <w:rFonts w:ascii="Verdana" w:hAnsi="Verdana"/>
                <w:b/>
                <w:sz w:val="20"/>
                <w:lang w:eastAsia="bg-BG"/>
              </w:rPr>
              <w:t>Секюрити</w:t>
            </w:r>
            <w:proofErr w:type="spellEnd"/>
            <w:r w:rsidRPr="00874E2B">
              <w:rPr>
                <w:rFonts w:ascii="Verdana" w:hAnsi="Verdana"/>
                <w:b/>
                <w:sz w:val="20"/>
                <w:lang w:eastAsia="bg-BG"/>
              </w:rPr>
              <w:t>“ АД</w:t>
            </w:r>
            <w:r w:rsidRPr="00874E2B">
              <w:rPr>
                <w:rFonts w:ascii="Verdana" w:hAnsi="Verdana"/>
                <w:sz w:val="20"/>
                <w:lang w:eastAsia="bg-BG"/>
              </w:rPr>
              <w:t xml:space="preserve"> (дружество, в което „Овергаз Холдинг“ АД притежава 99,80% от капитала) с ЕИК 200353777 е вписана промяна в състава на Съвета на директорите а именно Даниел Дончев е освободен и на негово място е избран Кирил Велинов Димов, промяната е вписана в Търговския регистър под номер 20190415120207.</w:t>
            </w:r>
          </w:p>
          <w:p w14:paraId="4F7F740A" w14:textId="77777777" w:rsidR="00D56F61" w:rsidRPr="00874E2B" w:rsidRDefault="00D56F61" w:rsidP="009972FF">
            <w:pPr>
              <w:rPr>
                <w:rFonts w:ascii="Verdana" w:hAnsi="Verdana"/>
                <w:sz w:val="20"/>
                <w:lang w:eastAsia="bg-BG"/>
              </w:rPr>
            </w:pPr>
          </w:p>
          <w:p w14:paraId="4F7F740B" w14:textId="77777777" w:rsidR="00D56F61" w:rsidRPr="00874E2B" w:rsidRDefault="00D56F61" w:rsidP="009972FF">
            <w:pPr>
              <w:rPr>
                <w:rFonts w:ascii="Verdana" w:hAnsi="Verdana"/>
                <w:sz w:val="20"/>
                <w:lang w:eastAsia="bg-BG"/>
              </w:rPr>
            </w:pPr>
            <w:r w:rsidRPr="00874E2B">
              <w:rPr>
                <w:rFonts w:ascii="Verdana" w:hAnsi="Verdana"/>
                <w:b/>
                <w:sz w:val="20"/>
                <w:lang w:eastAsia="bg-BG"/>
              </w:rPr>
              <w:t>„</w:t>
            </w:r>
            <w:proofErr w:type="spellStart"/>
            <w:r w:rsidRPr="00874E2B">
              <w:rPr>
                <w:rFonts w:ascii="Verdana" w:hAnsi="Verdana"/>
                <w:b/>
                <w:sz w:val="20"/>
                <w:lang w:eastAsia="bg-BG"/>
              </w:rPr>
              <w:t>Газтек</w:t>
            </w:r>
            <w:proofErr w:type="spellEnd"/>
            <w:r w:rsidRPr="00874E2B">
              <w:rPr>
                <w:rFonts w:ascii="Verdana" w:hAnsi="Verdana"/>
                <w:b/>
                <w:sz w:val="20"/>
                <w:lang w:eastAsia="bg-BG"/>
              </w:rPr>
              <w:t xml:space="preserve"> БГ“ АД </w:t>
            </w:r>
            <w:r w:rsidRPr="00874E2B">
              <w:rPr>
                <w:rFonts w:ascii="Verdana" w:hAnsi="Verdana"/>
                <w:sz w:val="20"/>
                <w:lang w:eastAsia="bg-BG"/>
              </w:rPr>
              <w:t>(дружество, в което „Овергаз Холдинг“ АД притежава 57 % от капитала), с ЕИК 838923404 е вписан промяна в състава на Съвета на директорите, а именно:</w:t>
            </w:r>
          </w:p>
          <w:p w14:paraId="4F7F740C" w14:textId="77777777" w:rsidR="00D56F61" w:rsidRPr="00874E2B" w:rsidRDefault="00D56F61" w:rsidP="009972FF">
            <w:pPr>
              <w:rPr>
                <w:rFonts w:ascii="Verdana" w:hAnsi="Verdana"/>
                <w:sz w:val="20"/>
                <w:lang w:eastAsia="bg-BG"/>
              </w:rPr>
            </w:pPr>
            <w:r w:rsidRPr="00874E2B">
              <w:rPr>
                <w:rFonts w:ascii="Verdana" w:hAnsi="Verdana"/>
                <w:sz w:val="20"/>
                <w:lang w:eastAsia="bg-BG"/>
              </w:rPr>
              <w:t xml:space="preserve">- Сергей Тодоров Андреев – Председател на СД </w:t>
            </w:r>
          </w:p>
          <w:p w14:paraId="4F7F740D" w14:textId="77777777" w:rsidR="00D56F61" w:rsidRPr="00874E2B" w:rsidRDefault="00D56F61" w:rsidP="009972FF">
            <w:pPr>
              <w:rPr>
                <w:rFonts w:ascii="Verdana" w:hAnsi="Verdana"/>
                <w:sz w:val="20"/>
                <w:lang w:eastAsia="bg-BG"/>
              </w:rPr>
            </w:pPr>
            <w:r w:rsidRPr="00874E2B">
              <w:rPr>
                <w:rFonts w:ascii="Verdana" w:hAnsi="Verdana"/>
                <w:sz w:val="20"/>
                <w:lang w:eastAsia="bg-BG"/>
              </w:rPr>
              <w:t xml:space="preserve">- Валентин Митков Станчев – Изпълнителен директор </w:t>
            </w:r>
          </w:p>
          <w:p w14:paraId="4F7F740E" w14:textId="77777777" w:rsidR="00D56F61" w:rsidRPr="00874E2B" w:rsidRDefault="00D56F61" w:rsidP="009972FF">
            <w:pPr>
              <w:rPr>
                <w:rFonts w:ascii="Verdana" w:hAnsi="Verdana"/>
                <w:sz w:val="20"/>
                <w:lang w:eastAsia="bg-BG"/>
              </w:rPr>
            </w:pPr>
            <w:r w:rsidRPr="00874E2B">
              <w:rPr>
                <w:rFonts w:ascii="Verdana" w:hAnsi="Verdana"/>
                <w:sz w:val="20"/>
                <w:lang w:eastAsia="bg-BG"/>
              </w:rPr>
              <w:t>- Пламен Георгиев Дончев - Член на СД промяната е вписана в Търговския регистър под номер 20190607171731.</w:t>
            </w:r>
          </w:p>
          <w:p w14:paraId="4F7F740F" w14:textId="77777777" w:rsidR="00D56F61" w:rsidRPr="00874E2B" w:rsidRDefault="00D56F61" w:rsidP="009972FF">
            <w:pPr>
              <w:rPr>
                <w:rFonts w:ascii="Verdana" w:hAnsi="Verdana"/>
                <w:sz w:val="20"/>
                <w:lang w:eastAsia="bg-BG"/>
              </w:rPr>
            </w:pPr>
          </w:p>
          <w:p w14:paraId="4F7F7410" w14:textId="77777777" w:rsidR="00D56F61" w:rsidRPr="00874E2B" w:rsidRDefault="00D56F61" w:rsidP="009972FF">
            <w:pPr>
              <w:rPr>
                <w:rFonts w:ascii="Verdana" w:hAnsi="Verdana"/>
                <w:sz w:val="20"/>
                <w:lang w:eastAsia="bg-BG"/>
              </w:rPr>
            </w:pPr>
            <w:r w:rsidRPr="00874E2B">
              <w:rPr>
                <w:rFonts w:ascii="Verdana" w:hAnsi="Verdana"/>
                <w:b/>
                <w:sz w:val="20"/>
                <w:lang w:eastAsia="bg-BG"/>
              </w:rPr>
              <w:t xml:space="preserve">„Пчелин“ ЕАД </w:t>
            </w:r>
            <w:r w:rsidRPr="00874E2B">
              <w:rPr>
                <w:rFonts w:ascii="Verdana" w:hAnsi="Verdana"/>
                <w:sz w:val="20"/>
                <w:lang w:eastAsia="bg-BG"/>
              </w:rPr>
              <w:t>(дружеството в което едноличен собственик на капитала е „Ренесанс“ АД, в което дружество „Овергаз Холдинг притежава 99,999% от капитала на дружеството)  е вписан Прокурист на Дружеството – Стефан Стефанов в Търговския регистър под 20190702144945.</w:t>
            </w:r>
          </w:p>
          <w:p w14:paraId="4F7F7411" w14:textId="77777777" w:rsidR="00D56F61" w:rsidRPr="00874E2B" w:rsidRDefault="00D56F61" w:rsidP="009972FF">
            <w:pPr>
              <w:rPr>
                <w:rFonts w:ascii="Verdana" w:hAnsi="Verdana"/>
                <w:sz w:val="20"/>
                <w:lang w:eastAsia="bg-BG"/>
              </w:rPr>
            </w:pPr>
          </w:p>
          <w:p w14:paraId="4F7F7412" w14:textId="77777777" w:rsidR="00D56F61" w:rsidRPr="00874E2B" w:rsidRDefault="00D56F61" w:rsidP="009972FF">
            <w:pPr>
              <w:rPr>
                <w:rFonts w:ascii="Verdana" w:hAnsi="Verdana"/>
                <w:sz w:val="20"/>
                <w:lang w:eastAsia="bg-BG"/>
              </w:rPr>
            </w:pPr>
            <w:r w:rsidRPr="00874E2B">
              <w:rPr>
                <w:rFonts w:ascii="Verdana" w:hAnsi="Verdana"/>
                <w:b/>
                <w:sz w:val="20"/>
                <w:lang w:eastAsia="bg-BG"/>
              </w:rPr>
              <w:t>„</w:t>
            </w:r>
            <w:proofErr w:type="spellStart"/>
            <w:r w:rsidRPr="00874E2B">
              <w:rPr>
                <w:rFonts w:ascii="Verdana" w:hAnsi="Verdana"/>
                <w:b/>
                <w:sz w:val="20"/>
                <w:lang w:eastAsia="bg-BG"/>
              </w:rPr>
              <w:t>Оу</w:t>
            </w:r>
            <w:proofErr w:type="spellEnd"/>
            <w:r w:rsidRPr="00874E2B">
              <w:rPr>
                <w:rFonts w:ascii="Verdana" w:hAnsi="Verdana"/>
                <w:b/>
                <w:sz w:val="20"/>
                <w:lang w:eastAsia="bg-BG"/>
              </w:rPr>
              <w:t xml:space="preserve"> Джи Тех“ ЕООД</w:t>
            </w:r>
            <w:r w:rsidRPr="00874E2B">
              <w:rPr>
                <w:rFonts w:ascii="Verdana" w:hAnsi="Verdana"/>
                <w:sz w:val="20"/>
                <w:lang w:eastAsia="bg-BG"/>
              </w:rPr>
              <w:t xml:space="preserve">(дружеството в което едноличен собственик на капитала е „Овергаз Техника“ АД, в което дружество „Овергаз Холдинг притежава 58,88% от капитала на дружеството)  е вписан нов Управител на дружеството – Асен Токов Груев в Търговския регистър под 20190821141350. </w:t>
            </w:r>
          </w:p>
          <w:p w14:paraId="4F7F7413" w14:textId="77777777" w:rsidR="00D56F61" w:rsidRPr="00874E2B" w:rsidRDefault="00D56F61" w:rsidP="009972FF">
            <w:pPr>
              <w:pStyle w:val="HTMLPreformatted"/>
              <w:jc w:val="both"/>
              <w:rPr>
                <w:rFonts w:ascii="Verdana" w:hAnsi="Verdana"/>
                <w:sz w:val="20"/>
                <w:szCs w:val="20"/>
              </w:rPr>
            </w:pPr>
          </w:p>
          <w:p w14:paraId="4F7F7414" w14:textId="77777777" w:rsidR="00D56F61" w:rsidRPr="00874E2B" w:rsidRDefault="00D56F61" w:rsidP="009972FF">
            <w:pPr>
              <w:rPr>
                <w:rFonts w:ascii="Verdana" w:hAnsi="Verdana"/>
                <w:sz w:val="20"/>
                <w:lang w:eastAsia="bg-BG"/>
              </w:rPr>
            </w:pPr>
            <w:r w:rsidRPr="00874E2B">
              <w:rPr>
                <w:rFonts w:ascii="Verdana" w:hAnsi="Verdana"/>
                <w:b/>
                <w:sz w:val="20"/>
                <w:lang w:eastAsia="bg-BG"/>
              </w:rPr>
              <w:t>„Ренесанс“ АД</w:t>
            </w:r>
            <w:r w:rsidRPr="00874E2B">
              <w:rPr>
                <w:rFonts w:ascii="Verdana" w:hAnsi="Verdana"/>
                <w:sz w:val="20"/>
                <w:lang w:eastAsia="bg-BG"/>
              </w:rPr>
              <w:t xml:space="preserve"> в което Дружество „Овергаз Холдинг“ АД притежава 99,999% от капитала на дружеството е придобило 100% от капитала на „Индустриален парк Елин Пелин“ ЕАД в което „Ренесанс“ АД е бил мажоритарен акционер преди придобиването на </w:t>
            </w:r>
            <w:r w:rsidRPr="00874E2B">
              <w:rPr>
                <w:rFonts w:ascii="Verdana" w:hAnsi="Verdana"/>
                <w:sz w:val="20"/>
                <w:lang w:eastAsia="bg-BG"/>
              </w:rPr>
              <w:lastRenderedPageBreak/>
              <w:t>целия пакет акции.</w:t>
            </w:r>
          </w:p>
          <w:p w14:paraId="4F7F7415" w14:textId="77777777" w:rsidR="00D56F61" w:rsidRPr="00874E2B" w:rsidRDefault="00D56F61" w:rsidP="009972FF">
            <w:pPr>
              <w:pStyle w:val="HTMLPreformatted"/>
              <w:jc w:val="both"/>
              <w:rPr>
                <w:rFonts w:ascii="Verdana" w:hAnsi="Verdana"/>
                <w:sz w:val="20"/>
                <w:szCs w:val="20"/>
              </w:rPr>
            </w:pPr>
          </w:p>
          <w:p w14:paraId="4F7F7416" w14:textId="77777777" w:rsidR="00D56F61" w:rsidRPr="00874E2B" w:rsidRDefault="00D56F61" w:rsidP="009972FF">
            <w:pPr>
              <w:pStyle w:val="HTMLPreformatted"/>
              <w:jc w:val="both"/>
              <w:rPr>
                <w:rFonts w:ascii="Verdana" w:hAnsi="Verdana"/>
                <w:b/>
                <w:sz w:val="20"/>
                <w:szCs w:val="20"/>
              </w:rPr>
            </w:pPr>
          </w:p>
        </w:tc>
      </w:tr>
      <w:tr w:rsidR="00D56F61" w:rsidRPr="0080247E" w14:paraId="4F7F741C" w14:textId="77777777" w:rsidTr="009972FF">
        <w:trPr>
          <w:trHeight w:val="131"/>
          <w:tblCellSpacing w:w="0" w:type="dxa"/>
        </w:trPr>
        <w:tc>
          <w:tcPr>
            <w:tcW w:w="9450" w:type="dxa"/>
            <w:vAlign w:val="center"/>
          </w:tcPr>
          <w:p w14:paraId="4F7F7418"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lastRenderedPageBreak/>
              <w:t xml:space="preserve">15. Информация за основните характеристики на прилаганите от </w:t>
            </w:r>
            <w:proofErr w:type="spellStart"/>
            <w:r w:rsidRPr="0080247E">
              <w:rPr>
                <w:rFonts w:ascii="Verdana" w:hAnsi="Verdana"/>
                <w:b/>
                <w:sz w:val="20"/>
                <w:szCs w:val="20"/>
              </w:rPr>
              <w:t>емитента</w:t>
            </w:r>
            <w:proofErr w:type="spellEnd"/>
            <w:r w:rsidRPr="0080247E">
              <w:rPr>
                <w:rFonts w:ascii="Verdana" w:hAnsi="Verdana"/>
                <w:b/>
                <w:sz w:val="20"/>
                <w:szCs w:val="20"/>
              </w:rPr>
              <w:t>, съответно лицето по §1д от допълнителните разпоредби на ЗППЦК, в процеса на изготвяне на финансовите отчети, система за вътрешен контрол и система за управление на рискове.</w:t>
            </w:r>
          </w:p>
          <w:p w14:paraId="4F7F7419" w14:textId="77777777" w:rsidR="00D56F61" w:rsidRPr="0080247E" w:rsidRDefault="00D56F61" w:rsidP="009972FF">
            <w:pPr>
              <w:pStyle w:val="HTMLPreformatted"/>
              <w:jc w:val="both"/>
              <w:rPr>
                <w:rFonts w:ascii="Verdana" w:hAnsi="Verdana"/>
                <w:b/>
                <w:sz w:val="20"/>
                <w:szCs w:val="20"/>
              </w:rPr>
            </w:pPr>
          </w:p>
          <w:p w14:paraId="4F7F741A" w14:textId="77777777" w:rsidR="00D56F61" w:rsidRPr="0080247E" w:rsidRDefault="00D56F61" w:rsidP="009972FF">
            <w:pPr>
              <w:pStyle w:val="xl55"/>
              <w:tabs>
                <w:tab w:val="left" w:pos="672"/>
              </w:tabs>
              <w:spacing w:before="0" w:beforeAutospacing="0" w:after="0" w:afterAutospacing="0"/>
              <w:jc w:val="both"/>
              <w:textAlignment w:val="auto"/>
              <w:rPr>
                <w:rFonts w:ascii="Verdana" w:eastAsia="Times New Roman" w:hAnsi="Verdana" w:cs="Courier New"/>
                <w:sz w:val="20"/>
                <w:szCs w:val="20"/>
                <w:lang w:val="bg-BG"/>
              </w:rPr>
            </w:pPr>
            <w:r w:rsidRPr="0080247E">
              <w:rPr>
                <w:rFonts w:ascii="Verdana" w:eastAsia="Times New Roman" w:hAnsi="Verdana" w:cs="Courier New"/>
                <w:sz w:val="20"/>
                <w:szCs w:val="20"/>
                <w:lang w:val="bg-BG"/>
              </w:rPr>
              <w:t>Информация за основните положения за управление на риска се съдържа в доклада за дейността, съставляващ неизменна част от Годишния финансов отчет на Дружеството. От средата на 2016 г., съгласно §1д от допълнителните разпоредби на З</w:t>
            </w:r>
            <w:r>
              <w:rPr>
                <w:rFonts w:ascii="Verdana" w:eastAsia="Times New Roman" w:hAnsi="Verdana" w:cs="Courier New"/>
                <w:sz w:val="20"/>
                <w:szCs w:val="20"/>
                <w:lang w:val="bg-BG"/>
              </w:rPr>
              <w:t xml:space="preserve">ППЦК, „Топлофикация – Разград“ </w:t>
            </w:r>
            <w:r w:rsidRPr="0080247E">
              <w:rPr>
                <w:rFonts w:ascii="Verdana" w:eastAsia="Times New Roman" w:hAnsi="Verdana" w:cs="Courier New"/>
                <w:sz w:val="20"/>
                <w:szCs w:val="20"/>
                <w:lang w:val="bg-BG"/>
              </w:rPr>
              <w:t>АД</w:t>
            </w:r>
            <w:r>
              <w:rPr>
                <w:rFonts w:ascii="Verdana" w:eastAsia="Times New Roman" w:hAnsi="Verdana" w:cs="Courier New"/>
                <w:sz w:val="20"/>
                <w:szCs w:val="20"/>
                <w:lang w:val="bg-BG"/>
              </w:rPr>
              <w:t xml:space="preserve"> </w:t>
            </w:r>
            <w:r w:rsidRPr="0080247E">
              <w:rPr>
                <w:rFonts w:ascii="Verdana" w:eastAsia="Times New Roman" w:hAnsi="Verdana" w:cs="Courier New"/>
                <w:sz w:val="20"/>
                <w:szCs w:val="20"/>
                <w:lang w:val="bg-BG"/>
              </w:rPr>
              <w:t>предоставя</w:t>
            </w:r>
            <w:r>
              <w:rPr>
                <w:rFonts w:ascii="Verdana" w:eastAsia="Times New Roman" w:hAnsi="Verdana" w:cs="Courier New"/>
                <w:sz w:val="20"/>
                <w:szCs w:val="20"/>
                <w:lang w:val="bg-BG"/>
              </w:rPr>
              <w:t xml:space="preserve"> </w:t>
            </w:r>
            <w:r w:rsidRPr="0080247E">
              <w:rPr>
                <w:rFonts w:ascii="Verdana" w:eastAsia="Times New Roman" w:hAnsi="Verdana" w:cs="Courier New"/>
                <w:sz w:val="20"/>
                <w:szCs w:val="20"/>
                <w:lang w:val="bg-BG"/>
              </w:rPr>
              <w:t xml:space="preserve">допълнителна информация за финансовото си състояние </w:t>
            </w:r>
            <w:r>
              <w:rPr>
                <w:rFonts w:ascii="Verdana" w:eastAsia="Times New Roman" w:hAnsi="Verdana" w:cs="Courier New"/>
                <w:sz w:val="20"/>
                <w:szCs w:val="20"/>
                <w:lang w:val="bg-BG"/>
              </w:rPr>
              <w:t>съгласно изискванията на Комисията за</w:t>
            </w:r>
            <w:r w:rsidRPr="0080247E">
              <w:rPr>
                <w:rFonts w:ascii="Verdana" w:eastAsia="Times New Roman" w:hAnsi="Verdana" w:cs="Courier New"/>
                <w:sz w:val="20"/>
                <w:szCs w:val="20"/>
                <w:lang w:val="bg-BG"/>
              </w:rPr>
              <w:t xml:space="preserve"> финансов надзор.</w:t>
            </w:r>
          </w:p>
          <w:p w14:paraId="4F7F741B" w14:textId="77777777" w:rsidR="00D56F61" w:rsidRPr="0080247E" w:rsidRDefault="00D56F61" w:rsidP="009972FF">
            <w:pPr>
              <w:pStyle w:val="xl55"/>
              <w:tabs>
                <w:tab w:val="left" w:pos="672"/>
              </w:tabs>
              <w:spacing w:before="0" w:beforeAutospacing="0" w:after="0" w:afterAutospacing="0"/>
              <w:jc w:val="both"/>
              <w:textAlignment w:val="auto"/>
              <w:rPr>
                <w:rFonts w:ascii="Verdana" w:eastAsia="Times New Roman" w:hAnsi="Verdana" w:cs="Courier New"/>
                <w:sz w:val="20"/>
                <w:szCs w:val="20"/>
                <w:lang w:val="bg-BG"/>
              </w:rPr>
            </w:pPr>
          </w:p>
        </w:tc>
      </w:tr>
      <w:tr w:rsidR="00D56F61" w:rsidRPr="0080247E" w14:paraId="4F7F7421" w14:textId="77777777" w:rsidTr="009972FF">
        <w:trPr>
          <w:trHeight w:val="131"/>
          <w:tblCellSpacing w:w="0" w:type="dxa"/>
        </w:trPr>
        <w:tc>
          <w:tcPr>
            <w:tcW w:w="9450" w:type="dxa"/>
            <w:vAlign w:val="center"/>
          </w:tcPr>
          <w:p w14:paraId="4F7F741D" w14:textId="77777777" w:rsidR="00D56F61" w:rsidRPr="0080247E" w:rsidRDefault="00D56F61" w:rsidP="009972FF">
            <w:pPr>
              <w:pStyle w:val="HTMLPreformatted"/>
              <w:jc w:val="both"/>
              <w:rPr>
                <w:rFonts w:ascii="Verdana" w:hAnsi="Verdana"/>
                <w:b/>
                <w:sz w:val="20"/>
                <w:szCs w:val="20"/>
              </w:rPr>
            </w:pPr>
            <w:r w:rsidRPr="001F2932">
              <w:rPr>
                <w:rFonts w:ascii="Verdana" w:hAnsi="Verdana"/>
                <w:b/>
                <w:sz w:val="20"/>
                <w:szCs w:val="20"/>
              </w:rPr>
              <w:t>16.</w:t>
            </w:r>
            <w:r w:rsidRPr="0080247E">
              <w:rPr>
                <w:rFonts w:ascii="Verdana" w:hAnsi="Verdana"/>
                <w:b/>
                <w:sz w:val="20"/>
                <w:szCs w:val="20"/>
              </w:rPr>
              <w:t xml:space="preserve">  Информация за промените в управителните и надзорните органи през отчетната финансова година</w:t>
            </w:r>
          </w:p>
          <w:p w14:paraId="4F7F741E" w14:textId="77777777" w:rsidR="00D56F61" w:rsidRDefault="00D56F61" w:rsidP="009972FF">
            <w:pPr>
              <w:pStyle w:val="HTMLPreformatted"/>
              <w:jc w:val="both"/>
              <w:rPr>
                <w:rFonts w:ascii="Verdana" w:hAnsi="Verdana"/>
                <w:sz w:val="20"/>
                <w:szCs w:val="20"/>
              </w:rPr>
            </w:pPr>
          </w:p>
          <w:p w14:paraId="4F7F741F" w14:textId="6FEC7A7F" w:rsidR="00D56F61" w:rsidRDefault="00D56F61" w:rsidP="009972FF">
            <w:pPr>
              <w:pStyle w:val="HTMLPreformatted"/>
              <w:jc w:val="both"/>
              <w:rPr>
                <w:rFonts w:ascii="Verdana" w:hAnsi="Verdana"/>
                <w:sz w:val="20"/>
                <w:szCs w:val="20"/>
              </w:rPr>
            </w:pPr>
            <w:r>
              <w:rPr>
                <w:rFonts w:ascii="Verdana" w:hAnsi="Verdana"/>
                <w:sz w:val="20"/>
                <w:szCs w:val="20"/>
              </w:rPr>
              <w:t>С протокол от 29.01.2019г. на едноличния собственик на Дружеството е взето решение да бъде увеличен капитала от 2 099 171 лв. на 7 000 </w:t>
            </w:r>
            <w:proofErr w:type="spellStart"/>
            <w:r>
              <w:rPr>
                <w:rFonts w:ascii="Verdana" w:hAnsi="Verdana"/>
                <w:sz w:val="20"/>
                <w:szCs w:val="20"/>
              </w:rPr>
              <w:t>000</w:t>
            </w:r>
            <w:proofErr w:type="spellEnd"/>
            <w:r>
              <w:rPr>
                <w:rFonts w:ascii="Verdana" w:hAnsi="Verdana"/>
                <w:sz w:val="20"/>
                <w:szCs w:val="20"/>
              </w:rPr>
              <w:t xml:space="preserve">  лв. чрез издаване на нови 4 900 829 броя обикновени поименни налични акции. Като „Овергаз Холдинг“ АД записва 4 900 828 броя, а „Овергаз </w:t>
            </w:r>
            <w:proofErr w:type="spellStart"/>
            <w:r>
              <w:rPr>
                <w:rFonts w:ascii="Verdana" w:hAnsi="Verdana"/>
                <w:sz w:val="20"/>
                <w:szCs w:val="20"/>
              </w:rPr>
              <w:t>Директ</w:t>
            </w:r>
            <w:proofErr w:type="spellEnd"/>
            <w:r>
              <w:rPr>
                <w:rFonts w:ascii="Verdana" w:hAnsi="Verdana"/>
                <w:sz w:val="20"/>
                <w:szCs w:val="20"/>
              </w:rPr>
              <w:t xml:space="preserve">“ записва 1 брой. Предвид този факт се променя и </w:t>
            </w:r>
            <w:proofErr w:type="spellStart"/>
            <w:r>
              <w:rPr>
                <w:rFonts w:ascii="Verdana" w:hAnsi="Verdana"/>
                <w:sz w:val="20"/>
                <w:szCs w:val="20"/>
              </w:rPr>
              <w:t>правноорганизационната</w:t>
            </w:r>
            <w:proofErr w:type="spellEnd"/>
            <w:r>
              <w:rPr>
                <w:rFonts w:ascii="Verdana" w:hAnsi="Verdana"/>
                <w:sz w:val="20"/>
                <w:szCs w:val="20"/>
              </w:rPr>
              <w:t xml:space="preserve"> форма на Дружеството, като същото придобива следната редакция, а именно: „Топлофикация – Разград“ АД.</w:t>
            </w:r>
          </w:p>
          <w:p w14:paraId="5E2448F4" w14:textId="77777777" w:rsidR="00AD6218" w:rsidRPr="001F2932" w:rsidRDefault="00AD6218" w:rsidP="009972FF">
            <w:pPr>
              <w:pStyle w:val="HTMLPreformatted"/>
              <w:jc w:val="both"/>
              <w:rPr>
                <w:rFonts w:ascii="Verdana" w:hAnsi="Verdana"/>
                <w:sz w:val="20"/>
                <w:szCs w:val="20"/>
              </w:rPr>
            </w:pPr>
          </w:p>
          <w:p w14:paraId="4F7F7420" w14:textId="77777777" w:rsidR="00D56F61" w:rsidRPr="0080247E" w:rsidRDefault="00D56F61" w:rsidP="009972FF">
            <w:pPr>
              <w:pStyle w:val="HTMLPreformatted"/>
              <w:jc w:val="both"/>
              <w:rPr>
                <w:rFonts w:ascii="Verdana" w:hAnsi="Verdana"/>
                <w:sz w:val="20"/>
                <w:szCs w:val="20"/>
              </w:rPr>
            </w:pPr>
          </w:p>
        </w:tc>
      </w:tr>
      <w:tr w:rsidR="00D56F61" w:rsidRPr="00595F2C" w14:paraId="4F7F742F" w14:textId="77777777" w:rsidTr="009972FF">
        <w:trPr>
          <w:trHeight w:val="131"/>
          <w:tblCellSpacing w:w="0" w:type="dxa"/>
        </w:trPr>
        <w:tc>
          <w:tcPr>
            <w:tcW w:w="9450" w:type="dxa"/>
            <w:vAlign w:val="center"/>
          </w:tcPr>
          <w:p w14:paraId="4F7F7422"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17.  Информация за размера на възнагражденията, наградите и/или ползите на всеки от членовете на управителните и на контролните органи за отчетната финансова година, изплатени от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съответно лицето по §1д от допълнителните разпоредби на ЗППЦК, и негови дъщерни дружества, независимо от това, дали са били включени в разходите на </w:t>
            </w:r>
            <w:proofErr w:type="spellStart"/>
            <w:r w:rsidRPr="0080247E">
              <w:rPr>
                <w:rFonts w:ascii="Verdana" w:hAnsi="Verdana"/>
                <w:b/>
                <w:sz w:val="20"/>
                <w:szCs w:val="20"/>
              </w:rPr>
              <w:t>емитента</w:t>
            </w:r>
            <w:proofErr w:type="spellEnd"/>
            <w:r w:rsidRPr="0080247E">
              <w:rPr>
                <w:rFonts w:ascii="Verdana" w:hAnsi="Verdana"/>
                <w:b/>
                <w:sz w:val="20"/>
                <w:szCs w:val="20"/>
              </w:rPr>
              <w:t>, съответно лицето по §1д от допълнителните разпоредби на ЗППЦК или произтичат от разпределение на печалбата, включително:</w:t>
            </w:r>
          </w:p>
          <w:p w14:paraId="4F7F7423"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     а) получени суми и непарични възнаграждения;</w:t>
            </w:r>
          </w:p>
          <w:p w14:paraId="4F7F7424"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     б) условни или разсрочени възнаграждения, възникнали през годината,</w:t>
            </w:r>
          </w:p>
          <w:p w14:paraId="4F7F7425"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дори и ако възнаграждението се дължи към по-късен момент;</w:t>
            </w:r>
          </w:p>
          <w:p w14:paraId="4F7F7426"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     в)сума, дължима от </w:t>
            </w:r>
            <w:proofErr w:type="spellStart"/>
            <w:r w:rsidRPr="0080247E">
              <w:rPr>
                <w:rFonts w:ascii="Verdana" w:hAnsi="Verdana"/>
                <w:b/>
                <w:sz w:val="20"/>
                <w:szCs w:val="20"/>
              </w:rPr>
              <w:t>емитента</w:t>
            </w:r>
            <w:proofErr w:type="spellEnd"/>
            <w:r w:rsidRPr="0080247E">
              <w:rPr>
                <w:rFonts w:ascii="Verdana" w:hAnsi="Verdana"/>
                <w:b/>
                <w:sz w:val="20"/>
                <w:szCs w:val="20"/>
              </w:rPr>
              <w:t>, съответно лицето по §1д от допълнителните разпоредби на ЗППЦК, или негови дъщерни дружества за изплащане на пенсии, обезщетения при пенсиониране или други подобни обезщетения.</w:t>
            </w:r>
          </w:p>
          <w:p w14:paraId="4F7F7427" w14:textId="77777777" w:rsidR="00D56F61" w:rsidRDefault="00D56F61" w:rsidP="009972FF">
            <w:pPr>
              <w:ind w:right="181"/>
              <w:rPr>
                <w:rFonts w:ascii="Verdana" w:hAnsi="Verdana" w:cs="Courier New"/>
                <w:sz w:val="20"/>
              </w:rPr>
            </w:pPr>
          </w:p>
          <w:p w14:paraId="4F7F7428" w14:textId="4476DA03" w:rsidR="00D56F61" w:rsidRPr="0080247E" w:rsidRDefault="00D56F61" w:rsidP="009972FF">
            <w:pPr>
              <w:ind w:right="181"/>
              <w:rPr>
                <w:rFonts w:ascii="Verdana" w:hAnsi="Verdana" w:cs="Courier New"/>
                <w:sz w:val="20"/>
                <w:lang w:val="en-US"/>
              </w:rPr>
            </w:pPr>
            <w:r w:rsidRPr="0080247E">
              <w:rPr>
                <w:rFonts w:ascii="Verdana" w:hAnsi="Verdana" w:cs="Courier New"/>
                <w:sz w:val="20"/>
              </w:rPr>
              <w:t xml:space="preserve">Членовете </w:t>
            </w:r>
            <w:r w:rsidR="00493C43">
              <w:rPr>
                <w:rFonts w:ascii="Verdana" w:hAnsi="Verdana" w:cs="Courier New"/>
                <w:sz w:val="20"/>
              </w:rPr>
              <w:t xml:space="preserve">на Съвета </w:t>
            </w:r>
            <w:r w:rsidRPr="0080247E">
              <w:rPr>
                <w:rFonts w:ascii="Verdana" w:hAnsi="Verdana" w:cs="Courier New"/>
                <w:sz w:val="20"/>
              </w:rPr>
              <w:t>на Директорите получават единствено пари</w:t>
            </w:r>
            <w:r>
              <w:rPr>
                <w:rFonts w:ascii="Verdana" w:hAnsi="Verdana" w:cs="Courier New"/>
                <w:sz w:val="20"/>
              </w:rPr>
              <w:t>чни възнаграждения, като за 201</w:t>
            </w:r>
            <w:r>
              <w:rPr>
                <w:rFonts w:ascii="Verdana" w:hAnsi="Verdana" w:cs="Courier New"/>
                <w:sz w:val="20"/>
                <w:lang w:val="en-US"/>
              </w:rPr>
              <w:t>9</w:t>
            </w:r>
            <w:r w:rsidRPr="0080247E">
              <w:rPr>
                <w:rFonts w:ascii="Verdana" w:hAnsi="Verdana" w:cs="Courier New"/>
                <w:sz w:val="20"/>
              </w:rPr>
              <w:t xml:space="preserve"> г. са както следва:</w:t>
            </w:r>
          </w:p>
          <w:p w14:paraId="4F7F7429" w14:textId="77777777" w:rsidR="00D56F61" w:rsidRPr="00A47449" w:rsidRDefault="00D56F61" w:rsidP="009972FF">
            <w:pPr>
              <w:numPr>
                <w:ilvl w:val="0"/>
                <w:numId w:val="33"/>
              </w:numPr>
              <w:ind w:right="181"/>
              <w:rPr>
                <w:rFonts w:ascii="Verdana" w:hAnsi="Verdana" w:cs="Courier New"/>
                <w:sz w:val="20"/>
                <w:lang w:val="en-US"/>
              </w:rPr>
            </w:pPr>
            <w:r>
              <w:rPr>
                <w:rFonts w:ascii="Verdana" w:hAnsi="Verdana" w:cs="Courier New"/>
                <w:sz w:val="20"/>
              </w:rPr>
              <w:t>Овергаз Холдинг</w:t>
            </w:r>
            <w:r w:rsidRPr="0080247E">
              <w:rPr>
                <w:rFonts w:ascii="Verdana" w:hAnsi="Verdana" w:cs="Courier New"/>
                <w:sz w:val="20"/>
              </w:rPr>
              <w:t xml:space="preserve"> АД</w:t>
            </w:r>
            <w:r>
              <w:rPr>
                <w:rFonts w:ascii="Verdana" w:hAnsi="Verdana" w:cs="Courier New"/>
                <w:sz w:val="20"/>
              </w:rPr>
              <w:t xml:space="preserve">  -  18 </w:t>
            </w:r>
            <w:r>
              <w:rPr>
                <w:rFonts w:ascii="Verdana" w:hAnsi="Verdana" w:cs="Courier New"/>
                <w:sz w:val="20"/>
                <w:lang w:val="en-US"/>
              </w:rPr>
              <w:t>000</w:t>
            </w:r>
            <w:r>
              <w:rPr>
                <w:rFonts w:ascii="Verdana" w:hAnsi="Verdana" w:cs="Courier New"/>
                <w:sz w:val="20"/>
              </w:rPr>
              <w:t xml:space="preserve"> лв.</w:t>
            </w:r>
          </w:p>
          <w:p w14:paraId="4F7F742A" w14:textId="77777777" w:rsidR="00D56F61" w:rsidRPr="00A47449" w:rsidRDefault="00D56F61" w:rsidP="009972FF">
            <w:pPr>
              <w:numPr>
                <w:ilvl w:val="0"/>
                <w:numId w:val="33"/>
              </w:numPr>
              <w:ind w:right="181"/>
              <w:rPr>
                <w:rFonts w:ascii="Verdana" w:hAnsi="Verdana" w:cs="Courier New"/>
                <w:sz w:val="20"/>
                <w:lang w:val="en-US"/>
              </w:rPr>
            </w:pPr>
            <w:r w:rsidRPr="00A47449">
              <w:rPr>
                <w:rFonts w:ascii="Verdana" w:hAnsi="Verdana" w:cs="Courier New"/>
                <w:sz w:val="20"/>
              </w:rPr>
              <w:t>Пламен Дончев</w:t>
            </w:r>
            <w:r>
              <w:rPr>
                <w:rFonts w:ascii="Verdana" w:hAnsi="Verdana" w:cs="Courier New"/>
                <w:sz w:val="20"/>
              </w:rPr>
              <w:t xml:space="preserve">  - 9</w:t>
            </w:r>
            <w:r>
              <w:rPr>
                <w:rFonts w:ascii="Verdana" w:hAnsi="Verdana" w:cs="Courier New"/>
                <w:sz w:val="20"/>
                <w:lang w:val="en-US"/>
              </w:rPr>
              <w:t xml:space="preserve"> 000 </w:t>
            </w:r>
            <w:r>
              <w:rPr>
                <w:rFonts w:ascii="Verdana" w:hAnsi="Verdana" w:cs="Courier New"/>
                <w:sz w:val="20"/>
              </w:rPr>
              <w:t>лв.</w:t>
            </w:r>
          </w:p>
          <w:p w14:paraId="4F7F742B" w14:textId="77777777" w:rsidR="00D56F61" w:rsidRPr="00A47449" w:rsidRDefault="00D56F61" w:rsidP="009972FF">
            <w:pPr>
              <w:numPr>
                <w:ilvl w:val="0"/>
                <w:numId w:val="33"/>
              </w:numPr>
              <w:ind w:right="181"/>
              <w:rPr>
                <w:rFonts w:ascii="Verdana" w:hAnsi="Verdana" w:cs="Courier New"/>
                <w:sz w:val="20"/>
                <w:lang w:val="en-US"/>
              </w:rPr>
            </w:pPr>
            <w:r w:rsidRPr="00A47449">
              <w:rPr>
                <w:rFonts w:ascii="Verdana" w:hAnsi="Verdana" w:cs="Courier New"/>
                <w:sz w:val="20"/>
                <w:lang w:val="be-BY"/>
              </w:rPr>
              <w:t>Петко Милевски</w:t>
            </w:r>
            <w:r>
              <w:rPr>
                <w:rFonts w:ascii="Verdana" w:hAnsi="Verdana" w:cs="Courier New"/>
                <w:sz w:val="20"/>
                <w:lang w:val="be-BY"/>
              </w:rPr>
              <w:t xml:space="preserve"> – 9</w:t>
            </w:r>
            <w:r>
              <w:rPr>
                <w:rFonts w:ascii="Verdana" w:hAnsi="Verdana" w:cs="Courier New"/>
                <w:sz w:val="20"/>
                <w:lang w:val="en-US"/>
              </w:rPr>
              <w:t xml:space="preserve"> 023,71 </w:t>
            </w:r>
            <w:r>
              <w:rPr>
                <w:rFonts w:ascii="Verdana" w:hAnsi="Verdana" w:cs="Courier New"/>
                <w:sz w:val="20"/>
                <w:lang w:val="be-BY"/>
              </w:rPr>
              <w:t>лв.</w:t>
            </w:r>
          </w:p>
          <w:p w14:paraId="4F7F742C" w14:textId="77777777" w:rsidR="00D56F61" w:rsidRPr="00A47449" w:rsidRDefault="00D56F61" w:rsidP="009972FF">
            <w:pPr>
              <w:numPr>
                <w:ilvl w:val="0"/>
                <w:numId w:val="33"/>
              </w:numPr>
              <w:ind w:right="181"/>
              <w:rPr>
                <w:rFonts w:ascii="Verdana" w:hAnsi="Verdana" w:cs="Courier New"/>
                <w:sz w:val="20"/>
                <w:lang w:val="en-US"/>
              </w:rPr>
            </w:pPr>
            <w:r w:rsidRPr="00A47449">
              <w:rPr>
                <w:rFonts w:ascii="Verdana" w:hAnsi="Verdana" w:cs="Courier New"/>
                <w:sz w:val="20"/>
                <w:lang w:val="be-BY"/>
              </w:rPr>
              <w:t>Ивайло Чавдаров</w:t>
            </w:r>
            <w:r>
              <w:rPr>
                <w:rFonts w:ascii="Verdana" w:hAnsi="Verdana" w:cs="Courier New"/>
                <w:sz w:val="20"/>
                <w:lang w:val="be-BY"/>
              </w:rPr>
              <w:t xml:space="preserve"> – 9</w:t>
            </w:r>
            <w:r>
              <w:rPr>
                <w:rFonts w:ascii="Verdana" w:hAnsi="Verdana" w:cs="Courier New"/>
                <w:sz w:val="20"/>
                <w:lang w:val="en-US"/>
              </w:rPr>
              <w:t xml:space="preserve"> 046,39 </w:t>
            </w:r>
            <w:r>
              <w:rPr>
                <w:rFonts w:ascii="Verdana" w:hAnsi="Verdana" w:cs="Courier New"/>
                <w:sz w:val="20"/>
                <w:lang w:val="be-BY"/>
              </w:rPr>
              <w:t>лв.</w:t>
            </w:r>
          </w:p>
          <w:p w14:paraId="4F7F742D" w14:textId="77777777" w:rsidR="00D56F61" w:rsidRPr="00595F2C" w:rsidRDefault="00D56F61" w:rsidP="009972FF">
            <w:pPr>
              <w:numPr>
                <w:ilvl w:val="0"/>
                <w:numId w:val="33"/>
              </w:numPr>
              <w:ind w:right="181"/>
              <w:rPr>
                <w:rFonts w:ascii="Verdana" w:hAnsi="Verdana" w:cs="Courier New"/>
                <w:sz w:val="20"/>
                <w:lang w:val="en-US"/>
              </w:rPr>
            </w:pPr>
            <w:r>
              <w:rPr>
                <w:rFonts w:ascii="Verdana" w:hAnsi="Verdana" w:cs="Courier New"/>
                <w:sz w:val="20"/>
              </w:rPr>
              <w:t>Михаил</w:t>
            </w:r>
            <w:r w:rsidRPr="00A47449">
              <w:rPr>
                <w:rFonts w:ascii="Verdana" w:hAnsi="Verdana" w:cs="Courier New"/>
                <w:sz w:val="20"/>
              </w:rPr>
              <w:t xml:space="preserve"> Ковачев</w:t>
            </w:r>
            <w:r>
              <w:rPr>
                <w:rFonts w:ascii="Verdana" w:hAnsi="Verdana" w:cs="Courier New"/>
                <w:sz w:val="20"/>
              </w:rPr>
              <w:t xml:space="preserve"> – 3</w:t>
            </w:r>
            <w:r>
              <w:rPr>
                <w:rFonts w:ascii="Verdana" w:hAnsi="Verdana" w:cs="Courier New"/>
                <w:sz w:val="20"/>
                <w:lang w:val="en-US"/>
              </w:rPr>
              <w:t>7 756,17</w:t>
            </w:r>
            <w:r>
              <w:rPr>
                <w:rFonts w:ascii="Verdana" w:hAnsi="Verdana" w:cs="Courier New"/>
                <w:sz w:val="20"/>
              </w:rPr>
              <w:t xml:space="preserve"> лв.</w:t>
            </w:r>
          </w:p>
          <w:p w14:paraId="4F7F742E" w14:textId="77777777" w:rsidR="00D56F61" w:rsidRPr="00595F2C" w:rsidRDefault="00D56F61" w:rsidP="009972FF">
            <w:pPr>
              <w:ind w:left="720" w:right="181"/>
              <w:rPr>
                <w:rFonts w:ascii="Verdana" w:hAnsi="Verdana" w:cs="Courier New"/>
                <w:sz w:val="20"/>
                <w:lang w:val="en-US"/>
              </w:rPr>
            </w:pPr>
          </w:p>
        </w:tc>
      </w:tr>
      <w:tr w:rsidR="00D56F61" w:rsidRPr="0080247E" w14:paraId="4F7F7434" w14:textId="77777777" w:rsidTr="009972FF">
        <w:trPr>
          <w:trHeight w:val="131"/>
          <w:tblCellSpacing w:w="0" w:type="dxa"/>
        </w:trPr>
        <w:tc>
          <w:tcPr>
            <w:tcW w:w="9450" w:type="dxa"/>
            <w:vAlign w:val="center"/>
          </w:tcPr>
          <w:p w14:paraId="4F7F7430"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         18.  За публичните дружества - информация за притежавани от членовете на управителните и на контролните органи, </w:t>
            </w:r>
            <w:proofErr w:type="spellStart"/>
            <w:r w:rsidRPr="0080247E">
              <w:rPr>
                <w:rFonts w:ascii="Verdana" w:hAnsi="Verdana"/>
                <w:b/>
                <w:sz w:val="20"/>
                <w:szCs w:val="20"/>
              </w:rPr>
              <w:t>прокуристите</w:t>
            </w:r>
            <w:proofErr w:type="spellEnd"/>
            <w:r w:rsidRPr="0080247E">
              <w:rPr>
                <w:rFonts w:ascii="Verdana" w:hAnsi="Verdana"/>
                <w:b/>
                <w:sz w:val="20"/>
                <w:szCs w:val="20"/>
              </w:rPr>
              <w:t xml:space="preserve"> и висшия ръководен състав акции на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включително акциите, притежавани от всеки от тях поотделно и като процент от акциите от всеки клас, както и предоставени им от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опции върху негови ценни книжа - вид и размер на ценните книжа, върху които са учредени опциите, цена на упражняване на опциите, покупна цена, ако има такава, и срок на опциите.</w:t>
            </w:r>
          </w:p>
          <w:p w14:paraId="4F7F7431" w14:textId="77777777" w:rsidR="00D56F61" w:rsidRPr="0080247E" w:rsidRDefault="00D56F61" w:rsidP="009972FF">
            <w:pPr>
              <w:pStyle w:val="HTMLPreformatted"/>
              <w:jc w:val="both"/>
              <w:rPr>
                <w:rFonts w:ascii="Verdana" w:hAnsi="Verdana"/>
                <w:sz w:val="20"/>
                <w:szCs w:val="20"/>
              </w:rPr>
            </w:pPr>
          </w:p>
          <w:p w14:paraId="4F7F7432" w14:textId="77777777" w:rsidR="00D56F61" w:rsidRPr="0080247E" w:rsidRDefault="00D56F61" w:rsidP="009972FF">
            <w:pPr>
              <w:pStyle w:val="HTMLPreformatted"/>
              <w:jc w:val="both"/>
              <w:rPr>
                <w:rFonts w:ascii="Verdana" w:hAnsi="Verdana"/>
                <w:sz w:val="20"/>
                <w:szCs w:val="20"/>
              </w:rPr>
            </w:pPr>
            <w:r>
              <w:rPr>
                <w:rFonts w:ascii="Verdana" w:hAnsi="Verdana"/>
                <w:sz w:val="20"/>
                <w:szCs w:val="20"/>
              </w:rPr>
              <w:lastRenderedPageBreak/>
              <w:t xml:space="preserve">„Топлофикация – Разград“ </w:t>
            </w:r>
            <w:r w:rsidRPr="0080247E">
              <w:rPr>
                <w:rFonts w:ascii="Verdana" w:hAnsi="Verdana"/>
                <w:sz w:val="20"/>
                <w:szCs w:val="20"/>
              </w:rPr>
              <w:t>АД не е публично дружество.</w:t>
            </w:r>
          </w:p>
          <w:p w14:paraId="4F7F7433" w14:textId="77777777" w:rsidR="00D56F61" w:rsidRPr="0080247E" w:rsidRDefault="00D56F61" w:rsidP="009972FF">
            <w:pPr>
              <w:pStyle w:val="HTMLPreformatted"/>
              <w:jc w:val="both"/>
              <w:rPr>
                <w:rFonts w:ascii="Verdana" w:hAnsi="Verdana"/>
                <w:sz w:val="20"/>
                <w:szCs w:val="20"/>
              </w:rPr>
            </w:pPr>
          </w:p>
        </w:tc>
      </w:tr>
      <w:tr w:rsidR="00D56F61" w:rsidRPr="0080247E" w14:paraId="4F7F7439" w14:textId="77777777" w:rsidTr="009972FF">
        <w:trPr>
          <w:trHeight w:val="131"/>
          <w:tblCellSpacing w:w="0" w:type="dxa"/>
        </w:trPr>
        <w:tc>
          <w:tcPr>
            <w:tcW w:w="9450" w:type="dxa"/>
            <w:vAlign w:val="center"/>
          </w:tcPr>
          <w:p w14:paraId="4F7F7435"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lastRenderedPageBreak/>
              <w:t xml:space="preserve">19.  Информация за известните на дружеството договорености (включително и след приключване на финансовата година), в резултат на които в бъдещ период могат да настъпят промени в притежавания относителен дял акции или облигации от настоящи акционери или </w:t>
            </w:r>
            <w:proofErr w:type="spellStart"/>
            <w:r w:rsidRPr="0080247E">
              <w:rPr>
                <w:rFonts w:ascii="Verdana" w:hAnsi="Verdana"/>
                <w:b/>
                <w:sz w:val="20"/>
                <w:szCs w:val="20"/>
              </w:rPr>
              <w:t>облигационери</w:t>
            </w:r>
            <w:proofErr w:type="spellEnd"/>
            <w:r w:rsidRPr="0080247E">
              <w:rPr>
                <w:rFonts w:ascii="Verdana" w:hAnsi="Verdana"/>
                <w:b/>
                <w:sz w:val="20"/>
                <w:szCs w:val="20"/>
              </w:rPr>
              <w:t xml:space="preserve"> </w:t>
            </w:r>
          </w:p>
          <w:p w14:paraId="4F7F7436" w14:textId="77777777" w:rsidR="00D56F61" w:rsidRPr="0080247E" w:rsidRDefault="00D56F61" w:rsidP="009972FF">
            <w:pPr>
              <w:pStyle w:val="HTMLPreformatted"/>
              <w:jc w:val="both"/>
              <w:rPr>
                <w:rFonts w:ascii="Verdana" w:hAnsi="Verdana"/>
                <w:b/>
                <w:sz w:val="20"/>
                <w:szCs w:val="20"/>
              </w:rPr>
            </w:pPr>
          </w:p>
          <w:p w14:paraId="4F7F7437" w14:textId="77777777" w:rsidR="00D56F61" w:rsidRPr="0080247E" w:rsidRDefault="00D56F61" w:rsidP="009972FF">
            <w:pPr>
              <w:pStyle w:val="HTMLPreformatted"/>
              <w:jc w:val="both"/>
              <w:rPr>
                <w:rFonts w:ascii="Verdana" w:hAnsi="Verdana"/>
                <w:sz w:val="20"/>
                <w:szCs w:val="20"/>
              </w:rPr>
            </w:pPr>
            <w:r w:rsidRPr="0080247E">
              <w:rPr>
                <w:rFonts w:ascii="Verdana" w:hAnsi="Verdana"/>
                <w:sz w:val="20"/>
                <w:szCs w:val="20"/>
              </w:rPr>
              <w:t>Дружеството няма информация за такива договорености.</w:t>
            </w:r>
          </w:p>
          <w:p w14:paraId="4F7F7438" w14:textId="77777777" w:rsidR="00D56F61" w:rsidRPr="0080247E" w:rsidRDefault="00D56F61" w:rsidP="009972FF">
            <w:pPr>
              <w:pStyle w:val="HTMLPreformatted"/>
              <w:jc w:val="both"/>
              <w:rPr>
                <w:rFonts w:ascii="Verdana" w:hAnsi="Verdana"/>
                <w:sz w:val="20"/>
                <w:szCs w:val="20"/>
              </w:rPr>
            </w:pPr>
          </w:p>
        </w:tc>
      </w:tr>
      <w:tr w:rsidR="00D56F61" w:rsidRPr="00B83C0D" w14:paraId="4F7F743D" w14:textId="77777777" w:rsidTr="009972FF">
        <w:trPr>
          <w:trHeight w:val="131"/>
          <w:tblCellSpacing w:w="0" w:type="dxa"/>
        </w:trPr>
        <w:tc>
          <w:tcPr>
            <w:tcW w:w="9450" w:type="dxa"/>
            <w:vAlign w:val="center"/>
          </w:tcPr>
          <w:p w14:paraId="4F7F743A" w14:textId="0DC9EB0F" w:rsidR="00D56F61" w:rsidRDefault="00D56F61" w:rsidP="009972FF">
            <w:pPr>
              <w:pStyle w:val="HTMLPreformatted"/>
              <w:jc w:val="both"/>
              <w:rPr>
                <w:rFonts w:ascii="Verdana" w:hAnsi="Verdana"/>
                <w:b/>
                <w:sz w:val="20"/>
                <w:szCs w:val="20"/>
              </w:rPr>
            </w:pPr>
            <w:r w:rsidRPr="0080247E">
              <w:rPr>
                <w:rFonts w:ascii="Verdana" w:hAnsi="Verdana"/>
                <w:b/>
                <w:sz w:val="20"/>
                <w:szCs w:val="20"/>
              </w:rPr>
              <w:t>20.</w:t>
            </w:r>
            <w:r w:rsidR="00493C43">
              <w:rPr>
                <w:rFonts w:ascii="Verdana" w:hAnsi="Verdana"/>
                <w:b/>
                <w:sz w:val="20"/>
                <w:szCs w:val="20"/>
              </w:rPr>
              <w:t xml:space="preserve"> </w:t>
            </w:r>
            <w:r w:rsidRPr="0080247E">
              <w:rPr>
                <w:rFonts w:ascii="Verdana" w:hAnsi="Verdana"/>
                <w:b/>
                <w:sz w:val="20"/>
                <w:szCs w:val="20"/>
              </w:rPr>
              <w:t xml:space="preserve">Информация за висящи съдебни, административни или </w:t>
            </w:r>
            <w:proofErr w:type="spellStart"/>
            <w:r w:rsidRPr="0080247E">
              <w:rPr>
                <w:rFonts w:ascii="Verdana" w:hAnsi="Verdana"/>
                <w:b/>
                <w:sz w:val="20"/>
                <w:szCs w:val="20"/>
              </w:rPr>
              <w:t>арбитражнипроизводства</w:t>
            </w:r>
            <w:proofErr w:type="spellEnd"/>
            <w:r w:rsidRPr="0080247E">
              <w:rPr>
                <w:rFonts w:ascii="Verdana" w:hAnsi="Verdana"/>
                <w:b/>
                <w:sz w:val="20"/>
                <w:szCs w:val="20"/>
              </w:rPr>
              <w:t xml:space="preserve">, касаещи задължения или вземания на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съответно лицето по §1д от допълнителните разпоредби на ЗППЦК,  в размер най-малко 10 на сто от собствения му капитал; ако общата стойност на задълженията или вземанията на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съответно лицето по §1д от допълнителните разпоредби на ЗППЦК, по всички образувани производства надхвърля 10 на сто от собствения му капитал, се представя информация </w:t>
            </w:r>
            <w:r>
              <w:rPr>
                <w:rFonts w:ascii="Verdana" w:hAnsi="Verdana"/>
                <w:b/>
                <w:sz w:val="20"/>
                <w:szCs w:val="20"/>
              </w:rPr>
              <w:t>за всяко производство поотделно.</w:t>
            </w:r>
          </w:p>
          <w:p w14:paraId="4F7F743B" w14:textId="77777777" w:rsidR="00D56F61" w:rsidRPr="008656E6" w:rsidRDefault="00D56F61" w:rsidP="009972FF">
            <w:pPr>
              <w:pStyle w:val="HTMLPreformatted"/>
              <w:jc w:val="both"/>
              <w:rPr>
                <w:rFonts w:ascii="Verdana" w:hAnsi="Verdana"/>
                <w:sz w:val="20"/>
                <w:szCs w:val="20"/>
              </w:rPr>
            </w:pPr>
          </w:p>
          <w:p w14:paraId="4F7F743C" w14:textId="77777777" w:rsidR="00D56F61" w:rsidRPr="006A4E36" w:rsidRDefault="00D56F61" w:rsidP="009972FF">
            <w:pPr>
              <w:pStyle w:val="HTMLPreformatted"/>
              <w:jc w:val="both"/>
              <w:rPr>
                <w:rFonts w:ascii="Verdana" w:hAnsi="Verdana"/>
                <w:sz w:val="20"/>
                <w:szCs w:val="20"/>
              </w:rPr>
            </w:pPr>
            <w:r w:rsidRPr="008656E6">
              <w:rPr>
                <w:rFonts w:ascii="Verdana" w:hAnsi="Verdana"/>
                <w:sz w:val="20"/>
                <w:szCs w:val="20"/>
              </w:rPr>
              <w:t>Висящи</w:t>
            </w:r>
            <w:r>
              <w:rPr>
                <w:rFonts w:ascii="Verdana" w:hAnsi="Verdana"/>
                <w:sz w:val="20"/>
                <w:szCs w:val="20"/>
              </w:rPr>
              <w:t>те</w:t>
            </w:r>
            <w:r w:rsidRPr="008656E6">
              <w:rPr>
                <w:rFonts w:ascii="Verdana" w:hAnsi="Verdana"/>
                <w:sz w:val="20"/>
                <w:szCs w:val="20"/>
              </w:rPr>
              <w:t xml:space="preserve"> съдебни, административни или </w:t>
            </w:r>
            <w:proofErr w:type="spellStart"/>
            <w:r w:rsidRPr="008656E6">
              <w:rPr>
                <w:rFonts w:ascii="Verdana" w:hAnsi="Verdana"/>
                <w:sz w:val="20"/>
                <w:szCs w:val="20"/>
              </w:rPr>
              <w:t>арбитражнипроизводства</w:t>
            </w:r>
            <w:proofErr w:type="spellEnd"/>
            <w:r w:rsidRPr="008656E6">
              <w:rPr>
                <w:rFonts w:ascii="Verdana" w:hAnsi="Verdana"/>
                <w:sz w:val="20"/>
                <w:szCs w:val="20"/>
              </w:rPr>
              <w:t xml:space="preserve">, касаещи задължения или вземания на </w:t>
            </w:r>
            <w:proofErr w:type="spellStart"/>
            <w:r w:rsidRPr="008656E6">
              <w:rPr>
                <w:rFonts w:ascii="Verdana" w:hAnsi="Verdana"/>
                <w:sz w:val="20"/>
                <w:szCs w:val="20"/>
              </w:rPr>
              <w:t>емитента</w:t>
            </w:r>
            <w:proofErr w:type="spellEnd"/>
            <w:r>
              <w:rPr>
                <w:rFonts w:ascii="Verdana" w:hAnsi="Verdana"/>
                <w:sz w:val="20"/>
                <w:szCs w:val="20"/>
              </w:rPr>
              <w:t>,</w:t>
            </w:r>
            <w:r w:rsidRPr="008656E6">
              <w:rPr>
                <w:rFonts w:ascii="Verdana" w:hAnsi="Verdana"/>
                <w:sz w:val="20"/>
                <w:szCs w:val="20"/>
              </w:rPr>
              <w:t xml:space="preserve"> както и  задълженията или вземанията по всички образувани производства</w:t>
            </w:r>
            <w:r>
              <w:rPr>
                <w:rFonts w:ascii="Verdana" w:hAnsi="Verdana"/>
                <w:sz w:val="20"/>
                <w:szCs w:val="20"/>
              </w:rPr>
              <w:t>,</w:t>
            </w:r>
            <w:r w:rsidRPr="008656E6">
              <w:rPr>
                <w:rFonts w:ascii="Verdana" w:hAnsi="Verdana"/>
                <w:sz w:val="20"/>
                <w:szCs w:val="20"/>
              </w:rPr>
              <w:t xml:space="preserve"> не надхвърля 10 н</w:t>
            </w:r>
            <w:r>
              <w:rPr>
                <w:rFonts w:ascii="Verdana" w:hAnsi="Verdana"/>
                <w:sz w:val="20"/>
                <w:szCs w:val="20"/>
              </w:rPr>
              <w:t>а сто от собствения му капитал.</w:t>
            </w:r>
          </w:p>
        </w:tc>
      </w:tr>
      <w:tr w:rsidR="00D56F61" w:rsidRPr="0080247E" w14:paraId="4F7F7441" w14:textId="77777777" w:rsidTr="00A96419">
        <w:tblPrEx>
          <w:shd w:val="clear" w:color="auto" w:fill="FFFFFF"/>
        </w:tblPrEx>
        <w:trPr>
          <w:trHeight w:val="1681"/>
          <w:tblCellSpacing w:w="0" w:type="dxa"/>
        </w:trPr>
        <w:tc>
          <w:tcPr>
            <w:tcW w:w="9450" w:type="dxa"/>
            <w:shd w:val="clear" w:color="auto" w:fill="FFFFFF"/>
            <w:vAlign w:val="center"/>
          </w:tcPr>
          <w:p w14:paraId="4F7F743E" w14:textId="5CB502D4"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21. За публичните дружества - данни за директора, за връзка с инвеститора, включително телефон и адрес за кореспонденция.</w:t>
            </w:r>
          </w:p>
          <w:p w14:paraId="4F7F743F" w14:textId="77777777" w:rsidR="00D56F61" w:rsidRPr="0080247E" w:rsidRDefault="00D56F61" w:rsidP="009972FF">
            <w:pPr>
              <w:pStyle w:val="HTMLPreformatted"/>
              <w:jc w:val="both"/>
              <w:rPr>
                <w:rFonts w:ascii="Verdana" w:hAnsi="Verdana"/>
                <w:sz w:val="20"/>
                <w:szCs w:val="20"/>
              </w:rPr>
            </w:pPr>
          </w:p>
          <w:p w14:paraId="4F7F7440" w14:textId="77777777" w:rsidR="00D56F61" w:rsidRPr="0080247E" w:rsidRDefault="00D56F61" w:rsidP="009972FF">
            <w:pPr>
              <w:pStyle w:val="HTMLPreformatted"/>
              <w:jc w:val="both"/>
              <w:rPr>
                <w:rFonts w:ascii="Verdana" w:hAnsi="Verdana"/>
                <w:sz w:val="20"/>
                <w:szCs w:val="20"/>
              </w:rPr>
            </w:pPr>
            <w:r>
              <w:rPr>
                <w:rFonts w:ascii="Verdana" w:hAnsi="Verdana"/>
                <w:sz w:val="20"/>
                <w:szCs w:val="20"/>
              </w:rPr>
              <w:t>„</w:t>
            </w:r>
            <w:proofErr w:type="spellStart"/>
            <w:r>
              <w:rPr>
                <w:rFonts w:ascii="Verdana" w:hAnsi="Verdana"/>
                <w:sz w:val="20"/>
                <w:szCs w:val="20"/>
              </w:rPr>
              <w:t>Топлфикация</w:t>
            </w:r>
            <w:proofErr w:type="spellEnd"/>
            <w:r>
              <w:rPr>
                <w:rFonts w:ascii="Verdana" w:hAnsi="Verdana"/>
                <w:sz w:val="20"/>
                <w:szCs w:val="20"/>
              </w:rPr>
              <w:t xml:space="preserve"> – Разград“ </w:t>
            </w:r>
            <w:r w:rsidRPr="0080247E">
              <w:rPr>
                <w:rFonts w:ascii="Verdana" w:hAnsi="Verdana"/>
                <w:sz w:val="20"/>
                <w:szCs w:val="20"/>
              </w:rPr>
              <w:t>АД не е публично дружество.</w:t>
            </w:r>
          </w:p>
        </w:tc>
      </w:tr>
    </w:tbl>
    <w:p w14:paraId="4F7F7442" w14:textId="77777777" w:rsidR="00D56F61" w:rsidRPr="00572E15" w:rsidRDefault="00D56F61" w:rsidP="00A96419">
      <w:pPr>
        <w:spacing w:line="260" w:lineRule="atLeast"/>
        <w:rPr>
          <w:rFonts w:ascii="Verdana" w:hAnsi="Verdana" w:cs="Arial"/>
          <w:b/>
          <w:sz w:val="20"/>
        </w:rPr>
      </w:pPr>
      <w:r w:rsidRPr="00572E15">
        <w:rPr>
          <w:rFonts w:ascii="Verdana" w:hAnsi="Verdana" w:cs="Arial"/>
          <w:b/>
          <w:sz w:val="20"/>
        </w:rPr>
        <w:t>Управление на капиталовия риск</w:t>
      </w:r>
    </w:p>
    <w:p w14:paraId="4F7F7443" w14:textId="77777777" w:rsidR="00D56F61" w:rsidRDefault="00D56F61" w:rsidP="00D56F61">
      <w:pPr>
        <w:spacing w:line="260" w:lineRule="atLeast"/>
        <w:rPr>
          <w:rFonts w:ascii="Verdana" w:hAnsi="Verdana" w:cs="Arial"/>
          <w:sz w:val="20"/>
        </w:rPr>
      </w:pPr>
      <w:r w:rsidRPr="00C2255D">
        <w:rPr>
          <w:rFonts w:ascii="Verdana" w:hAnsi="Verdana" w:cs="Arial"/>
          <w:sz w:val="20"/>
        </w:rPr>
        <w:t>Целите на ръководството при управление на капитала са да защитят правото на Дружеството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14:paraId="4F7F7444"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В съответствие с останалите в индустр</w:t>
      </w:r>
      <w:r>
        <w:rPr>
          <w:rFonts w:ascii="Verdana" w:hAnsi="Verdana" w:cs="Arial"/>
          <w:sz w:val="20"/>
        </w:rPr>
        <w:t xml:space="preserve">ията, „Топлофикация – Разград“ </w:t>
      </w:r>
      <w:r w:rsidRPr="00C2255D">
        <w:rPr>
          <w:rFonts w:ascii="Verdana" w:hAnsi="Verdana" w:cs="Arial"/>
          <w:sz w:val="20"/>
        </w:rPr>
        <w:t>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Arial"/>
          <w:sz w:val="20"/>
        </w:rPr>
        <w:t>,</w:t>
      </w:r>
      <w:r w:rsidRPr="00C2255D">
        <w:rPr>
          <w:rFonts w:ascii="Verdana" w:hAnsi="Verdana" w:cs="Arial"/>
          <w:sz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Arial"/>
          <w:sz w:val="20"/>
        </w:rPr>
        <w:t>,</w:t>
      </w:r>
      <w:r w:rsidRPr="00C2255D">
        <w:rPr>
          <w:rFonts w:ascii="Verdana" w:hAnsi="Verdana" w:cs="Arial"/>
          <w:sz w:val="20"/>
        </w:rPr>
        <w:t xml:space="preserve"> се събере с нетните дългове.</w:t>
      </w:r>
    </w:p>
    <w:p w14:paraId="4F7F7445" w14:textId="77777777" w:rsidR="00D56F61" w:rsidRDefault="00D56F61" w:rsidP="00D56F61">
      <w:pPr>
        <w:pStyle w:val="a1"/>
        <w:shd w:val="clear" w:color="auto" w:fill="auto"/>
        <w:spacing w:before="0" w:after="0" w:line="260" w:lineRule="atLeast"/>
        <w:ind w:right="-31"/>
        <w:rPr>
          <w:rFonts w:ascii="Verdana" w:hAnsi="Verdana" w:cs="Arial"/>
          <w:spacing w:val="0"/>
          <w:sz w:val="20"/>
          <w:szCs w:val="20"/>
        </w:rPr>
      </w:pPr>
      <w:r w:rsidRPr="00C2255D">
        <w:rPr>
          <w:rFonts w:ascii="Verdana" w:hAnsi="Verdana" w:cs="Arial"/>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14:paraId="4F7F7446"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 xml:space="preserve">                         Табл.13/хил.</w:t>
      </w:r>
      <w:proofErr w:type="spellStart"/>
      <w:r>
        <w:rPr>
          <w:rFonts w:ascii="Verdana" w:hAnsi="Verdana" w:cs="Arial"/>
          <w:spacing w:val="0"/>
          <w:sz w:val="20"/>
          <w:szCs w:val="20"/>
        </w:rPr>
        <w:t>лв</w:t>
      </w:r>
      <w:proofErr w:type="spellEnd"/>
      <w:r>
        <w:rPr>
          <w:rFonts w:ascii="Verdana" w:hAnsi="Verdana" w:cs="Arial"/>
          <w:spacing w:val="0"/>
          <w:sz w:val="20"/>
          <w:szCs w:val="20"/>
        </w:rPr>
        <w:t>/</w:t>
      </w:r>
    </w:p>
    <w:tbl>
      <w:tblPr>
        <w:tblW w:w="9503" w:type="dxa"/>
        <w:tblInd w:w="65" w:type="dxa"/>
        <w:tblCellMar>
          <w:left w:w="70" w:type="dxa"/>
          <w:right w:w="70" w:type="dxa"/>
        </w:tblCellMar>
        <w:tblLook w:val="04A0" w:firstRow="1" w:lastRow="0" w:firstColumn="1" w:lastColumn="0" w:noHBand="0" w:noVBand="1"/>
      </w:tblPr>
      <w:tblGrid>
        <w:gridCol w:w="5220"/>
        <w:gridCol w:w="2015"/>
        <w:gridCol w:w="2268"/>
      </w:tblGrid>
      <w:tr w:rsidR="00D56F61" w:rsidRPr="00763C86" w14:paraId="4F7F744A" w14:textId="77777777" w:rsidTr="009972FF">
        <w:trPr>
          <w:trHeight w:val="255"/>
        </w:trPr>
        <w:tc>
          <w:tcPr>
            <w:tcW w:w="5220" w:type="dxa"/>
            <w:tcBorders>
              <w:top w:val="single" w:sz="4" w:space="0" w:color="auto"/>
              <w:left w:val="single" w:sz="4" w:space="0" w:color="auto"/>
              <w:bottom w:val="single" w:sz="4" w:space="0" w:color="auto"/>
              <w:right w:val="nil"/>
            </w:tcBorders>
            <w:shd w:val="clear" w:color="auto" w:fill="auto"/>
            <w:noWrap/>
            <w:vAlign w:val="center"/>
            <w:hideMark/>
          </w:tcPr>
          <w:p w14:paraId="4F7F7447"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Вид</w:t>
            </w:r>
          </w:p>
        </w:tc>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448"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31.12.2019 г.</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F7F7449"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31.12.2018 г.</w:t>
            </w:r>
          </w:p>
        </w:tc>
      </w:tr>
      <w:tr w:rsidR="00D56F61" w:rsidRPr="00763C86" w14:paraId="4F7F744E"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4B"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 xml:space="preserve">Общо дългов капитал, т.ч.: </w:t>
            </w:r>
          </w:p>
        </w:tc>
        <w:tc>
          <w:tcPr>
            <w:tcW w:w="2015" w:type="dxa"/>
            <w:tcBorders>
              <w:top w:val="nil"/>
              <w:left w:val="nil"/>
              <w:bottom w:val="single" w:sz="4" w:space="0" w:color="auto"/>
              <w:right w:val="single" w:sz="4" w:space="0" w:color="auto"/>
            </w:tcBorders>
            <w:shd w:val="clear" w:color="auto" w:fill="auto"/>
            <w:noWrap/>
            <w:vAlign w:val="center"/>
            <w:hideMark/>
          </w:tcPr>
          <w:p w14:paraId="4F7F744C"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406</w:t>
            </w:r>
          </w:p>
        </w:tc>
        <w:tc>
          <w:tcPr>
            <w:tcW w:w="2268" w:type="dxa"/>
            <w:tcBorders>
              <w:top w:val="nil"/>
              <w:left w:val="nil"/>
              <w:bottom w:val="single" w:sz="4" w:space="0" w:color="auto"/>
              <w:right w:val="single" w:sz="4" w:space="0" w:color="auto"/>
            </w:tcBorders>
            <w:shd w:val="clear" w:color="auto" w:fill="auto"/>
            <w:noWrap/>
            <w:vAlign w:val="center"/>
            <w:hideMark/>
          </w:tcPr>
          <w:p w14:paraId="4F7F744D"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1 198</w:t>
            </w:r>
          </w:p>
        </w:tc>
      </w:tr>
      <w:tr w:rsidR="00D56F61" w:rsidRPr="00763C86" w14:paraId="4F7F7452"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4F"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t>Задължения към банки и финансови институции</w:t>
            </w:r>
          </w:p>
        </w:tc>
        <w:tc>
          <w:tcPr>
            <w:tcW w:w="2015" w:type="dxa"/>
            <w:tcBorders>
              <w:top w:val="nil"/>
              <w:left w:val="nil"/>
              <w:bottom w:val="single" w:sz="4" w:space="0" w:color="auto"/>
              <w:right w:val="single" w:sz="4" w:space="0" w:color="auto"/>
            </w:tcBorders>
            <w:shd w:val="clear" w:color="auto" w:fill="auto"/>
            <w:noWrap/>
            <w:vAlign w:val="center"/>
            <w:hideMark/>
          </w:tcPr>
          <w:p w14:paraId="4F7F7450"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33</w:t>
            </w:r>
          </w:p>
        </w:tc>
        <w:tc>
          <w:tcPr>
            <w:tcW w:w="2268" w:type="dxa"/>
            <w:tcBorders>
              <w:top w:val="nil"/>
              <w:left w:val="nil"/>
              <w:bottom w:val="single" w:sz="4" w:space="0" w:color="auto"/>
              <w:right w:val="single" w:sz="4" w:space="0" w:color="auto"/>
            </w:tcBorders>
            <w:shd w:val="clear" w:color="auto" w:fill="auto"/>
            <w:noWrap/>
            <w:vAlign w:val="center"/>
            <w:hideMark/>
          </w:tcPr>
          <w:p w14:paraId="4F7F7451"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380</w:t>
            </w:r>
          </w:p>
        </w:tc>
      </w:tr>
      <w:tr w:rsidR="00D56F61" w:rsidRPr="00763C86" w14:paraId="4F7F7456" w14:textId="77777777" w:rsidTr="009972FF">
        <w:trPr>
          <w:trHeight w:val="51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53"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t>Търговски кредити и заеми към свързани лица и стокови кредити</w:t>
            </w:r>
          </w:p>
        </w:tc>
        <w:tc>
          <w:tcPr>
            <w:tcW w:w="2015" w:type="dxa"/>
            <w:tcBorders>
              <w:top w:val="nil"/>
              <w:left w:val="nil"/>
              <w:bottom w:val="single" w:sz="4" w:space="0" w:color="auto"/>
              <w:right w:val="single" w:sz="4" w:space="0" w:color="auto"/>
            </w:tcBorders>
            <w:shd w:val="clear" w:color="auto" w:fill="auto"/>
            <w:noWrap/>
            <w:vAlign w:val="center"/>
            <w:hideMark/>
          </w:tcPr>
          <w:p w14:paraId="4F7F7454"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373</w:t>
            </w:r>
          </w:p>
        </w:tc>
        <w:tc>
          <w:tcPr>
            <w:tcW w:w="2268" w:type="dxa"/>
            <w:tcBorders>
              <w:top w:val="nil"/>
              <w:left w:val="nil"/>
              <w:bottom w:val="single" w:sz="4" w:space="0" w:color="auto"/>
              <w:right w:val="single" w:sz="4" w:space="0" w:color="auto"/>
            </w:tcBorders>
            <w:shd w:val="clear" w:color="auto" w:fill="auto"/>
            <w:noWrap/>
            <w:vAlign w:val="center"/>
            <w:hideMark/>
          </w:tcPr>
          <w:p w14:paraId="4F7F7455"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818</w:t>
            </w:r>
          </w:p>
        </w:tc>
      </w:tr>
      <w:tr w:rsidR="00D56F61" w:rsidRPr="00763C86" w14:paraId="4F7F745A" w14:textId="77777777" w:rsidTr="009972FF">
        <w:trPr>
          <w:trHeight w:val="37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57"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Намален с: паричните средства и парични еквиваленти</w:t>
            </w:r>
          </w:p>
        </w:tc>
        <w:tc>
          <w:tcPr>
            <w:tcW w:w="2015" w:type="dxa"/>
            <w:tcBorders>
              <w:top w:val="nil"/>
              <w:left w:val="nil"/>
              <w:bottom w:val="single" w:sz="4" w:space="0" w:color="auto"/>
              <w:right w:val="single" w:sz="4" w:space="0" w:color="auto"/>
            </w:tcBorders>
            <w:shd w:val="clear" w:color="auto" w:fill="auto"/>
            <w:noWrap/>
            <w:vAlign w:val="center"/>
            <w:hideMark/>
          </w:tcPr>
          <w:p w14:paraId="4F7F7458" w14:textId="66E288A9"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(7</w:t>
            </w:r>
            <w:r w:rsidR="00A96419">
              <w:rPr>
                <w:rFonts w:ascii="Calibri" w:hAnsi="Calibri" w:cs="Arial"/>
                <w:b/>
                <w:bCs/>
                <w:szCs w:val="22"/>
                <w:lang w:eastAsia="bg-BG"/>
              </w:rPr>
              <w:t>4</w:t>
            </w:r>
            <w:r w:rsidRPr="00763C86">
              <w:rPr>
                <w:rFonts w:ascii="Calibri" w:hAnsi="Calibri" w:cs="Arial"/>
                <w:b/>
                <w:bCs/>
                <w:szCs w:val="22"/>
                <w:lang w:eastAsia="bg-BG"/>
              </w:rPr>
              <w:t>)</w:t>
            </w:r>
          </w:p>
        </w:tc>
        <w:tc>
          <w:tcPr>
            <w:tcW w:w="2268" w:type="dxa"/>
            <w:tcBorders>
              <w:top w:val="nil"/>
              <w:left w:val="nil"/>
              <w:bottom w:val="single" w:sz="4" w:space="0" w:color="auto"/>
              <w:right w:val="single" w:sz="4" w:space="0" w:color="auto"/>
            </w:tcBorders>
            <w:shd w:val="clear" w:color="auto" w:fill="auto"/>
            <w:noWrap/>
            <w:vAlign w:val="center"/>
            <w:hideMark/>
          </w:tcPr>
          <w:p w14:paraId="4F7F7459"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(42)</w:t>
            </w:r>
          </w:p>
        </w:tc>
      </w:tr>
      <w:tr w:rsidR="00D56F61" w:rsidRPr="00763C86" w14:paraId="4F7F745E"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5B"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Нетен дългов капитал</w:t>
            </w:r>
          </w:p>
        </w:tc>
        <w:tc>
          <w:tcPr>
            <w:tcW w:w="2015" w:type="dxa"/>
            <w:tcBorders>
              <w:top w:val="nil"/>
              <w:left w:val="nil"/>
              <w:bottom w:val="single" w:sz="4" w:space="0" w:color="auto"/>
              <w:right w:val="single" w:sz="4" w:space="0" w:color="auto"/>
            </w:tcBorders>
            <w:shd w:val="clear" w:color="auto" w:fill="auto"/>
            <w:noWrap/>
            <w:vAlign w:val="center"/>
            <w:hideMark/>
          </w:tcPr>
          <w:p w14:paraId="4F7F745C" w14:textId="2131AD1C"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33</w:t>
            </w:r>
            <w:r w:rsidR="00A96419">
              <w:rPr>
                <w:rFonts w:ascii="Calibri" w:hAnsi="Calibri" w:cs="Arial"/>
                <w:b/>
                <w:bCs/>
                <w:szCs w:val="22"/>
                <w:lang w:eastAsia="bg-BG"/>
              </w:rPr>
              <w:t>2</w:t>
            </w:r>
          </w:p>
        </w:tc>
        <w:tc>
          <w:tcPr>
            <w:tcW w:w="2268" w:type="dxa"/>
            <w:tcBorders>
              <w:top w:val="nil"/>
              <w:left w:val="nil"/>
              <w:bottom w:val="single" w:sz="4" w:space="0" w:color="auto"/>
              <w:right w:val="single" w:sz="4" w:space="0" w:color="auto"/>
            </w:tcBorders>
            <w:shd w:val="clear" w:color="auto" w:fill="auto"/>
            <w:noWrap/>
            <w:vAlign w:val="center"/>
            <w:hideMark/>
          </w:tcPr>
          <w:p w14:paraId="4F7F745D"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1 156</w:t>
            </w:r>
          </w:p>
        </w:tc>
      </w:tr>
      <w:tr w:rsidR="00D56F61" w:rsidRPr="00763C86" w14:paraId="4F7F7462"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5F"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lastRenderedPageBreak/>
              <w:t>Общо собствен капитал</w:t>
            </w:r>
          </w:p>
        </w:tc>
        <w:tc>
          <w:tcPr>
            <w:tcW w:w="2015" w:type="dxa"/>
            <w:tcBorders>
              <w:top w:val="nil"/>
              <w:left w:val="nil"/>
              <w:bottom w:val="single" w:sz="4" w:space="0" w:color="auto"/>
              <w:right w:val="single" w:sz="4" w:space="0" w:color="auto"/>
            </w:tcBorders>
            <w:shd w:val="clear" w:color="auto" w:fill="auto"/>
            <w:noWrap/>
            <w:vAlign w:val="center"/>
            <w:hideMark/>
          </w:tcPr>
          <w:p w14:paraId="4F7F7460"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3 571</w:t>
            </w:r>
          </w:p>
        </w:tc>
        <w:tc>
          <w:tcPr>
            <w:tcW w:w="2268" w:type="dxa"/>
            <w:tcBorders>
              <w:top w:val="nil"/>
              <w:left w:val="nil"/>
              <w:bottom w:val="single" w:sz="4" w:space="0" w:color="auto"/>
              <w:right w:val="single" w:sz="4" w:space="0" w:color="auto"/>
            </w:tcBorders>
            <w:shd w:val="clear" w:color="auto" w:fill="auto"/>
            <w:noWrap/>
            <w:vAlign w:val="center"/>
            <w:hideMark/>
          </w:tcPr>
          <w:p w14:paraId="4F7F7461"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(2 355)</w:t>
            </w:r>
          </w:p>
        </w:tc>
      </w:tr>
      <w:tr w:rsidR="00D56F61" w:rsidRPr="00763C86" w14:paraId="4F7F7466"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63"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Общо капитал</w:t>
            </w:r>
          </w:p>
        </w:tc>
        <w:tc>
          <w:tcPr>
            <w:tcW w:w="2015" w:type="dxa"/>
            <w:tcBorders>
              <w:top w:val="nil"/>
              <w:left w:val="nil"/>
              <w:bottom w:val="single" w:sz="4" w:space="0" w:color="auto"/>
              <w:right w:val="single" w:sz="4" w:space="0" w:color="auto"/>
            </w:tcBorders>
            <w:shd w:val="clear" w:color="auto" w:fill="auto"/>
            <w:noWrap/>
            <w:vAlign w:val="center"/>
            <w:hideMark/>
          </w:tcPr>
          <w:p w14:paraId="4F7F7464" w14:textId="43202B0B"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3 90</w:t>
            </w:r>
            <w:r w:rsidR="00A96419">
              <w:rPr>
                <w:rFonts w:ascii="Calibri" w:hAnsi="Calibri" w:cs="Arial"/>
                <w:b/>
                <w:bCs/>
                <w:szCs w:val="22"/>
                <w:lang w:eastAsia="bg-BG"/>
              </w:rPr>
              <w:t>3</w:t>
            </w:r>
          </w:p>
        </w:tc>
        <w:tc>
          <w:tcPr>
            <w:tcW w:w="2268" w:type="dxa"/>
            <w:tcBorders>
              <w:top w:val="nil"/>
              <w:left w:val="nil"/>
              <w:bottom w:val="single" w:sz="4" w:space="0" w:color="auto"/>
              <w:right w:val="single" w:sz="4" w:space="0" w:color="auto"/>
            </w:tcBorders>
            <w:shd w:val="clear" w:color="auto" w:fill="auto"/>
            <w:noWrap/>
            <w:vAlign w:val="center"/>
            <w:hideMark/>
          </w:tcPr>
          <w:p w14:paraId="4F7F7465"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(1 199)</w:t>
            </w:r>
          </w:p>
        </w:tc>
      </w:tr>
      <w:tr w:rsidR="00D56F61" w:rsidRPr="00763C86" w14:paraId="4F7F746A" w14:textId="77777777" w:rsidTr="009972FF">
        <w:trPr>
          <w:trHeight w:val="255"/>
        </w:trPr>
        <w:tc>
          <w:tcPr>
            <w:tcW w:w="5220" w:type="dxa"/>
            <w:tcBorders>
              <w:top w:val="nil"/>
              <w:left w:val="single" w:sz="4" w:space="0" w:color="auto"/>
              <w:bottom w:val="single" w:sz="4" w:space="0" w:color="auto"/>
              <w:right w:val="single" w:sz="4" w:space="0" w:color="auto"/>
            </w:tcBorders>
            <w:shd w:val="clear" w:color="000000" w:fill="C5D9F1"/>
            <w:vAlign w:val="center"/>
            <w:hideMark/>
          </w:tcPr>
          <w:p w14:paraId="4F7F7467"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Коефициент нетен дълг към общо капитал</w:t>
            </w:r>
          </w:p>
        </w:tc>
        <w:tc>
          <w:tcPr>
            <w:tcW w:w="2015" w:type="dxa"/>
            <w:tcBorders>
              <w:top w:val="nil"/>
              <w:left w:val="nil"/>
              <w:bottom w:val="single" w:sz="4" w:space="0" w:color="auto"/>
              <w:right w:val="single" w:sz="4" w:space="0" w:color="auto"/>
            </w:tcBorders>
            <w:shd w:val="clear" w:color="000000" w:fill="C5D9F1"/>
            <w:noWrap/>
            <w:vAlign w:val="center"/>
            <w:hideMark/>
          </w:tcPr>
          <w:p w14:paraId="4F7F7468" w14:textId="0022DF20"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0.</w:t>
            </w:r>
            <w:r w:rsidR="00A96419">
              <w:rPr>
                <w:rFonts w:ascii="Calibri" w:hAnsi="Calibri" w:cs="Arial"/>
                <w:b/>
                <w:bCs/>
                <w:szCs w:val="22"/>
                <w:lang w:eastAsia="bg-BG"/>
              </w:rPr>
              <w:t>09</w:t>
            </w:r>
          </w:p>
        </w:tc>
        <w:tc>
          <w:tcPr>
            <w:tcW w:w="2268" w:type="dxa"/>
            <w:tcBorders>
              <w:top w:val="nil"/>
              <w:left w:val="nil"/>
              <w:bottom w:val="single" w:sz="4" w:space="0" w:color="auto"/>
              <w:right w:val="single" w:sz="4" w:space="0" w:color="auto"/>
            </w:tcBorders>
            <w:shd w:val="clear" w:color="000000" w:fill="C5D9F1"/>
            <w:noWrap/>
            <w:vAlign w:val="center"/>
            <w:hideMark/>
          </w:tcPr>
          <w:p w14:paraId="4F7F7469"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-0.96</w:t>
            </w:r>
          </w:p>
        </w:tc>
      </w:tr>
    </w:tbl>
    <w:p w14:paraId="4F7F746B"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p>
    <w:p w14:paraId="4F7F746C"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 xml:space="preserve">              Табл.14/хил.</w:t>
      </w:r>
      <w:proofErr w:type="spellStart"/>
      <w:r>
        <w:rPr>
          <w:rFonts w:ascii="Verdana" w:hAnsi="Verdana" w:cs="Arial"/>
          <w:spacing w:val="0"/>
          <w:sz w:val="20"/>
          <w:szCs w:val="20"/>
        </w:rPr>
        <w:t>лв</w:t>
      </w:r>
      <w:proofErr w:type="spellEnd"/>
      <w:r>
        <w:rPr>
          <w:rFonts w:ascii="Verdana" w:hAnsi="Verdana" w:cs="Arial"/>
          <w:spacing w:val="0"/>
          <w:sz w:val="20"/>
          <w:szCs w:val="20"/>
        </w:rPr>
        <w:t>/</w:t>
      </w:r>
    </w:p>
    <w:tbl>
      <w:tblPr>
        <w:tblW w:w="9503" w:type="dxa"/>
        <w:tblInd w:w="65" w:type="dxa"/>
        <w:tblCellMar>
          <w:left w:w="70" w:type="dxa"/>
          <w:right w:w="70" w:type="dxa"/>
        </w:tblCellMar>
        <w:tblLook w:val="04A0" w:firstRow="1" w:lastRow="0" w:firstColumn="1" w:lastColumn="0" w:noHBand="0" w:noVBand="1"/>
      </w:tblPr>
      <w:tblGrid>
        <w:gridCol w:w="5220"/>
        <w:gridCol w:w="2015"/>
        <w:gridCol w:w="2268"/>
      </w:tblGrid>
      <w:tr w:rsidR="00D56F61" w:rsidRPr="00763C86" w14:paraId="4F7F7470" w14:textId="77777777" w:rsidTr="009972FF">
        <w:trPr>
          <w:trHeight w:val="255"/>
        </w:trPr>
        <w:tc>
          <w:tcPr>
            <w:tcW w:w="5220" w:type="dxa"/>
            <w:tcBorders>
              <w:top w:val="single" w:sz="4" w:space="0" w:color="auto"/>
              <w:left w:val="single" w:sz="4" w:space="0" w:color="auto"/>
              <w:bottom w:val="single" w:sz="4" w:space="0" w:color="auto"/>
              <w:right w:val="nil"/>
            </w:tcBorders>
            <w:shd w:val="clear" w:color="auto" w:fill="auto"/>
            <w:noWrap/>
            <w:vAlign w:val="center"/>
            <w:hideMark/>
          </w:tcPr>
          <w:p w14:paraId="4F7F746D"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Вид</w:t>
            </w:r>
          </w:p>
        </w:tc>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46E"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31.12.2019 г.</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F7F746F"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31.12.2018 г.</w:t>
            </w:r>
          </w:p>
        </w:tc>
      </w:tr>
      <w:tr w:rsidR="00D56F61" w:rsidRPr="00763C86" w14:paraId="4F7F7474"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71"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 xml:space="preserve">Общо привлечен капитал (пасиви), т.ч.: </w:t>
            </w:r>
          </w:p>
        </w:tc>
        <w:tc>
          <w:tcPr>
            <w:tcW w:w="2015" w:type="dxa"/>
            <w:tcBorders>
              <w:top w:val="nil"/>
              <w:left w:val="nil"/>
              <w:bottom w:val="single" w:sz="4" w:space="0" w:color="auto"/>
              <w:right w:val="single" w:sz="4" w:space="0" w:color="auto"/>
            </w:tcBorders>
            <w:shd w:val="clear" w:color="auto" w:fill="auto"/>
            <w:noWrap/>
            <w:vAlign w:val="center"/>
            <w:hideMark/>
          </w:tcPr>
          <w:p w14:paraId="4F7F7472"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2 578</w:t>
            </w:r>
          </w:p>
        </w:tc>
        <w:tc>
          <w:tcPr>
            <w:tcW w:w="2268" w:type="dxa"/>
            <w:tcBorders>
              <w:top w:val="nil"/>
              <w:left w:val="nil"/>
              <w:bottom w:val="single" w:sz="4" w:space="0" w:color="auto"/>
              <w:right w:val="single" w:sz="4" w:space="0" w:color="auto"/>
            </w:tcBorders>
            <w:shd w:val="clear" w:color="auto" w:fill="auto"/>
            <w:noWrap/>
            <w:vAlign w:val="center"/>
            <w:hideMark/>
          </w:tcPr>
          <w:p w14:paraId="4F7F7473"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6 214</w:t>
            </w:r>
          </w:p>
        </w:tc>
      </w:tr>
      <w:tr w:rsidR="00D56F61" w:rsidRPr="00763C86" w14:paraId="4F7F7478"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75"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t>Задължения към банки и финансови институции</w:t>
            </w:r>
          </w:p>
        </w:tc>
        <w:tc>
          <w:tcPr>
            <w:tcW w:w="2015" w:type="dxa"/>
            <w:tcBorders>
              <w:top w:val="nil"/>
              <w:left w:val="nil"/>
              <w:bottom w:val="single" w:sz="4" w:space="0" w:color="auto"/>
              <w:right w:val="single" w:sz="4" w:space="0" w:color="auto"/>
            </w:tcBorders>
            <w:shd w:val="clear" w:color="auto" w:fill="auto"/>
            <w:noWrap/>
            <w:vAlign w:val="center"/>
            <w:hideMark/>
          </w:tcPr>
          <w:p w14:paraId="4F7F7476"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33</w:t>
            </w:r>
          </w:p>
        </w:tc>
        <w:tc>
          <w:tcPr>
            <w:tcW w:w="2268" w:type="dxa"/>
            <w:tcBorders>
              <w:top w:val="nil"/>
              <w:left w:val="nil"/>
              <w:bottom w:val="single" w:sz="4" w:space="0" w:color="auto"/>
              <w:right w:val="single" w:sz="4" w:space="0" w:color="auto"/>
            </w:tcBorders>
            <w:shd w:val="clear" w:color="auto" w:fill="auto"/>
            <w:noWrap/>
            <w:vAlign w:val="center"/>
            <w:hideMark/>
          </w:tcPr>
          <w:p w14:paraId="4F7F7477"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380</w:t>
            </w:r>
          </w:p>
        </w:tc>
      </w:tr>
      <w:tr w:rsidR="00D56F61" w:rsidRPr="00763C86" w14:paraId="4F7F747C"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79"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t>Задължения по финансов лизинг</w:t>
            </w:r>
          </w:p>
        </w:tc>
        <w:tc>
          <w:tcPr>
            <w:tcW w:w="2015" w:type="dxa"/>
            <w:tcBorders>
              <w:top w:val="nil"/>
              <w:left w:val="nil"/>
              <w:bottom w:val="single" w:sz="4" w:space="0" w:color="auto"/>
              <w:right w:val="single" w:sz="4" w:space="0" w:color="auto"/>
            </w:tcBorders>
            <w:shd w:val="clear" w:color="auto" w:fill="auto"/>
            <w:noWrap/>
            <w:vAlign w:val="center"/>
            <w:hideMark/>
          </w:tcPr>
          <w:p w14:paraId="4F7F747A"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6</w:t>
            </w:r>
          </w:p>
        </w:tc>
        <w:tc>
          <w:tcPr>
            <w:tcW w:w="2268" w:type="dxa"/>
            <w:tcBorders>
              <w:top w:val="nil"/>
              <w:left w:val="nil"/>
              <w:bottom w:val="single" w:sz="4" w:space="0" w:color="auto"/>
              <w:right w:val="single" w:sz="4" w:space="0" w:color="auto"/>
            </w:tcBorders>
            <w:shd w:val="clear" w:color="auto" w:fill="auto"/>
            <w:noWrap/>
            <w:vAlign w:val="center"/>
            <w:hideMark/>
          </w:tcPr>
          <w:p w14:paraId="4F7F747B" w14:textId="77777777" w:rsidR="00D56F61" w:rsidRPr="00763C86" w:rsidRDefault="00D56F61" w:rsidP="009972FF">
            <w:pPr>
              <w:jc w:val="center"/>
              <w:rPr>
                <w:rFonts w:ascii="Calibri" w:hAnsi="Calibri" w:cs="Arial"/>
                <w:szCs w:val="22"/>
                <w:lang w:eastAsia="bg-BG"/>
              </w:rPr>
            </w:pPr>
          </w:p>
        </w:tc>
      </w:tr>
      <w:tr w:rsidR="00D56F61" w:rsidRPr="00763C86" w14:paraId="4F7F7480" w14:textId="77777777" w:rsidTr="009972FF">
        <w:trPr>
          <w:trHeight w:val="51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7D"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t>Търговски кредити и заеми към трети лица и стокови кредити</w:t>
            </w:r>
          </w:p>
        </w:tc>
        <w:tc>
          <w:tcPr>
            <w:tcW w:w="2015" w:type="dxa"/>
            <w:tcBorders>
              <w:top w:val="nil"/>
              <w:left w:val="nil"/>
              <w:bottom w:val="single" w:sz="4" w:space="0" w:color="auto"/>
              <w:right w:val="single" w:sz="4" w:space="0" w:color="auto"/>
            </w:tcBorders>
            <w:shd w:val="clear" w:color="auto" w:fill="auto"/>
            <w:noWrap/>
            <w:vAlign w:val="center"/>
            <w:hideMark/>
          </w:tcPr>
          <w:p w14:paraId="4F7F747E"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373</w:t>
            </w:r>
          </w:p>
        </w:tc>
        <w:tc>
          <w:tcPr>
            <w:tcW w:w="2268" w:type="dxa"/>
            <w:tcBorders>
              <w:top w:val="nil"/>
              <w:left w:val="nil"/>
              <w:bottom w:val="single" w:sz="4" w:space="0" w:color="auto"/>
              <w:right w:val="single" w:sz="4" w:space="0" w:color="auto"/>
            </w:tcBorders>
            <w:shd w:val="clear" w:color="auto" w:fill="auto"/>
            <w:noWrap/>
            <w:vAlign w:val="center"/>
            <w:hideMark/>
          </w:tcPr>
          <w:p w14:paraId="4F7F747F" w14:textId="77777777" w:rsidR="00D56F61" w:rsidRPr="00763C86" w:rsidRDefault="00D56F61" w:rsidP="009972FF">
            <w:pPr>
              <w:jc w:val="center"/>
              <w:rPr>
                <w:rFonts w:ascii="Calibri" w:hAnsi="Calibri" w:cs="Arial"/>
                <w:szCs w:val="22"/>
                <w:lang w:eastAsia="bg-BG"/>
              </w:rPr>
            </w:pPr>
          </w:p>
        </w:tc>
      </w:tr>
      <w:tr w:rsidR="00D56F61" w:rsidRPr="00763C86" w14:paraId="4F7F7484"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81"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t>Задължения към свързани предприятия</w:t>
            </w:r>
          </w:p>
        </w:tc>
        <w:tc>
          <w:tcPr>
            <w:tcW w:w="2015" w:type="dxa"/>
            <w:tcBorders>
              <w:top w:val="nil"/>
              <w:left w:val="nil"/>
              <w:bottom w:val="single" w:sz="4" w:space="0" w:color="auto"/>
              <w:right w:val="single" w:sz="4" w:space="0" w:color="auto"/>
            </w:tcBorders>
            <w:shd w:val="clear" w:color="auto" w:fill="auto"/>
            <w:noWrap/>
            <w:vAlign w:val="center"/>
            <w:hideMark/>
          </w:tcPr>
          <w:p w14:paraId="4F7F7482"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 xml:space="preserve">1 </w:t>
            </w:r>
            <w:r w:rsidR="004F6BB9">
              <w:rPr>
                <w:rFonts w:ascii="Calibri" w:hAnsi="Calibri" w:cs="Arial"/>
                <w:szCs w:val="22"/>
                <w:lang w:eastAsia="bg-BG"/>
              </w:rPr>
              <w:t>787</w:t>
            </w:r>
          </w:p>
        </w:tc>
        <w:tc>
          <w:tcPr>
            <w:tcW w:w="2268" w:type="dxa"/>
            <w:tcBorders>
              <w:top w:val="nil"/>
              <w:left w:val="nil"/>
              <w:bottom w:val="single" w:sz="4" w:space="0" w:color="auto"/>
              <w:right w:val="single" w:sz="4" w:space="0" w:color="auto"/>
            </w:tcBorders>
            <w:shd w:val="clear" w:color="auto" w:fill="auto"/>
            <w:noWrap/>
            <w:vAlign w:val="center"/>
            <w:hideMark/>
          </w:tcPr>
          <w:p w14:paraId="4F7F7483"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5 181</w:t>
            </w:r>
          </w:p>
        </w:tc>
      </w:tr>
      <w:tr w:rsidR="00D56F61" w:rsidRPr="00763C86" w14:paraId="4F7F7488"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85" w14:textId="77777777" w:rsidR="00D56F61" w:rsidRPr="00763C86" w:rsidRDefault="00D56F61" w:rsidP="009972FF">
            <w:pPr>
              <w:jc w:val="left"/>
              <w:rPr>
                <w:rFonts w:ascii="Calibri" w:hAnsi="Calibri" w:cs="Arial"/>
                <w:szCs w:val="22"/>
                <w:lang w:eastAsia="bg-BG"/>
              </w:rPr>
            </w:pPr>
            <w:r w:rsidRPr="00763C86">
              <w:rPr>
                <w:rFonts w:ascii="Calibri" w:hAnsi="Calibri" w:cs="Arial"/>
                <w:szCs w:val="22"/>
                <w:lang w:eastAsia="bg-BG"/>
              </w:rPr>
              <w:t>Всички останали пасиви</w:t>
            </w:r>
          </w:p>
        </w:tc>
        <w:tc>
          <w:tcPr>
            <w:tcW w:w="2015" w:type="dxa"/>
            <w:tcBorders>
              <w:top w:val="nil"/>
              <w:left w:val="nil"/>
              <w:bottom w:val="single" w:sz="4" w:space="0" w:color="auto"/>
              <w:right w:val="single" w:sz="4" w:space="0" w:color="auto"/>
            </w:tcBorders>
            <w:shd w:val="clear" w:color="auto" w:fill="auto"/>
            <w:noWrap/>
            <w:vAlign w:val="center"/>
            <w:hideMark/>
          </w:tcPr>
          <w:p w14:paraId="4F7F7486" w14:textId="77777777" w:rsidR="00D56F61" w:rsidRPr="00763C86" w:rsidRDefault="004F6BB9" w:rsidP="009972FF">
            <w:pPr>
              <w:jc w:val="center"/>
              <w:rPr>
                <w:rFonts w:ascii="Calibri" w:hAnsi="Calibri" w:cs="Arial"/>
                <w:szCs w:val="22"/>
                <w:lang w:eastAsia="bg-BG"/>
              </w:rPr>
            </w:pPr>
            <w:r>
              <w:rPr>
                <w:rFonts w:ascii="Calibri" w:hAnsi="Calibri" w:cs="Arial"/>
                <w:szCs w:val="22"/>
                <w:lang w:eastAsia="bg-BG"/>
              </w:rPr>
              <w:t>379</w:t>
            </w:r>
          </w:p>
        </w:tc>
        <w:tc>
          <w:tcPr>
            <w:tcW w:w="2268" w:type="dxa"/>
            <w:tcBorders>
              <w:top w:val="nil"/>
              <w:left w:val="nil"/>
              <w:bottom w:val="single" w:sz="4" w:space="0" w:color="auto"/>
              <w:right w:val="single" w:sz="4" w:space="0" w:color="auto"/>
            </w:tcBorders>
            <w:shd w:val="clear" w:color="auto" w:fill="auto"/>
            <w:noWrap/>
            <w:vAlign w:val="center"/>
            <w:hideMark/>
          </w:tcPr>
          <w:p w14:paraId="4F7F7487" w14:textId="77777777" w:rsidR="00D56F61" w:rsidRPr="00763C86" w:rsidRDefault="00D56F61" w:rsidP="009972FF">
            <w:pPr>
              <w:jc w:val="center"/>
              <w:rPr>
                <w:rFonts w:ascii="Calibri" w:hAnsi="Calibri" w:cs="Arial"/>
                <w:szCs w:val="22"/>
                <w:lang w:eastAsia="bg-BG"/>
              </w:rPr>
            </w:pPr>
            <w:r w:rsidRPr="00763C86">
              <w:rPr>
                <w:rFonts w:ascii="Calibri" w:hAnsi="Calibri" w:cs="Arial"/>
                <w:szCs w:val="22"/>
                <w:lang w:eastAsia="bg-BG"/>
              </w:rPr>
              <w:t>653</w:t>
            </w:r>
          </w:p>
        </w:tc>
      </w:tr>
      <w:tr w:rsidR="00D56F61" w:rsidRPr="00763C86" w14:paraId="4F7F748C" w14:textId="77777777" w:rsidTr="009972FF">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4F7F7489"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Общо собствен капитал</w:t>
            </w:r>
          </w:p>
        </w:tc>
        <w:tc>
          <w:tcPr>
            <w:tcW w:w="2015" w:type="dxa"/>
            <w:tcBorders>
              <w:top w:val="nil"/>
              <w:left w:val="nil"/>
              <w:bottom w:val="single" w:sz="4" w:space="0" w:color="auto"/>
              <w:right w:val="single" w:sz="4" w:space="0" w:color="auto"/>
            </w:tcBorders>
            <w:shd w:val="clear" w:color="auto" w:fill="auto"/>
            <w:noWrap/>
            <w:vAlign w:val="center"/>
            <w:hideMark/>
          </w:tcPr>
          <w:p w14:paraId="4F7F748A"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3 571</w:t>
            </w:r>
          </w:p>
        </w:tc>
        <w:tc>
          <w:tcPr>
            <w:tcW w:w="2268" w:type="dxa"/>
            <w:tcBorders>
              <w:top w:val="nil"/>
              <w:left w:val="nil"/>
              <w:bottom w:val="single" w:sz="4" w:space="0" w:color="auto"/>
              <w:right w:val="single" w:sz="4" w:space="0" w:color="auto"/>
            </w:tcBorders>
            <w:shd w:val="clear" w:color="auto" w:fill="auto"/>
            <w:noWrap/>
            <w:vAlign w:val="center"/>
            <w:hideMark/>
          </w:tcPr>
          <w:p w14:paraId="4F7F748B"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(2 355)</w:t>
            </w:r>
          </w:p>
        </w:tc>
      </w:tr>
      <w:tr w:rsidR="00D56F61" w:rsidRPr="00763C86" w14:paraId="4F7F7490" w14:textId="77777777" w:rsidTr="009972FF">
        <w:trPr>
          <w:trHeight w:val="255"/>
        </w:trPr>
        <w:tc>
          <w:tcPr>
            <w:tcW w:w="5220" w:type="dxa"/>
            <w:tcBorders>
              <w:top w:val="nil"/>
              <w:left w:val="single" w:sz="4" w:space="0" w:color="auto"/>
              <w:bottom w:val="single" w:sz="4" w:space="0" w:color="auto"/>
              <w:right w:val="single" w:sz="4" w:space="0" w:color="auto"/>
            </w:tcBorders>
            <w:shd w:val="clear" w:color="000000" w:fill="00AEEF"/>
            <w:noWrap/>
            <w:vAlign w:val="center"/>
            <w:hideMark/>
          </w:tcPr>
          <w:p w14:paraId="4F7F748D" w14:textId="77777777" w:rsidR="00D56F61" w:rsidRPr="00763C86" w:rsidRDefault="00D56F61" w:rsidP="009972FF">
            <w:pPr>
              <w:jc w:val="left"/>
              <w:rPr>
                <w:rFonts w:ascii="Calibri" w:hAnsi="Calibri" w:cs="Arial"/>
                <w:b/>
                <w:bCs/>
                <w:szCs w:val="22"/>
                <w:lang w:eastAsia="bg-BG"/>
              </w:rPr>
            </w:pPr>
            <w:r w:rsidRPr="00763C86">
              <w:rPr>
                <w:rFonts w:ascii="Calibri" w:hAnsi="Calibri" w:cs="Arial"/>
                <w:b/>
                <w:bCs/>
                <w:szCs w:val="22"/>
                <w:lang w:eastAsia="bg-BG"/>
              </w:rPr>
              <w:t>Коефициент на задлъжнялост</w:t>
            </w:r>
          </w:p>
        </w:tc>
        <w:tc>
          <w:tcPr>
            <w:tcW w:w="2015" w:type="dxa"/>
            <w:tcBorders>
              <w:top w:val="nil"/>
              <w:left w:val="nil"/>
              <w:bottom w:val="single" w:sz="4" w:space="0" w:color="auto"/>
              <w:right w:val="single" w:sz="4" w:space="0" w:color="auto"/>
            </w:tcBorders>
            <w:shd w:val="clear" w:color="000000" w:fill="00AEEF"/>
            <w:noWrap/>
            <w:vAlign w:val="center"/>
            <w:hideMark/>
          </w:tcPr>
          <w:p w14:paraId="4F7F748E"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0.7219</w:t>
            </w:r>
          </w:p>
        </w:tc>
        <w:tc>
          <w:tcPr>
            <w:tcW w:w="2268" w:type="dxa"/>
            <w:tcBorders>
              <w:top w:val="nil"/>
              <w:left w:val="nil"/>
              <w:bottom w:val="single" w:sz="4" w:space="0" w:color="auto"/>
              <w:right w:val="single" w:sz="4" w:space="0" w:color="auto"/>
            </w:tcBorders>
            <w:shd w:val="clear" w:color="000000" w:fill="00AEEF"/>
            <w:noWrap/>
            <w:vAlign w:val="center"/>
            <w:hideMark/>
          </w:tcPr>
          <w:p w14:paraId="4F7F748F" w14:textId="77777777" w:rsidR="00D56F61" w:rsidRPr="00763C86" w:rsidRDefault="00D56F61" w:rsidP="009972FF">
            <w:pPr>
              <w:jc w:val="center"/>
              <w:rPr>
                <w:rFonts w:ascii="Calibri" w:hAnsi="Calibri" w:cs="Arial"/>
                <w:b/>
                <w:bCs/>
                <w:szCs w:val="22"/>
                <w:lang w:eastAsia="bg-BG"/>
              </w:rPr>
            </w:pPr>
            <w:r w:rsidRPr="00763C86">
              <w:rPr>
                <w:rFonts w:ascii="Calibri" w:hAnsi="Calibri" w:cs="Arial"/>
                <w:b/>
                <w:bCs/>
                <w:szCs w:val="22"/>
                <w:lang w:eastAsia="bg-BG"/>
              </w:rPr>
              <w:t>-2.6386</w:t>
            </w:r>
          </w:p>
        </w:tc>
      </w:tr>
    </w:tbl>
    <w:p w14:paraId="4F7F7491"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p>
    <w:p w14:paraId="4F7F7492"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p>
    <w:p w14:paraId="4F7F7493" w14:textId="54D67F54" w:rsidR="00D56F61" w:rsidRPr="00C2255D" w:rsidRDefault="00D56F61" w:rsidP="00D56F61">
      <w:pPr>
        <w:pStyle w:val="a1"/>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Към 31.12.2019</w:t>
      </w:r>
      <w:r w:rsidRPr="00AF14DB">
        <w:rPr>
          <w:rFonts w:ascii="Verdana" w:hAnsi="Verdana" w:cs="Arial"/>
          <w:spacing w:val="0"/>
          <w:sz w:val="20"/>
          <w:szCs w:val="20"/>
        </w:rPr>
        <w:t xml:space="preserve">г. собственият капитал е </w:t>
      </w:r>
      <w:r>
        <w:rPr>
          <w:rFonts w:ascii="Verdana" w:hAnsi="Verdana" w:cs="Arial"/>
          <w:spacing w:val="0"/>
          <w:sz w:val="20"/>
          <w:szCs w:val="20"/>
        </w:rPr>
        <w:t>положителна величина</w:t>
      </w:r>
      <w:r w:rsidR="00A96419">
        <w:rPr>
          <w:rFonts w:ascii="Verdana" w:hAnsi="Verdana" w:cs="Arial"/>
          <w:spacing w:val="0"/>
          <w:sz w:val="20"/>
          <w:szCs w:val="20"/>
        </w:rPr>
        <w:t xml:space="preserve"> </w:t>
      </w:r>
      <w:r>
        <w:rPr>
          <w:rFonts w:ascii="Verdana" w:hAnsi="Verdana" w:cs="Arial"/>
          <w:spacing w:val="0"/>
          <w:sz w:val="20"/>
          <w:szCs w:val="20"/>
        </w:rPr>
        <w:t>3 571</w:t>
      </w:r>
      <w:r w:rsidRPr="00AF14DB">
        <w:rPr>
          <w:rFonts w:ascii="Verdana" w:hAnsi="Verdana" w:cs="Arial"/>
          <w:spacing w:val="0"/>
          <w:sz w:val="20"/>
          <w:szCs w:val="20"/>
        </w:rPr>
        <w:t xml:space="preserve"> хил. лв.,</w:t>
      </w:r>
      <w:r>
        <w:rPr>
          <w:rFonts w:ascii="Verdana" w:hAnsi="Verdana" w:cs="Arial"/>
          <w:spacing w:val="0"/>
          <w:sz w:val="20"/>
          <w:szCs w:val="20"/>
        </w:rPr>
        <w:t xml:space="preserve"> като Дружеството е в съответствие с чл. 252, ал.1, т.5 от Търговския закон.</w:t>
      </w:r>
    </w:p>
    <w:p w14:paraId="4F7F7494" w14:textId="77777777" w:rsidR="00D56F61" w:rsidRPr="00572E15" w:rsidRDefault="00D56F61" w:rsidP="00D56F61">
      <w:pPr>
        <w:spacing w:before="120" w:line="260" w:lineRule="atLeast"/>
        <w:rPr>
          <w:rFonts w:ascii="Verdana" w:hAnsi="Verdana" w:cs="Arial"/>
          <w:b/>
          <w:sz w:val="20"/>
        </w:rPr>
      </w:pPr>
      <w:r w:rsidRPr="00572E15">
        <w:rPr>
          <w:rFonts w:ascii="Verdana" w:hAnsi="Verdana" w:cs="Arial"/>
          <w:b/>
          <w:sz w:val="20"/>
        </w:rPr>
        <w:t>Управление на финансовия риск</w:t>
      </w:r>
    </w:p>
    <w:p w14:paraId="4F7F7495"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Дружеството има експозиция към следните финансови рискове:</w:t>
      </w:r>
    </w:p>
    <w:p w14:paraId="4F7F7496" w14:textId="77777777" w:rsidR="00D56F61" w:rsidRPr="00C2255D" w:rsidRDefault="00D56F61" w:rsidP="00D56F61">
      <w:pPr>
        <w:numPr>
          <w:ilvl w:val="0"/>
          <w:numId w:val="6"/>
        </w:numPr>
        <w:spacing w:line="260" w:lineRule="atLeast"/>
        <w:rPr>
          <w:rFonts w:ascii="Verdana" w:hAnsi="Verdana" w:cs="Arial"/>
          <w:sz w:val="20"/>
        </w:rPr>
      </w:pPr>
      <w:r w:rsidRPr="00C2255D">
        <w:rPr>
          <w:rFonts w:ascii="Verdana" w:hAnsi="Verdana" w:cs="Arial"/>
          <w:sz w:val="20"/>
        </w:rPr>
        <w:t>кредитен риск;</w:t>
      </w:r>
    </w:p>
    <w:p w14:paraId="4F7F7497" w14:textId="77777777" w:rsidR="00D56F61" w:rsidRPr="00C2255D" w:rsidRDefault="00D56F61" w:rsidP="00D56F61">
      <w:pPr>
        <w:numPr>
          <w:ilvl w:val="0"/>
          <w:numId w:val="6"/>
        </w:numPr>
        <w:spacing w:line="260" w:lineRule="atLeast"/>
        <w:rPr>
          <w:rFonts w:ascii="Verdana" w:hAnsi="Verdana" w:cs="Arial"/>
          <w:sz w:val="20"/>
        </w:rPr>
      </w:pPr>
      <w:r w:rsidRPr="00C2255D">
        <w:rPr>
          <w:rFonts w:ascii="Verdana" w:hAnsi="Verdana" w:cs="Arial"/>
          <w:sz w:val="20"/>
        </w:rPr>
        <w:t>ликвиден риск;</w:t>
      </w:r>
    </w:p>
    <w:p w14:paraId="4F7F7498" w14:textId="77777777" w:rsidR="00D56F61" w:rsidRPr="00C2255D" w:rsidRDefault="00D56F61" w:rsidP="00D56F61">
      <w:pPr>
        <w:numPr>
          <w:ilvl w:val="0"/>
          <w:numId w:val="6"/>
        </w:numPr>
        <w:spacing w:line="260" w:lineRule="atLeast"/>
        <w:rPr>
          <w:rFonts w:ascii="Verdana" w:hAnsi="Verdana" w:cs="Arial"/>
          <w:sz w:val="20"/>
        </w:rPr>
      </w:pPr>
      <w:r w:rsidRPr="00C2255D">
        <w:rPr>
          <w:rFonts w:ascii="Verdana" w:hAnsi="Verdana" w:cs="Arial"/>
          <w:sz w:val="20"/>
        </w:rPr>
        <w:t>пазарен риск;</w:t>
      </w:r>
    </w:p>
    <w:p w14:paraId="4F7F7499" w14:textId="77777777" w:rsidR="00D56F61" w:rsidRPr="00C2255D" w:rsidRDefault="00D56F61" w:rsidP="00D56F61">
      <w:pPr>
        <w:numPr>
          <w:ilvl w:val="0"/>
          <w:numId w:val="6"/>
        </w:numPr>
        <w:spacing w:line="260" w:lineRule="atLeast"/>
        <w:rPr>
          <w:rFonts w:ascii="Verdana" w:hAnsi="Verdana" w:cs="Arial"/>
          <w:sz w:val="20"/>
        </w:rPr>
      </w:pPr>
      <w:r w:rsidRPr="00C2255D">
        <w:rPr>
          <w:rFonts w:ascii="Verdana" w:hAnsi="Verdana" w:cs="Arial"/>
          <w:sz w:val="20"/>
        </w:rPr>
        <w:t>оперативен риск.</w:t>
      </w:r>
    </w:p>
    <w:p w14:paraId="4F7F749A"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В настоящия доклад е оповестена информация относно експозицията на Дружеството спрямо всеки от горепосочените рискове, целите, политиките и процеси в Дружеството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14:paraId="4F7F749B" w14:textId="77777777" w:rsidR="00D56F61" w:rsidRDefault="00D56F61" w:rsidP="00D56F61">
      <w:pPr>
        <w:spacing w:before="120" w:line="260" w:lineRule="atLeast"/>
        <w:rPr>
          <w:rFonts w:ascii="Verdana" w:hAnsi="Verdana" w:cs="Arial"/>
          <w:b/>
          <w:sz w:val="20"/>
        </w:rPr>
      </w:pPr>
    </w:p>
    <w:p w14:paraId="4F7F749C" w14:textId="77777777" w:rsidR="00D56F61" w:rsidRDefault="00D56F61" w:rsidP="00D56F61">
      <w:pPr>
        <w:spacing w:before="120" w:line="260" w:lineRule="atLeast"/>
        <w:rPr>
          <w:rFonts w:ascii="Verdana" w:hAnsi="Verdana" w:cs="Arial"/>
          <w:b/>
          <w:sz w:val="20"/>
        </w:rPr>
      </w:pPr>
      <w:r w:rsidRPr="006861FA">
        <w:rPr>
          <w:rFonts w:ascii="Verdana" w:hAnsi="Verdana" w:cs="Arial"/>
          <w:b/>
          <w:sz w:val="20"/>
        </w:rPr>
        <w:t>Основни положения за управление на риска</w:t>
      </w:r>
    </w:p>
    <w:p w14:paraId="4F7F749D" w14:textId="77777777" w:rsidR="00D56F61" w:rsidRDefault="00D56F61" w:rsidP="00D56F61">
      <w:pPr>
        <w:spacing w:line="260" w:lineRule="atLeast"/>
        <w:rPr>
          <w:rFonts w:ascii="Verdana" w:hAnsi="Verdana" w:cs="Arial"/>
          <w:sz w:val="20"/>
        </w:rPr>
      </w:pPr>
      <w:r w:rsidRPr="00C2255D">
        <w:rPr>
          <w:rFonts w:ascii="Verdana" w:hAnsi="Verdana" w:cs="Arial"/>
          <w:sz w:val="20"/>
        </w:rPr>
        <w:t>Политиките за управление на риска в Дружеството са установени с цел да идентифицират и анализират рисковете, влияещи върху Дружеството,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 дейностите на Дружеството.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14:paraId="4F7F749E" w14:textId="77777777" w:rsidR="00D56F61" w:rsidRPr="00B020AF" w:rsidRDefault="00D56F61" w:rsidP="00D56F61">
      <w:pPr>
        <w:spacing w:before="120" w:line="260" w:lineRule="atLeast"/>
        <w:rPr>
          <w:rFonts w:ascii="Verdana" w:hAnsi="Verdana" w:cs="Arial"/>
          <w:b/>
          <w:sz w:val="20"/>
        </w:rPr>
      </w:pPr>
      <w:r w:rsidRPr="00B020AF">
        <w:rPr>
          <w:rFonts w:ascii="Verdana" w:hAnsi="Verdana" w:cs="Arial"/>
          <w:b/>
          <w:sz w:val="20"/>
        </w:rPr>
        <w:t>Кредитен риск</w:t>
      </w:r>
    </w:p>
    <w:p w14:paraId="4F7F749F" w14:textId="77777777" w:rsidR="00D56F61" w:rsidRPr="00CD39A3" w:rsidRDefault="00D56F61" w:rsidP="00D56F61">
      <w:pPr>
        <w:rPr>
          <w:rFonts w:ascii="Verdana" w:hAnsi="Verdana" w:cs="Vrinda"/>
          <w:sz w:val="20"/>
        </w:rPr>
      </w:pPr>
      <w:r w:rsidRPr="00B020AF">
        <w:rPr>
          <w:rFonts w:ascii="Verdana" w:hAnsi="Verdana" w:cs="Arial"/>
          <w:sz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14:paraId="4F7F74A0" w14:textId="77777777" w:rsidR="00D56F61" w:rsidRPr="00C2255D" w:rsidRDefault="00D56F61" w:rsidP="00D56F61">
      <w:pPr>
        <w:spacing w:before="120" w:line="260" w:lineRule="atLeast"/>
        <w:rPr>
          <w:rFonts w:ascii="Verdana" w:hAnsi="Verdana" w:cs="Arial"/>
          <w:b/>
          <w:sz w:val="20"/>
        </w:rPr>
      </w:pPr>
      <w:r w:rsidRPr="00C2255D">
        <w:rPr>
          <w:rFonts w:ascii="Verdana" w:hAnsi="Verdana" w:cs="Arial"/>
          <w:b/>
          <w:sz w:val="20"/>
        </w:rPr>
        <w:t>Вземания от клиенти</w:t>
      </w:r>
    </w:p>
    <w:p w14:paraId="4F7F74A1" w14:textId="77777777" w:rsidR="00D56F61" w:rsidRDefault="00D56F61" w:rsidP="00D56F61">
      <w:pPr>
        <w:spacing w:line="260" w:lineRule="atLeast"/>
        <w:rPr>
          <w:rFonts w:ascii="Verdana" w:hAnsi="Verdana" w:cs="Arial"/>
          <w:sz w:val="20"/>
        </w:rPr>
      </w:pPr>
      <w:r w:rsidRPr="00C2255D">
        <w:rPr>
          <w:rFonts w:ascii="Verdana" w:hAnsi="Verdana" w:cs="Arial"/>
          <w:sz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w:t>
      </w:r>
      <w:r>
        <w:rPr>
          <w:rFonts w:ascii="Verdana" w:hAnsi="Verdana" w:cs="Arial"/>
          <w:sz w:val="20"/>
        </w:rPr>
        <w:t>раната, в която те оперират влия</w:t>
      </w:r>
      <w:r w:rsidRPr="00C2255D">
        <w:rPr>
          <w:rFonts w:ascii="Verdana" w:hAnsi="Verdana" w:cs="Arial"/>
          <w:sz w:val="20"/>
        </w:rPr>
        <w:t>ят в по-малка степен на кредитният риск.</w:t>
      </w:r>
    </w:p>
    <w:p w14:paraId="4F7F74A2" w14:textId="77777777" w:rsidR="00D56F61" w:rsidRPr="00AA0484" w:rsidRDefault="00D56F61" w:rsidP="00D56F61">
      <w:pPr>
        <w:jc w:val="left"/>
        <w:rPr>
          <w:sz w:val="24"/>
          <w:szCs w:val="24"/>
          <w:lang w:eastAsia="bg-BG"/>
        </w:rPr>
      </w:pPr>
      <w:r w:rsidRPr="00AA0484">
        <w:rPr>
          <w:rFonts w:ascii="Verdana" w:hAnsi="Verdana"/>
          <w:sz w:val="20"/>
          <w:lang w:eastAsia="bg-BG"/>
        </w:rPr>
        <w:t>Продажбите</w:t>
      </w:r>
      <w:r>
        <w:rPr>
          <w:rFonts w:ascii="Verdana" w:hAnsi="Verdana"/>
          <w:sz w:val="20"/>
          <w:lang w:eastAsia="bg-BG"/>
        </w:rPr>
        <w:t xml:space="preserve"> </w:t>
      </w:r>
      <w:r w:rsidRPr="00AA0484">
        <w:rPr>
          <w:rFonts w:ascii="Verdana" w:hAnsi="Verdana"/>
          <w:sz w:val="20"/>
          <w:lang w:eastAsia="bg-BG"/>
        </w:rPr>
        <w:t>на</w:t>
      </w:r>
      <w:r>
        <w:rPr>
          <w:rFonts w:ascii="Verdana" w:hAnsi="Verdana"/>
          <w:sz w:val="20"/>
          <w:lang w:eastAsia="bg-BG"/>
        </w:rPr>
        <w:t xml:space="preserve"> </w:t>
      </w:r>
      <w:r w:rsidRPr="00AA0484">
        <w:rPr>
          <w:rFonts w:ascii="Verdana" w:hAnsi="Verdana"/>
          <w:sz w:val="20"/>
          <w:lang w:eastAsia="bg-BG"/>
        </w:rPr>
        <w:t>Дружеството</w:t>
      </w:r>
      <w:r>
        <w:rPr>
          <w:rFonts w:ascii="Verdana" w:hAnsi="Verdana"/>
          <w:sz w:val="20"/>
          <w:lang w:eastAsia="bg-BG"/>
        </w:rPr>
        <w:t xml:space="preserve"> </w:t>
      </w:r>
      <w:r w:rsidRPr="00AA0484">
        <w:rPr>
          <w:rFonts w:ascii="Verdana" w:hAnsi="Verdana"/>
          <w:sz w:val="20"/>
          <w:lang w:eastAsia="bg-BG"/>
        </w:rPr>
        <w:t>са</w:t>
      </w:r>
      <w:r>
        <w:rPr>
          <w:rFonts w:ascii="Verdana" w:hAnsi="Verdana"/>
          <w:sz w:val="20"/>
          <w:lang w:eastAsia="bg-BG"/>
        </w:rPr>
        <w:t xml:space="preserve"> </w:t>
      </w:r>
      <w:r w:rsidRPr="00AA0484">
        <w:rPr>
          <w:rFonts w:ascii="Verdana" w:hAnsi="Verdana"/>
          <w:sz w:val="20"/>
          <w:lang w:eastAsia="bg-BG"/>
        </w:rPr>
        <w:t>зависими</w:t>
      </w:r>
      <w:r>
        <w:rPr>
          <w:rFonts w:ascii="Verdana" w:hAnsi="Verdana"/>
          <w:sz w:val="20"/>
          <w:lang w:eastAsia="bg-BG"/>
        </w:rPr>
        <w:t xml:space="preserve"> </w:t>
      </w:r>
      <w:r w:rsidRPr="00AA0484">
        <w:rPr>
          <w:rFonts w:ascii="Verdana" w:hAnsi="Verdana"/>
          <w:sz w:val="20"/>
          <w:lang w:eastAsia="bg-BG"/>
        </w:rPr>
        <w:t>генерално</w:t>
      </w:r>
      <w:r>
        <w:rPr>
          <w:rFonts w:ascii="Verdana" w:hAnsi="Verdana"/>
          <w:sz w:val="20"/>
          <w:lang w:eastAsia="bg-BG"/>
        </w:rPr>
        <w:t xml:space="preserve"> </w:t>
      </w:r>
      <w:r w:rsidRPr="00AA0484">
        <w:rPr>
          <w:rFonts w:ascii="Verdana" w:hAnsi="Verdana"/>
          <w:sz w:val="20"/>
          <w:lang w:eastAsia="bg-BG"/>
        </w:rPr>
        <w:t>от</w:t>
      </w:r>
      <w:r>
        <w:rPr>
          <w:rFonts w:ascii="Verdana" w:hAnsi="Verdana"/>
          <w:sz w:val="20"/>
          <w:lang w:eastAsia="bg-BG"/>
        </w:rPr>
        <w:t xml:space="preserve"> </w:t>
      </w:r>
      <w:r w:rsidRPr="00AA0484">
        <w:rPr>
          <w:rFonts w:ascii="Verdana" w:hAnsi="Verdana"/>
          <w:sz w:val="20"/>
          <w:lang w:eastAsia="bg-BG"/>
        </w:rPr>
        <w:t>следните</w:t>
      </w:r>
      <w:r>
        <w:rPr>
          <w:rFonts w:ascii="Verdana" w:hAnsi="Verdana"/>
          <w:sz w:val="20"/>
          <w:lang w:eastAsia="bg-BG"/>
        </w:rPr>
        <w:t xml:space="preserve"> </w:t>
      </w:r>
      <w:r w:rsidRPr="00AA0484">
        <w:rPr>
          <w:rFonts w:ascii="Verdana" w:hAnsi="Verdana"/>
          <w:sz w:val="20"/>
          <w:lang w:eastAsia="bg-BG"/>
        </w:rPr>
        <w:t>географски</w:t>
      </w:r>
      <w:r>
        <w:rPr>
          <w:rFonts w:ascii="Verdana" w:hAnsi="Verdana"/>
          <w:sz w:val="20"/>
          <w:lang w:eastAsia="bg-BG"/>
        </w:rPr>
        <w:t xml:space="preserve"> </w:t>
      </w:r>
      <w:r w:rsidRPr="00AA0484">
        <w:rPr>
          <w:rFonts w:ascii="Verdana" w:hAnsi="Verdana"/>
          <w:sz w:val="20"/>
          <w:lang w:eastAsia="bg-BG"/>
        </w:rPr>
        <w:t>положения:</w:t>
      </w:r>
    </w:p>
    <w:p w14:paraId="4F7F74A3" w14:textId="77777777" w:rsidR="00D56F61" w:rsidRPr="00AA0484" w:rsidRDefault="00D56F61" w:rsidP="00D56F61">
      <w:pPr>
        <w:jc w:val="left"/>
        <w:rPr>
          <w:sz w:val="24"/>
          <w:szCs w:val="24"/>
          <w:lang w:eastAsia="bg-BG"/>
        </w:rPr>
      </w:pPr>
      <w:r w:rsidRPr="00AA0484">
        <w:rPr>
          <w:rFonts w:ascii="Verdana" w:hAnsi="Verdana"/>
          <w:sz w:val="20"/>
          <w:lang w:eastAsia="bg-BG"/>
        </w:rPr>
        <w:lastRenderedPageBreak/>
        <w:t>-  територията на град Разград е лицензионната територия за продажба на топлинна и електрическа енергия.</w:t>
      </w:r>
    </w:p>
    <w:p w14:paraId="4F7F74A4" w14:textId="77777777" w:rsidR="00D56F61" w:rsidRDefault="00D56F61" w:rsidP="00D56F61">
      <w:pPr>
        <w:jc w:val="left"/>
        <w:rPr>
          <w:rFonts w:ascii="Verdana" w:hAnsi="Verdana"/>
          <w:sz w:val="20"/>
          <w:lang w:eastAsia="bg-BG"/>
        </w:rPr>
      </w:pPr>
      <w:r w:rsidRPr="00AA0484">
        <w:rPr>
          <w:rFonts w:ascii="Verdana" w:hAnsi="Verdana"/>
          <w:sz w:val="20"/>
          <w:lang w:eastAsia="bg-BG"/>
        </w:rPr>
        <w:t>Дружеството</w:t>
      </w:r>
      <w:r>
        <w:rPr>
          <w:rFonts w:ascii="Verdana" w:hAnsi="Verdana"/>
          <w:sz w:val="20"/>
          <w:lang w:eastAsia="bg-BG"/>
        </w:rPr>
        <w:t xml:space="preserve"> </w:t>
      </w:r>
      <w:r w:rsidRPr="00AA0484">
        <w:rPr>
          <w:rFonts w:ascii="Verdana" w:hAnsi="Verdana"/>
          <w:sz w:val="20"/>
          <w:lang w:eastAsia="bg-BG"/>
        </w:rPr>
        <w:t>има</w:t>
      </w:r>
      <w:r>
        <w:rPr>
          <w:rFonts w:ascii="Verdana" w:hAnsi="Verdana"/>
          <w:sz w:val="20"/>
          <w:lang w:eastAsia="bg-BG"/>
        </w:rPr>
        <w:t xml:space="preserve"> </w:t>
      </w:r>
      <w:r w:rsidRPr="00AA0484">
        <w:rPr>
          <w:rFonts w:ascii="Verdana" w:hAnsi="Verdana"/>
          <w:sz w:val="20"/>
          <w:lang w:eastAsia="bg-BG"/>
        </w:rPr>
        <w:t>съществени</w:t>
      </w:r>
      <w:r>
        <w:rPr>
          <w:rFonts w:ascii="Verdana" w:hAnsi="Verdana"/>
          <w:sz w:val="20"/>
          <w:lang w:eastAsia="bg-BG"/>
        </w:rPr>
        <w:t xml:space="preserve"> </w:t>
      </w:r>
      <w:r w:rsidRPr="00AA0484">
        <w:rPr>
          <w:rFonts w:ascii="Verdana" w:hAnsi="Verdana"/>
          <w:sz w:val="20"/>
          <w:lang w:eastAsia="bg-BG"/>
        </w:rPr>
        <w:t>продажби</w:t>
      </w:r>
      <w:r>
        <w:rPr>
          <w:rFonts w:ascii="Verdana" w:hAnsi="Verdana"/>
          <w:sz w:val="20"/>
          <w:lang w:eastAsia="bg-BG"/>
        </w:rPr>
        <w:t xml:space="preserve"> </w:t>
      </w:r>
      <w:r w:rsidRPr="00AA0484">
        <w:rPr>
          <w:rFonts w:ascii="Verdana" w:hAnsi="Verdana"/>
          <w:sz w:val="20"/>
          <w:lang w:eastAsia="bg-BG"/>
        </w:rPr>
        <w:t>към</w:t>
      </w:r>
      <w:r>
        <w:rPr>
          <w:rFonts w:ascii="Verdana" w:hAnsi="Verdana"/>
          <w:sz w:val="20"/>
          <w:lang w:eastAsia="bg-BG"/>
        </w:rPr>
        <w:t xml:space="preserve"> </w:t>
      </w:r>
      <w:r w:rsidRPr="00AA0484">
        <w:rPr>
          <w:rFonts w:ascii="Verdana" w:hAnsi="Verdana"/>
          <w:sz w:val="20"/>
          <w:lang w:eastAsia="bg-BG"/>
        </w:rPr>
        <w:t>няколко</w:t>
      </w:r>
      <w:r>
        <w:rPr>
          <w:rFonts w:ascii="Verdana" w:hAnsi="Verdana"/>
          <w:sz w:val="20"/>
          <w:lang w:eastAsia="bg-BG"/>
        </w:rPr>
        <w:t xml:space="preserve"> </w:t>
      </w:r>
      <w:r w:rsidRPr="00AA0484">
        <w:rPr>
          <w:rFonts w:ascii="Verdana" w:hAnsi="Verdana"/>
          <w:sz w:val="20"/>
          <w:lang w:eastAsia="bg-BG"/>
        </w:rPr>
        <w:t>клиента:</w:t>
      </w:r>
    </w:p>
    <w:p w14:paraId="4F7F74A5" w14:textId="77777777" w:rsidR="00D56F61" w:rsidRDefault="00D56F61" w:rsidP="00D56F61">
      <w:pPr>
        <w:pStyle w:val="ListParagraph"/>
        <w:numPr>
          <w:ilvl w:val="0"/>
          <w:numId w:val="25"/>
        </w:numPr>
        <w:jc w:val="left"/>
        <w:rPr>
          <w:rFonts w:ascii="Verdana" w:hAnsi="Verdana"/>
          <w:sz w:val="20"/>
          <w:lang w:eastAsia="bg-BG"/>
        </w:rPr>
      </w:pPr>
      <w:r>
        <w:rPr>
          <w:rFonts w:ascii="Verdana" w:hAnsi="Verdana"/>
          <w:sz w:val="20"/>
          <w:lang w:eastAsia="bg-BG"/>
        </w:rPr>
        <w:t>„</w:t>
      </w:r>
      <w:proofErr w:type="spellStart"/>
      <w:r>
        <w:rPr>
          <w:rFonts w:ascii="Verdana" w:hAnsi="Verdana"/>
          <w:sz w:val="20"/>
          <w:lang w:eastAsia="bg-BG"/>
        </w:rPr>
        <w:t>Енерго</w:t>
      </w:r>
      <w:proofErr w:type="spellEnd"/>
      <w:r>
        <w:rPr>
          <w:rFonts w:ascii="Verdana" w:hAnsi="Verdana"/>
          <w:sz w:val="20"/>
          <w:lang w:eastAsia="bg-BG"/>
        </w:rPr>
        <w:t xml:space="preserve"> – </w:t>
      </w:r>
      <w:proofErr w:type="spellStart"/>
      <w:r>
        <w:rPr>
          <w:rFonts w:ascii="Verdana" w:hAnsi="Verdana"/>
          <w:sz w:val="20"/>
          <w:lang w:eastAsia="bg-BG"/>
        </w:rPr>
        <w:t>ПроПородажби</w:t>
      </w:r>
      <w:proofErr w:type="spellEnd"/>
      <w:r>
        <w:rPr>
          <w:rFonts w:ascii="Verdana" w:hAnsi="Verdana"/>
          <w:sz w:val="20"/>
          <w:lang w:eastAsia="bg-BG"/>
        </w:rPr>
        <w:t>“ АД</w:t>
      </w:r>
    </w:p>
    <w:p w14:paraId="4F7F74A6" w14:textId="77777777" w:rsidR="00D56F61" w:rsidRDefault="00D56F61" w:rsidP="00D56F61">
      <w:pPr>
        <w:pStyle w:val="ListParagraph"/>
        <w:numPr>
          <w:ilvl w:val="0"/>
          <w:numId w:val="25"/>
        </w:numPr>
        <w:jc w:val="left"/>
        <w:rPr>
          <w:rFonts w:ascii="Verdana" w:hAnsi="Verdana"/>
          <w:sz w:val="20"/>
          <w:lang w:eastAsia="bg-BG"/>
        </w:rPr>
      </w:pPr>
      <w:r>
        <w:rPr>
          <w:rFonts w:ascii="Verdana" w:hAnsi="Verdana"/>
          <w:sz w:val="20"/>
          <w:lang w:eastAsia="bg-BG"/>
        </w:rPr>
        <w:t xml:space="preserve">Детски градини – „ Шестте </w:t>
      </w:r>
      <w:proofErr w:type="spellStart"/>
      <w:r>
        <w:rPr>
          <w:rFonts w:ascii="Verdana" w:hAnsi="Verdana"/>
          <w:sz w:val="20"/>
          <w:lang w:eastAsia="bg-BG"/>
        </w:rPr>
        <w:t>ястребинчета</w:t>
      </w:r>
      <w:proofErr w:type="spellEnd"/>
      <w:r>
        <w:rPr>
          <w:rFonts w:ascii="Verdana" w:hAnsi="Verdana"/>
          <w:sz w:val="20"/>
          <w:lang w:eastAsia="bg-BG"/>
        </w:rPr>
        <w:t xml:space="preserve">“, „Зорница“, Детска ясла „ </w:t>
      </w:r>
      <w:proofErr w:type="spellStart"/>
      <w:r>
        <w:rPr>
          <w:rFonts w:ascii="Verdana" w:hAnsi="Verdana"/>
          <w:sz w:val="20"/>
          <w:lang w:eastAsia="bg-BG"/>
        </w:rPr>
        <w:t>Звездици</w:t>
      </w:r>
      <w:proofErr w:type="spellEnd"/>
      <w:r>
        <w:rPr>
          <w:rFonts w:ascii="Verdana" w:hAnsi="Verdana"/>
          <w:sz w:val="20"/>
          <w:lang w:eastAsia="bg-BG"/>
        </w:rPr>
        <w:t>“, Левски“;</w:t>
      </w:r>
    </w:p>
    <w:p w14:paraId="4F7F74A7" w14:textId="77777777" w:rsidR="00D56F61" w:rsidRDefault="00D56F61" w:rsidP="00D56F61">
      <w:pPr>
        <w:pStyle w:val="ListParagraph"/>
        <w:numPr>
          <w:ilvl w:val="0"/>
          <w:numId w:val="25"/>
        </w:numPr>
        <w:jc w:val="left"/>
        <w:rPr>
          <w:rFonts w:ascii="Verdana" w:hAnsi="Verdana"/>
          <w:sz w:val="20"/>
          <w:lang w:eastAsia="bg-BG"/>
        </w:rPr>
      </w:pPr>
      <w:r>
        <w:rPr>
          <w:rFonts w:ascii="Verdana" w:hAnsi="Verdana"/>
          <w:sz w:val="20"/>
          <w:lang w:eastAsia="bg-BG"/>
        </w:rPr>
        <w:t>Териториално поделение на НОИ</w:t>
      </w:r>
    </w:p>
    <w:p w14:paraId="4F7F74A8" w14:textId="77777777" w:rsidR="00D56F61" w:rsidRPr="00CD39A3" w:rsidRDefault="00D56F61" w:rsidP="00D56F61">
      <w:pPr>
        <w:pStyle w:val="ListParagraph"/>
        <w:numPr>
          <w:ilvl w:val="0"/>
          <w:numId w:val="25"/>
        </w:numPr>
        <w:jc w:val="left"/>
        <w:rPr>
          <w:rFonts w:ascii="Verdana" w:hAnsi="Verdana"/>
          <w:sz w:val="20"/>
          <w:lang w:eastAsia="bg-BG"/>
        </w:rPr>
      </w:pPr>
      <w:r>
        <w:rPr>
          <w:rFonts w:ascii="Verdana" w:hAnsi="Verdana"/>
          <w:sz w:val="20"/>
          <w:lang w:eastAsia="bg-BG"/>
        </w:rPr>
        <w:t>Български пощи и др.</w:t>
      </w:r>
    </w:p>
    <w:p w14:paraId="4F7F74A9" w14:textId="77777777" w:rsidR="00D56F61" w:rsidRPr="00C2255D" w:rsidRDefault="00D56F61" w:rsidP="00D56F61">
      <w:pPr>
        <w:spacing w:before="120" w:line="260" w:lineRule="atLeast"/>
        <w:rPr>
          <w:rFonts w:ascii="Verdana" w:hAnsi="Verdana" w:cs="Arial"/>
          <w:b/>
          <w:sz w:val="20"/>
        </w:rPr>
      </w:pPr>
      <w:r w:rsidRPr="00C2255D">
        <w:rPr>
          <w:rFonts w:ascii="Verdana" w:hAnsi="Verdana" w:cs="Arial"/>
          <w:b/>
          <w:sz w:val="20"/>
        </w:rPr>
        <w:t>Инвестиции</w:t>
      </w:r>
    </w:p>
    <w:p w14:paraId="4F7F74AA"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 xml:space="preserve">Дружеството не прави инвестиции в ликвидни дългови и корпоративни ценни книжа с оглед на това да </w:t>
      </w:r>
      <w:proofErr w:type="spellStart"/>
      <w:r w:rsidRPr="00C2255D">
        <w:rPr>
          <w:rFonts w:ascii="Verdana" w:hAnsi="Verdana" w:cs="Arial"/>
          <w:sz w:val="20"/>
        </w:rPr>
        <w:t>лимитира</w:t>
      </w:r>
      <w:proofErr w:type="spellEnd"/>
      <w:r w:rsidRPr="00C2255D">
        <w:rPr>
          <w:rFonts w:ascii="Verdana" w:hAnsi="Verdana" w:cs="Arial"/>
          <w:sz w:val="20"/>
        </w:rPr>
        <w:t xml:space="preserve"> експозицията си по кредитен риск.</w:t>
      </w:r>
    </w:p>
    <w:p w14:paraId="4F7F74AB"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Ликвиден риск</w:t>
      </w:r>
    </w:p>
    <w:p w14:paraId="4F7F74AC"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Ликвиден риск възниква при положение, че Дружеството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или да се увреди репутацията на Дружеството.</w:t>
      </w:r>
    </w:p>
    <w:p w14:paraId="4F7F74AD" w14:textId="77777777" w:rsidR="00D56F61" w:rsidRPr="00CD39A3" w:rsidRDefault="00D56F61" w:rsidP="00D56F61">
      <w:pPr>
        <w:rPr>
          <w:rFonts w:ascii="Verdana" w:hAnsi="Verdana" w:cs="Vrinda"/>
          <w:sz w:val="20"/>
        </w:rPr>
      </w:pPr>
      <w:r w:rsidRPr="00C2255D">
        <w:rPr>
          <w:rFonts w:ascii="Verdana" w:hAnsi="Verdana" w:cs="Arial"/>
          <w:sz w:val="20"/>
        </w:rPr>
        <w:t xml:space="preserve">Дружеството следи риска от недостиг на средства, с помощта на инструменти за планиране на ликвидността. Целта на Дружеството е да поддържа баланс между </w:t>
      </w:r>
      <w:proofErr w:type="spellStart"/>
      <w:r w:rsidRPr="00C2255D">
        <w:rPr>
          <w:rFonts w:ascii="Verdana" w:hAnsi="Verdana" w:cs="Arial"/>
          <w:sz w:val="20"/>
        </w:rPr>
        <w:t>срочност</w:t>
      </w:r>
      <w:r w:rsidRPr="000A7AA2">
        <w:rPr>
          <w:rFonts w:ascii="Verdana" w:hAnsi="Verdana" w:cs="Arial"/>
          <w:sz w:val="20"/>
        </w:rPr>
        <w:t>на</w:t>
      </w:r>
      <w:proofErr w:type="spellEnd"/>
      <w:r w:rsidRPr="000A7AA2">
        <w:rPr>
          <w:rFonts w:ascii="Verdana" w:hAnsi="Verdana" w:cs="Arial"/>
          <w:sz w:val="20"/>
        </w:rPr>
        <w:t xml:space="preserve"> привлечения ресурс и гъвкавост, чрез използването на </w:t>
      </w:r>
      <w:proofErr w:type="spellStart"/>
      <w:r w:rsidRPr="000A7AA2">
        <w:rPr>
          <w:rFonts w:ascii="Verdana" w:hAnsi="Verdana" w:cs="Arial"/>
          <w:sz w:val="20"/>
        </w:rPr>
        <w:t>използванетоназаеми</w:t>
      </w:r>
      <w:proofErr w:type="spellEnd"/>
      <w:r>
        <w:rPr>
          <w:rFonts w:ascii="Verdana" w:hAnsi="Verdana" w:cs="Vrinda"/>
          <w:sz w:val="20"/>
        </w:rPr>
        <w:t>.</w:t>
      </w:r>
    </w:p>
    <w:p w14:paraId="4F7F74AE"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Пазарен риск</w:t>
      </w:r>
    </w:p>
    <w:p w14:paraId="4F7F74AF" w14:textId="77777777" w:rsidR="00D56F61" w:rsidRPr="00C2255D" w:rsidRDefault="00D56F61" w:rsidP="00D56F61">
      <w:pPr>
        <w:pStyle w:val="a1"/>
        <w:shd w:val="clear" w:color="auto" w:fill="auto"/>
        <w:spacing w:before="0" w:after="0" w:line="250" w:lineRule="exact"/>
        <w:ind w:right="60"/>
        <w:rPr>
          <w:rFonts w:ascii="Verdana" w:hAnsi="Verdana" w:cs="Arial"/>
          <w:spacing w:val="0"/>
          <w:sz w:val="20"/>
          <w:szCs w:val="20"/>
          <w:lang w:val="en-US"/>
        </w:rPr>
      </w:pPr>
      <w:r w:rsidRPr="00C2255D">
        <w:rPr>
          <w:rFonts w:ascii="Verdana" w:hAnsi="Verdana" w:cs="Arial"/>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14:paraId="4F7F74B0"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Валутен риск</w:t>
      </w:r>
    </w:p>
    <w:p w14:paraId="4F7F74B1" w14:textId="77777777" w:rsidR="00D56F61" w:rsidRDefault="00D56F61" w:rsidP="00D56F61">
      <w:pPr>
        <w:pStyle w:val="a1"/>
        <w:shd w:val="clear" w:color="auto" w:fill="auto"/>
        <w:spacing w:before="0" w:after="0" w:line="260" w:lineRule="atLeast"/>
        <w:ind w:right="60"/>
        <w:rPr>
          <w:rFonts w:ascii="Verdana" w:hAnsi="Verdana" w:cs="Arial"/>
          <w:sz w:val="20"/>
          <w:szCs w:val="20"/>
        </w:rPr>
      </w:pPr>
      <w:r w:rsidRPr="00C2255D">
        <w:rPr>
          <w:rFonts w:ascii="Verdana" w:hAnsi="Verdana" w:cs="Arial"/>
          <w:sz w:val="20"/>
          <w:szCs w:val="20"/>
        </w:rPr>
        <w:t>Дружеството не е изложено на валутен риск, тъй като всички активи и пасиви на Дружеството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14:paraId="4F7F74B2" w14:textId="77777777" w:rsidR="00D56F61" w:rsidRDefault="00D56F61" w:rsidP="00D56F61">
      <w:pPr>
        <w:pStyle w:val="a1"/>
        <w:shd w:val="clear" w:color="auto" w:fill="auto"/>
        <w:spacing w:before="0" w:after="0" w:line="260" w:lineRule="atLeast"/>
        <w:ind w:right="60"/>
        <w:rPr>
          <w:rFonts w:ascii="Verdana" w:hAnsi="Verdana" w:cs="Arial"/>
          <w:sz w:val="20"/>
          <w:szCs w:val="20"/>
        </w:rPr>
      </w:pPr>
    </w:p>
    <w:p w14:paraId="4F7F74B3"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Оперативен риск</w:t>
      </w:r>
    </w:p>
    <w:p w14:paraId="4F7F74B4"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14:paraId="4F7F74B5"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Целта на Дружеството е да се управлява оперативния риск, така че да се балансира между избягването на финансови загуби и увреждане на репутацията на Дружеството, и цялостната ефективност на разходите и да се избягват процедурите за контрол, които ограничават инициативата и творчеството.</w:t>
      </w:r>
    </w:p>
    <w:p w14:paraId="4F7F74B6"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развитието на общи стандарти за Дружеството за управление на оперативния риск в следните области:</w:t>
      </w:r>
    </w:p>
    <w:p w14:paraId="4F7F74B7"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подходящо разпределение на задълженията, включително и независимо оторизиране на сделки;</w:t>
      </w:r>
    </w:p>
    <w:p w14:paraId="4F7F74B8"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lastRenderedPageBreak/>
        <w:t>изисквания за равняване и мониторинг на сделките;</w:t>
      </w:r>
    </w:p>
    <w:p w14:paraId="4F7F74B9"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bookmarkStart w:id="10" w:name="bookmark3"/>
      <w:r w:rsidRPr="00C2255D">
        <w:rPr>
          <w:rFonts w:ascii="Verdana" w:hAnsi="Verdana" w:cs="Arial"/>
          <w:spacing w:val="0"/>
          <w:sz w:val="20"/>
          <w:szCs w:val="20"/>
        </w:rPr>
        <w:t>съответствие с регулаторните и други правни изисквания</w:t>
      </w:r>
      <w:bookmarkEnd w:id="10"/>
      <w:r w:rsidRPr="00C2255D">
        <w:rPr>
          <w:rFonts w:ascii="Verdana" w:hAnsi="Verdana" w:cs="Arial"/>
          <w:spacing w:val="0"/>
          <w:sz w:val="20"/>
          <w:szCs w:val="20"/>
        </w:rPr>
        <w:t>;</w:t>
      </w:r>
    </w:p>
    <w:p w14:paraId="4F7F74BA"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документация за контрол и процедури;</w:t>
      </w:r>
    </w:p>
    <w:p w14:paraId="4F7F74BB"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14:paraId="4F7F74BC"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докладване на оперативни загуби и предложените коригиращи действия;</w:t>
      </w:r>
    </w:p>
    <w:p w14:paraId="4F7F74BD"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развитие на аварийни планове;</w:t>
      </w:r>
    </w:p>
    <w:p w14:paraId="4F7F74BE"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обучение и професионално развитие;</w:t>
      </w:r>
    </w:p>
    <w:p w14:paraId="4F7F74BF" w14:textId="77777777" w:rsidR="00D56F61" w:rsidRPr="00C2255D"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етични и бизнес стандарти;</w:t>
      </w:r>
    </w:p>
    <w:p w14:paraId="4F7F74C0" w14:textId="77777777" w:rsidR="00D56F61" w:rsidRPr="00957091" w:rsidRDefault="00D56F61" w:rsidP="00D56F61">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намаляване на риска, включително застраховка, когато това е ефективно.</w:t>
      </w:r>
    </w:p>
    <w:p w14:paraId="4F7F74C1" w14:textId="77777777" w:rsidR="00D56F61" w:rsidRPr="00C2255D" w:rsidRDefault="00D56F61" w:rsidP="00D56F61">
      <w:pPr>
        <w:spacing w:before="120" w:line="260" w:lineRule="atLeast"/>
        <w:rPr>
          <w:rFonts w:ascii="Verdana" w:hAnsi="Verdana" w:cs="Arial"/>
          <w:b/>
          <w:sz w:val="20"/>
        </w:rPr>
      </w:pPr>
      <w:r w:rsidRPr="00C2255D">
        <w:rPr>
          <w:rFonts w:ascii="Verdana" w:hAnsi="Verdana" w:cs="Arial"/>
          <w:b/>
          <w:sz w:val="20"/>
        </w:rPr>
        <w:t>Отговорности на ръководството</w:t>
      </w:r>
    </w:p>
    <w:p w14:paraId="4F7F74C2"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Според българското законодателство, ръководството следва да изготвя финансов отчет за всяка финансова година, който да дава вярна и честна представа за финансовото състояние на Дружеството към края на годината, финансово му представяне и парични му потоци.</w:t>
      </w:r>
    </w:p>
    <w:p w14:paraId="4F7F74C3" w14:textId="79A0DA56"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потвърждава, че е прилагало последователно адекватни счетоводни политики при изготвянето на годишния финансов отчет към 31 декември 2</w:t>
      </w:r>
      <w:r>
        <w:rPr>
          <w:rFonts w:ascii="Verdana" w:hAnsi="Verdana" w:cs="Arial"/>
          <w:sz w:val="20"/>
          <w:lang w:val="bg-BG"/>
        </w:rPr>
        <w:t>019</w:t>
      </w:r>
      <w:r w:rsidR="0090319C">
        <w:rPr>
          <w:rFonts w:ascii="Verdana" w:hAnsi="Verdana" w:cs="Arial"/>
          <w:sz w:val="20"/>
          <w:lang w:val="bg-BG"/>
        </w:rPr>
        <w:t xml:space="preserve"> </w:t>
      </w:r>
      <w:r w:rsidRPr="00C2255D">
        <w:rPr>
          <w:rFonts w:ascii="Verdana" w:hAnsi="Verdana" w:cs="Arial"/>
          <w:sz w:val="20"/>
          <w:lang w:val="bg-BG"/>
        </w:rPr>
        <w:t xml:space="preserve">г. и е направило разумни и предпазливи преценки, предположения и приблизителни оценки. </w:t>
      </w:r>
    </w:p>
    <w:p w14:paraId="4F7F74C4"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също потвърждава, че се е придържало към действащите счетоводни стандарти, като финансовият отчет е изготвен на принципа „действащо предприятие“.</w:t>
      </w:r>
    </w:p>
    <w:p w14:paraId="4F7F74C5"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носи отговорност за правилното водене на счетоводните регистри, за целесъобразното управление на активите и за предприемането на необходимите мерки за избягване и разкриване на евентуални злоупотреби и други нередности.</w:t>
      </w:r>
    </w:p>
    <w:p w14:paraId="4F7F74C6" w14:textId="77777777" w:rsidR="00D56F61" w:rsidRDefault="00D56F61" w:rsidP="00D56F61">
      <w:pPr>
        <w:spacing w:line="260" w:lineRule="atLeast"/>
        <w:rPr>
          <w:rFonts w:ascii="Verdana" w:hAnsi="Verdana" w:cs="Arial"/>
          <w:sz w:val="20"/>
        </w:rPr>
      </w:pPr>
      <w:r w:rsidRPr="00C2255D">
        <w:rPr>
          <w:rFonts w:ascii="Verdana" w:hAnsi="Verdana" w:cs="Arial"/>
          <w:sz w:val="20"/>
        </w:rPr>
        <w:t xml:space="preserve">Ръководството също потвърждава, че при изготвянето на настоящия доклад за дейността е представило вярно и честно развитието и резултатите от дейността на Дружеството </w:t>
      </w:r>
      <w:proofErr w:type="spellStart"/>
      <w:r w:rsidRPr="00C2255D">
        <w:rPr>
          <w:rFonts w:ascii="Verdana" w:hAnsi="Verdana" w:cs="Arial"/>
          <w:sz w:val="20"/>
        </w:rPr>
        <w:t>заизминалия</w:t>
      </w:r>
      <w:proofErr w:type="spellEnd"/>
      <w:r w:rsidRPr="00C2255D">
        <w:rPr>
          <w:rFonts w:ascii="Verdana" w:hAnsi="Verdana" w:cs="Arial"/>
          <w:sz w:val="20"/>
        </w:rPr>
        <w:t xml:space="preserve"> период, както и неговото състояние и основните р</w:t>
      </w:r>
      <w:r>
        <w:rPr>
          <w:rFonts w:ascii="Verdana" w:hAnsi="Verdana" w:cs="Arial"/>
          <w:sz w:val="20"/>
        </w:rPr>
        <w:t>искове, пред които е изправено.</w:t>
      </w:r>
    </w:p>
    <w:p w14:paraId="4F7F74C7" w14:textId="77777777" w:rsidR="00D56F61" w:rsidRDefault="00D56F61" w:rsidP="00D56F61">
      <w:pPr>
        <w:spacing w:line="260" w:lineRule="atLeast"/>
        <w:rPr>
          <w:rFonts w:ascii="Verdana" w:hAnsi="Verdana" w:cs="Arial"/>
          <w:sz w:val="20"/>
        </w:rPr>
      </w:pPr>
    </w:p>
    <w:p w14:paraId="4F7F74C8" w14:textId="77777777" w:rsidR="00D56F61" w:rsidRPr="003B027D" w:rsidRDefault="00D56F61" w:rsidP="00D56F61">
      <w:pPr>
        <w:spacing w:line="260" w:lineRule="atLeast"/>
        <w:rPr>
          <w:rFonts w:ascii="Verdana" w:hAnsi="Verdana" w:cs="Arial"/>
          <w:sz w:val="20"/>
          <w:lang w:val="en-US"/>
        </w:rPr>
      </w:pPr>
      <w:r>
        <w:rPr>
          <w:rFonts w:ascii="Verdana" w:hAnsi="Verdana" w:cs="Arial"/>
          <w:sz w:val="20"/>
          <w:lang w:val="en-US"/>
        </w:rPr>
        <w:t>___________________________________</w:t>
      </w:r>
    </w:p>
    <w:p w14:paraId="4F7F74C9" w14:textId="77777777" w:rsidR="00D56F61" w:rsidRDefault="00D56F61" w:rsidP="00D56F61">
      <w:pPr>
        <w:spacing w:before="120" w:line="260" w:lineRule="atLeast"/>
        <w:rPr>
          <w:rFonts w:ascii="Verdana" w:hAnsi="Verdana" w:cs="Arial"/>
          <w:b/>
          <w:sz w:val="20"/>
        </w:rPr>
      </w:pPr>
      <w:r w:rsidRPr="00611ED0">
        <w:rPr>
          <w:rFonts w:ascii="Verdana" w:hAnsi="Verdana" w:cs="Arial"/>
          <w:b/>
          <w:sz w:val="20"/>
        </w:rPr>
        <w:t>Михаил Ковачев</w:t>
      </w:r>
    </w:p>
    <w:p w14:paraId="4F7F74CA" w14:textId="77777777" w:rsidR="00D56F61" w:rsidRPr="00611ED0" w:rsidRDefault="00D56F61" w:rsidP="00D56F61">
      <w:pPr>
        <w:spacing w:before="120" w:line="260" w:lineRule="atLeast"/>
        <w:rPr>
          <w:rFonts w:ascii="Verdana" w:hAnsi="Verdana" w:cs="Arial"/>
          <w:b/>
          <w:sz w:val="20"/>
        </w:rPr>
      </w:pPr>
      <w:r w:rsidRPr="00611ED0">
        <w:rPr>
          <w:rFonts w:ascii="Verdana" w:hAnsi="Verdana" w:cs="Arial"/>
          <w:b/>
          <w:sz w:val="20"/>
        </w:rPr>
        <w:t>Изпълнителен директор</w:t>
      </w:r>
    </w:p>
    <w:p w14:paraId="4F7F74CB" w14:textId="77777777" w:rsidR="00D56F61" w:rsidRPr="00611ED0" w:rsidRDefault="00D56F61" w:rsidP="00D56F61">
      <w:pPr>
        <w:spacing w:before="120" w:line="260" w:lineRule="atLeast"/>
        <w:rPr>
          <w:rFonts w:ascii="Verdana" w:hAnsi="Verdana" w:cs="Arial"/>
          <w:b/>
          <w:sz w:val="20"/>
        </w:rPr>
      </w:pPr>
      <w:r>
        <w:rPr>
          <w:rFonts w:ascii="Verdana" w:hAnsi="Verdana" w:cs="Arial"/>
          <w:b/>
          <w:sz w:val="20"/>
        </w:rPr>
        <w:t>„</w:t>
      </w:r>
      <w:r w:rsidRPr="00611ED0">
        <w:rPr>
          <w:rFonts w:ascii="Verdana" w:hAnsi="Verdana" w:cs="Arial"/>
          <w:b/>
          <w:sz w:val="20"/>
        </w:rPr>
        <w:t>Топлофикация – Разград</w:t>
      </w:r>
      <w:r>
        <w:rPr>
          <w:rFonts w:ascii="Verdana" w:hAnsi="Verdana" w:cs="Arial"/>
          <w:b/>
          <w:sz w:val="20"/>
        </w:rPr>
        <w:t>”</w:t>
      </w:r>
      <w:r w:rsidRPr="00611ED0">
        <w:rPr>
          <w:rFonts w:ascii="Verdana" w:hAnsi="Verdana" w:cs="Arial"/>
          <w:b/>
          <w:sz w:val="20"/>
        </w:rPr>
        <w:t>АД</w:t>
      </w:r>
    </w:p>
    <w:p w14:paraId="4F7F74CC" w14:textId="77777777" w:rsidR="00D56F61" w:rsidRPr="00611ED0" w:rsidRDefault="00D56F61" w:rsidP="00D56F61">
      <w:pPr>
        <w:spacing w:line="260" w:lineRule="atLeast"/>
        <w:rPr>
          <w:rFonts w:ascii="Verdana" w:hAnsi="Verdana" w:cs="Arial"/>
          <w:b/>
          <w:sz w:val="20"/>
        </w:rPr>
      </w:pPr>
    </w:p>
    <w:p w14:paraId="4F7F74CD" w14:textId="77777777" w:rsidR="00D56F61" w:rsidRDefault="00D56F61" w:rsidP="00D56F61">
      <w:pPr>
        <w:spacing w:line="260" w:lineRule="atLeast"/>
        <w:rPr>
          <w:rFonts w:ascii="Verdana" w:hAnsi="Verdana" w:cs="Arial"/>
          <w:b/>
          <w:sz w:val="20"/>
          <w:lang w:val="en-US"/>
        </w:rPr>
      </w:pPr>
      <w:r>
        <w:rPr>
          <w:rFonts w:ascii="Verdana" w:hAnsi="Verdana" w:cs="Arial"/>
          <w:b/>
          <w:sz w:val="20"/>
        </w:rPr>
        <w:t>София,</w:t>
      </w:r>
    </w:p>
    <w:p w14:paraId="4F7F74CE" w14:textId="77777777" w:rsidR="00D56F61" w:rsidRPr="00BD39F1" w:rsidRDefault="00D56F61" w:rsidP="00D56F61">
      <w:pPr>
        <w:spacing w:line="260" w:lineRule="atLeast"/>
        <w:rPr>
          <w:rFonts w:ascii="Verdana" w:hAnsi="Verdana" w:cs="Arial"/>
          <w:b/>
          <w:sz w:val="20"/>
        </w:rPr>
      </w:pPr>
      <w:r>
        <w:rPr>
          <w:rFonts w:ascii="Verdana" w:hAnsi="Verdana" w:cs="Arial"/>
          <w:b/>
          <w:sz w:val="20"/>
        </w:rPr>
        <w:t>…..</w:t>
      </w:r>
      <w:r w:rsidRPr="00611ED0">
        <w:rPr>
          <w:rFonts w:ascii="Verdana" w:hAnsi="Verdana" w:cs="Arial"/>
          <w:b/>
          <w:sz w:val="20"/>
        </w:rPr>
        <w:t>.0</w:t>
      </w:r>
      <w:r>
        <w:rPr>
          <w:rFonts w:ascii="Verdana" w:hAnsi="Verdana" w:cs="Arial"/>
          <w:b/>
          <w:sz w:val="20"/>
        </w:rPr>
        <w:t>3</w:t>
      </w:r>
      <w:r w:rsidRPr="00611ED0">
        <w:rPr>
          <w:rFonts w:ascii="Verdana" w:hAnsi="Verdana" w:cs="Arial"/>
          <w:b/>
          <w:sz w:val="20"/>
        </w:rPr>
        <w:t>.</w:t>
      </w:r>
      <w:r>
        <w:rPr>
          <w:rFonts w:ascii="Verdana" w:hAnsi="Verdana" w:cs="Arial"/>
          <w:b/>
          <w:sz w:val="20"/>
        </w:rPr>
        <w:t>2019</w:t>
      </w:r>
      <w:r w:rsidRPr="00611ED0">
        <w:rPr>
          <w:rFonts w:ascii="Verdana" w:hAnsi="Verdana" w:cs="Arial"/>
          <w:b/>
          <w:sz w:val="20"/>
        </w:rPr>
        <w:t xml:space="preserve"> г.</w:t>
      </w:r>
    </w:p>
    <w:p w14:paraId="4F7F74E8" w14:textId="77777777" w:rsidR="007541AF" w:rsidRDefault="007541AF" w:rsidP="004C229B">
      <w:pPr>
        <w:rPr>
          <w:snapToGrid w:val="0"/>
        </w:rPr>
      </w:pPr>
      <w:bookmarkStart w:id="11" w:name="_Toc247959122"/>
      <w:bookmarkStart w:id="12" w:name="_Toc270424830"/>
    </w:p>
    <w:p w14:paraId="4F7F74E9" w14:textId="77777777" w:rsidR="007541AF" w:rsidRDefault="007541AF" w:rsidP="004C229B">
      <w:pPr>
        <w:rPr>
          <w:snapToGrid w:val="0"/>
        </w:rPr>
      </w:pPr>
    </w:p>
    <w:p w14:paraId="629CADCF" w14:textId="265AD21F" w:rsidR="00884062" w:rsidRPr="00872067" w:rsidRDefault="00884062">
      <w:pPr>
        <w:spacing w:after="160" w:line="259" w:lineRule="auto"/>
        <w:jc w:val="left"/>
        <w:rPr>
          <w:rFonts w:ascii="Verdana" w:hAnsi="Verdana" w:cs="Arial"/>
          <w:b/>
          <w:bCs/>
          <w:snapToGrid w:val="0"/>
          <w:color w:val="365F91"/>
          <w:sz w:val="20"/>
          <w:lang w:val="en-US"/>
        </w:rPr>
      </w:pPr>
      <w:bookmarkStart w:id="13" w:name="_GoBack"/>
      <w:bookmarkEnd w:id="11"/>
      <w:bookmarkEnd w:id="12"/>
      <w:bookmarkEnd w:id="13"/>
    </w:p>
    <w:sectPr w:rsidR="00884062" w:rsidRPr="00872067" w:rsidSect="002540C6">
      <w:headerReference w:type="default" r:id="rId15"/>
      <w:footerReference w:type="default" r:id="rId16"/>
      <w:headerReference w:type="first" r:id="rId17"/>
      <w:footerReference w:type="first" r:id="rId18"/>
      <w:pgSz w:w="11906" w:h="16838" w:code="9"/>
      <w:pgMar w:top="1418" w:right="1021"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7C7A4" w14:textId="77777777" w:rsidR="00564F23" w:rsidRDefault="00564F23">
      <w:r>
        <w:separator/>
      </w:r>
    </w:p>
  </w:endnote>
  <w:endnote w:type="continuationSeparator" w:id="0">
    <w:p w14:paraId="757A9057" w14:textId="77777777" w:rsidR="00564F23" w:rsidRDefault="0056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altName w:val="Book Antiqu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00000001"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right" w:tblpYSpec="bottom"/>
      <w:tblW w:w="4267" w:type="pct"/>
      <w:tblLayout w:type="fixed"/>
      <w:tblLook w:val="04A0" w:firstRow="1" w:lastRow="0" w:firstColumn="1" w:lastColumn="0" w:noHBand="0" w:noVBand="1"/>
    </w:tblPr>
    <w:tblGrid>
      <w:gridCol w:w="7762"/>
      <w:gridCol w:w="501"/>
    </w:tblGrid>
    <w:tr w:rsidR="00287402" w14:paraId="4F7F84DF" w14:textId="77777777" w:rsidTr="00073605">
      <w:trPr>
        <w:cantSplit/>
        <w:trHeight w:val="1134"/>
      </w:trPr>
      <w:tc>
        <w:tcPr>
          <w:tcW w:w="4697" w:type="pct"/>
        </w:tcPr>
        <w:p w14:paraId="4F7F84DD" w14:textId="77777777" w:rsidR="00287402" w:rsidRPr="00073605" w:rsidRDefault="00287402" w:rsidP="00073605">
          <w:pPr>
            <w:tabs>
              <w:tab w:val="left" w:pos="620"/>
              <w:tab w:val="center" w:pos="4320"/>
            </w:tabs>
            <w:jc w:val="right"/>
            <w:rPr>
              <w:rFonts w:ascii="Calibri Light" w:hAnsi="Calibri Light"/>
              <w:sz w:val="20"/>
              <w:lang w:val="en-US"/>
            </w:rPr>
          </w:pPr>
          <w:r>
            <w:rPr>
              <w:rFonts w:ascii="Calibri Light" w:hAnsi="Calibri Light"/>
              <w:sz w:val="20"/>
              <w:lang w:val="en-US"/>
            </w:rPr>
            <w:t xml:space="preserve">  </w:t>
          </w:r>
        </w:p>
      </w:tc>
      <w:tc>
        <w:tcPr>
          <w:tcW w:w="303" w:type="pct"/>
          <w:tcBorders>
            <w:left w:val="nil"/>
          </w:tcBorders>
        </w:tcPr>
        <w:p w14:paraId="4F7F84DE" w14:textId="77777777" w:rsidR="00287402" w:rsidRPr="005F65B4" w:rsidRDefault="00287402" w:rsidP="00073605">
          <w:pPr>
            <w:tabs>
              <w:tab w:val="left" w:pos="1490"/>
            </w:tabs>
            <w:rPr>
              <w:rFonts w:ascii="Arial" w:hAnsi="Arial" w:cs="Arial"/>
              <w:sz w:val="18"/>
              <w:szCs w:val="18"/>
            </w:rPr>
          </w:pPr>
          <w:r>
            <w:rPr>
              <w:rFonts w:ascii="Arial" w:hAnsi="Arial" w:cs="Arial"/>
              <w:sz w:val="18"/>
              <w:szCs w:val="18"/>
              <w:lang w:val="en-US"/>
            </w:rPr>
            <w:t xml:space="preserve">     </w:t>
          </w:r>
          <w:r w:rsidRPr="005F65B4">
            <w:rPr>
              <w:rFonts w:ascii="Arial" w:hAnsi="Arial" w:cs="Arial"/>
              <w:sz w:val="18"/>
              <w:szCs w:val="18"/>
            </w:rPr>
            <w:fldChar w:fldCharType="begin"/>
          </w:r>
          <w:r w:rsidRPr="005F65B4">
            <w:rPr>
              <w:rFonts w:ascii="Arial" w:hAnsi="Arial" w:cs="Arial"/>
              <w:sz w:val="18"/>
              <w:szCs w:val="18"/>
            </w:rPr>
            <w:instrText>PAGE    \* MERGEFORMAT</w:instrText>
          </w:r>
          <w:r w:rsidRPr="005F65B4">
            <w:rPr>
              <w:rFonts w:ascii="Arial" w:hAnsi="Arial" w:cs="Arial"/>
              <w:sz w:val="18"/>
              <w:szCs w:val="18"/>
            </w:rPr>
            <w:fldChar w:fldCharType="separate"/>
          </w:r>
          <w:r w:rsidR="00872067">
            <w:rPr>
              <w:rFonts w:ascii="Arial" w:hAnsi="Arial" w:cs="Arial"/>
              <w:noProof/>
              <w:sz w:val="18"/>
              <w:szCs w:val="18"/>
            </w:rPr>
            <w:t>17</w:t>
          </w:r>
          <w:r w:rsidRPr="005F65B4">
            <w:rPr>
              <w:rFonts w:ascii="Arial" w:hAnsi="Arial" w:cs="Arial"/>
              <w:sz w:val="18"/>
              <w:szCs w:val="18"/>
            </w:rPr>
            <w:fldChar w:fldCharType="end"/>
          </w:r>
        </w:p>
      </w:tc>
    </w:tr>
  </w:tbl>
  <w:p w14:paraId="4F7F84E0" w14:textId="77777777" w:rsidR="00287402" w:rsidRDefault="00287402" w:rsidP="006157BC">
    <w:pPr>
      <w:pStyle w:val="Header"/>
      <w:jc w:val="center"/>
      <w:rPr>
        <w:rFonts w:ascii="Verdana" w:hAnsi="Verdana"/>
        <w:sz w:val="18"/>
        <w:szCs w:val="18"/>
        <w:lang w:val="en-US"/>
      </w:rPr>
    </w:pPr>
  </w:p>
  <w:p w14:paraId="4F7F84E1" w14:textId="77777777" w:rsidR="00287402" w:rsidRDefault="00287402" w:rsidP="006157BC">
    <w:pPr>
      <w:pStyle w:val="Header"/>
      <w:jc w:val="center"/>
      <w:rPr>
        <w:rFonts w:ascii="Verdana" w:hAnsi="Verdana"/>
        <w:sz w:val="18"/>
        <w:szCs w:val="18"/>
        <w:lang w:val="en-US"/>
      </w:rPr>
    </w:pPr>
  </w:p>
  <w:p w14:paraId="4F7F84E2" w14:textId="14CE4BCB" w:rsidR="00287402" w:rsidRPr="00073605" w:rsidRDefault="00287402" w:rsidP="00B521CF">
    <w:pPr>
      <w:pStyle w:val="Header"/>
      <w:tabs>
        <w:tab w:val="left" w:pos="885"/>
        <w:tab w:val="center" w:pos="4733"/>
      </w:tabs>
      <w:rPr>
        <w:rFonts w:ascii="Verdana" w:hAnsi="Verdana"/>
        <w:sz w:val="16"/>
        <w:szCs w:val="16"/>
      </w:rPr>
    </w:pPr>
    <w:r>
      <w:rPr>
        <w:rFonts w:ascii="Verdana" w:hAnsi="Verdana"/>
        <w:sz w:val="16"/>
        <w:szCs w:val="16"/>
      </w:rPr>
      <w:tab/>
      <w:t xml:space="preserve">    </w:t>
    </w:r>
    <w:r>
      <w:rPr>
        <w:rFonts w:ascii="Verdana" w:hAnsi="Verdana"/>
        <w:sz w:val="16"/>
        <w:szCs w:val="16"/>
      </w:rPr>
      <w:tab/>
      <w:t>„</w:t>
    </w:r>
    <w:r w:rsidRPr="00073605">
      <w:rPr>
        <w:rFonts w:ascii="Verdana" w:hAnsi="Verdana"/>
        <w:sz w:val="16"/>
        <w:szCs w:val="16"/>
      </w:rPr>
      <w:t>ТОПЛОФИКАЦИЯ РАЗГРАД</w:t>
    </w:r>
    <w:r>
      <w:rPr>
        <w:rFonts w:ascii="Verdana" w:hAnsi="Verdana"/>
        <w:sz w:val="16"/>
        <w:szCs w:val="16"/>
      </w:rPr>
      <w:t>”</w:t>
    </w:r>
    <w:r w:rsidRPr="00073605">
      <w:rPr>
        <w:rFonts w:ascii="Verdana" w:hAnsi="Verdana"/>
        <w:sz w:val="16"/>
        <w:szCs w:val="16"/>
      </w:rPr>
      <w:t xml:space="preserve"> АД,</w:t>
    </w:r>
    <w:r w:rsidRPr="00073605">
      <w:rPr>
        <w:rFonts w:ascii="Verdana" w:hAnsi="Verdana"/>
        <w:sz w:val="16"/>
        <w:szCs w:val="16"/>
        <w:lang w:val="en-US"/>
      </w:rPr>
      <w:t xml:space="preserve"> </w:t>
    </w:r>
    <w:r w:rsidRPr="00073605">
      <w:rPr>
        <w:rFonts w:ascii="Verdana" w:hAnsi="Verdana"/>
        <w:sz w:val="16"/>
        <w:szCs w:val="16"/>
      </w:rPr>
      <w:t xml:space="preserve">7 200, гр. Разград, ул. "Черна" тел: 084/ 626 -832, </w:t>
    </w:r>
  </w:p>
  <w:p w14:paraId="4F7F84E3" w14:textId="77777777" w:rsidR="00287402" w:rsidRPr="00073605" w:rsidRDefault="00287402" w:rsidP="00073605">
    <w:pPr>
      <w:pStyle w:val="Header"/>
      <w:jc w:val="center"/>
      <w:rPr>
        <w:rFonts w:ascii="Verdana" w:hAnsi="Verdana" w:cs="Arial"/>
        <w:sz w:val="16"/>
        <w:szCs w:val="16"/>
        <w:lang w:val="en-US"/>
      </w:rPr>
    </w:pPr>
    <w:r w:rsidRPr="00073605">
      <w:rPr>
        <w:rFonts w:ascii="Verdana" w:hAnsi="Verdana"/>
        <w:sz w:val="16"/>
        <w:szCs w:val="16"/>
      </w:rPr>
      <w:t xml:space="preserve">факс: 084/662-473 </w:t>
    </w:r>
    <w:proofErr w:type="spellStart"/>
    <w:r w:rsidRPr="00073605">
      <w:rPr>
        <w:rFonts w:ascii="Verdana" w:hAnsi="Verdana"/>
        <w:color w:val="000000"/>
        <w:sz w:val="16"/>
        <w:szCs w:val="16"/>
      </w:rPr>
      <w:t>e-mail</w:t>
    </w:r>
    <w:proofErr w:type="spellEnd"/>
    <w:r w:rsidRPr="00073605">
      <w:rPr>
        <w:rFonts w:ascii="Verdana" w:hAnsi="Verdana"/>
        <w:color w:val="000000"/>
        <w:sz w:val="16"/>
        <w:szCs w:val="16"/>
      </w:rPr>
      <w:t xml:space="preserve">: </w:t>
    </w:r>
    <w:hyperlink r:id="rId1" w:history="1">
      <w:r w:rsidRPr="00073605">
        <w:rPr>
          <w:rStyle w:val="Hyperlink"/>
          <w:rFonts w:ascii="Verdana" w:hAnsi="Verdana"/>
          <w:color w:val="000000"/>
          <w:sz w:val="16"/>
          <w:szCs w:val="16"/>
          <w:u w:val="none"/>
        </w:rPr>
        <w:t>toplo</w:t>
      </w:r>
      <w:r w:rsidRPr="00073605">
        <w:rPr>
          <w:rStyle w:val="Hyperlink"/>
          <w:rFonts w:ascii="Verdana" w:hAnsi="Verdana"/>
          <w:color w:val="000000"/>
          <w:sz w:val="16"/>
          <w:szCs w:val="16"/>
          <w:u w:val="none"/>
          <w:lang w:val="ru-RU"/>
        </w:rPr>
        <w:t>_</w:t>
      </w:r>
      <w:r w:rsidRPr="00073605">
        <w:rPr>
          <w:rStyle w:val="Hyperlink"/>
          <w:rFonts w:ascii="Verdana" w:hAnsi="Verdana"/>
          <w:color w:val="000000"/>
          <w:sz w:val="16"/>
          <w:szCs w:val="16"/>
          <w:u w:val="none"/>
        </w:rPr>
        <w:t>rz@overgas</w:t>
      </w:r>
      <w:r w:rsidRPr="00073605">
        <w:rPr>
          <w:rStyle w:val="Hyperlink"/>
          <w:rFonts w:ascii="Verdana" w:hAnsi="Verdana"/>
          <w:color w:val="000000"/>
          <w:sz w:val="16"/>
          <w:szCs w:val="16"/>
          <w:u w:val="none"/>
          <w:lang w:val="ru-RU"/>
        </w:rPr>
        <w:t>.</w:t>
      </w:r>
      <w:r w:rsidRPr="00073605">
        <w:rPr>
          <w:rStyle w:val="Hyperlink"/>
          <w:rFonts w:ascii="Verdana" w:hAnsi="Verdana"/>
          <w:color w:val="000000"/>
          <w:sz w:val="16"/>
          <w:szCs w:val="16"/>
          <w:u w:val="none"/>
        </w:rPr>
        <w:t>bg</w:t>
      </w:r>
    </w:hyperlink>
    <w:r w:rsidRPr="00073605">
      <w:rPr>
        <w:rFonts w:ascii="Verdana" w:hAnsi="Verdana"/>
        <w:sz w:val="16"/>
        <w:szCs w:val="16"/>
      </w:rPr>
      <w:t>; www.toplo-razgrad.com</w:t>
    </w:r>
  </w:p>
  <w:p w14:paraId="4F7F84E4" w14:textId="77777777" w:rsidR="00287402" w:rsidRPr="00073605" w:rsidRDefault="00287402" w:rsidP="006157BC">
    <w:pPr>
      <w:pStyle w:val="Footer"/>
      <w:jc w:val="center"/>
      <w:rPr>
        <w:lang w:val="en-US"/>
      </w:rPr>
    </w:pP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84E7" w14:textId="77777777" w:rsidR="00287402" w:rsidRDefault="00287402" w:rsidP="006157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7B62A" w14:textId="77777777" w:rsidR="00564F23" w:rsidRDefault="00564F23">
      <w:r>
        <w:separator/>
      </w:r>
    </w:p>
  </w:footnote>
  <w:footnote w:type="continuationSeparator" w:id="0">
    <w:p w14:paraId="678E8214" w14:textId="77777777" w:rsidR="00564F23" w:rsidRDefault="00564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84DB" w14:textId="77777777" w:rsidR="00287402" w:rsidRPr="00B73916" w:rsidRDefault="00287402" w:rsidP="00DE402D">
    <w:pPr>
      <w:pStyle w:val="Header"/>
      <w:jc w:val="center"/>
      <w:rPr>
        <w:rFonts w:ascii="Verdana" w:hAnsi="Verdana" w:cs="Arial"/>
        <w:b/>
        <w:sz w:val="20"/>
        <w:szCs w:val="20"/>
      </w:rPr>
    </w:pPr>
    <w:r>
      <w:rPr>
        <w:rFonts w:ascii="Verdana" w:hAnsi="Verdana" w:cs="Arial"/>
        <w:b/>
        <w:sz w:val="20"/>
        <w:szCs w:val="20"/>
      </w:rPr>
      <w:t xml:space="preserve">„ТОПЛОФИКАЦИЯ РАЗГРАД” </w:t>
    </w:r>
    <w:r w:rsidRPr="00B73916">
      <w:rPr>
        <w:rFonts w:ascii="Verdana" w:hAnsi="Verdana" w:cs="Arial"/>
        <w:b/>
        <w:sz w:val="20"/>
        <w:szCs w:val="20"/>
      </w:rPr>
      <w:t>АД</w:t>
    </w:r>
  </w:p>
  <w:p w14:paraId="4F7F84DC" w14:textId="77777777" w:rsidR="00287402" w:rsidRPr="00B73916" w:rsidRDefault="00287402" w:rsidP="00DE402D">
    <w:pPr>
      <w:pStyle w:val="Header"/>
      <w:jc w:val="center"/>
      <w:rPr>
        <w:rFonts w:ascii="Verdana" w:hAnsi="Verdana" w:cs="Arial"/>
        <w:b/>
        <w:sz w:val="20"/>
        <w:szCs w:val="20"/>
      </w:rPr>
    </w:pPr>
    <w:r w:rsidRPr="00B73916">
      <w:rPr>
        <w:rFonts w:ascii="Verdana" w:hAnsi="Verdana" w:cs="Arial"/>
        <w:b/>
        <w:sz w:val="20"/>
        <w:szCs w:val="20"/>
      </w:rPr>
      <w:t>Доклад за дейността и Финансов отчет за годината, завършваща на 31.12.201</w:t>
    </w:r>
    <w:r>
      <w:rPr>
        <w:rFonts w:ascii="Verdana" w:hAnsi="Verdana" w:cs="Arial"/>
        <w:b/>
        <w:sz w:val="20"/>
        <w:szCs w:val="20"/>
      </w:rPr>
      <w:t>9</w:t>
    </w:r>
    <w:r w:rsidRPr="00B73916">
      <w:rPr>
        <w:rFonts w:ascii="Verdana" w:hAnsi="Verdana" w:cs="Arial"/>
        <w:b/>
        <w:sz w:val="20"/>
        <w:szCs w:val="20"/>
      </w:rPr>
      <w:t xml:space="preserve">г. </w:t>
    </w:r>
    <w:r w:rsidR="00564F23">
      <w:rPr>
        <w:rFonts w:ascii="Verdana" w:hAnsi="Verdana" w:cs="Arial"/>
        <w:b/>
        <w:sz w:val="20"/>
        <w:szCs w:val="20"/>
      </w:rPr>
      <w:pict w14:anchorId="4F7F84E8">
        <v:rect id="_x0000_i1025" style="width:0;height:1.5pt" o:hralign="center"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167"/>
      <w:gridCol w:w="7120"/>
    </w:tblGrid>
    <w:tr w:rsidR="00287402" w14:paraId="276E8397" w14:textId="77777777" w:rsidTr="00475B62">
      <w:trPr>
        <w:trHeight w:val="1618"/>
      </w:trPr>
      <w:tc>
        <w:tcPr>
          <w:tcW w:w="2167" w:type="dxa"/>
          <w:tcBorders>
            <w:bottom w:val="single" w:sz="4" w:space="0" w:color="000000"/>
          </w:tcBorders>
          <w:shd w:val="clear" w:color="auto" w:fill="auto"/>
        </w:tcPr>
        <w:p w14:paraId="67268260" w14:textId="77777777" w:rsidR="00287402" w:rsidRDefault="00287402" w:rsidP="00A61851">
          <w:pPr>
            <w:pStyle w:val="Header"/>
            <w:tabs>
              <w:tab w:val="center" w:pos="935"/>
            </w:tabs>
            <w:snapToGrid w:val="0"/>
          </w:pPr>
          <w:r>
            <w:rPr>
              <w:noProof/>
              <w:lang w:eastAsia="bg-BG"/>
            </w:rPr>
            <w:drawing>
              <wp:inline distT="0" distB="0" distL="0" distR="0" wp14:anchorId="55BB0C99" wp14:editId="03DF3422">
                <wp:extent cx="1152525"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shd w:val="clear" w:color="auto" w:fill="auto"/>
        </w:tcPr>
        <w:p w14:paraId="4B6481F4" w14:textId="77777777" w:rsidR="00287402" w:rsidRDefault="00287402" w:rsidP="00A61851">
          <w:pPr>
            <w:pStyle w:val="Header"/>
            <w:tabs>
              <w:tab w:val="left" w:pos="0"/>
              <w:tab w:val="center" w:pos="888"/>
              <w:tab w:val="left" w:pos="1122"/>
              <w:tab w:val="left" w:pos="1683"/>
            </w:tabs>
            <w:snapToGrid w:val="0"/>
            <w:rPr>
              <w:sz w:val="16"/>
              <w:szCs w:val="16"/>
            </w:rPr>
          </w:pPr>
          <w:r>
            <w:rPr>
              <w:noProof/>
              <w:lang w:eastAsia="bg-BG"/>
            </w:rPr>
            <w:drawing>
              <wp:inline distT="0" distB="0" distL="0" distR="0" wp14:anchorId="24DFBB12" wp14:editId="3618564A">
                <wp:extent cx="409575" cy="409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solidFill>
                        <a:ln>
                          <a:noFill/>
                        </a:ln>
                      </pic:spPr>
                    </pic:pic>
                  </a:graphicData>
                </a:graphic>
              </wp:inline>
            </w:drawing>
          </w:r>
          <w:r w:rsidRPr="0054464E">
            <w:t xml:space="preserve">            </w:t>
          </w:r>
          <w:r w:rsidRPr="0054464E">
            <w:rPr>
              <w:u w:val="single"/>
            </w:rPr>
            <w:t xml:space="preserve">     </w:t>
          </w:r>
          <w:r>
            <w:rPr>
              <w:u w:val="single"/>
            </w:rPr>
            <w:t>“ТОПЛОФИКАЦИЯ-РАЗГРАД” АД гр. РАЗГРАД</w:t>
          </w:r>
        </w:p>
        <w:p w14:paraId="69DA48C0" w14:textId="77777777" w:rsidR="00287402" w:rsidRDefault="00287402" w:rsidP="00A61851">
          <w:pPr>
            <w:pStyle w:val="Header"/>
            <w:jc w:val="center"/>
            <w:rPr>
              <w:color w:val="000000"/>
              <w:sz w:val="16"/>
              <w:szCs w:val="16"/>
            </w:rPr>
          </w:pPr>
          <w:r>
            <w:rPr>
              <w:sz w:val="16"/>
              <w:szCs w:val="16"/>
            </w:rPr>
            <w:t xml:space="preserve">                7 200, гр. Разград, ул. "Черна" тел: 084/ 626 -832, факс: 084/662-473</w:t>
          </w:r>
        </w:p>
        <w:p w14:paraId="7625E927" w14:textId="77777777" w:rsidR="00287402" w:rsidRDefault="00287402" w:rsidP="00A61851">
          <w:pPr>
            <w:pStyle w:val="Header"/>
            <w:jc w:val="center"/>
          </w:pPr>
          <w:r>
            <w:rPr>
              <w:color w:val="000000"/>
              <w:sz w:val="16"/>
              <w:szCs w:val="16"/>
            </w:rPr>
            <w:t xml:space="preserve">  </w:t>
          </w:r>
          <w:proofErr w:type="spellStart"/>
          <w:r>
            <w:rPr>
              <w:color w:val="000000"/>
              <w:sz w:val="16"/>
              <w:szCs w:val="16"/>
            </w:rPr>
            <w:t>e-mail</w:t>
          </w:r>
          <w:proofErr w:type="spellEnd"/>
          <w:r>
            <w:rPr>
              <w:color w:val="000000"/>
              <w:sz w:val="16"/>
              <w:szCs w:val="16"/>
            </w:rPr>
            <w:t>:</w:t>
          </w:r>
          <w:r w:rsidRPr="00B84D1A">
            <w:rPr>
              <w:color w:val="000000"/>
              <w:sz w:val="16"/>
              <w:szCs w:val="16"/>
            </w:rPr>
            <w:t xml:space="preserve"> </w:t>
          </w:r>
          <w:hyperlink r:id="rId3" w:history="1">
            <w:r w:rsidRPr="00B84D1A">
              <w:rPr>
                <w:rStyle w:val="Hyperlink"/>
                <w:color w:val="000000"/>
                <w:sz w:val="16"/>
                <w:szCs w:val="16"/>
                <w:u w:val="none"/>
              </w:rPr>
              <w:t>toplo</w:t>
            </w:r>
            <w:r w:rsidRPr="00B84D1A">
              <w:rPr>
                <w:rStyle w:val="Hyperlink"/>
                <w:color w:val="000000"/>
                <w:sz w:val="16"/>
                <w:szCs w:val="16"/>
                <w:u w:val="none"/>
                <w:lang w:val="ru-RU"/>
              </w:rPr>
              <w:t>_</w:t>
            </w:r>
            <w:r w:rsidRPr="00B84D1A">
              <w:rPr>
                <w:rStyle w:val="Hyperlink"/>
                <w:color w:val="000000"/>
                <w:sz w:val="16"/>
                <w:szCs w:val="16"/>
                <w:u w:val="none"/>
              </w:rPr>
              <w:t>rz@overgas</w:t>
            </w:r>
            <w:r w:rsidRPr="00B84D1A">
              <w:rPr>
                <w:rStyle w:val="Hyperlink"/>
                <w:color w:val="000000"/>
                <w:sz w:val="16"/>
                <w:szCs w:val="16"/>
                <w:u w:val="none"/>
                <w:lang w:val="ru-RU"/>
              </w:rPr>
              <w:t>.</w:t>
            </w:r>
            <w:r w:rsidRPr="00B84D1A">
              <w:rPr>
                <w:rStyle w:val="Hyperlink"/>
                <w:color w:val="000000"/>
                <w:sz w:val="16"/>
                <w:szCs w:val="16"/>
                <w:u w:val="none"/>
              </w:rPr>
              <w:t>bg</w:t>
            </w:r>
          </w:hyperlink>
          <w:r>
            <w:rPr>
              <w:b/>
              <w:bCs/>
              <w:sz w:val="16"/>
              <w:szCs w:val="16"/>
            </w:rPr>
            <w:t xml:space="preserve">; </w:t>
          </w:r>
          <w:r>
            <w:rPr>
              <w:sz w:val="16"/>
              <w:szCs w:val="16"/>
            </w:rPr>
            <w:t>www.toplo-razgrad.com</w:t>
          </w:r>
        </w:p>
      </w:tc>
    </w:tr>
  </w:tbl>
  <w:p w14:paraId="4F7F84E6" w14:textId="77777777" w:rsidR="00287402" w:rsidRDefault="00287402" w:rsidP="006157BC">
    <w:pPr>
      <w:pStyle w:val="Header"/>
      <w:jc w:val="center"/>
    </w:pPr>
    <w:r>
      <w:rPr>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642E29"/>
    <w:multiLevelType w:val="hybridMultilevel"/>
    <w:tmpl w:val="3056D12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09D0B13"/>
    <w:multiLevelType w:val="hybridMultilevel"/>
    <w:tmpl w:val="DEBC8D82"/>
    <w:lvl w:ilvl="0" w:tplc="2440035A">
      <w:start w:val="1"/>
      <w:numFmt w:val="decimal"/>
      <w:lvlText w:val="%1."/>
      <w:lvlJc w:val="left"/>
      <w:pPr>
        <w:ind w:left="720" w:hanging="360"/>
      </w:pPr>
      <w:rPr>
        <w:rFonts w:ascii="Verdana" w:hAnsi="Verdana"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3BC42EA"/>
    <w:multiLevelType w:val="hybridMultilevel"/>
    <w:tmpl w:val="925EB6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E914FA8"/>
    <w:multiLevelType w:val="hybridMultilevel"/>
    <w:tmpl w:val="2E664FD0"/>
    <w:lvl w:ilvl="0" w:tplc="59F2FBC2">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B4376C3"/>
    <w:multiLevelType w:val="hybridMultilevel"/>
    <w:tmpl w:val="6E10C66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CF443F3"/>
    <w:multiLevelType w:val="hybridMultilevel"/>
    <w:tmpl w:val="2C5AC4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2C9600A"/>
    <w:multiLevelType w:val="hybridMultilevel"/>
    <w:tmpl w:val="F18C4E4E"/>
    <w:lvl w:ilvl="0" w:tplc="60B0D4EC">
      <w:start w:val="1"/>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79D0974"/>
    <w:multiLevelType w:val="hybridMultilevel"/>
    <w:tmpl w:val="967E0B0E"/>
    <w:lvl w:ilvl="0" w:tplc="633C4A6E">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39D07CE"/>
    <w:multiLevelType w:val="hybridMultilevel"/>
    <w:tmpl w:val="58D42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3">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5">
    <w:nsid w:val="69761977"/>
    <w:multiLevelType w:val="hybridMultilevel"/>
    <w:tmpl w:val="B934B4F6"/>
    <w:lvl w:ilvl="0" w:tplc="C994DD12">
      <w:start w:val="1"/>
      <w:numFmt w:val="decimal"/>
      <w:lvlText w:val="%1."/>
      <w:lvlJc w:val="left"/>
      <w:pPr>
        <w:tabs>
          <w:tab w:val="num" w:pos="720"/>
        </w:tabs>
        <w:ind w:left="720" w:hanging="360"/>
      </w:pPr>
      <w:rPr>
        <w:rFonts w:cs="Times New Roman" w:hint="default"/>
        <w:b w:val="0"/>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CFE1507"/>
    <w:multiLevelType w:val="hybridMultilevel"/>
    <w:tmpl w:val="C7BE3C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F347A2E"/>
    <w:multiLevelType w:val="multilevel"/>
    <w:tmpl w:val="32429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705E19C3"/>
    <w:multiLevelType w:val="hybridMultilevel"/>
    <w:tmpl w:val="205267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3740368"/>
    <w:multiLevelType w:val="hybridMultilevel"/>
    <w:tmpl w:val="933001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3BD72EF"/>
    <w:multiLevelType w:val="hybridMultilevel"/>
    <w:tmpl w:val="1EC499B6"/>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34">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C98308F"/>
    <w:multiLevelType w:val="hybridMultilevel"/>
    <w:tmpl w:val="C1E60D56"/>
    <w:lvl w:ilvl="0" w:tplc="42D0BA54">
      <w:start w:val="2"/>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CFC2502"/>
    <w:multiLevelType w:val="hybridMultilevel"/>
    <w:tmpl w:val="E958653E"/>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F441F90"/>
    <w:multiLevelType w:val="hybridMultilevel"/>
    <w:tmpl w:val="FA82DE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5"/>
  </w:num>
  <w:num w:numId="4">
    <w:abstractNumId w:val="17"/>
  </w:num>
  <w:num w:numId="5">
    <w:abstractNumId w:val="11"/>
  </w:num>
  <w:num w:numId="6">
    <w:abstractNumId w:val="15"/>
  </w:num>
  <w:num w:numId="7">
    <w:abstractNumId w:val="1"/>
  </w:num>
  <w:num w:numId="8">
    <w:abstractNumId w:val="20"/>
  </w:num>
  <w:num w:numId="9">
    <w:abstractNumId w:val="3"/>
  </w:num>
  <w:num w:numId="10">
    <w:abstractNumId w:val="37"/>
  </w:num>
  <w:num w:numId="11">
    <w:abstractNumId w:val="30"/>
  </w:num>
  <w:num w:numId="12">
    <w:abstractNumId w:val="28"/>
  </w:num>
  <w:num w:numId="13">
    <w:abstractNumId w:val="0"/>
  </w:num>
  <w:num w:numId="14">
    <w:abstractNumId w:val="4"/>
  </w:num>
  <w:num w:numId="15">
    <w:abstractNumId w:val="9"/>
  </w:num>
  <w:num w:numId="16">
    <w:abstractNumId w:val="14"/>
  </w:num>
  <w:num w:numId="17">
    <w:abstractNumId w:val="27"/>
  </w:num>
  <w:num w:numId="18">
    <w:abstractNumId w:val="24"/>
  </w:num>
  <w:num w:numId="19">
    <w:abstractNumId w:val="19"/>
  </w:num>
  <w:num w:numId="20">
    <w:abstractNumId w:val="34"/>
  </w:num>
  <w:num w:numId="21">
    <w:abstractNumId w:val="7"/>
  </w:num>
  <w:num w:numId="22">
    <w:abstractNumId w:val="35"/>
  </w:num>
  <w:num w:numId="23">
    <w:abstractNumId w:val="23"/>
  </w:num>
  <w:num w:numId="24">
    <w:abstractNumId w:val="26"/>
  </w:num>
  <w:num w:numId="25">
    <w:abstractNumId w:val="22"/>
  </w:num>
  <w:num w:numId="26">
    <w:abstractNumId w:val="12"/>
  </w:num>
  <w:num w:numId="27">
    <w:abstractNumId w:val="21"/>
  </w:num>
  <w:num w:numId="28">
    <w:abstractNumId w:val="2"/>
  </w:num>
  <w:num w:numId="29">
    <w:abstractNumId w:val="25"/>
  </w:num>
  <w:num w:numId="30">
    <w:abstractNumId w:val="8"/>
  </w:num>
  <w:num w:numId="31">
    <w:abstractNumId w:val="29"/>
  </w:num>
  <w:num w:numId="32">
    <w:abstractNumId w:val="10"/>
  </w:num>
  <w:num w:numId="33">
    <w:abstractNumId w:val="13"/>
  </w:num>
  <w:num w:numId="34">
    <w:abstractNumId w:val="36"/>
  </w:num>
  <w:num w:numId="35">
    <w:abstractNumId w:val="16"/>
  </w:num>
  <w:num w:numId="36">
    <w:abstractNumId w:val="33"/>
  </w:num>
  <w:num w:numId="37">
    <w:abstractNumId w:val="6"/>
  </w:num>
  <w:num w:numId="38">
    <w:abstractNumId w:val="32"/>
  </w:num>
  <w:num w:numId="3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6DF8"/>
    <w:rsid w:val="00003402"/>
    <w:rsid w:val="00003B80"/>
    <w:rsid w:val="00006712"/>
    <w:rsid w:val="00007ECD"/>
    <w:rsid w:val="0001283B"/>
    <w:rsid w:val="000143BB"/>
    <w:rsid w:val="0001548B"/>
    <w:rsid w:val="000211F9"/>
    <w:rsid w:val="000218EC"/>
    <w:rsid w:val="00021995"/>
    <w:rsid w:val="00024287"/>
    <w:rsid w:val="000262ED"/>
    <w:rsid w:val="00026511"/>
    <w:rsid w:val="00026659"/>
    <w:rsid w:val="00026B82"/>
    <w:rsid w:val="00031575"/>
    <w:rsid w:val="0003509F"/>
    <w:rsid w:val="0003656C"/>
    <w:rsid w:val="00040562"/>
    <w:rsid w:val="00047549"/>
    <w:rsid w:val="00047D2A"/>
    <w:rsid w:val="00055F4A"/>
    <w:rsid w:val="00061274"/>
    <w:rsid w:val="00061737"/>
    <w:rsid w:val="00061D55"/>
    <w:rsid w:val="000635FE"/>
    <w:rsid w:val="000636DE"/>
    <w:rsid w:val="00065AA7"/>
    <w:rsid w:val="000721BA"/>
    <w:rsid w:val="00073605"/>
    <w:rsid w:val="000737D5"/>
    <w:rsid w:val="00076522"/>
    <w:rsid w:val="00083303"/>
    <w:rsid w:val="00086127"/>
    <w:rsid w:val="00092B05"/>
    <w:rsid w:val="000A1634"/>
    <w:rsid w:val="000A1F70"/>
    <w:rsid w:val="000A2467"/>
    <w:rsid w:val="000A4B47"/>
    <w:rsid w:val="000B0416"/>
    <w:rsid w:val="000C03F6"/>
    <w:rsid w:val="000C2A87"/>
    <w:rsid w:val="000C3D26"/>
    <w:rsid w:val="000C5FDD"/>
    <w:rsid w:val="000D0402"/>
    <w:rsid w:val="000D2947"/>
    <w:rsid w:val="000D3143"/>
    <w:rsid w:val="000D3C8E"/>
    <w:rsid w:val="000D70F2"/>
    <w:rsid w:val="000E01C5"/>
    <w:rsid w:val="000E28E1"/>
    <w:rsid w:val="000E49AA"/>
    <w:rsid w:val="000E4B7B"/>
    <w:rsid w:val="000E4E47"/>
    <w:rsid w:val="000E54EB"/>
    <w:rsid w:val="000F5659"/>
    <w:rsid w:val="000F632F"/>
    <w:rsid w:val="00100633"/>
    <w:rsid w:val="00102504"/>
    <w:rsid w:val="00107748"/>
    <w:rsid w:val="001107A1"/>
    <w:rsid w:val="00111F4D"/>
    <w:rsid w:val="00112F6B"/>
    <w:rsid w:val="00121642"/>
    <w:rsid w:val="0012194C"/>
    <w:rsid w:val="0012513F"/>
    <w:rsid w:val="001305C3"/>
    <w:rsid w:val="00133B04"/>
    <w:rsid w:val="00133E03"/>
    <w:rsid w:val="001343DE"/>
    <w:rsid w:val="00145A71"/>
    <w:rsid w:val="00146096"/>
    <w:rsid w:val="0015352C"/>
    <w:rsid w:val="00154BF0"/>
    <w:rsid w:val="00154CE3"/>
    <w:rsid w:val="00174387"/>
    <w:rsid w:val="00174E0C"/>
    <w:rsid w:val="001761F5"/>
    <w:rsid w:val="001834EC"/>
    <w:rsid w:val="00185214"/>
    <w:rsid w:val="001867E1"/>
    <w:rsid w:val="0019110D"/>
    <w:rsid w:val="0019267F"/>
    <w:rsid w:val="0019283E"/>
    <w:rsid w:val="0019466F"/>
    <w:rsid w:val="001971B4"/>
    <w:rsid w:val="001A1576"/>
    <w:rsid w:val="001A57AB"/>
    <w:rsid w:val="001A5912"/>
    <w:rsid w:val="001B3F30"/>
    <w:rsid w:val="001B4E27"/>
    <w:rsid w:val="001C07A3"/>
    <w:rsid w:val="001C161C"/>
    <w:rsid w:val="001C2D70"/>
    <w:rsid w:val="001C4FA7"/>
    <w:rsid w:val="001C5EDA"/>
    <w:rsid w:val="001C7008"/>
    <w:rsid w:val="001C7A2B"/>
    <w:rsid w:val="001D082F"/>
    <w:rsid w:val="001D2C11"/>
    <w:rsid w:val="001D3D57"/>
    <w:rsid w:val="001D5566"/>
    <w:rsid w:val="001D7738"/>
    <w:rsid w:val="001D780E"/>
    <w:rsid w:val="001E09C3"/>
    <w:rsid w:val="001E711A"/>
    <w:rsid w:val="001F3278"/>
    <w:rsid w:val="001F704A"/>
    <w:rsid w:val="001F7841"/>
    <w:rsid w:val="002020B5"/>
    <w:rsid w:val="00210C58"/>
    <w:rsid w:val="00214263"/>
    <w:rsid w:val="00215B84"/>
    <w:rsid w:val="00217E55"/>
    <w:rsid w:val="00224EA9"/>
    <w:rsid w:val="00227972"/>
    <w:rsid w:val="002315FF"/>
    <w:rsid w:val="002345EC"/>
    <w:rsid w:val="002348BB"/>
    <w:rsid w:val="00234C94"/>
    <w:rsid w:val="00235E42"/>
    <w:rsid w:val="0024498D"/>
    <w:rsid w:val="00250342"/>
    <w:rsid w:val="00251EFE"/>
    <w:rsid w:val="00253EF4"/>
    <w:rsid w:val="002540C6"/>
    <w:rsid w:val="00266134"/>
    <w:rsid w:val="00273B1A"/>
    <w:rsid w:val="00273CE0"/>
    <w:rsid w:val="00281FF4"/>
    <w:rsid w:val="002826F9"/>
    <w:rsid w:val="00282A1E"/>
    <w:rsid w:val="002860C2"/>
    <w:rsid w:val="00286BC6"/>
    <w:rsid w:val="00287402"/>
    <w:rsid w:val="0028742C"/>
    <w:rsid w:val="00293DB9"/>
    <w:rsid w:val="002951C8"/>
    <w:rsid w:val="002962A7"/>
    <w:rsid w:val="002A0A07"/>
    <w:rsid w:val="002A5F25"/>
    <w:rsid w:val="002A67E0"/>
    <w:rsid w:val="002A6C3A"/>
    <w:rsid w:val="002C1099"/>
    <w:rsid w:val="002C7521"/>
    <w:rsid w:val="002C7C1F"/>
    <w:rsid w:val="002D25A4"/>
    <w:rsid w:val="002D3971"/>
    <w:rsid w:val="002E0734"/>
    <w:rsid w:val="002E4EBE"/>
    <w:rsid w:val="002E5FE2"/>
    <w:rsid w:val="002E6042"/>
    <w:rsid w:val="003011DA"/>
    <w:rsid w:val="00305188"/>
    <w:rsid w:val="00305D4E"/>
    <w:rsid w:val="00311478"/>
    <w:rsid w:val="003115C1"/>
    <w:rsid w:val="00311A44"/>
    <w:rsid w:val="003124A1"/>
    <w:rsid w:val="00313C9E"/>
    <w:rsid w:val="00317D7F"/>
    <w:rsid w:val="00321429"/>
    <w:rsid w:val="00321D26"/>
    <w:rsid w:val="003241D1"/>
    <w:rsid w:val="00326B1C"/>
    <w:rsid w:val="003312C8"/>
    <w:rsid w:val="003329A1"/>
    <w:rsid w:val="00334065"/>
    <w:rsid w:val="003403EC"/>
    <w:rsid w:val="00341B34"/>
    <w:rsid w:val="00342616"/>
    <w:rsid w:val="0034401E"/>
    <w:rsid w:val="00344E19"/>
    <w:rsid w:val="00345D9F"/>
    <w:rsid w:val="003465FA"/>
    <w:rsid w:val="003522F3"/>
    <w:rsid w:val="00353E01"/>
    <w:rsid w:val="0035416A"/>
    <w:rsid w:val="00356D44"/>
    <w:rsid w:val="003615C2"/>
    <w:rsid w:val="003626D1"/>
    <w:rsid w:val="003650F3"/>
    <w:rsid w:val="003657CB"/>
    <w:rsid w:val="00365894"/>
    <w:rsid w:val="003714F1"/>
    <w:rsid w:val="003768C6"/>
    <w:rsid w:val="0038040F"/>
    <w:rsid w:val="00380EDB"/>
    <w:rsid w:val="00383333"/>
    <w:rsid w:val="00387324"/>
    <w:rsid w:val="003873B7"/>
    <w:rsid w:val="00391013"/>
    <w:rsid w:val="00391423"/>
    <w:rsid w:val="003914AF"/>
    <w:rsid w:val="00391CC3"/>
    <w:rsid w:val="00392055"/>
    <w:rsid w:val="00392CA0"/>
    <w:rsid w:val="003930B6"/>
    <w:rsid w:val="00396ABA"/>
    <w:rsid w:val="00397204"/>
    <w:rsid w:val="00397327"/>
    <w:rsid w:val="003A73FF"/>
    <w:rsid w:val="003B00BC"/>
    <w:rsid w:val="003B06FC"/>
    <w:rsid w:val="003B11CA"/>
    <w:rsid w:val="003B5D4B"/>
    <w:rsid w:val="003C08EB"/>
    <w:rsid w:val="003C312B"/>
    <w:rsid w:val="003C65AE"/>
    <w:rsid w:val="003C7828"/>
    <w:rsid w:val="003D442F"/>
    <w:rsid w:val="003D6AAC"/>
    <w:rsid w:val="003D7006"/>
    <w:rsid w:val="003E1E58"/>
    <w:rsid w:val="003E3F7F"/>
    <w:rsid w:val="003E7E6D"/>
    <w:rsid w:val="003F0467"/>
    <w:rsid w:val="003F385C"/>
    <w:rsid w:val="003F7FC6"/>
    <w:rsid w:val="004076F9"/>
    <w:rsid w:val="00410B5B"/>
    <w:rsid w:val="00411052"/>
    <w:rsid w:val="00411D30"/>
    <w:rsid w:val="00413025"/>
    <w:rsid w:val="00416428"/>
    <w:rsid w:val="004308F9"/>
    <w:rsid w:val="00432B15"/>
    <w:rsid w:val="00434FF5"/>
    <w:rsid w:val="00437025"/>
    <w:rsid w:val="004435F7"/>
    <w:rsid w:val="00446EBD"/>
    <w:rsid w:val="00452584"/>
    <w:rsid w:val="00452EA4"/>
    <w:rsid w:val="004552B6"/>
    <w:rsid w:val="004567BD"/>
    <w:rsid w:val="004578F8"/>
    <w:rsid w:val="00460830"/>
    <w:rsid w:val="00461836"/>
    <w:rsid w:val="00465C21"/>
    <w:rsid w:val="00471FD6"/>
    <w:rsid w:val="00474323"/>
    <w:rsid w:val="00475B62"/>
    <w:rsid w:val="00477BD4"/>
    <w:rsid w:val="004811DC"/>
    <w:rsid w:val="00481E23"/>
    <w:rsid w:val="00482E75"/>
    <w:rsid w:val="00485C46"/>
    <w:rsid w:val="00493C43"/>
    <w:rsid w:val="004A19BF"/>
    <w:rsid w:val="004A1CD5"/>
    <w:rsid w:val="004A1DC8"/>
    <w:rsid w:val="004A7DE7"/>
    <w:rsid w:val="004B52A8"/>
    <w:rsid w:val="004C229B"/>
    <w:rsid w:val="004C2FEC"/>
    <w:rsid w:val="004C3709"/>
    <w:rsid w:val="004C461A"/>
    <w:rsid w:val="004C6958"/>
    <w:rsid w:val="004D0AB9"/>
    <w:rsid w:val="004D35E1"/>
    <w:rsid w:val="004D4277"/>
    <w:rsid w:val="004D46BC"/>
    <w:rsid w:val="004D7A29"/>
    <w:rsid w:val="004D7C02"/>
    <w:rsid w:val="004D7CDF"/>
    <w:rsid w:val="004E25BA"/>
    <w:rsid w:val="004E4417"/>
    <w:rsid w:val="004E49DC"/>
    <w:rsid w:val="004E4B15"/>
    <w:rsid w:val="004F4469"/>
    <w:rsid w:val="004F5107"/>
    <w:rsid w:val="004F598D"/>
    <w:rsid w:val="004F6BB9"/>
    <w:rsid w:val="00500D31"/>
    <w:rsid w:val="0050274A"/>
    <w:rsid w:val="00502806"/>
    <w:rsid w:val="00502C48"/>
    <w:rsid w:val="005048E0"/>
    <w:rsid w:val="00504FE4"/>
    <w:rsid w:val="005058D3"/>
    <w:rsid w:val="0050748C"/>
    <w:rsid w:val="0050776F"/>
    <w:rsid w:val="005118FC"/>
    <w:rsid w:val="00511F82"/>
    <w:rsid w:val="005145DA"/>
    <w:rsid w:val="005159A6"/>
    <w:rsid w:val="00522965"/>
    <w:rsid w:val="00535A16"/>
    <w:rsid w:val="005365CD"/>
    <w:rsid w:val="00536F68"/>
    <w:rsid w:val="00537B3C"/>
    <w:rsid w:val="00537CD2"/>
    <w:rsid w:val="00540829"/>
    <w:rsid w:val="00542E12"/>
    <w:rsid w:val="00544A09"/>
    <w:rsid w:val="00544EFC"/>
    <w:rsid w:val="005464B0"/>
    <w:rsid w:val="00547D01"/>
    <w:rsid w:val="00557B4E"/>
    <w:rsid w:val="00562342"/>
    <w:rsid w:val="00562D0B"/>
    <w:rsid w:val="00564F23"/>
    <w:rsid w:val="00566815"/>
    <w:rsid w:val="00567263"/>
    <w:rsid w:val="005766D5"/>
    <w:rsid w:val="00587AE3"/>
    <w:rsid w:val="00592546"/>
    <w:rsid w:val="00592D21"/>
    <w:rsid w:val="00592DAB"/>
    <w:rsid w:val="00593B1C"/>
    <w:rsid w:val="005963A7"/>
    <w:rsid w:val="005A0C91"/>
    <w:rsid w:val="005A3611"/>
    <w:rsid w:val="005A368F"/>
    <w:rsid w:val="005A62A6"/>
    <w:rsid w:val="005B54CD"/>
    <w:rsid w:val="005B6C9D"/>
    <w:rsid w:val="005B7666"/>
    <w:rsid w:val="005B77E1"/>
    <w:rsid w:val="005C124E"/>
    <w:rsid w:val="005C269F"/>
    <w:rsid w:val="005C5E53"/>
    <w:rsid w:val="005C6661"/>
    <w:rsid w:val="005C6A94"/>
    <w:rsid w:val="005D253E"/>
    <w:rsid w:val="005D55CA"/>
    <w:rsid w:val="005D55D0"/>
    <w:rsid w:val="005D7D49"/>
    <w:rsid w:val="005E1578"/>
    <w:rsid w:val="005E5724"/>
    <w:rsid w:val="005F694A"/>
    <w:rsid w:val="005F72A4"/>
    <w:rsid w:val="006017AE"/>
    <w:rsid w:val="0060197F"/>
    <w:rsid w:val="006038D6"/>
    <w:rsid w:val="00610D9C"/>
    <w:rsid w:val="00610F57"/>
    <w:rsid w:val="00612C5F"/>
    <w:rsid w:val="00613385"/>
    <w:rsid w:val="006157BC"/>
    <w:rsid w:val="00616786"/>
    <w:rsid w:val="00617C53"/>
    <w:rsid w:val="00625D8E"/>
    <w:rsid w:val="006267C6"/>
    <w:rsid w:val="006406D1"/>
    <w:rsid w:val="006500BF"/>
    <w:rsid w:val="00650EDF"/>
    <w:rsid w:val="006512F9"/>
    <w:rsid w:val="00655ECC"/>
    <w:rsid w:val="00660380"/>
    <w:rsid w:val="00661ACD"/>
    <w:rsid w:val="00662C25"/>
    <w:rsid w:val="00666E41"/>
    <w:rsid w:val="00675FFC"/>
    <w:rsid w:val="00684AB3"/>
    <w:rsid w:val="00684FD8"/>
    <w:rsid w:val="0069511F"/>
    <w:rsid w:val="006A3431"/>
    <w:rsid w:val="006A51F6"/>
    <w:rsid w:val="006B03E9"/>
    <w:rsid w:val="006B5169"/>
    <w:rsid w:val="006C08F4"/>
    <w:rsid w:val="006C1997"/>
    <w:rsid w:val="006C26BD"/>
    <w:rsid w:val="006C3E18"/>
    <w:rsid w:val="006C61F6"/>
    <w:rsid w:val="006C7AE4"/>
    <w:rsid w:val="006C7DEF"/>
    <w:rsid w:val="006D142E"/>
    <w:rsid w:val="006D1A89"/>
    <w:rsid w:val="006D2BBF"/>
    <w:rsid w:val="006D5AEF"/>
    <w:rsid w:val="006D77C8"/>
    <w:rsid w:val="006E549E"/>
    <w:rsid w:val="006E69DA"/>
    <w:rsid w:val="006E6D4F"/>
    <w:rsid w:val="006F4FF2"/>
    <w:rsid w:val="006F5935"/>
    <w:rsid w:val="00700D54"/>
    <w:rsid w:val="00704582"/>
    <w:rsid w:val="00712EAB"/>
    <w:rsid w:val="007138E8"/>
    <w:rsid w:val="007142A0"/>
    <w:rsid w:val="00715397"/>
    <w:rsid w:val="007155E7"/>
    <w:rsid w:val="00723A46"/>
    <w:rsid w:val="007249BB"/>
    <w:rsid w:val="00724C74"/>
    <w:rsid w:val="0072534A"/>
    <w:rsid w:val="00726218"/>
    <w:rsid w:val="00730887"/>
    <w:rsid w:val="007347D0"/>
    <w:rsid w:val="007357D2"/>
    <w:rsid w:val="00736C2C"/>
    <w:rsid w:val="00736F25"/>
    <w:rsid w:val="00737F19"/>
    <w:rsid w:val="00742C47"/>
    <w:rsid w:val="007435FF"/>
    <w:rsid w:val="00745423"/>
    <w:rsid w:val="007458C8"/>
    <w:rsid w:val="00745CFB"/>
    <w:rsid w:val="00754045"/>
    <w:rsid w:val="007541AF"/>
    <w:rsid w:val="007548AB"/>
    <w:rsid w:val="00755229"/>
    <w:rsid w:val="007573F4"/>
    <w:rsid w:val="00757AE2"/>
    <w:rsid w:val="00763BCD"/>
    <w:rsid w:val="00763F3F"/>
    <w:rsid w:val="0076711B"/>
    <w:rsid w:val="00770E2F"/>
    <w:rsid w:val="00771479"/>
    <w:rsid w:val="00776014"/>
    <w:rsid w:val="007826D1"/>
    <w:rsid w:val="00784217"/>
    <w:rsid w:val="00784D37"/>
    <w:rsid w:val="007928B0"/>
    <w:rsid w:val="0079512A"/>
    <w:rsid w:val="00795311"/>
    <w:rsid w:val="007969BE"/>
    <w:rsid w:val="0079730E"/>
    <w:rsid w:val="007A0222"/>
    <w:rsid w:val="007A1614"/>
    <w:rsid w:val="007A1DDA"/>
    <w:rsid w:val="007A3CB3"/>
    <w:rsid w:val="007A5A1C"/>
    <w:rsid w:val="007B574D"/>
    <w:rsid w:val="007B6A9A"/>
    <w:rsid w:val="007B72E0"/>
    <w:rsid w:val="007C44E4"/>
    <w:rsid w:val="007D1C91"/>
    <w:rsid w:val="007D28D2"/>
    <w:rsid w:val="007D41E5"/>
    <w:rsid w:val="007D4F64"/>
    <w:rsid w:val="007D5043"/>
    <w:rsid w:val="007D72CC"/>
    <w:rsid w:val="007E2997"/>
    <w:rsid w:val="007E39CF"/>
    <w:rsid w:val="007E740E"/>
    <w:rsid w:val="007F6AB2"/>
    <w:rsid w:val="008000E9"/>
    <w:rsid w:val="0080266A"/>
    <w:rsid w:val="00802EED"/>
    <w:rsid w:val="00811E6B"/>
    <w:rsid w:val="008132EA"/>
    <w:rsid w:val="0081440F"/>
    <w:rsid w:val="00830B78"/>
    <w:rsid w:val="008334ED"/>
    <w:rsid w:val="008335CF"/>
    <w:rsid w:val="008364CE"/>
    <w:rsid w:val="00845C85"/>
    <w:rsid w:val="00845FCC"/>
    <w:rsid w:val="00847384"/>
    <w:rsid w:val="008530A8"/>
    <w:rsid w:val="0085550D"/>
    <w:rsid w:val="00856239"/>
    <w:rsid w:val="00860D43"/>
    <w:rsid w:val="00867125"/>
    <w:rsid w:val="008717DC"/>
    <w:rsid w:val="00872067"/>
    <w:rsid w:val="00874507"/>
    <w:rsid w:val="00880830"/>
    <w:rsid w:val="00882009"/>
    <w:rsid w:val="00884062"/>
    <w:rsid w:val="008933A9"/>
    <w:rsid w:val="008935AE"/>
    <w:rsid w:val="00895C6C"/>
    <w:rsid w:val="00896D39"/>
    <w:rsid w:val="008A348B"/>
    <w:rsid w:val="008B2BEB"/>
    <w:rsid w:val="008B2E8C"/>
    <w:rsid w:val="008B343E"/>
    <w:rsid w:val="008B5819"/>
    <w:rsid w:val="008C00E5"/>
    <w:rsid w:val="008C332A"/>
    <w:rsid w:val="008C548C"/>
    <w:rsid w:val="008C56B1"/>
    <w:rsid w:val="008C7143"/>
    <w:rsid w:val="008C7E3D"/>
    <w:rsid w:val="008D17FA"/>
    <w:rsid w:val="008D2681"/>
    <w:rsid w:val="008D650A"/>
    <w:rsid w:val="008D68FE"/>
    <w:rsid w:val="008E0F7D"/>
    <w:rsid w:val="008E1815"/>
    <w:rsid w:val="008E3CBC"/>
    <w:rsid w:val="008E5729"/>
    <w:rsid w:val="008F202B"/>
    <w:rsid w:val="008F23AF"/>
    <w:rsid w:val="008F6837"/>
    <w:rsid w:val="00900BD6"/>
    <w:rsid w:val="0090319C"/>
    <w:rsid w:val="00904E4F"/>
    <w:rsid w:val="0090621D"/>
    <w:rsid w:val="009127FA"/>
    <w:rsid w:val="00913F34"/>
    <w:rsid w:val="00917886"/>
    <w:rsid w:val="00922466"/>
    <w:rsid w:val="00922BE3"/>
    <w:rsid w:val="00927F08"/>
    <w:rsid w:val="00937F77"/>
    <w:rsid w:val="009424ED"/>
    <w:rsid w:val="00942817"/>
    <w:rsid w:val="00943A76"/>
    <w:rsid w:val="00946B9C"/>
    <w:rsid w:val="009503E5"/>
    <w:rsid w:val="00950E5A"/>
    <w:rsid w:val="009528C1"/>
    <w:rsid w:val="009546BE"/>
    <w:rsid w:val="009614AF"/>
    <w:rsid w:val="00966623"/>
    <w:rsid w:val="00972050"/>
    <w:rsid w:val="0097527C"/>
    <w:rsid w:val="00980B01"/>
    <w:rsid w:val="00991166"/>
    <w:rsid w:val="00995E55"/>
    <w:rsid w:val="009972FF"/>
    <w:rsid w:val="009A16C5"/>
    <w:rsid w:val="009A2ABF"/>
    <w:rsid w:val="009A3CAA"/>
    <w:rsid w:val="009B0AA5"/>
    <w:rsid w:val="009B3049"/>
    <w:rsid w:val="009B3236"/>
    <w:rsid w:val="009B34C7"/>
    <w:rsid w:val="009B6381"/>
    <w:rsid w:val="009D3F98"/>
    <w:rsid w:val="009E060C"/>
    <w:rsid w:val="009E4A8D"/>
    <w:rsid w:val="009E4C1A"/>
    <w:rsid w:val="009E51D1"/>
    <w:rsid w:val="009F0F96"/>
    <w:rsid w:val="009F1108"/>
    <w:rsid w:val="009F459D"/>
    <w:rsid w:val="009F53AD"/>
    <w:rsid w:val="009F5C7D"/>
    <w:rsid w:val="009F724A"/>
    <w:rsid w:val="00A0095D"/>
    <w:rsid w:val="00A019B1"/>
    <w:rsid w:val="00A01D53"/>
    <w:rsid w:val="00A023DD"/>
    <w:rsid w:val="00A02AAF"/>
    <w:rsid w:val="00A04154"/>
    <w:rsid w:val="00A04292"/>
    <w:rsid w:val="00A05DA7"/>
    <w:rsid w:val="00A11464"/>
    <w:rsid w:val="00A11A3C"/>
    <w:rsid w:val="00A13023"/>
    <w:rsid w:val="00A2137D"/>
    <w:rsid w:val="00A238A6"/>
    <w:rsid w:val="00A251CA"/>
    <w:rsid w:val="00A26C08"/>
    <w:rsid w:val="00A31D4A"/>
    <w:rsid w:val="00A345B6"/>
    <w:rsid w:val="00A35B6B"/>
    <w:rsid w:val="00A371ED"/>
    <w:rsid w:val="00A40448"/>
    <w:rsid w:val="00A40A8C"/>
    <w:rsid w:val="00A41E43"/>
    <w:rsid w:val="00A44B76"/>
    <w:rsid w:val="00A52F10"/>
    <w:rsid w:val="00A54E3F"/>
    <w:rsid w:val="00A61851"/>
    <w:rsid w:val="00A63671"/>
    <w:rsid w:val="00A64D1D"/>
    <w:rsid w:val="00A76B7F"/>
    <w:rsid w:val="00A77DB9"/>
    <w:rsid w:val="00A808A4"/>
    <w:rsid w:val="00A81E0A"/>
    <w:rsid w:val="00A86A67"/>
    <w:rsid w:val="00A955B4"/>
    <w:rsid w:val="00A95774"/>
    <w:rsid w:val="00A96419"/>
    <w:rsid w:val="00AA1C9F"/>
    <w:rsid w:val="00AA3E8E"/>
    <w:rsid w:val="00AA40B0"/>
    <w:rsid w:val="00AA7388"/>
    <w:rsid w:val="00AC14F7"/>
    <w:rsid w:val="00AC240B"/>
    <w:rsid w:val="00AC2797"/>
    <w:rsid w:val="00AC3778"/>
    <w:rsid w:val="00AC381D"/>
    <w:rsid w:val="00AC5FB0"/>
    <w:rsid w:val="00AC7A8C"/>
    <w:rsid w:val="00AD50C6"/>
    <w:rsid w:val="00AD6218"/>
    <w:rsid w:val="00AD7F0E"/>
    <w:rsid w:val="00AE0B36"/>
    <w:rsid w:val="00AE3C5D"/>
    <w:rsid w:val="00AE4786"/>
    <w:rsid w:val="00AF1BDD"/>
    <w:rsid w:val="00AF4C41"/>
    <w:rsid w:val="00AF5B61"/>
    <w:rsid w:val="00B012B8"/>
    <w:rsid w:val="00B038EB"/>
    <w:rsid w:val="00B0561A"/>
    <w:rsid w:val="00B064CD"/>
    <w:rsid w:val="00B07320"/>
    <w:rsid w:val="00B1044E"/>
    <w:rsid w:val="00B12A73"/>
    <w:rsid w:val="00B16B48"/>
    <w:rsid w:val="00B203F1"/>
    <w:rsid w:val="00B32431"/>
    <w:rsid w:val="00B33719"/>
    <w:rsid w:val="00B34F0E"/>
    <w:rsid w:val="00B43F0A"/>
    <w:rsid w:val="00B44141"/>
    <w:rsid w:val="00B521CF"/>
    <w:rsid w:val="00B53C60"/>
    <w:rsid w:val="00B54DAA"/>
    <w:rsid w:val="00B630E5"/>
    <w:rsid w:val="00B64B0E"/>
    <w:rsid w:val="00B652C9"/>
    <w:rsid w:val="00B66027"/>
    <w:rsid w:val="00B6699C"/>
    <w:rsid w:val="00B66DF8"/>
    <w:rsid w:val="00B67B2D"/>
    <w:rsid w:val="00B73916"/>
    <w:rsid w:val="00B73C56"/>
    <w:rsid w:val="00B740FB"/>
    <w:rsid w:val="00B75471"/>
    <w:rsid w:val="00B77F3B"/>
    <w:rsid w:val="00B80512"/>
    <w:rsid w:val="00B81455"/>
    <w:rsid w:val="00B856E8"/>
    <w:rsid w:val="00B862F5"/>
    <w:rsid w:val="00B95806"/>
    <w:rsid w:val="00BA4362"/>
    <w:rsid w:val="00BB33C5"/>
    <w:rsid w:val="00BB6D8D"/>
    <w:rsid w:val="00BC239C"/>
    <w:rsid w:val="00BC4BEC"/>
    <w:rsid w:val="00BC4F83"/>
    <w:rsid w:val="00BD0FC9"/>
    <w:rsid w:val="00BD1C93"/>
    <w:rsid w:val="00BD406A"/>
    <w:rsid w:val="00BD61BC"/>
    <w:rsid w:val="00BD61E5"/>
    <w:rsid w:val="00BD73F6"/>
    <w:rsid w:val="00BE41A7"/>
    <w:rsid w:val="00BE5095"/>
    <w:rsid w:val="00BE6832"/>
    <w:rsid w:val="00BE77CF"/>
    <w:rsid w:val="00BF0FA8"/>
    <w:rsid w:val="00BF2298"/>
    <w:rsid w:val="00BF2709"/>
    <w:rsid w:val="00BF6AAB"/>
    <w:rsid w:val="00BF7229"/>
    <w:rsid w:val="00BF7D2C"/>
    <w:rsid w:val="00C00938"/>
    <w:rsid w:val="00C02F29"/>
    <w:rsid w:val="00C148A8"/>
    <w:rsid w:val="00C213D6"/>
    <w:rsid w:val="00C230B7"/>
    <w:rsid w:val="00C24495"/>
    <w:rsid w:val="00C268D6"/>
    <w:rsid w:val="00C374C7"/>
    <w:rsid w:val="00C427ED"/>
    <w:rsid w:val="00C42F01"/>
    <w:rsid w:val="00C44262"/>
    <w:rsid w:val="00C442D2"/>
    <w:rsid w:val="00C501D0"/>
    <w:rsid w:val="00C53E4B"/>
    <w:rsid w:val="00C62128"/>
    <w:rsid w:val="00C62BEE"/>
    <w:rsid w:val="00C648C0"/>
    <w:rsid w:val="00C66B04"/>
    <w:rsid w:val="00C77486"/>
    <w:rsid w:val="00C8513D"/>
    <w:rsid w:val="00C874BE"/>
    <w:rsid w:val="00C87652"/>
    <w:rsid w:val="00C94611"/>
    <w:rsid w:val="00C96234"/>
    <w:rsid w:val="00C97C40"/>
    <w:rsid w:val="00CA05C5"/>
    <w:rsid w:val="00CA0A18"/>
    <w:rsid w:val="00CA67E9"/>
    <w:rsid w:val="00CB3740"/>
    <w:rsid w:val="00CB5F63"/>
    <w:rsid w:val="00CC3B85"/>
    <w:rsid w:val="00CC65D3"/>
    <w:rsid w:val="00CC727E"/>
    <w:rsid w:val="00CC7C50"/>
    <w:rsid w:val="00CD238C"/>
    <w:rsid w:val="00CD6063"/>
    <w:rsid w:val="00CD64B7"/>
    <w:rsid w:val="00CD6A4B"/>
    <w:rsid w:val="00CE2A55"/>
    <w:rsid w:val="00CE6D02"/>
    <w:rsid w:val="00CE7901"/>
    <w:rsid w:val="00CF512C"/>
    <w:rsid w:val="00CF5DAE"/>
    <w:rsid w:val="00CF6C6C"/>
    <w:rsid w:val="00CF72E1"/>
    <w:rsid w:val="00D01AF9"/>
    <w:rsid w:val="00D01BC1"/>
    <w:rsid w:val="00D01D06"/>
    <w:rsid w:val="00D0272B"/>
    <w:rsid w:val="00D053E9"/>
    <w:rsid w:val="00D05777"/>
    <w:rsid w:val="00D0663C"/>
    <w:rsid w:val="00D23B9D"/>
    <w:rsid w:val="00D31B60"/>
    <w:rsid w:val="00D3742D"/>
    <w:rsid w:val="00D40870"/>
    <w:rsid w:val="00D41196"/>
    <w:rsid w:val="00D415ED"/>
    <w:rsid w:val="00D45DF2"/>
    <w:rsid w:val="00D45E39"/>
    <w:rsid w:val="00D51A01"/>
    <w:rsid w:val="00D53597"/>
    <w:rsid w:val="00D54226"/>
    <w:rsid w:val="00D56F61"/>
    <w:rsid w:val="00D63529"/>
    <w:rsid w:val="00D645A4"/>
    <w:rsid w:val="00D72B5F"/>
    <w:rsid w:val="00D73397"/>
    <w:rsid w:val="00D81268"/>
    <w:rsid w:val="00D8454E"/>
    <w:rsid w:val="00D9117D"/>
    <w:rsid w:val="00D913B1"/>
    <w:rsid w:val="00D9395B"/>
    <w:rsid w:val="00D95CB5"/>
    <w:rsid w:val="00DA0CE1"/>
    <w:rsid w:val="00DB0ACF"/>
    <w:rsid w:val="00DB19CA"/>
    <w:rsid w:val="00DB29A0"/>
    <w:rsid w:val="00DB37F7"/>
    <w:rsid w:val="00DB391C"/>
    <w:rsid w:val="00DB53D4"/>
    <w:rsid w:val="00DB6BA2"/>
    <w:rsid w:val="00DC02A4"/>
    <w:rsid w:val="00DC0561"/>
    <w:rsid w:val="00DC25FB"/>
    <w:rsid w:val="00DC552C"/>
    <w:rsid w:val="00DD21F9"/>
    <w:rsid w:val="00DD233C"/>
    <w:rsid w:val="00DD2ED8"/>
    <w:rsid w:val="00DD36D0"/>
    <w:rsid w:val="00DD5142"/>
    <w:rsid w:val="00DE402D"/>
    <w:rsid w:val="00DE46B0"/>
    <w:rsid w:val="00DE7930"/>
    <w:rsid w:val="00DF2DB5"/>
    <w:rsid w:val="00DF3178"/>
    <w:rsid w:val="00DF527E"/>
    <w:rsid w:val="00DF626B"/>
    <w:rsid w:val="00DF6348"/>
    <w:rsid w:val="00DF63CB"/>
    <w:rsid w:val="00DF6FD3"/>
    <w:rsid w:val="00E01E8F"/>
    <w:rsid w:val="00E05188"/>
    <w:rsid w:val="00E06CA2"/>
    <w:rsid w:val="00E12540"/>
    <w:rsid w:val="00E1514B"/>
    <w:rsid w:val="00E15C17"/>
    <w:rsid w:val="00E2154B"/>
    <w:rsid w:val="00E225DF"/>
    <w:rsid w:val="00E25078"/>
    <w:rsid w:val="00E25E4E"/>
    <w:rsid w:val="00E271A2"/>
    <w:rsid w:val="00E307EB"/>
    <w:rsid w:val="00E309A0"/>
    <w:rsid w:val="00E33DDE"/>
    <w:rsid w:val="00E35E48"/>
    <w:rsid w:val="00E36A7C"/>
    <w:rsid w:val="00E41603"/>
    <w:rsid w:val="00E4228B"/>
    <w:rsid w:val="00E456E4"/>
    <w:rsid w:val="00E4680C"/>
    <w:rsid w:val="00E510BF"/>
    <w:rsid w:val="00E52A8D"/>
    <w:rsid w:val="00E52F28"/>
    <w:rsid w:val="00E5321D"/>
    <w:rsid w:val="00E53E54"/>
    <w:rsid w:val="00E57083"/>
    <w:rsid w:val="00E606C4"/>
    <w:rsid w:val="00E609E3"/>
    <w:rsid w:val="00E609F7"/>
    <w:rsid w:val="00E60E88"/>
    <w:rsid w:val="00E620AC"/>
    <w:rsid w:val="00E6325A"/>
    <w:rsid w:val="00E63F18"/>
    <w:rsid w:val="00E64E62"/>
    <w:rsid w:val="00E66583"/>
    <w:rsid w:val="00E72B83"/>
    <w:rsid w:val="00E732ED"/>
    <w:rsid w:val="00E75D9E"/>
    <w:rsid w:val="00E7632F"/>
    <w:rsid w:val="00E76649"/>
    <w:rsid w:val="00E77701"/>
    <w:rsid w:val="00E777F5"/>
    <w:rsid w:val="00E8159C"/>
    <w:rsid w:val="00E81E86"/>
    <w:rsid w:val="00E82B6F"/>
    <w:rsid w:val="00E836F6"/>
    <w:rsid w:val="00E92DB0"/>
    <w:rsid w:val="00E94400"/>
    <w:rsid w:val="00E94581"/>
    <w:rsid w:val="00E9504D"/>
    <w:rsid w:val="00EA5902"/>
    <w:rsid w:val="00EA698B"/>
    <w:rsid w:val="00EB26F3"/>
    <w:rsid w:val="00EB2D80"/>
    <w:rsid w:val="00EB4A86"/>
    <w:rsid w:val="00EB4B4A"/>
    <w:rsid w:val="00EB561F"/>
    <w:rsid w:val="00EC4F0D"/>
    <w:rsid w:val="00ED1C62"/>
    <w:rsid w:val="00ED357E"/>
    <w:rsid w:val="00ED560C"/>
    <w:rsid w:val="00EE0528"/>
    <w:rsid w:val="00EE3B63"/>
    <w:rsid w:val="00EE581F"/>
    <w:rsid w:val="00EF6BCD"/>
    <w:rsid w:val="00F02BD0"/>
    <w:rsid w:val="00F04442"/>
    <w:rsid w:val="00F10409"/>
    <w:rsid w:val="00F17E0B"/>
    <w:rsid w:val="00F2339F"/>
    <w:rsid w:val="00F25615"/>
    <w:rsid w:val="00F25A16"/>
    <w:rsid w:val="00F26D24"/>
    <w:rsid w:val="00F2790F"/>
    <w:rsid w:val="00F30433"/>
    <w:rsid w:val="00F315BA"/>
    <w:rsid w:val="00F32015"/>
    <w:rsid w:val="00F41403"/>
    <w:rsid w:val="00F44044"/>
    <w:rsid w:val="00F464C9"/>
    <w:rsid w:val="00F46625"/>
    <w:rsid w:val="00F5134B"/>
    <w:rsid w:val="00F527BE"/>
    <w:rsid w:val="00F53C34"/>
    <w:rsid w:val="00F54074"/>
    <w:rsid w:val="00F54C1B"/>
    <w:rsid w:val="00F561A2"/>
    <w:rsid w:val="00F57299"/>
    <w:rsid w:val="00F64ABB"/>
    <w:rsid w:val="00F72F41"/>
    <w:rsid w:val="00F74151"/>
    <w:rsid w:val="00F7567A"/>
    <w:rsid w:val="00F831CD"/>
    <w:rsid w:val="00F8609F"/>
    <w:rsid w:val="00F95122"/>
    <w:rsid w:val="00F97369"/>
    <w:rsid w:val="00FA57BF"/>
    <w:rsid w:val="00FA622F"/>
    <w:rsid w:val="00FA71EB"/>
    <w:rsid w:val="00FB1F3A"/>
    <w:rsid w:val="00FB5FAA"/>
    <w:rsid w:val="00FB7094"/>
    <w:rsid w:val="00FC0103"/>
    <w:rsid w:val="00FC06B5"/>
    <w:rsid w:val="00FC631D"/>
    <w:rsid w:val="00FC6AA2"/>
    <w:rsid w:val="00FC7969"/>
    <w:rsid w:val="00FD0ACF"/>
    <w:rsid w:val="00FD10C9"/>
    <w:rsid w:val="00FD41D5"/>
    <w:rsid w:val="00FD4729"/>
    <w:rsid w:val="00FE78B1"/>
    <w:rsid w:val="00FF3B4B"/>
    <w:rsid w:val="00FF67A5"/>
    <w:rsid w:val="00FF705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F7F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uiPriority w:val="9"/>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rsid w:val="00B66DF8"/>
    <w:rPr>
      <w:rFonts w:ascii="Tahoma" w:eastAsia="Calibri" w:hAnsi="Tahoma" w:cs="Times New Roman"/>
      <w:sz w:val="16"/>
      <w:szCs w:val="16"/>
    </w:rPr>
  </w:style>
  <w:style w:type="paragraph" w:styleId="BodyTextIndent">
    <w:name w:val="Body Text Indent"/>
    <w:basedOn w:val="Normal"/>
    <w:link w:val="BodyTextIndentChar"/>
    <w:uiPriority w:val="99"/>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uiPriority w:val="99"/>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99"/>
    <w:rsid w:val="00B66DF8"/>
    <w:pPr>
      <w:spacing w:after="120"/>
    </w:pPr>
    <w:rPr>
      <w:bCs/>
      <w:sz w:val="24"/>
      <w:szCs w:val="24"/>
      <w:lang w:val="en-US"/>
    </w:rPr>
  </w:style>
  <w:style w:type="character" w:customStyle="1" w:styleId="BodyTextChar">
    <w:name w:val="Body Text Char"/>
    <w:basedOn w:val="DefaultParagraphFont"/>
    <w:link w:val="BodyText"/>
    <w:uiPriority w:val="99"/>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4D4277"/>
    <w:pPr>
      <w:tabs>
        <w:tab w:val="right" w:leader="dot" w:pos="9457"/>
      </w:tabs>
      <w:jc w:val="left"/>
    </w:pPr>
    <w:rPr>
      <w:rFonts w:ascii="Verdana" w:hAnsi="Verdana" w:cs="Vrinda"/>
      <w:b/>
      <w:noProof/>
      <w:snapToGrid w:val="0"/>
      <w:sz w:val="20"/>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uiPriority w:val="99"/>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uiPriority w:val="99"/>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uiPriority w:val="5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341B34"/>
    <w:pPr>
      <w:widowControl w:val="0"/>
      <w:shd w:val="clear" w:color="auto" w:fill="FFFFFF"/>
      <w:spacing w:line="240" w:lineRule="atLeast"/>
      <w:jc w:val="left"/>
    </w:pPr>
    <w:rPr>
      <w:rFonts w:eastAsiaTheme="minorHAnsi"/>
      <w:b/>
      <w:bCs/>
      <w:sz w:val="18"/>
      <w:szCs w:val="18"/>
    </w:rPr>
  </w:style>
  <w:style w:type="table" w:styleId="LightShading-Accent3">
    <w:name w:val="Light Shading Accent 3"/>
    <w:basedOn w:val="TableNormal"/>
    <w:uiPriority w:val="60"/>
    <w:rsid w:val="00DA0CE1"/>
    <w:pPr>
      <w:spacing w:after="0" w:line="240" w:lineRule="auto"/>
    </w:p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3">
    <w:name w:val="Заглавие на таблица"/>
    <w:rsid w:val="00B73916"/>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B7391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B73916"/>
    <w:rPr>
      <w:i/>
      <w:iCs/>
    </w:rPr>
  </w:style>
  <w:style w:type="paragraph" w:customStyle="1" w:styleId="Standard">
    <w:name w:val="Standard"/>
    <w:rsid w:val="00B73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uiPriority w:val="99"/>
    <w:rsid w:val="00B73916"/>
    <w:rPr>
      <w:rFonts w:ascii="Arial" w:eastAsia="Times New Roman" w:hAnsi="Arial" w:cs="Times New Roman"/>
      <w:bCs/>
      <w:sz w:val="20"/>
      <w:szCs w:val="24"/>
      <w:lang w:val="en-GB"/>
    </w:rPr>
  </w:style>
  <w:style w:type="paragraph" w:styleId="NoSpacing">
    <w:name w:val="No Spacing"/>
    <w:uiPriority w:val="99"/>
    <w:qFormat/>
    <w:rsid w:val="00B73916"/>
    <w:pPr>
      <w:spacing w:after="0" w:line="240" w:lineRule="auto"/>
      <w:jc w:val="both"/>
    </w:pPr>
    <w:rPr>
      <w:rFonts w:ascii="Times New Roman" w:eastAsia="Times New Roman" w:hAnsi="Times New Roman" w:cs="Times New Roman"/>
      <w:szCs w:val="20"/>
    </w:rPr>
  </w:style>
  <w:style w:type="character" w:customStyle="1" w:styleId="000NormalChar">
    <w:name w:val="000 Normal Char"/>
    <w:link w:val="000Normal"/>
    <w:locked/>
    <w:rsid w:val="00B73916"/>
    <w:rPr>
      <w:rFonts w:ascii="Garamond" w:eastAsia="Times New Roman" w:hAnsi="Garamond" w:cs="Times New Roman"/>
      <w:bCs/>
      <w:sz w:val="20"/>
      <w:szCs w:val="24"/>
    </w:rPr>
  </w:style>
  <w:style w:type="character" w:styleId="Strong">
    <w:name w:val="Strong"/>
    <w:uiPriority w:val="22"/>
    <w:qFormat/>
    <w:rsid w:val="00B73916"/>
    <w:rPr>
      <w:b/>
      <w:bCs/>
    </w:rPr>
  </w:style>
  <w:style w:type="paragraph" w:customStyle="1" w:styleId="Default">
    <w:name w:val="Default"/>
    <w:rsid w:val="00942817"/>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4D42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060">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9210299">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24138353">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61146671">
      <w:bodyDiv w:val="1"/>
      <w:marLeft w:val="0"/>
      <w:marRight w:val="0"/>
      <w:marTop w:val="0"/>
      <w:marBottom w:val="0"/>
      <w:divBdr>
        <w:top w:val="none" w:sz="0" w:space="0" w:color="auto"/>
        <w:left w:val="none" w:sz="0" w:space="0" w:color="auto"/>
        <w:bottom w:val="none" w:sz="0" w:space="0" w:color="auto"/>
        <w:right w:val="none" w:sz="0" w:space="0" w:color="auto"/>
      </w:divBdr>
    </w:div>
    <w:div w:id="618313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73744387">
      <w:bodyDiv w:val="1"/>
      <w:marLeft w:val="0"/>
      <w:marRight w:val="0"/>
      <w:marTop w:val="0"/>
      <w:marBottom w:val="0"/>
      <w:divBdr>
        <w:top w:val="none" w:sz="0" w:space="0" w:color="auto"/>
        <w:left w:val="none" w:sz="0" w:space="0" w:color="auto"/>
        <w:bottom w:val="none" w:sz="0" w:space="0" w:color="auto"/>
        <w:right w:val="none" w:sz="0" w:space="0" w:color="auto"/>
      </w:divBdr>
    </w:div>
    <w:div w:id="76294796">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5008215">
      <w:bodyDiv w:val="1"/>
      <w:marLeft w:val="0"/>
      <w:marRight w:val="0"/>
      <w:marTop w:val="0"/>
      <w:marBottom w:val="0"/>
      <w:divBdr>
        <w:top w:val="none" w:sz="0" w:space="0" w:color="auto"/>
        <w:left w:val="none" w:sz="0" w:space="0" w:color="auto"/>
        <w:bottom w:val="none" w:sz="0" w:space="0" w:color="auto"/>
        <w:right w:val="none" w:sz="0" w:space="0" w:color="auto"/>
      </w:divBdr>
    </w:div>
    <w:div w:id="85809652">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282255">
      <w:bodyDiv w:val="1"/>
      <w:marLeft w:val="0"/>
      <w:marRight w:val="0"/>
      <w:marTop w:val="0"/>
      <w:marBottom w:val="0"/>
      <w:divBdr>
        <w:top w:val="none" w:sz="0" w:space="0" w:color="auto"/>
        <w:left w:val="none" w:sz="0" w:space="0" w:color="auto"/>
        <w:bottom w:val="none" w:sz="0" w:space="0" w:color="auto"/>
        <w:right w:val="none" w:sz="0" w:space="0" w:color="auto"/>
      </w:divBdr>
    </w:div>
    <w:div w:id="96098535">
      <w:bodyDiv w:val="1"/>
      <w:marLeft w:val="0"/>
      <w:marRight w:val="0"/>
      <w:marTop w:val="0"/>
      <w:marBottom w:val="0"/>
      <w:divBdr>
        <w:top w:val="none" w:sz="0" w:space="0" w:color="auto"/>
        <w:left w:val="none" w:sz="0" w:space="0" w:color="auto"/>
        <w:bottom w:val="none" w:sz="0" w:space="0" w:color="auto"/>
        <w:right w:val="none" w:sz="0" w:space="0" w:color="auto"/>
      </w:divBdr>
    </w:div>
    <w:div w:id="102462033">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10168190">
      <w:bodyDiv w:val="1"/>
      <w:marLeft w:val="0"/>
      <w:marRight w:val="0"/>
      <w:marTop w:val="0"/>
      <w:marBottom w:val="0"/>
      <w:divBdr>
        <w:top w:val="none" w:sz="0" w:space="0" w:color="auto"/>
        <w:left w:val="none" w:sz="0" w:space="0" w:color="auto"/>
        <w:bottom w:val="none" w:sz="0" w:space="0" w:color="auto"/>
        <w:right w:val="none" w:sz="0" w:space="0" w:color="auto"/>
      </w:divBdr>
    </w:div>
    <w:div w:id="116140948">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49444596">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45070765">
      <w:bodyDiv w:val="1"/>
      <w:marLeft w:val="0"/>
      <w:marRight w:val="0"/>
      <w:marTop w:val="0"/>
      <w:marBottom w:val="0"/>
      <w:divBdr>
        <w:top w:val="none" w:sz="0" w:space="0" w:color="auto"/>
        <w:left w:val="none" w:sz="0" w:space="0" w:color="auto"/>
        <w:bottom w:val="none" w:sz="0" w:space="0" w:color="auto"/>
        <w:right w:val="none" w:sz="0" w:space="0" w:color="auto"/>
      </w:divBdr>
    </w:div>
    <w:div w:id="247083693">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0601805">
      <w:bodyDiv w:val="1"/>
      <w:marLeft w:val="0"/>
      <w:marRight w:val="0"/>
      <w:marTop w:val="0"/>
      <w:marBottom w:val="0"/>
      <w:divBdr>
        <w:top w:val="none" w:sz="0" w:space="0" w:color="auto"/>
        <w:left w:val="none" w:sz="0" w:space="0" w:color="auto"/>
        <w:bottom w:val="none" w:sz="0" w:space="0" w:color="auto"/>
        <w:right w:val="none" w:sz="0" w:space="0" w:color="auto"/>
      </w:divBdr>
    </w:div>
    <w:div w:id="262616266">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298268603">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3795663">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5715987">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9961349">
      <w:bodyDiv w:val="1"/>
      <w:marLeft w:val="0"/>
      <w:marRight w:val="0"/>
      <w:marTop w:val="0"/>
      <w:marBottom w:val="0"/>
      <w:divBdr>
        <w:top w:val="none" w:sz="0" w:space="0" w:color="auto"/>
        <w:left w:val="none" w:sz="0" w:space="0" w:color="auto"/>
        <w:bottom w:val="none" w:sz="0" w:space="0" w:color="auto"/>
        <w:right w:val="none" w:sz="0" w:space="0" w:color="auto"/>
      </w:divBdr>
    </w:div>
    <w:div w:id="393822474">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4204196">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4860429">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09461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8447148">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3424023">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1019502">
      <w:bodyDiv w:val="1"/>
      <w:marLeft w:val="0"/>
      <w:marRight w:val="0"/>
      <w:marTop w:val="0"/>
      <w:marBottom w:val="0"/>
      <w:divBdr>
        <w:top w:val="none" w:sz="0" w:space="0" w:color="auto"/>
        <w:left w:val="none" w:sz="0" w:space="0" w:color="auto"/>
        <w:bottom w:val="none" w:sz="0" w:space="0" w:color="auto"/>
        <w:right w:val="none" w:sz="0" w:space="0" w:color="auto"/>
      </w:divBdr>
    </w:div>
    <w:div w:id="562521144">
      <w:bodyDiv w:val="1"/>
      <w:marLeft w:val="0"/>
      <w:marRight w:val="0"/>
      <w:marTop w:val="0"/>
      <w:marBottom w:val="0"/>
      <w:divBdr>
        <w:top w:val="none" w:sz="0" w:space="0" w:color="auto"/>
        <w:left w:val="none" w:sz="0" w:space="0" w:color="auto"/>
        <w:bottom w:val="none" w:sz="0" w:space="0" w:color="auto"/>
        <w:right w:val="none" w:sz="0" w:space="0" w:color="auto"/>
      </w:divBdr>
    </w:div>
    <w:div w:id="571820098">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08510893">
      <w:bodyDiv w:val="1"/>
      <w:marLeft w:val="0"/>
      <w:marRight w:val="0"/>
      <w:marTop w:val="0"/>
      <w:marBottom w:val="0"/>
      <w:divBdr>
        <w:top w:val="none" w:sz="0" w:space="0" w:color="auto"/>
        <w:left w:val="none" w:sz="0" w:space="0" w:color="auto"/>
        <w:bottom w:val="none" w:sz="0" w:space="0" w:color="auto"/>
        <w:right w:val="none" w:sz="0" w:space="0" w:color="auto"/>
      </w:divBdr>
    </w:div>
    <w:div w:id="609512254">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3222554">
      <w:bodyDiv w:val="1"/>
      <w:marLeft w:val="0"/>
      <w:marRight w:val="0"/>
      <w:marTop w:val="0"/>
      <w:marBottom w:val="0"/>
      <w:divBdr>
        <w:top w:val="none" w:sz="0" w:space="0" w:color="auto"/>
        <w:left w:val="none" w:sz="0" w:space="0" w:color="auto"/>
        <w:bottom w:val="none" w:sz="0" w:space="0" w:color="auto"/>
        <w:right w:val="none" w:sz="0" w:space="0" w:color="auto"/>
      </w:divBdr>
    </w:div>
    <w:div w:id="647056083">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2955086">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6632441">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85860692">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2819291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38208381">
      <w:bodyDiv w:val="1"/>
      <w:marLeft w:val="0"/>
      <w:marRight w:val="0"/>
      <w:marTop w:val="0"/>
      <w:marBottom w:val="0"/>
      <w:divBdr>
        <w:top w:val="none" w:sz="0" w:space="0" w:color="auto"/>
        <w:left w:val="none" w:sz="0" w:space="0" w:color="auto"/>
        <w:bottom w:val="none" w:sz="0" w:space="0" w:color="auto"/>
        <w:right w:val="none" w:sz="0" w:space="0" w:color="auto"/>
      </w:divBdr>
    </w:div>
    <w:div w:id="744691743">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0977066">
      <w:bodyDiv w:val="1"/>
      <w:marLeft w:val="0"/>
      <w:marRight w:val="0"/>
      <w:marTop w:val="0"/>
      <w:marBottom w:val="0"/>
      <w:divBdr>
        <w:top w:val="none" w:sz="0" w:space="0" w:color="auto"/>
        <w:left w:val="none" w:sz="0" w:space="0" w:color="auto"/>
        <w:bottom w:val="none" w:sz="0" w:space="0" w:color="auto"/>
        <w:right w:val="none" w:sz="0" w:space="0" w:color="auto"/>
      </w:divBdr>
    </w:div>
    <w:div w:id="768544298">
      <w:bodyDiv w:val="1"/>
      <w:marLeft w:val="0"/>
      <w:marRight w:val="0"/>
      <w:marTop w:val="0"/>
      <w:marBottom w:val="0"/>
      <w:divBdr>
        <w:top w:val="none" w:sz="0" w:space="0" w:color="auto"/>
        <w:left w:val="none" w:sz="0" w:space="0" w:color="auto"/>
        <w:bottom w:val="none" w:sz="0" w:space="0" w:color="auto"/>
        <w:right w:val="none" w:sz="0" w:space="0" w:color="auto"/>
      </w:divBdr>
    </w:div>
    <w:div w:id="770779842">
      <w:bodyDiv w:val="1"/>
      <w:marLeft w:val="0"/>
      <w:marRight w:val="0"/>
      <w:marTop w:val="0"/>
      <w:marBottom w:val="0"/>
      <w:divBdr>
        <w:top w:val="none" w:sz="0" w:space="0" w:color="auto"/>
        <w:left w:val="none" w:sz="0" w:space="0" w:color="auto"/>
        <w:bottom w:val="none" w:sz="0" w:space="0" w:color="auto"/>
        <w:right w:val="none" w:sz="0" w:space="0" w:color="auto"/>
      </w:divBdr>
    </w:div>
    <w:div w:id="774516944">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11025762">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36336821">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4925046">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9941530">
      <w:bodyDiv w:val="1"/>
      <w:marLeft w:val="0"/>
      <w:marRight w:val="0"/>
      <w:marTop w:val="0"/>
      <w:marBottom w:val="0"/>
      <w:divBdr>
        <w:top w:val="none" w:sz="0" w:space="0" w:color="auto"/>
        <w:left w:val="none" w:sz="0" w:space="0" w:color="auto"/>
        <w:bottom w:val="none" w:sz="0" w:space="0" w:color="auto"/>
        <w:right w:val="none" w:sz="0" w:space="0" w:color="auto"/>
      </w:divBdr>
    </w:div>
    <w:div w:id="903025378">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21793657">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269852">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52903885">
      <w:bodyDiv w:val="1"/>
      <w:marLeft w:val="0"/>
      <w:marRight w:val="0"/>
      <w:marTop w:val="0"/>
      <w:marBottom w:val="0"/>
      <w:divBdr>
        <w:top w:val="none" w:sz="0" w:space="0" w:color="auto"/>
        <w:left w:val="none" w:sz="0" w:space="0" w:color="auto"/>
        <w:bottom w:val="none" w:sz="0" w:space="0" w:color="auto"/>
        <w:right w:val="none" w:sz="0" w:space="0" w:color="auto"/>
      </w:divBdr>
    </w:div>
    <w:div w:id="958487428">
      <w:bodyDiv w:val="1"/>
      <w:marLeft w:val="0"/>
      <w:marRight w:val="0"/>
      <w:marTop w:val="0"/>
      <w:marBottom w:val="0"/>
      <w:divBdr>
        <w:top w:val="none" w:sz="0" w:space="0" w:color="auto"/>
        <w:left w:val="none" w:sz="0" w:space="0" w:color="auto"/>
        <w:bottom w:val="none" w:sz="0" w:space="0" w:color="auto"/>
        <w:right w:val="none" w:sz="0" w:space="0" w:color="auto"/>
      </w:divBdr>
    </w:div>
    <w:div w:id="961158307">
      <w:bodyDiv w:val="1"/>
      <w:marLeft w:val="0"/>
      <w:marRight w:val="0"/>
      <w:marTop w:val="0"/>
      <w:marBottom w:val="0"/>
      <w:divBdr>
        <w:top w:val="none" w:sz="0" w:space="0" w:color="auto"/>
        <w:left w:val="none" w:sz="0" w:space="0" w:color="auto"/>
        <w:bottom w:val="none" w:sz="0" w:space="0" w:color="auto"/>
        <w:right w:val="none" w:sz="0" w:space="0" w:color="auto"/>
      </w:divBdr>
    </w:div>
    <w:div w:id="963970082">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065291">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92442741">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5227184">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96556802">
      <w:bodyDiv w:val="1"/>
      <w:marLeft w:val="0"/>
      <w:marRight w:val="0"/>
      <w:marTop w:val="0"/>
      <w:marBottom w:val="0"/>
      <w:divBdr>
        <w:top w:val="none" w:sz="0" w:space="0" w:color="auto"/>
        <w:left w:val="none" w:sz="0" w:space="0" w:color="auto"/>
        <w:bottom w:val="none" w:sz="0" w:space="0" w:color="auto"/>
        <w:right w:val="none" w:sz="0" w:space="0" w:color="auto"/>
      </w:divBdr>
    </w:div>
    <w:div w:id="1101297624">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62966459">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72598232">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976205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226065918">
      <w:bodyDiv w:val="1"/>
      <w:marLeft w:val="0"/>
      <w:marRight w:val="0"/>
      <w:marTop w:val="0"/>
      <w:marBottom w:val="0"/>
      <w:divBdr>
        <w:top w:val="none" w:sz="0" w:space="0" w:color="auto"/>
        <w:left w:val="none" w:sz="0" w:space="0" w:color="auto"/>
        <w:bottom w:val="none" w:sz="0" w:space="0" w:color="auto"/>
        <w:right w:val="none" w:sz="0" w:space="0" w:color="auto"/>
      </w:divBdr>
    </w:div>
    <w:div w:id="1226452865">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9853026">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9243938">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33340685">
      <w:bodyDiv w:val="1"/>
      <w:marLeft w:val="0"/>
      <w:marRight w:val="0"/>
      <w:marTop w:val="0"/>
      <w:marBottom w:val="0"/>
      <w:divBdr>
        <w:top w:val="none" w:sz="0" w:space="0" w:color="auto"/>
        <w:left w:val="none" w:sz="0" w:space="0" w:color="auto"/>
        <w:bottom w:val="none" w:sz="0" w:space="0" w:color="auto"/>
        <w:right w:val="none" w:sz="0" w:space="0" w:color="auto"/>
      </w:divBdr>
    </w:div>
    <w:div w:id="1334256196">
      <w:bodyDiv w:val="1"/>
      <w:marLeft w:val="0"/>
      <w:marRight w:val="0"/>
      <w:marTop w:val="0"/>
      <w:marBottom w:val="0"/>
      <w:divBdr>
        <w:top w:val="none" w:sz="0" w:space="0" w:color="auto"/>
        <w:left w:val="none" w:sz="0" w:space="0" w:color="auto"/>
        <w:bottom w:val="none" w:sz="0" w:space="0" w:color="auto"/>
        <w:right w:val="none" w:sz="0" w:space="0" w:color="auto"/>
      </w:divBdr>
    </w:div>
    <w:div w:id="1347832344">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143028">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5861351">
      <w:bodyDiv w:val="1"/>
      <w:marLeft w:val="0"/>
      <w:marRight w:val="0"/>
      <w:marTop w:val="0"/>
      <w:marBottom w:val="0"/>
      <w:divBdr>
        <w:top w:val="none" w:sz="0" w:space="0" w:color="auto"/>
        <w:left w:val="none" w:sz="0" w:space="0" w:color="auto"/>
        <w:bottom w:val="none" w:sz="0" w:space="0" w:color="auto"/>
        <w:right w:val="none" w:sz="0" w:space="0" w:color="auto"/>
      </w:divBdr>
    </w:div>
    <w:div w:id="1370569476">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4813181">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10079747">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27383218">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49197591">
      <w:bodyDiv w:val="1"/>
      <w:marLeft w:val="0"/>
      <w:marRight w:val="0"/>
      <w:marTop w:val="0"/>
      <w:marBottom w:val="0"/>
      <w:divBdr>
        <w:top w:val="none" w:sz="0" w:space="0" w:color="auto"/>
        <w:left w:val="none" w:sz="0" w:space="0" w:color="auto"/>
        <w:bottom w:val="none" w:sz="0" w:space="0" w:color="auto"/>
        <w:right w:val="none" w:sz="0" w:space="0" w:color="auto"/>
      </w:divBdr>
    </w:div>
    <w:div w:id="1452744111">
      <w:bodyDiv w:val="1"/>
      <w:marLeft w:val="0"/>
      <w:marRight w:val="0"/>
      <w:marTop w:val="0"/>
      <w:marBottom w:val="0"/>
      <w:divBdr>
        <w:top w:val="none" w:sz="0" w:space="0" w:color="auto"/>
        <w:left w:val="none" w:sz="0" w:space="0" w:color="auto"/>
        <w:bottom w:val="none" w:sz="0" w:space="0" w:color="auto"/>
        <w:right w:val="none" w:sz="0" w:space="0" w:color="auto"/>
      </w:divBdr>
    </w:div>
    <w:div w:id="1464887948">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22208010">
      <w:bodyDiv w:val="1"/>
      <w:marLeft w:val="0"/>
      <w:marRight w:val="0"/>
      <w:marTop w:val="0"/>
      <w:marBottom w:val="0"/>
      <w:divBdr>
        <w:top w:val="none" w:sz="0" w:space="0" w:color="auto"/>
        <w:left w:val="none" w:sz="0" w:space="0" w:color="auto"/>
        <w:bottom w:val="none" w:sz="0" w:space="0" w:color="auto"/>
        <w:right w:val="none" w:sz="0" w:space="0" w:color="auto"/>
      </w:divBdr>
    </w:div>
    <w:div w:id="1524050344">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49800807">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580542">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72169">
      <w:bodyDiv w:val="1"/>
      <w:marLeft w:val="0"/>
      <w:marRight w:val="0"/>
      <w:marTop w:val="0"/>
      <w:marBottom w:val="0"/>
      <w:divBdr>
        <w:top w:val="none" w:sz="0" w:space="0" w:color="auto"/>
        <w:left w:val="none" w:sz="0" w:space="0" w:color="auto"/>
        <w:bottom w:val="none" w:sz="0" w:space="0" w:color="auto"/>
        <w:right w:val="none" w:sz="0" w:space="0" w:color="auto"/>
      </w:divBdr>
    </w:div>
    <w:div w:id="1559439366">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7106714">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579564">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2453284">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33947871">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62153413">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0645913">
      <w:bodyDiv w:val="1"/>
      <w:marLeft w:val="0"/>
      <w:marRight w:val="0"/>
      <w:marTop w:val="0"/>
      <w:marBottom w:val="0"/>
      <w:divBdr>
        <w:top w:val="none" w:sz="0" w:space="0" w:color="auto"/>
        <w:left w:val="none" w:sz="0" w:space="0" w:color="auto"/>
        <w:bottom w:val="none" w:sz="0" w:space="0" w:color="auto"/>
        <w:right w:val="none" w:sz="0" w:space="0" w:color="auto"/>
      </w:divBdr>
    </w:div>
    <w:div w:id="1728184545">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40205336">
      <w:bodyDiv w:val="1"/>
      <w:marLeft w:val="0"/>
      <w:marRight w:val="0"/>
      <w:marTop w:val="0"/>
      <w:marBottom w:val="0"/>
      <w:divBdr>
        <w:top w:val="none" w:sz="0" w:space="0" w:color="auto"/>
        <w:left w:val="none" w:sz="0" w:space="0" w:color="auto"/>
        <w:bottom w:val="none" w:sz="0" w:space="0" w:color="auto"/>
        <w:right w:val="none" w:sz="0" w:space="0" w:color="auto"/>
      </w:divBdr>
    </w:div>
    <w:div w:id="174406062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50688032">
      <w:bodyDiv w:val="1"/>
      <w:marLeft w:val="0"/>
      <w:marRight w:val="0"/>
      <w:marTop w:val="0"/>
      <w:marBottom w:val="0"/>
      <w:divBdr>
        <w:top w:val="none" w:sz="0" w:space="0" w:color="auto"/>
        <w:left w:val="none" w:sz="0" w:space="0" w:color="auto"/>
        <w:bottom w:val="none" w:sz="0" w:space="0" w:color="auto"/>
        <w:right w:val="none" w:sz="0" w:space="0" w:color="auto"/>
      </w:divBdr>
    </w:div>
    <w:div w:id="1764182888">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75976002">
      <w:bodyDiv w:val="1"/>
      <w:marLeft w:val="0"/>
      <w:marRight w:val="0"/>
      <w:marTop w:val="0"/>
      <w:marBottom w:val="0"/>
      <w:divBdr>
        <w:top w:val="none" w:sz="0" w:space="0" w:color="auto"/>
        <w:left w:val="none" w:sz="0" w:space="0" w:color="auto"/>
        <w:bottom w:val="none" w:sz="0" w:space="0" w:color="auto"/>
        <w:right w:val="none" w:sz="0" w:space="0" w:color="auto"/>
      </w:divBdr>
    </w:div>
    <w:div w:id="177933219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19104825">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5802456">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54295606">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7255461">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89804079">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109172">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58759520">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4001293">
      <w:bodyDiv w:val="1"/>
      <w:marLeft w:val="0"/>
      <w:marRight w:val="0"/>
      <w:marTop w:val="0"/>
      <w:marBottom w:val="0"/>
      <w:divBdr>
        <w:top w:val="none" w:sz="0" w:space="0" w:color="auto"/>
        <w:left w:val="none" w:sz="0" w:space="0" w:color="auto"/>
        <w:bottom w:val="none" w:sz="0" w:space="0" w:color="auto"/>
        <w:right w:val="none" w:sz="0" w:space="0" w:color="auto"/>
      </w:divBdr>
    </w:div>
    <w:div w:id="1964187442">
      <w:bodyDiv w:val="1"/>
      <w:marLeft w:val="0"/>
      <w:marRight w:val="0"/>
      <w:marTop w:val="0"/>
      <w:marBottom w:val="0"/>
      <w:divBdr>
        <w:top w:val="none" w:sz="0" w:space="0" w:color="auto"/>
        <w:left w:val="none" w:sz="0" w:space="0" w:color="auto"/>
        <w:bottom w:val="none" w:sz="0" w:space="0" w:color="auto"/>
        <w:right w:val="none" w:sz="0" w:space="0" w:color="auto"/>
      </w:divBdr>
    </w:div>
    <w:div w:id="1965697692">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9608748">
      <w:bodyDiv w:val="1"/>
      <w:marLeft w:val="0"/>
      <w:marRight w:val="0"/>
      <w:marTop w:val="0"/>
      <w:marBottom w:val="0"/>
      <w:divBdr>
        <w:top w:val="none" w:sz="0" w:space="0" w:color="auto"/>
        <w:left w:val="none" w:sz="0" w:space="0" w:color="auto"/>
        <w:bottom w:val="none" w:sz="0" w:space="0" w:color="auto"/>
        <w:right w:val="none" w:sz="0" w:space="0" w:color="auto"/>
      </w:divBdr>
    </w:div>
    <w:div w:id="1990161867">
      <w:bodyDiv w:val="1"/>
      <w:marLeft w:val="0"/>
      <w:marRight w:val="0"/>
      <w:marTop w:val="0"/>
      <w:marBottom w:val="0"/>
      <w:divBdr>
        <w:top w:val="none" w:sz="0" w:space="0" w:color="auto"/>
        <w:left w:val="none" w:sz="0" w:space="0" w:color="auto"/>
        <w:bottom w:val="none" w:sz="0" w:space="0" w:color="auto"/>
        <w:right w:val="none" w:sz="0" w:space="0" w:color="auto"/>
      </w:divBdr>
    </w:div>
    <w:div w:id="1990554058">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8745185">
      <w:bodyDiv w:val="1"/>
      <w:marLeft w:val="0"/>
      <w:marRight w:val="0"/>
      <w:marTop w:val="0"/>
      <w:marBottom w:val="0"/>
      <w:divBdr>
        <w:top w:val="none" w:sz="0" w:space="0" w:color="auto"/>
        <w:left w:val="none" w:sz="0" w:space="0" w:color="auto"/>
        <w:bottom w:val="none" w:sz="0" w:space="0" w:color="auto"/>
        <w:right w:val="none" w:sz="0" w:space="0" w:color="auto"/>
      </w:divBdr>
    </w:div>
    <w:div w:id="2010324530">
      <w:bodyDiv w:val="1"/>
      <w:marLeft w:val="0"/>
      <w:marRight w:val="0"/>
      <w:marTop w:val="0"/>
      <w:marBottom w:val="0"/>
      <w:divBdr>
        <w:top w:val="none" w:sz="0" w:space="0" w:color="auto"/>
        <w:left w:val="none" w:sz="0" w:space="0" w:color="auto"/>
        <w:bottom w:val="none" w:sz="0" w:space="0" w:color="auto"/>
        <w:right w:val="none" w:sz="0" w:space="0" w:color="auto"/>
      </w:divBdr>
    </w:div>
    <w:div w:id="201132486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098674293">
      <w:bodyDiv w:val="1"/>
      <w:marLeft w:val="0"/>
      <w:marRight w:val="0"/>
      <w:marTop w:val="0"/>
      <w:marBottom w:val="0"/>
      <w:divBdr>
        <w:top w:val="none" w:sz="0" w:space="0" w:color="auto"/>
        <w:left w:val="none" w:sz="0" w:space="0" w:color="auto"/>
        <w:bottom w:val="none" w:sz="0" w:space="0" w:color="auto"/>
        <w:right w:val="none" w:sz="0" w:space="0" w:color="auto"/>
      </w:divBdr>
    </w:div>
    <w:div w:id="2103604115">
      <w:bodyDiv w:val="1"/>
      <w:marLeft w:val="0"/>
      <w:marRight w:val="0"/>
      <w:marTop w:val="0"/>
      <w:marBottom w:val="0"/>
      <w:divBdr>
        <w:top w:val="none" w:sz="0" w:space="0" w:color="auto"/>
        <w:left w:val="none" w:sz="0" w:space="0" w:color="auto"/>
        <w:bottom w:val="none" w:sz="0" w:space="0" w:color="auto"/>
        <w:right w:val="none" w:sz="0" w:space="0" w:color="auto"/>
      </w:divBdr>
    </w:div>
    <w:div w:id="2104447776">
      <w:bodyDiv w:val="1"/>
      <w:marLeft w:val="0"/>
      <w:marRight w:val="0"/>
      <w:marTop w:val="0"/>
      <w:marBottom w:val="0"/>
      <w:divBdr>
        <w:top w:val="none" w:sz="0" w:space="0" w:color="auto"/>
        <w:left w:val="none" w:sz="0" w:space="0" w:color="auto"/>
        <w:bottom w:val="none" w:sz="0" w:space="0" w:color="auto"/>
        <w:right w:val="none" w:sz="0" w:space="0" w:color="auto"/>
      </w:divBdr>
    </w:div>
    <w:div w:id="211015663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4712575">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toplo_rz@overgas.bg" TargetMode="External"/><Relationship Id="rId2" Type="http://schemas.openxmlformats.org/officeDocument/2006/relationships/image" Target="media/image4.jpeg"/><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1" Type="http://schemas.openxmlformats.org/officeDocument/2006/relationships/oleObject" Target="file:///D:\Users\Desktop\TR%20_GFO_MSFO_Formi_2019%20IZ-1-&#1053;&#1054;&#104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Desktop\TR%20_GFO_MSFO_Formi_2019%20IZ-1-&#1053;&#1054;&#104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Desktop\TR%20_GFO_MSFO_Formi_2019%20IZ-1-&#1053;&#1054;&#104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Desktop\TR%20_GFO_MSFO_Formi_2019%20IZ-1-&#1053;&#1054;&#104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b="1" i="1" u="none" strike="noStrike" baseline="0">
                <a:solidFill>
                  <a:srgbClr val="000000"/>
                </a:solidFill>
                <a:latin typeface="Calibri"/>
                <a:ea typeface="Calibri"/>
                <a:cs typeface="Calibri"/>
              </a:defRPr>
            </a:pPr>
            <a:r>
              <a:rPr lang="bg-BG" sz="1100">
                <a:latin typeface="Arial" panose="020B0604020202020204" pitchFamily="34" charset="0"/>
                <a:cs typeface="Arial" panose="020B0604020202020204" pitchFamily="34" charset="0"/>
              </a:rPr>
              <a:t>Финансова автономност</a:t>
            </a:r>
          </a:p>
        </c:rich>
      </c:tx>
      <c:layout>
        <c:manualLayout>
          <c:xMode val="edge"/>
          <c:yMode val="edge"/>
          <c:x val="0.29864266966629188"/>
          <c:y val="5.6250172675783645E-2"/>
        </c:manualLayout>
      </c:layout>
      <c:overlay val="0"/>
      <c:spPr>
        <a:noFill/>
        <a:ln w="25400">
          <a:noFill/>
        </a:ln>
      </c:spPr>
    </c:title>
    <c:autoTitleDeleted val="0"/>
    <c:view3D>
      <c:rotX val="10"/>
      <c:hPercent val="84"/>
      <c:rotY val="15"/>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0.15158387786327004"/>
          <c:y val="0.19062499999999988"/>
          <c:w val="0.7805438486989279"/>
          <c:h val="0.57812500000000966"/>
        </c:manualLayout>
      </c:layout>
      <c:bar3DChart>
        <c:barDir val="col"/>
        <c:grouping val="clustered"/>
        <c:varyColors val="0"/>
        <c:ser>
          <c:idx val="0"/>
          <c:order val="0"/>
          <c:tx>
            <c:strRef>
              <c:f>коефициенти!$K$28</c:f>
              <c:strCache>
                <c:ptCount val="1"/>
                <c:pt idx="0">
                  <c:v>Коеф. на финансова автономност </c:v>
                </c:pt>
              </c:strCache>
            </c:strRef>
          </c:tx>
          <c:spPr>
            <a:solidFill>
              <a:schemeClr val="tx2">
                <a:lumMod val="60000"/>
                <a:lumOff val="40000"/>
              </a:schemeClr>
            </a:solidFill>
            <a:ln w="12700">
              <a:solidFill>
                <a:srgbClr val="000000"/>
              </a:solidFill>
              <a:prstDash val="solid"/>
            </a:ln>
          </c:spPr>
          <c:invertIfNegative val="0"/>
          <c:cat>
            <c:strRef>
              <c:f>коефициенти!$L$27:$M$27</c:f>
              <c:strCache>
                <c:ptCount val="2"/>
                <c:pt idx="0">
                  <c:v>2019 г.</c:v>
                </c:pt>
                <c:pt idx="1">
                  <c:v>2018 г.</c:v>
                </c:pt>
              </c:strCache>
            </c:strRef>
          </c:cat>
          <c:val>
            <c:numRef>
              <c:f>коефициенти!$L$28:$M$28</c:f>
              <c:numCache>
                <c:formatCode>_(* #,##0.0000_);_(* \(#,##0.0000\);_(* "-"??_);_(@_)</c:formatCode>
                <c:ptCount val="2"/>
                <c:pt idx="0">
                  <c:v>1.3853972687771572</c:v>
                </c:pt>
                <c:pt idx="1">
                  <c:v>-0.37904394012554332</c:v>
                </c:pt>
              </c:numCache>
            </c:numRef>
          </c:val>
          <c:shape val="cylinder"/>
          <c:extLst xmlns:c16r2="http://schemas.microsoft.com/office/drawing/2015/06/chart">
            <c:ext xmlns:c16="http://schemas.microsoft.com/office/drawing/2014/chart" uri="{C3380CC4-5D6E-409C-BE32-E72D297353CC}">
              <c16:uniqueId val="{00000000-E1BA-49E0-AFCD-67BFE99B9CD5}"/>
            </c:ext>
          </c:extLst>
        </c:ser>
        <c:ser>
          <c:idx val="1"/>
          <c:order val="1"/>
          <c:tx>
            <c:strRef>
              <c:f>коефициенти!$K$29</c:f>
              <c:strCache>
                <c:ptCount val="1"/>
                <c:pt idx="0">
                  <c:v>Коеф. на задлъжнялост   </c:v>
                </c:pt>
              </c:strCache>
            </c:strRef>
          </c:tx>
          <c:spPr>
            <a:solidFill>
              <a:schemeClr val="accent5">
                <a:lumMod val="60000"/>
                <a:lumOff val="40000"/>
              </a:schemeClr>
            </a:solidFill>
            <a:ln w="12700">
              <a:solidFill>
                <a:srgbClr val="000000"/>
              </a:solidFill>
              <a:prstDash val="solid"/>
            </a:ln>
          </c:spPr>
          <c:invertIfNegative val="0"/>
          <c:cat>
            <c:strRef>
              <c:f>коефициенти!$L$27:$M$27</c:f>
              <c:strCache>
                <c:ptCount val="2"/>
                <c:pt idx="0">
                  <c:v>2019 г.</c:v>
                </c:pt>
                <c:pt idx="1">
                  <c:v>2018 г.</c:v>
                </c:pt>
              </c:strCache>
            </c:strRef>
          </c:cat>
          <c:val>
            <c:numRef>
              <c:f>коефициенти!$L$29:$M$29</c:f>
              <c:numCache>
                <c:formatCode>_(* #,##0.0000_);_(* \(#,##0.0000\);_(* "-"??_);_(@_)</c:formatCode>
                <c:ptCount val="2"/>
                <c:pt idx="0">
                  <c:v>0.72181461775413192</c:v>
                </c:pt>
                <c:pt idx="1">
                  <c:v>-2.6382165605095542</c:v>
                </c:pt>
              </c:numCache>
            </c:numRef>
          </c:val>
          <c:shape val="cylinder"/>
          <c:extLst xmlns:c16r2="http://schemas.microsoft.com/office/drawing/2015/06/chart">
            <c:ext xmlns:c16="http://schemas.microsoft.com/office/drawing/2014/chart" uri="{C3380CC4-5D6E-409C-BE32-E72D297353CC}">
              <c16:uniqueId val="{00000001-E1BA-49E0-AFCD-67BFE99B9CD5}"/>
            </c:ext>
          </c:extLst>
        </c:ser>
        <c:dLbls>
          <c:showLegendKey val="0"/>
          <c:showVal val="0"/>
          <c:showCatName val="0"/>
          <c:showSerName val="0"/>
          <c:showPercent val="0"/>
          <c:showBubbleSize val="0"/>
        </c:dLbls>
        <c:gapWidth val="150"/>
        <c:shape val="box"/>
        <c:axId val="130518400"/>
        <c:axId val="178087040"/>
        <c:axId val="0"/>
      </c:bar3DChart>
      <c:catAx>
        <c:axId val="1305184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78087040"/>
        <c:crosses val="autoZero"/>
        <c:auto val="1"/>
        <c:lblAlgn val="ctr"/>
        <c:lblOffset val="100"/>
        <c:tickLblSkip val="1"/>
        <c:tickMarkSkip val="1"/>
        <c:noMultiLvlLbl val="0"/>
      </c:catAx>
      <c:valAx>
        <c:axId val="178087040"/>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30518400"/>
        <c:crosses val="autoZero"/>
        <c:crossBetween val="between"/>
      </c:valAx>
      <c:spPr>
        <a:noFill/>
        <a:ln w="25400">
          <a:noFill/>
        </a:ln>
      </c:spPr>
    </c:plotArea>
    <c:legend>
      <c:legendPos val="r"/>
      <c:layout>
        <c:manualLayout>
          <c:xMode val="edge"/>
          <c:yMode val="edge"/>
          <c:x val="4.0178571428571425E-2"/>
          <c:y val="0.9111855919325873"/>
          <c:w val="0.90848308023997049"/>
          <c:h val="6.5789473684210995E-2"/>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800" b="0" i="0" u="none" strike="noStrike" baseline="0">
          <a:solidFill>
            <a:srgbClr val="000000"/>
          </a:solidFill>
          <a:latin typeface="Arial Cyr"/>
          <a:ea typeface="Arial Cyr"/>
          <a:cs typeface="Arial Cyr"/>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b="1" i="1" u="none" strike="noStrike" baseline="0">
                <a:solidFill>
                  <a:srgbClr val="000000"/>
                </a:solidFill>
                <a:latin typeface="Calibri"/>
                <a:ea typeface="Calibri"/>
                <a:cs typeface="Calibri"/>
              </a:defRPr>
            </a:pPr>
            <a:r>
              <a:rPr lang="bg-BG" sz="1100">
                <a:latin typeface="Arial" panose="020B0604020202020204" pitchFamily="34" charset="0"/>
                <a:cs typeface="Arial" panose="020B0604020202020204" pitchFamily="34" charset="0"/>
              </a:rPr>
              <a:t>Ликвидност</a:t>
            </a:r>
          </a:p>
        </c:rich>
      </c:tx>
      <c:layout>
        <c:manualLayout>
          <c:xMode val="edge"/>
          <c:yMode val="edge"/>
          <c:x val="0.40045292415371181"/>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761"/>
          <c:w val="0.87612805313920972"/>
          <c:h val="0.58598726114649657"/>
        </c:manualLayout>
      </c:layout>
      <c:bar3DChart>
        <c:barDir val="col"/>
        <c:grouping val="clustered"/>
        <c:varyColors val="0"/>
        <c:ser>
          <c:idx val="0"/>
          <c:order val="0"/>
          <c:tx>
            <c:strRef>
              <c:f>коефициенти!$K$52</c:f>
              <c:strCache>
                <c:ptCount val="1"/>
                <c:pt idx="0">
                  <c:v>Коеф. на обща ликвидност                </c:v>
                </c:pt>
              </c:strCache>
            </c:strRef>
          </c:tx>
          <c:spPr>
            <a:solidFill>
              <a:schemeClr val="tx2">
                <a:lumMod val="60000"/>
                <a:lumOff val="40000"/>
              </a:schemeClr>
            </a:solidFill>
            <a:ln w="12700">
              <a:solidFill>
                <a:srgbClr val="000000"/>
              </a:solidFill>
              <a:prstDash val="solid"/>
            </a:ln>
          </c:spPr>
          <c:invertIfNegative val="0"/>
          <c:cat>
            <c:strRef>
              <c:f>коефициенти!$L$51:$M$51</c:f>
              <c:strCache>
                <c:ptCount val="2"/>
                <c:pt idx="0">
                  <c:v>2019 г.</c:v>
                </c:pt>
                <c:pt idx="1">
                  <c:v>2018 г.</c:v>
                </c:pt>
              </c:strCache>
            </c:strRef>
          </c:cat>
          <c:val>
            <c:numRef>
              <c:f>коефициенти!$L$52:$M$52</c:f>
              <c:numCache>
                <c:formatCode>_(* #,##0.0000_);_(* \(#,##0.0000\);_(* "-"??_);_(@_)</c:formatCode>
                <c:ptCount val="2"/>
                <c:pt idx="0">
                  <c:v>0.7190542420027829</c:v>
                </c:pt>
                <c:pt idx="1">
                  <c:v>0.25052802599512591</c:v>
                </c:pt>
              </c:numCache>
            </c:numRef>
          </c:val>
          <c:shape val="cylinder"/>
          <c:extLst xmlns:c16r2="http://schemas.microsoft.com/office/drawing/2015/06/chart">
            <c:ext xmlns:c16="http://schemas.microsoft.com/office/drawing/2014/chart" uri="{C3380CC4-5D6E-409C-BE32-E72D297353CC}">
              <c16:uniqueId val="{00000000-4E49-402E-8AEA-1578A9AC6B58}"/>
            </c:ext>
          </c:extLst>
        </c:ser>
        <c:ser>
          <c:idx val="1"/>
          <c:order val="1"/>
          <c:tx>
            <c:strRef>
              <c:f>коефициенти!$K$53</c:f>
              <c:strCache>
                <c:ptCount val="1"/>
                <c:pt idx="0">
                  <c:v>Коеф. на бърза ликвидност  </c:v>
                </c:pt>
              </c:strCache>
            </c:strRef>
          </c:tx>
          <c:spPr>
            <a:solidFill>
              <a:srgbClr val="FFFF99"/>
            </a:solidFill>
            <a:ln w="12700">
              <a:solidFill>
                <a:srgbClr val="000000"/>
              </a:solidFill>
              <a:prstDash val="solid"/>
            </a:ln>
          </c:spPr>
          <c:invertIfNegative val="0"/>
          <c:cat>
            <c:strRef>
              <c:f>коефициенти!$L$51:$M$51</c:f>
              <c:strCache>
                <c:ptCount val="2"/>
                <c:pt idx="0">
                  <c:v>2019 г.</c:v>
                </c:pt>
                <c:pt idx="1">
                  <c:v>2018 г.</c:v>
                </c:pt>
              </c:strCache>
            </c:strRef>
          </c:cat>
          <c:val>
            <c:numRef>
              <c:f>коефициенти!$L$53:$M$53</c:f>
              <c:numCache>
                <c:formatCode>_(* #,##0.0000_);_(* \(#,##0.0000\);_(* "-"??_);_(@_)</c:formatCode>
                <c:ptCount val="2"/>
                <c:pt idx="0">
                  <c:v>0.64394993045897386</c:v>
                </c:pt>
                <c:pt idx="1">
                  <c:v>0.22177091795288367</c:v>
                </c:pt>
              </c:numCache>
            </c:numRef>
          </c:val>
          <c:shape val="cylinder"/>
          <c:extLst xmlns:c16r2="http://schemas.microsoft.com/office/drawing/2015/06/chart">
            <c:ext xmlns:c16="http://schemas.microsoft.com/office/drawing/2014/chart" uri="{C3380CC4-5D6E-409C-BE32-E72D297353CC}">
              <c16:uniqueId val="{00000001-4E49-402E-8AEA-1578A9AC6B58}"/>
            </c:ext>
          </c:extLst>
        </c:ser>
        <c:ser>
          <c:idx val="2"/>
          <c:order val="2"/>
          <c:tx>
            <c:strRef>
              <c:f>коефициенти!$K$54</c:f>
              <c:strCache>
                <c:ptCount val="1"/>
                <c:pt idx="0">
                  <c:v>Коеф. на незабавна ликвидност</c:v>
                </c:pt>
              </c:strCache>
            </c:strRef>
          </c:tx>
          <c:spPr>
            <a:solidFill>
              <a:schemeClr val="accent2">
                <a:lumMod val="60000"/>
                <a:lumOff val="40000"/>
              </a:schemeClr>
            </a:solidFill>
            <a:ln w="12700">
              <a:solidFill>
                <a:srgbClr val="000000"/>
              </a:solidFill>
              <a:prstDash val="solid"/>
            </a:ln>
          </c:spPr>
          <c:invertIfNegative val="0"/>
          <c:cat>
            <c:strRef>
              <c:f>коефициенти!$L$51:$M$51</c:f>
              <c:strCache>
                <c:ptCount val="2"/>
                <c:pt idx="0">
                  <c:v>2019 г.</c:v>
                </c:pt>
                <c:pt idx="1">
                  <c:v>2018 г.</c:v>
                </c:pt>
              </c:strCache>
            </c:strRef>
          </c:cat>
          <c:val>
            <c:numRef>
              <c:f>коефициенти!$L$54:$M$54</c:f>
              <c:numCache>
                <c:formatCode>_(* #,##0.0000_);_(* \(#,##0.0000\);_(* "-"??_);_(@_)</c:formatCode>
                <c:ptCount val="2"/>
                <c:pt idx="0">
                  <c:v>3.4770514603616146E-2</c:v>
                </c:pt>
                <c:pt idx="1">
                  <c:v>6.8237205523964273E-3</c:v>
                </c:pt>
              </c:numCache>
            </c:numRef>
          </c:val>
          <c:shape val="cylinder"/>
          <c:extLst xmlns:c16r2="http://schemas.microsoft.com/office/drawing/2015/06/chart">
            <c:ext xmlns:c16="http://schemas.microsoft.com/office/drawing/2014/chart" uri="{C3380CC4-5D6E-409C-BE32-E72D297353CC}">
              <c16:uniqueId val="{00000002-4E49-402E-8AEA-1578A9AC6B58}"/>
            </c:ext>
          </c:extLst>
        </c:ser>
        <c:ser>
          <c:idx val="3"/>
          <c:order val="3"/>
          <c:tx>
            <c:strRef>
              <c:f>коефициенти!$K$55</c:f>
              <c:strCache>
                <c:ptCount val="1"/>
                <c:pt idx="0">
                  <c:v>Коеф. на абсолютна ликвидност      </c:v>
                </c:pt>
              </c:strCache>
            </c:strRef>
          </c:tx>
          <c:spPr>
            <a:solidFill>
              <a:schemeClr val="accent5">
                <a:lumMod val="60000"/>
                <a:lumOff val="40000"/>
              </a:schemeClr>
            </a:solidFill>
            <a:ln w="12700">
              <a:solidFill>
                <a:srgbClr val="000000"/>
              </a:solidFill>
              <a:prstDash val="solid"/>
            </a:ln>
          </c:spPr>
          <c:invertIfNegative val="0"/>
          <c:cat>
            <c:strRef>
              <c:f>коефициенти!$L$51:$M$51</c:f>
              <c:strCache>
                <c:ptCount val="2"/>
                <c:pt idx="0">
                  <c:v>2019 г.</c:v>
                </c:pt>
                <c:pt idx="1">
                  <c:v>2018 г.</c:v>
                </c:pt>
              </c:strCache>
            </c:strRef>
          </c:cat>
          <c:val>
            <c:numRef>
              <c:f>коефициенти!$L$55:$M$55</c:f>
              <c:numCache>
                <c:formatCode>_(* #,##0.0000_);_(* \(#,##0.0000\);_(* "-"??_);_(@_)</c:formatCode>
                <c:ptCount val="2"/>
                <c:pt idx="0">
                  <c:v>3.4770514603616146E-2</c:v>
                </c:pt>
                <c:pt idx="1">
                  <c:v>6.8237205523964273E-3</c:v>
                </c:pt>
              </c:numCache>
            </c:numRef>
          </c:val>
          <c:shape val="cylinder"/>
          <c:extLst xmlns:c16r2="http://schemas.microsoft.com/office/drawing/2015/06/chart">
            <c:ext xmlns:c16="http://schemas.microsoft.com/office/drawing/2014/chart" uri="{C3380CC4-5D6E-409C-BE32-E72D297353CC}">
              <c16:uniqueId val="{00000003-4E49-402E-8AEA-1578A9AC6B58}"/>
            </c:ext>
          </c:extLst>
        </c:ser>
        <c:dLbls>
          <c:showLegendKey val="0"/>
          <c:showVal val="0"/>
          <c:showCatName val="0"/>
          <c:showSerName val="0"/>
          <c:showPercent val="0"/>
          <c:showBubbleSize val="0"/>
        </c:dLbls>
        <c:gapWidth val="150"/>
        <c:shape val="box"/>
        <c:axId val="178124672"/>
        <c:axId val="178126208"/>
        <c:axId val="0"/>
      </c:bar3DChart>
      <c:catAx>
        <c:axId val="1781246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78126208"/>
        <c:crosses val="autoZero"/>
        <c:auto val="1"/>
        <c:lblAlgn val="ctr"/>
        <c:lblOffset val="100"/>
        <c:tickLblSkip val="1"/>
        <c:tickMarkSkip val="1"/>
        <c:noMultiLvlLbl val="0"/>
      </c:catAx>
      <c:valAx>
        <c:axId val="178126208"/>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78124672"/>
        <c:crosses val="autoZero"/>
        <c:crossBetween val="between"/>
      </c:valAx>
      <c:spPr>
        <a:noFill/>
        <a:ln w="25400">
          <a:noFill/>
        </a:ln>
      </c:spPr>
    </c:plotArea>
    <c:legend>
      <c:legendPos val="r"/>
      <c:layout>
        <c:manualLayout>
          <c:xMode val="edge"/>
          <c:yMode val="edge"/>
          <c:x val="3.4188034188034191E-2"/>
          <c:y val="0.84137931034483626"/>
          <c:w val="0.92521569419207261"/>
          <c:h val="0.1275862068965519"/>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b="1" i="1" u="none" strike="noStrike" baseline="0">
                <a:solidFill>
                  <a:srgbClr val="000000"/>
                </a:solidFill>
                <a:latin typeface="Calibri"/>
                <a:ea typeface="Calibri"/>
                <a:cs typeface="Calibri"/>
              </a:defRPr>
            </a:pPr>
            <a:r>
              <a:rPr lang="bg-BG"/>
              <a:t>Ефективност</a:t>
            </a:r>
          </a:p>
        </c:rich>
      </c:tx>
      <c:layout>
        <c:manualLayout>
          <c:xMode val="edge"/>
          <c:yMode val="edge"/>
          <c:x val="0.40045292415371181"/>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761"/>
          <c:w val="0.87612805313920972"/>
          <c:h val="0.58598726114649657"/>
        </c:manualLayout>
      </c:layout>
      <c:bar3DChart>
        <c:barDir val="col"/>
        <c:grouping val="clustered"/>
        <c:varyColors val="0"/>
        <c:ser>
          <c:idx val="0"/>
          <c:order val="0"/>
          <c:tx>
            <c:strRef>
              <c:f>коефициенти!$K$77</c:f>
              <c:strCache>
                <c:ptCount val="1"/>
                <c:pt idx="0">
                  <c:v>Ефективност на разходите</c:v>
                </c:pt>
              </c:strCache>
            </c:strRef>
          </c:tx>
          <c:spPr>
            <a:solidFill>
              <a:schemeClr val="tx2">
                <a:lumMod val="60000"/>
                <a:lumOff val="40000"/>
              </a:schemeClr>
            </a:solidFill>
            <a:ln w="12700">
              <a:solidFill>
                <a:srgbClr val="000000"/>
              </a:solidFill>
              <a:prstDash val="solid"/>
            </a:ln>
          </c:spPr>
          <c:invertIfNegative val="0"/>
          <c:cat>
            <c:strRef>
              <c:f>коефициенти!$L$76:$M$76</c:f>
              <c:strCache>
                <c:ptCount val="2"/>
                <c:pt idx="0">
                  <c:v>2019 г.</c:v>
                </c:pt>
                <c:pt idx="1">
                  <c:v>2018 г.</c:v>
                </c:pt>
              </c:strCache>
            </c:strRef>
          </c:cat>
          <c:val>
            <c:numRef>
              <c:f>коефициенти!$L$77:$M$77</c:f>
              <c:numCache>
                <c:formatCode>_(* #,##0.0000_);_(* \(#,##0.0000\);_(* "-"??_);_(@_)</c:formatCode>
                <c:ptCount val="2"/>
                <c:pt idx="0">
                  <c:v>0.80402408111533552</c:v>
                </c:pt>
                <c:pt idx="1">
                  <c:v>0.79158316633266335</c:v>
                </c:pt>
              </c:numCache>
            </c:numRef>
          </c:val>
          <c:shape val="cylinder"/>
          <c:extLst xmlns:c16r2="http://schemas.microsoft.com/office/drawing/2015/06/chart">
            <c:ext xmlns:c16="http://schemas.microsoft.com/office/drawing/2014/chart" uri="{C3380CC4-5D6E-409C-BE32-E72D297353CC}">
              <c16:uniqueId val="{00000000-FFF9-4C44-BC12-E4F1870C348C}"/>
            </c:ext>
          </c:extLst>
        </c:ser>
        <c:ser>
          <c:idx val="1"/>
          <c:order val="1"/>
          <c:tx>
            <c:strRef>
              <c:f>коефициенти!$K$78</c:f>
              <c:strCache>
                <c:ptCount val="1"/>
                <c:pt idx="0">
                  <c:v>Ефективност на приходите</c:v>
                </c:pt>
              </c:strCache>
            </c:strRef>
          </c:tx>
          <c:spPr>
            <a:solidFill>
              <a:srgbClr val="FFFF99"/>
            </a:solidFill>
            <a:ln w="12700">
              <a:solidFill>
                <a:srgbClr val="000000"/>
              </a:solidFill>
              <a:prstDash val="solid"/>
            </a:ln>
          </c:spPr>
          <c:invertIfNegative val="0"/>
          <c:cat>
            <c:strRef>
              <c:f>коефициенти!$L$76:$M$76</c:f>
              <c:strCache>
                <c:ptCount val="2"/>
                <c:pt idx="0">
                  <c:v>2019 г.</c:v>
                </c:pt>
                <c:pt idx="1">
                  <c:v>2018 г.</c:v>
                </c:pt>
              </c:strCache>
            </c:strRef>
          </c:cat>
          <c:val>
            <c:numRef>
              <c:f>коефициенти!$L$78:$M$78</c:f>
              <c:numCache>
                <c:formatCode>_(* #,##0.0000_);_(* \(#,##0.0000\);_(* "-"??_);_(@_)</c:formatCode>
                <c:ptCount val="2"/>
                <c:pt idx="0">
                  <c:v>1.2437438423645297</c:v>
                </c:pt>
                <c:pt idx="1">
                  <c:v>1.2632911392405064</c:v>
                </c:pt>
              </c:numCache>
            </c:numRef>
          </c:val>
          <c:shape val="cylinder"/>
          <c:extLst xmlns:c16r2="http://schemas.microsoft.com/office/drawing/2015/06/chart">
            <c:ext xmlns:c16="http://schemas.microsoft.com/office/drawing/2014/chart" uri="{C3380CC4-5D6E-409C-BE32-E72D297353CC}">
              <c16:uniqueId val="{00000001-FFF9-4C44-BC12-E4F1870C348C}"/>
            </c:ext>
          </c:extLst>
        </c:ser>
        <c:dLbls>
          <c:showLegendKey val="0"/>
          <c:showVal val="0"/>
          <c:showCatName val="0"/>
          <c:showSerName val="0"/>
          <c:showPercent val="0"/>
          <c:showBubbleSize val="0"/>
        </c:dLbls>
        <c:gapWidth val="150"/>
        <c:shape val="box"/>
        <c:axId val="147371520"/>
        <c:axId val="147373056"/>
        <c:axId val="0"/>
      </c:bar3DChart>
      <c:catAx>
        <c:axId val="1473715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47373056"/>
        <c:crosses val="autoZero"/>
        <c:auto val="1"/>
        <c:lblAlgn val="ctr"/>
        <c:lblOffset val="100"/>
        <c:tickLblSkip val="1"/>
        <c:tickMarkSkip val="1"/>
        <c:noMultiLvlLbl val="0"/>
      </c:catAx>
      <c:valAx>
        <c:axId val="147373056"/>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47371520"/>
        <c:crosses val="autoZero"/>
        <c:crossBetween val="between"/>
      </c:valAx>
      <c:spPr>
        <a:noFill/>
        <a:ln w="25400">
          <a:noFill/>
        </a:ln>
      </c:spPr>
    </c:plotArea>
    <c:legend>
      <c:legendPos val="r"/>
      <c:layout>
        <c:manualLayout>
          <c:xMode val="edge"/>
          <c:yMode val="edge"/>
          <c:x val="3.4188034188034191E-2"/>
          <c:y val="0.84137931034483626"/>
          <c:w val="0.92521569419207261"/>
          <c:h val="0.1275862068965519"/>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b="1" i="1" u="none" strike="noStrike" baseline="0">
                <a:solidFill>
                  <a:srgbClr val="000000"/>
                </a:solidFill>
                <a:latin typeface="Calibri"/>
                <a:ea typeface="Calibri"/>
                <a:cs typeface="Calibri"/>
              </a:defRPr>
            </a:pPr>
            <a:r>
              <a:rPr lang="bg-BG">
                <a:latin typeface="Arial" panose="020B0604020202020204" pitchFamily="34" charset="0"/>
                <a:cs typeface="Arial" panose="020B0604020202020204" pitchFamily="34" charset="0"/>
              </a:rPr>
              <a:t>Рентабилност</a:t>
            </a:r>
          </a:p>
        </c:rich>
      </c:tx>
      <c:layout>
        <c:manualLayout>
          <c:xMode val="edge"/>
          <c:yMode val="edge"/>
          <c:x val="0.40045292415371181"/>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465456280762E-2"/>
          <c:y val="0.20017048870142831"/>
          <c:w val="0.87612805313920972"/>
          <c:h val="0.58598726114649657"/>
        </c:manualLayout>
      </c:layout>
      <c:bar3DChart>
        <c:barDir val="col"/>
        <c:grouping val="clustered"/>
        <c:varyColors val="0"/>
        <c:ser>
          <c:idx val="0"/>
          <c:order val="0"/>
          <c:tx>
            <c:strRef>
              <c:f>коефициенти!$K$100</c:f>
              <c:strCache>
                <c:ptCount val="1"/>
                <c:pt idx="0">
                  <c:v>Рентабилност на собствения капитал</c:v>
                </c:pt>
              </c:strCache>
            </c:strRef>
          </c:tx>
          <c:spPr>
            <a:solidFill>
              <a:schemeClr val="tx2">
                <a:lumMod val="60000"/>
                <a:lumOff val="40000"/>
              </a:schemeClr>
            </a:solidFill>
            <a:ln w="12700">
              <a:solidFill>
                <a:srgbClr val="000000"/>
              </a:solidFill>
              <a:prstDash val="solid"/>
            </a:ln>
          </c:spPr>
          <c:invertIfNegative val="0"/>
          <c:cat>
            <c:strRef>
              <c:f>коефициенти!$L$99:$M$99</c:f>
              <c:strCache>
                <c:ptCount val="2"/>
                <c:pt idx="0">
                  <c:v>2019 г.</c:v>
                </c:pt>
                <c:pt idx="1">
                  <c:v>2018 г.</c:v>
                </c:pt>
              </c:strCache>
            </c:strRef>
          </c:cat>
          <c:val>
            <c:numRef>
              <c:f>коефициенти!$L$100:$M$100</c:f>
              <c:numCache>
                <c:formatCode>_(* #,##0.0000_);_(* \(#,##0.0000\);_(* "-"??_);_(@_)</c:formatCode>
                <c:ptCount val="2"/>
                <c:pt idx="0">
                  <c:v>0.28703444413329599</c:v>
                </c:pt>
                <c:pt idx="1">
                  <c:v>0.73375796178343944</c:v>
                </c:pt>
              </c:numCache>
            </c:numRef>
          </c:val>
          <c:shape val="cylinder"/>
          <c:extLst xmlns:c16r2="http://schemas.microsoft.com/office/drawing/2015/06/chart">
            <c:ext xmlns:c16="http://schemas.microsoft.com/office/drawing/2014/chart" uri="{C3380CC4-5D6E-409C-BE32-E72D297353CC}">
              <c16:uniqueId val="{00000000-1579-439F-84FA-133A22303627}"/>
            </c:ext>
          </c:extLst>
        </c:ser>
        <c:ser>
          <c:idx val="1"/>
          <c:order val="1"/>
          <c:tx>
            <c:strRef>
              <c:f>коефициенти!$K$101</c:f>
              <c:strCache>
                <c:ptCount val="1"/>
                <c:pt idx="0">
                  <c:v>Рентабилност на активите</c:v>
                </c:pt>
              </c:strCache>
            </c:strRef>
          </c:tx>
          <c:spPr>
            <a:solidFill>
              <a:srgbClr val="FFFF99"/>
            </a:solidFill>
            <a:ln w="12700">
              <a:solidFill>
                <a:srgbClr val="000000"/>
              </a:solidFill>
              <a:prstDash val="solid"/>
            </a:ln>
          </c:spPr>
          <c:invertIfNegative val="0"/>
          <c:cat>
            <c:strRef>
              <c:f>коефициенти!$L$99:$M$99</c:f>
              <c:strCache>
                <c:ptCount val="2"/>
                <c:pt idx="0">
                  <c:v>2019 г.</c:v>
                </c:pt>
                <c:pt idx="1">
                  <c:v>2018 г.</c:v>
                </c:pt>
              </c:strCache>
            </c:strRef>
          </c:cat>
          <c:val>
            <c:numRef>
              <c:f>коефициенти!$L$101:$M$101</c:f>
              <c:numCache>
                <c:formatCode>_(* #,##0.0000_);_(* \(#,##0.0000\);_(* "-"??_);_(@_)</c:formatCode>
                <c:ptCount val="2"/>
                <c:pt idx="0">
                  <c:v>0.16669377134493413</c:v>
                </c:pt>
                <c:pt idx="1">
                  <c:v>-0.44790046656298632</c:v>
                </c:pt>
              </c:numCache>
            </c:numRef>
          </c:val>
          <c:shape val="cylinder"/>
          <c:extLst xmlns:c16r2="http://schemas.microsoft.com/office/drawing/2015/06/chart">
            <c:ext xmlns:c16="http://schemas.microsoft.com/office/drawing/2014/chart" uri="{C3380CC4-5D6E-409C-BE32-E72D297353CC}">
              <c16:uniqueId val="{00000001-1579-439F-84FA-133A22303627}"/>
            </c:ext>
          </c:extLst>
        </c:ser>
        <c:ser>
          <c:idx val="2"/>
          <c:order val="2"/>
          <c:tx>
            <c:strRef>
              <c:f>коефициенти!$K$102</c:f>
              <c:strCache>
                <c:ptCount val="1"/>
                <c:pt idx="0">
                  <c:v>Рентабилност на пасивите</c:v>
                </c:pt>
              </c:strCache>
            </c:strRef>
          </c:tx>
          <c:invertIfNegative val="0"/>
          <c:cat>
            <c:strRef>
              <c:f>коефициенти!$L$99:$M$99</c:f>
              <c:strCache>
                <c:ptCount val="2"/>
                <c:pt idx="0">
                  <c:v>2019 г.</c:v>
                </c:pt>
                <c:pt idx="1">
                  <c:v>2018 г.</c:v>
                </c:pt>
              </c:strCache>
            </c:strRef>
          </c:cat>
          <c:val>
            <c:numRef>
              <c:f>коефициенти!$L$102:$M$102</c:f>
              <c:numCache>
                <c:formatCode>_(* #,##0.0000_);_(* \(#,##0.0000\);_(* "-"??_);_(@_)</c:formatCode>
                <c:ptCount val="2"/>
                <c:pt idx="0">
                  <c:v>0.39765673494723847</c:v>
                </c:pt>
                <c:pt idx="1">
                  <c:v>-0.27812650893288365</c:v>
                </c:pt>
              </c:numCache>
            </c:numRef>
          </c:val>
          <c:shape val="cylinder"/>
          <c:extLst xmlns:c16r2="http://schemas.microsoft.com/office/drawing/2015/06/chart">
            <c:ext xmlns:c16="http://schemas.microsoft.com/office/drawing/2014/chart" uri="{C3380CC4-5D6E-409C-BE32-E72D297353CC}">
              <c16:uniqueId val="{00000002-1579-439F-84FA-133A22303627}"/>
            </c:ext>
          </c:extLst>
        </c:ser>
        <c:ser>
          <c:idx val="3"/>
          <c:order val="3"/>
          <c:tx>
            <c:strRef>
              <c:f>коефициенти!$K$103</c:f>
              <c:strCache>
                <c:ptCount val="1"/>
                <c:pt idx="0">
                  <c:v>Рентабилност на приходите от продажби</c:v>
                </c:pt>
              </c:strCache>
            </c:strRef>
          </c:tx>
          <c:invertIfNegative val="0"/>
          <c:cat>
            <c:strRef>
              <c:f>коефициенти!$L$99:$M$99</c:f>
              <c:strCache>
                <c:ptCount val="2"/>
                <c:pt idx="0">
                  <c:v>2019 г.</c:v>
                </c:pt>
                <c:pt idx="1">
                  <c:v>2018 г.</c:v>
                </c:pt>
              </c:strCache>
            </c:strRef>
          </c:cat>
          <c:val>
            <c:numRef>
              <c:f>коефициенти!$L$103:$M$103</c:f>
              <c:numCache>
                <c:formatCode>_(* #,##0.0000_);_(* \(#,##0.0000\);_(* "-"??_);_(@_)</c:formatCode>
                <c:ptCount val="2"/>
                <c:pt idx="0">
                  <c:v>0.20632045088566844</c:v>
                </c:pt>
                <c:pt idx="1">
                  <c:v>-0.34442894159856552</c:v>
                </c:pt>
              </c:numCache>
            </c:numRef>
          </c:val>
          <c:shape val="cylinder"/>
          <c:extLst xmlns:c16r2="http://schemas.microsoft.com/office/drawing/2015/06/chart">
            <c:ext xmlns:c16="http://schemas.microsoft.com/office/drawing/2014/chart" uri="{C3380CC4-5D6E-409C-BE32-E72D297353CC}">
              <c16:uniqueId val="{00000003-1579-439F-84FA-133A22303627}"/>
            </c:ext>
          </c:extLst>
        </c:ser>
        <c:dLbls>
          <c:showLegendKey val="0"/>
          <c:showVal val="0"/>
          <c:showCatName val="0"/>
          <c:showSerName val="0"/>
          <c:showPercent val="0"/>
          <c:showBubbleSize val="0"/>
        </c:dLbls>
        <c:gapWidth val="150"/>
        <c:shape val="box"/>
        <c:axId val="177356160"/>
        <c:axId val="177362048"/>
        <c:axId val="0"/>
      </c:bar3DChart>
      <c:catAx>
        <c:axId val="1773561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77362048"/>
        <c:crosses val="autoZero"/>
        <c:auto val="1"/>
        <c:lblAlgn val="ctr"/>
        <c:lblOffset val="100"/>
        <c:tickLblSkip val="1"/>
        <c:tickMarkSkip val="1"/>
        <c:noMultiLvlLbl val="0"/>
      </c:catAx>
      <c:valAx>
        <c:axId val="177362048"/>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lang="en-US" sz="900" b="1" i="0" u="none" strike="noStrike" baseline="0">
                <a:solidFill>
                  <a:srgbClr val="000000"/>
                </a:solidFill>
                <a:latin typeface="Calibri"/>
                <a:ea typeface="Calibri"/>
                <a:cs typeface="Calibri"/>
              </a:defRPr>
            </a:pPr>
            <a:endParaRPr lang="bg-BG"/>
          </a:p>
        </c:txPr>
        <c:crossAx val="177356160"/>
        <c:crosses val="autoZero"/>
        <c:crossBetween val="between"/>
      </c:valAx>
      <c:spPr>
        <a:noFill/>
        <a:ln w="25400">
          <a:noFill/>
        </a:ln>
      </c:spPr>
    </c:plotArea>
    <c:legend>
      <c:legendPos val="r"/>
      <c:layout>
        <c:manualLayout>
          <c:xMode val="edge"/>
          <c:yMode val="edge"/>
          <c:x val="3.4188034188034191E-2"/>
          <c:y val="0.84137931034483626"/>
          <c:w val="0.94179102344754673"/>
          <c:h val="0.15862059260197439"/>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DF1227-B92A-4B34-B483-22995174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30</Pages>
  <Words>10345</Words>
  <Characters>58968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user</cp:lastModifiedBy>
  <cp:revision>229</cp:revision>
  <cp:lastPrinted>2020-03-30T06:59:00Z</cp:lastPrinted>
  <dcterms:created xsi:type="dcterms:W3CDTF">2019-03-27T08:14:00Z</dcterms:created>
  <dcterms:modified xsi:type="dcterms:W3CDTF">2020-04-03T07:00:00Z</dcterms:modified>
</cp:coreProperties>
</file>