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5990" w:type="dxa"/>
        <w:tblInd w:w="-15" w:type="dxa"/>
        <w:tblCellMar>
          <w:left w:w="0" w:type="dxa"/>
          <w:right w:w="0" w:type="dxa"/>
        </w:tblCellMar>
        <w:tblLook w:val="0000"/>
      </w:tblPr>
      <w:tblGrid>
        <w:gridCol w:w="299"/>
        <w:gridCol w:w="494"/>
        <w:gridCol w:w="40"/>
        <w:gridCol w:w="5759"/>
        <w:gridCol w:w="1148"/>
        <w:gridCol w:w="280"/>
        <w:gridCol w:w="1129"/>
        <w:gridCol w:w="529"/>
        <w:gridCol w:w="6290"/>
        <w:gridCol w:w="8"/>
        <w:gridCol w:w="14"/>
      </w:tblGrid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 w:rsidP="00237114">
            <w:pPr>
              <w:pStyle w:val="IAS"/>
              <w:widowControl/>
              <w:snapToGrid w:val="0"/>
              <w:ind w:left="-26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heading1"/>
              <w:widowControl/>
              <w:snapToGrid w:val="0"/>
              <w:rPr>
                <w:sz w:val="22"/>
                <w:szCs w:val="22"/>
              </w:rPr>
            </w:pPr>
            <w:r w:rsidRPr="00FB4F7F">
              <w:rPr>
                <w:sz w:val="22"/>
                <w:szCs w:val="22"/>
              </w:rPr>
              <w:t>Информация за дружеството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2039"/>
        </w:trPr>
        <w:tc>
          <w:tcPr>
            <w:tcW w:w="299" w:type="dxa"/>
            <w:shd w:val="clear" w:color="auto" w:fill="auto"/>
          </w:tcPr>
          <w:p w:rsidR="009E0043" w:rsidRPr="00FB4F7F" w:rsidRDefault="009E0043" w:rsidP="00AD006A">
            <w:pPr>
              <w:pStyle w:val="IAS"/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237114" w:rsidP="00AD006A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СД "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НАЧЕВИ-90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-С-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ИЕ”</w:t>
            </w:r>
            <w:r w:rsidRPr="00FB4F7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9E0043"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 </w:t>
            </w:r>
            <w:r w:rsidR="009E0043"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търговско </w:t>
            </w:r>
            <w:r w:rsidR="009E0043"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дружество</w:t>
            </w:r>
            <w:r w:rsidR="009E0043"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вписано в Сливенски  окръжен съд по фирмено дело №2940 от 1991 г. Към датата на изготвяне на отчета дружеството е вписано в Търговския регистър воден от Агенцията по вписванията</w:t>
            </w:r>
            <w:r w:rsidR="009E0043"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ЕИК 119035258</w:t>
            </w:r>
            <w:r w:rsidR="009E0043" w:rsidRPr="00FB4F7F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  <w:p w:rsidR="009E0043" w:rsidRPr="00FB4F7F" w:rsidRDefault="009E0043" w:rsidP="00AD006A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Седалището и адресът на управление на </w:t>
            </w:r>
            <w:r w:rsidR="00237114" w:rsidRPr="00FB4F7F">
              <w:rPr>
                <w:rFonts w:ascii="Times New Roman" w:hAnsi="Times New Roman"/>
                <w:sz w:val="22"/>
                <w:szCs w:val="22"/>
                <w:lang w:val="ru-RU"/>
              </w:rPr>
              <w:t>СД "</w:t>
            </w:r>
            <w:r w:rsidR="00237114"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НАЧЕВИ-90</w:t>
            </w:r>
            <w:r w:rsidR="00237114" w:rsidRPr="00FB4F7F">
              <w:rPr>
                <w:rFonts w:ascii="Times New Roman" w:hAnsi="Times New Roman"/>
                <w:sz w:val="22"/>
                <w:szCs w:val="22"/>
                <w:lang w:val="ru-RU"/>
              </w:rPr>
              <w:t>-С-</w:t>
            </w:r>
            <w:r w:rsidR="00237114"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ИЕ”</w:t>
            </w:r>
            <w:r w:rsidR="00237114" w:rsidRPr="00FB4F7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е Р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епублика 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България, гр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.Сливен, 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ул.„Добри Чинтулов” 17. 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9E0043" w:rsidRPr="00FB4F7F" w:rsidRDefault="009E0043" w:rsidP="00AD006A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Неограничено отговорни съдружници:</w:t>
            </w:r>
          </w:p>
          <w:p w:rsidR="009E0043" w:rsidRPr="00FB4F7F" w:rsidRDefault="009E0043" w:rsidP="00AD00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Йордан Тодоров Начев</w:t>
            </w:r>
          </w:p>
          <w:p w:rsidR="009E0043" w:rsidRPr="00FB4F7F" w:rsidRDefault="009E0043" w:rsidP="00AD00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Елена Иванова Начева</w:t>
            </w:r>
          </w:p>
          <w:p w:rsidR="009E0043" w:rsidRPr="00FB4F7F" w:rsidRDefault="009E0043" w:rsidP="00AD00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Тодор Йорданов Начев</w:t>
            </w:r>
          </w:p>
          <w:p w:rsidR="009E0043" w:rsidRPr="00FB4F7F" w:rsidRDefault="009E0043" w:rsidP="00AD00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Даниела Йосифова Начева</w:t>
            </w:r>
          </w:p>
          <w:p w:rsidR="009E0043" w:rsidRPr="00FB4F7F" w:rsidRDefault="009E0043" w:rsidP="00AD00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Иван Йорданов Начев</w:t>
            </w:r>
          </w:p>
          <w:p w:rsidR="009E0043" w:rsidRPr="00FB4F7F" w:rsidRDefault="009E0043" w:rsidP="00AD00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Теза Йорданова Начева</w:t>
            </w:r>
          </w:p>
          <w:p w:rsidR="009E0043" w:rsidRPr="00FB4F7F" w:rsidRDefault="009E0043" w:rsidP="00AD006A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Дружеството се управлява от Съвет на съдружниците, в който членуват всички съдружници.</w:t>
            </w:r>
          </w:p>
          <w:p w:rsidR="009E0043" w:rsidRPr="00FB4F7F" w:rsidRDefault="009E0043" w:rsidP="00AD006A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Към 31.12.20</w:t>
            </w:r>
            <w:r w:rsidR="00DE00F9" w:rsidRPr="00FB4F7F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9C69DD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 д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ружеството се представлява от всички съдружници заедно и поотделно.</w:t>
            </w:r>
          </w:p>
          <w:p w:rsidR="009E0043" w:rsidRPr="00FB4F7F" w:rsidRDefault="009E0043" w:rsidP="00AD006A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Предмет на дейност на </w:t>
            </w:r>
            <w:r w:rsidR="00237114" w:rsidRPr="00FB4F7F">
              <w:rPr>
                <w:rFonts w:ascii="Times New Roman" w:hAnsi="Times New Roman"/>
                <w:sz w:val="22"/>
                <w:szCs w:val="22"/>
                <w:lang w:val="ru-RU"/>
              </w:rPr>
              <w:t>СД "</w:t>
            </w:r>
            <w:r w:rsidR="00237114"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НАЧЕВИ-90</w:t>
            </w:r>
            <w:r w:rsidR="00237114" w:rsidRPr="00FB4F7F">
              <w:rPr>
                <w:rFonts w:ascii="Times New Roman" w:hAnsi="Times New Roman"/>
                <w:sz w:val="22"/>
                <w:szCs w:val="22"/>
                <w:lang w:val="ru-RU"/>
              </w:rPr>
              <w:t>-С-</w:t>
            </w:r>
            <w:r w:rsidR="00237114"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ИЕ”</w:t>
            </w:r>
            <w:r w:rsidR="00237114" w:rsidRPr="00FB4F7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производство на тапицирани мебели и активна еленергия. </w:t>
            </w:r>
          </w:p>
          <w:p w:rsidR="00434CBE" w:rsidRPr="0071780D" w:rsidRDefault="009E0043" w:rsidP="00AD006A">
            <w:pPr>
              <w:ind w:right="-27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62A87">
              <w:rPr>
                <w:rFonts w:ascii="Times New Roman" w:hAnsi="Times New Roman"/>
                <w:sz w:val="22"/>
                <w:szCs w:val="22"/>
                <w:lang w:val="bg-BG"/>
              </w:rPr>
              <w:t>Средно спи</w:t>
            </w:r>
            <w:r w:rsidR="00DE00F9" w:rsidRPr="00162A8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съчния брой на персонала за </w:t>
            </w:r>
            <w:r w:rsidR="00DE00F9" w:rsidRPr="0071780D">
              <w:rPr>
                <w:rFonts w:ascii="Times New Roman" w:hAnsi="Times New Roman"/>
                <w:sz w:val="22"/>
                <w:szCs w:val="22"/>
                <w:lang w:val="bg-BG"/>
              </w:rPr>
              <w:t>201</w:t>
            </w:r>
            <w:r w:rsidR="00A20D1F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 е</w:t>
            </w:r>
            <w:r w:rsidR="00DE00F9" w:rsidRPr="0071780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="009C69DD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226</w:t>
            </w:r>
            <w:r w:rsidR="00A20D1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човека  , за 201</w:t>
            </w:r>
            <w:r w:rsidR="00A20D1F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 - </w:t>
            </w:r>
            <w:r w:rsidR="00A20D1F">
              <w:rPr>
                <w:rFonts w:ascii="Times New Roman" w:hAnsi="Times New Roman"/>
                <w:sz w:val="22"/>
                <w:szCs w:val="22"/>
                <w:lang w:val="bg-BG"/>
              </w:rPr>
              <w:t>185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, всичките трета </w:t>
            </w:r>
          </w:p>
          <w:p w:rsidR="009E0043" w:rsidRPr="00FB4F7F" w:rsidRDefault="009E0043" w:rsidP="00AD006A">
            <w:pPr>
              <w:ind w:right="-27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категория.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 w:rsidP="00AD006A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keepLines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 w:rsidP="00AD006A">
            <w:pPr>
              <w:pStyle w:val="tabelheading1"/>
              <w:keepNext w:val="0"/>
              <w:keepLines/>
              <w:widowControl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i/>
                <w:position w:val="4"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heading1"/>
              <w:widowControl/>
              <w:snapToGrid w:val="0"/>
              <w:rPr>
                <w:sz w:val="22"/>
                <w:szCs w:val="22"/>
                <w:lang w:val="ru-RU"/>
              </w:rPr>
            </w:pPr>
            <w:r w:rsidRPr="00FB4F7F">
              <w:rPr>
                <w:sz w:val="22"/>
                <w:szCs w:val="22"/>
                <w:lang w:val="ru-RU"/>
              </w:rPr>
              <w:t>Съответствие</w:t>
            </w:r>
          </w:p>
          <w:p w:rsidR="009E0043" w:rsidRPr="00FB4F7F" w:rsidRDefault="009E0043" w:rsidP="00D9050A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Годишният финансов отчет е изготвен в съответствие с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Националните </w:t>
            </w:r>
            <w:r w:rsidR="00D9050A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счетоводни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стандарти, приложими в България.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i/>
                <w:position w:val="4"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282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tabelt"/>
              <w:widowControl/>
              <w:snapToGrid w:val="0"/>
              <w:jc w:val="center"/>
              <w:rPr>
                <w:i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t"/>
              <w:widowControl/>
              <w:snapToGrid w:val="0"/>
              <w:jc w:val="center"/>
              <w:rPr>
                <w:i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Links"/>
              <w:widowControl/>
              <w:snapToGrid w:val="0"/>
              <w:rPr>
                <w:b/>
                <w:sz w:val="22"/>
                <w:szCs w:val="22"/>
                <w:lang w:val="bg-BG"/>
              </w:rPr>
            </w:pPr>
            <w:r w:rsidRPr="00FB4F7F">
              <w:rPr>
                <w:b/>
                <w:sz w:val="22"/>
                <w:szCs w:val="22"/>
                <w:lang w:val="bg-BG"/>
              </w:rPr>
              <w:t>База за изготвяне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Настоящият годишен финансов отчет към 31 декември 20</w:t>
            </w:r>
            <w:r w:rsidR="00DE00F9" w:rsidRPr="00FB4F7F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9C69DD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година е индивидуален.</w:t>
            </w:r>
          </w:p>
          <w:p w:rsidR="009E0043" w:rsidRPr="00FB4F7F" w:rsidRDefault="009E0043" w:rsidP="0075064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Годишният финансов отчет към 31 декември 201</w:t>
            </w:r>
            <w:r w:rsidR="009C69DD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 представя имущественото, финансовото състояние и финансовия резултат на  СД "</w:t>
            </w:r>
            <w:r w:rsidR="00DE00F9"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НАЧЕВИ-90</w:t>
            </w:r>
            <w:r w:rsidR="00DE00F9" w:rsidRPr="00FB4F7F">
              <w:rPr>
                <w:rFonts w:ascii="Times New Roman" w:hAnsi="Times New Roman"/>
                <w:sz w:val="22"/>
                <w:szCs w:val="22"/>
                <w:lang w:val="ru-RU"/>
              </w:rPr>
              <w:t>-С-</w:t>
            </w:r>
            <w:r w:rsidR="00DE00F9"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ИЕ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”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. Изготвен е в лева, закръглени до хиляда. Като база за изготвяне е използвана историческа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та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цена.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Links"/>
              <w:widowControl/>
              <w:snapToGrid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Links"/>
              <w:widowControl/>
              <w:snapToGrid w:val="0"/>
              <w:rPr>
                <w:b/>
                <w:sz w:val="22"/>
                <w:szCs w:val="22"/>
                <w:lang w:val="ru-RU"/>
              </w:rPr>
            </w:pPr>
            <w:r w:rsidRPr="00FB4F7F">
              <w:rPr>
                <w:b/>
                <w:sz w:val="22"/>
                <w:szCs w:val="22"/>
                <w:lang w:val="ru-RU"/>
              </w:rPr>
              <w:t>Действащо предприятие</w:t>
            </w:r>
          </w:p>
          <w:p w:rsidR="009E0043" w:rsidRPr="00FB4F7F" w:rsidRDefault="009E0043">
            <w:pPr>
              <w:pStyle w:val="tabelLinks"/>
              <w:widowControl/>
              <w:rPr>
                <w:sz w:val="22"/>
                <w:szCs w:val="22"/>
                <w:lang w:val="bg-BG"/>
              </w:rPr>
            </w:pPr>
            <w:r w:rsidRPr="00FB4F7F">
              <w:rPr>
                <w:sz w:val="22"/>
                <w:szCs w:val="22"/>
                <w:lang w:val="ru-RU"/>
              </w:rPr>
              <w:t xml:space="preserve">Годишният финансов отчет е изготвен на принципа на действащо предприятие, който предполага, че дружеството ще продължи дейността си в обозримо бъдеще. </w:t>
            </w:r>
            <w:r w:rsidRPr="00FB4F7F">
              <w:rPr>
                <w:sz w:val="22"/>
                <w:szCs w:val="22"/>
                <w:lang w:val="bg-BG"/>
              </w:rPr>
              <w:t>Като се има предвид оценката на бъдещите парични потоци, ръководството на дружеството счита, че е подходящо финансовите отчети да бъдат изготвени на база на принципа на действащото предприятие.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keepLines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IAS"/>
              <w:keepLines/>
              <w:widowControl/>
              <w:snapToGrid w:val="0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keepLines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IAS"/>
              <w:keepLines/>
              <w:widowControl/>
              <w:snapToGrid w:val="0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i w:val="0"/>
                <w:sz w:val="22"/>
                <w:szCs w:val="22"/>
              </w:rPr>
              <w:t>Сравнителни данни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 w:rsidP="00DD107C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Предходната година в отчета е представена в съответствие с годишния финансов отчет към 31.12.20</w:t>
            </w:r>
            <w:r w:rsidR="00957421" w:rsidRPr="00FB4F7F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9C69DD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И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нформация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та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 съпоставим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а 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 текущия период.  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keepLines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heading1"/>
              <w:keepNext w:val="0"/>
              <w:keepLines/>
              <w:widowControl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keepLines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heading1"/>
              <w:keepNext w:val="0"/>
              <w:keepLines/>
              <w:widowControl/>
              <w:snapToGrid w:val="0"/>
              <w:rPr>
                <w:sz w:val="22"/>
                <w:szCs w:val="22"/>
              </w:rPr>
            </w:pPr>
            <w:r w:rsidRPr="00FB4F7F">
              <w:rPr>
                <w:sz w:val="22"/>
                <w:szCs w:val="22"/>
              </w:rPr>
              <w:t>Отчетна валута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i/>
                <w:position w:val="4"/>
                <w:sz w:val="22"/>
                <w:szCs w:val="22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155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tabelt"/>
              <w:widowControl/>
              <w:snapToGrid w:val="0"/>
              <w:jc w:val="center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71780D" w:rsidRDefault="009E0043">
            <w:pPr>
              <w:keepLines/>
              <w:widowControl/>
              <w:snapToGrid w:val="0"/>
              <w:spacing w:before="120" w:line="260" w:lineRule="atLeast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Функционалната и отчетна валута на дружеството е българския лев. Сделките, осъществявани в чуждестранна валута са преизчислявани в лева по валутния курс на 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Ц</w:t>
            </w:r>
            <w:r w:rsidRPr="0071780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ентралната банка в деня на сделката. Паричните активи и пасиви, деноминирани в чуждестранна валута към датата на баланса са преизчислени в лева по заключителния валутен курс на 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Ц</w:t>
            </w:r>
            <w:r w:rsidRPr="0071780D">
              <w:rPr>
                <w:rFonts w:ascii="Times New Roman" w:hAnsi="Times New Roman"/>
                <w:sz w:val="22"/>
                <w:szCs w:val="22"/>
                <w:lang w:val="ru-RU"/>
              </w:rPr>
              <w:t>ентралната банка към 31 декември 201</w:t>
            </w:r>
            <w:r w:rsidR="00C851BE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  <w:r w:rsidRPr="0071780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година. Произтичащите от това курсови разлики са признати като финансови приходи и разходи и са включени в 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О</w:t>
            </w:r>
            <w:r w:rsidRPr="0071780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тчета за 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приходите и разходите</w:t>
            </w:r>
            <w:r w:rsidRPr="0071780D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:rsidR="009E0043" w:rsidRPr="0071780D" w:rsidRDefault="009E0043">
            <w:pPr>
              <w:keepLines/>
              <w:widowControl/>
              <w:snapToGrid w:val="0"/>
              <w:spacing w:before="120"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При изготвяне на отчета е използван заключителен курс - за едно евро</w:t>
            </w:r>
            <w:r w:rsidRPr="0071780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–</w:t>
            </w:r>
            <w:r w:rsidRPr="0071780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1.95583 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лв.</w:t>
            </w:r>
          </w:p>
          <w:p w:rsidR="009E0043" w:rsidRPr="0071780D" w:rsidRDefault="009E0043" w:rsidP="00306624">
            <w:pPr>
              <w:keepLines/>
              <w:widowControl/>
              <w:snapToGrid w:val="0"/>
              <w:spacing w:before="120" w:line="260" w:lineRule="atLeast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                                            </w:t>
            </w:r>
            <w:r w:rsidR="00AD006A" w:rsidRPr="0071780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         </w:t>
            </w:r>
            <w:r w:rsidRPr="0071780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за един щатски долар - 1.</w:t>
            </w:r>
            <w:r w:rsidR="00C851BE">
              <w:rPr>
                <w:rFonts w:ascii="Times New Roman" w:hAnsi="Times New Roman"/>
                <w:sz w:val="22"/>
                <w:szCs w:val="22"/>
                <w:lang w:val="bg-BG"/>
              </w:rPr>
              <w:t>70815</w:t>
            </w:r>
            <w:r w:rsidRPr="0071780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лв.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71780D" w:rsidRDefault="009E0043">
            <w:pPr>
              <w:pStyle w:val="tabelheading1"/>
              <w:widowControl/>
              <w:snapToGrid w:val="0"/>
              <w:rPr>
                <w:sz w:val="22"/>
                <w:szCs w:val="22"/>
                <w:lang w:val="ru-RU"/>
              </w:rPr>
            </w:pPr>
          </w:p>
          <w:p w:rsidR="009E0043" w:rsidRPr="0071780D" w:rsidRDefault="009E0043">
            <w:pPr>
              <w:pStyle w:val="tabelheading1"/>
              <w:widowControl/>
              <w:snapToGrid w:val="0"/>
              <w:rPr>
                <w:sz w:val="22"/>
                <w:szCs w:val="22"/>
                <w:lang w:val="ru-RU"/>
              </w:rPr>
            </w:pPr>
          </w:p>
          <w:p w:rsidR="009E0043" w:rsidRPr="0071780D" w:rsidRDefault="009E0043">
            <w:pPr>
              <w:pStyle w:val="tabelheading1"/>
              <w:widowControl/>
              <w:snapToGrid w:val="0"/>
              <w:rPr>
                <w:sz w:val="22"/>
                <w:szCs w:val="22"/>
                <w:lang w:val="ru-RU"/>
              </w:rPr>
            </w:pPr>
          </w:p>
          <w:p w:rsidR="009E0043" w:rsidRPr="0071780D" w:rsidRDefault="009E0043">
            <w:pPr>
              <w:pStyle w:val="tabelheading1"/>
              <w:widowControl/>
              <w:snapToGrid w:val="0"/>
              <w:rPr>
                <w:sz w:val="22"/>
                <w:szCs w:val="22"/>
                <w:lang w:val="ru-RU"/>
              </w:rPr>
            </w:pPr>
          </w:p>
          <w:p w:rsidR="009E0043" w:rsidRPr="0071780D" w:rsidRDefault="009E0043">
            <w:pPr>
              <w:pStyle w:val="tabelheading1"/>
              <w:widowControl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heading1"/>
              <w:widowControl/>
              <w:snapToGrid w:val="0"/>
              <w:rPr>
                <w:sz w:val="22"/>
                <w:szCs w:val="22"/>
              </w:rPr>
            </w:pPr>
            <w:r w:rsidRPr="00FB4F7F">
              <w:rPr>
                <w:sz w:val="22"/>
                <w:szCs w:val="22"/>
              </w:rPr>
              <w:t>Дълготрайни материални активи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1138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31"/>
              <w:widowControl/>
              <w:snapToGrid w:val="0"/>
              <w:spacing w:before="120"/>
              <w:rPr>
                <w:i/>
                <w:sz w:val="22"/>
                <w:szCs w:val="22"/>
                <w:lang w:val="ru-RU"/>
              </w:rPr>
            </w:pPr>
            <w:r w:rsidRPr="00FB4F7F">
              <w:rPr>
                <w:i/>
                <w:sz w:val="22"/>
                <w:szCs w:val="22"/>
                <w:lang w:val="ru-RU"/>
              </w:rPr>
              <w:t>Първоначално оценяване</w:t>
            </w:r>
          </w:p>
          <w:p w:rsidR="009E0043" w:rsidRPr="00FB4F7F" w:rsidRDefault="009E0043">
            <w:pPr>
              <w:widowControl/>
              <w:spacing w:before="120" w:line="260" w:lineRule="atLeast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Новопридобитите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ълготрайни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м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атериални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а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ктиви са оценени по цена на придобиване, която включва покупната цена и разходите за привеждане на актива в подходящ за ползуването му вид.</w:t>
            </w:r>
          </w:p>
          <w:p w:rsidR="009E0043" w:rsidRPr="00FB4F7F" w:rsidRDefault="009E0043">
            <w:pPr>
              <w:widowControl/>
              <w:spacing w:before="120"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За новопридобитите ДМА не е определена остатъчна стойност.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</w:p>
          <w:p w:rsidR="009E0043" w:rsidRPr="00FB4F7F" w:rsidRDefault="009E0043">
            <w:pPr>
              <w:widowControl/>
              <w:spacing w:before="120" w:line="260" w:lineRule="atLeast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Дружеството е определило стойностен праг от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700,00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лв., под който придобитите активи, независимо че притежават характеристиките на дълготраен актив, се изписват като текущ разход в момента на придобиването им.</w:t>
            </w:r>
          </w:p>
          <w:p w:rsidR="009E0043" w:rsidRPr="00FB4F7F" w:rsidRDefault="009E0043">
            <w:pPr>
              <w:widowControl/>
              <w:spacing w:before="120" w:line="260" w:lineRule="atLeast"/>
              <w:jc w:val="both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Последващо оценяване</w:t>
            </w:r>
          </w:p>
          <w:p w:rsidR="009E0043" w:rsidRPr="00FB4F7F" w:rsidRDefault="009E0043">
            <w:pPr>
              <w:widowControl/>
              <w:spacing w:before="120"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Избрания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т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дружеството подход за последваща балансова оценка на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ълготрайните активи е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“препоръчителния подход” съгласно С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16, т.е. активите са представени по цена на придобиване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,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намалена с начислените амортизации и загуби от обезценка.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</w:p>
          <w:p w:rsidR="009E0043" w:rsidRPr="00FB4F7F" w:rsidRDefault="009E0043" w:rsidP="00DD107C">
            <w:pPr>
              <w:widowControl/>
              <w:spacing w:before="120"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Във връзка с изготвянето на този финансов отчет е извършен преглед на Дълготрайните материални активи с цел отчитане на евентуални загуби от обезценка. Към 31.12.201</w:t>
            </w:r>
            <w:r w:rsidR="00C851BE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  <w:r w:rsidR="00B02FC5"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г. дружеството не отчита загуба от обезценка на ДМА.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1258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before="120" w:line="260" w:lineRule="atLeast"/>
              <w:jc w:val="both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Последващи разходи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Последващи разходи се капитализират само, ако се увеличи бъдещата икономическа изгода, произтичаща от недвижимия имот, машини и съоръжения.  Всички други разходи се признават в отчета за приходи и разходи в момента на възникване.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266"/>
        </w:trPr>
        <w:tc>
          <w:tcPr>
            <w:tcW w:w="299" w:type="dxa"/>
            <w:shd w:val="clear" w:color="auto" w:fill="auto"/>
            <w:vAlign w:val="bottom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  <w:vAlign w:val="bottom"/>
          </w:tcPr>
          <w:p w:rsidR="009E0043" w:rsidRPr="00FB4F7F" w:rsidRDefault="009E0043">
            <w:pPr>
              <w:widowControl/>
              <w:snapToGrid w:val="0"/>
              <w:spacing w:before="120" w:line="260" w:lineRule="atLeast"/>
              <w:jc w:val="both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Амортизация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Амортизацията е начислена на база на линейния метод върху оценения полезен живот на активите. Земите и разходите за придобиване на дълготрайни активи не се амортизират. Използваните амортизационни норми са както следва: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  Сгради                            - 4%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  Съоръжения                   - 4%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</w:rPr>
              <w:t>  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Pr="00FB4F7F">
              <w:rPr>
                <w:rFonts w:ascii="Times New Roman" w:hAnsi="Times New Roman"/>
                <w:sz w:val="22"/>
                <w:szCs w:val="22"/>
              </w:rPr>
              <w:t> 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Машини                          - 30 %; 10 %  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  Компютри                       - 50 % 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</w:rPr>
              <w:t>      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</w:rPr>
              <w:t> 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Транспортни средства</w:t>
            </w:r>
            <w:r w:rsidR="00B02FC5"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и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автомобили – 10 % и</w:t>
            </w:r>
            <w:r w:rsidR="00B02FC5"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B02FC5" w:rsidRPr="00FB4F7F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5%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  Други транспортни средства -10 %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</w:rPr>
              <w:t>    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</w:rPr>
              <w:t> 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Стопански инвентар  -    15 %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Активите се амортизират от началото на месеца следващ месеца на въвеждане в експлоатация.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tabelLinks"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Links"/>
              <w:snapToGrid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i/>
                <w:position w:val="4"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tabelLinks"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Links"/>
              <w:snapToGrid w:val="0"/>
              <w:rPr>
                <w:b/>
                <w:sz w:val="22"/>
                <w:szCs w:val="22"/>
              </w:rPr>
            </w:pPr>
            <w:r w:rsidRPr="00FB4F7F">
              <w:rPr>
                <w:b/>
                <w:sz w:val="22"/>
                <w:szCs w:val="22"/>
              </w:rPr>
              <w:t xml:space="preserve">Дълготрайни </w:t>
            </w:r>
            <w:r w:rsidRPr="00FB4F7F">
              <w:rPr>
                <w:b/>
                <w:sz w:val="22"/>
                <w:szCs w:val="22"/>
                <w:lang w:val="bg-BG"/>
              </w:rPr>
              <w:t>не</w:t>
            </w:r>
            <w:r w:rsidRPr="00FB4F7F">
              <w:rPr>
                <w:b/>
                <w:sz w:val="22"/>
                <w:szCs w:val="22"/>
              </w:rPr>
              <w:t>материални активи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i/>
                <w:position w:val="4"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tabelLinks"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379"/>
            </w:tblGrid>
            <w:tr w:rsidR="009E0043" w:rsidRPr="00FB4F7F" w:rsidTr="00AD006A">
              <w:tc>
                <w:tcPr>
                  <w:tcW w:w="0" w:type="auto"/>
                  <w:shd w:val="clear" w:color="auto" w:fill="auto"/>
                </w:tcPr>
                <w:p w:rsidR="009E0043" w:rsidRPr="00FB4F7F" w:rsidRDefault="009E0043">
                  <w:pPr>
                    <w:pStyle w:val="31"/>
                    <w:widowControl/>
                    <w:snapToGrid w:val="0"/>
                    <w:spacing w:before="120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FB4F7F">
                    <w:rPr>
                      <w:i/>
                      <w:sz w:val="22"/>
                      <w:szCs w:val="22"/>
                      <w:lang w:val="ru-RU"/>
                    </w:rPr>
                    <w:t>Първоначално оценяване</w:t>
                  </w:r>
                </w:p>
                <w:p w:rsidR="009E0043" w:rsidRPr="00FB4F7F" w:rsidRDefault="009E0043">
                  <w:pPr>
                    <w:widowControl/>
                    <w:spacing w:before="12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Новопридобитите </w:t>
                  </w: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>д</w:t>
                  </w: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ълготрайни </w:t>
                  </w: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>нем</w:t>
                  </w: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атериални </w:t>
                  </w: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>а</w:t>
                  </w: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ктиви са оценени по цена на придобиване, която включва покупната цена и разходите за привеждане на актива в подходящ за ползуването му вид.</w:t>
                  </w:r>
                </w:p>
                <w:p w:rsidR="009E0043" w:rsidRPr="00FB4F7F" w:rsidRDefault="009E0043">
                  <w:pPr>
                    <w:widowControl/>
                    <w:spacing w:before="12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</w:pP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>Дружеството е определило стойностен праг от 700,00 лв., под който придобитите активи, независимо че притежават характеристиките на дълготраен актив, се изписват като текущ разход в момента на придобиването им.</w:t>
                  </w:r>
                </w:p>
                <w:p w:rsidR="009E0043" w:rsidRPr="00FB4F7F" w:rsidRDefault="009E0043">
                  <w:pPr>
                    <w:widowControl/>
                    <w:spacing w:before="12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bg-BG"/>
                    </w:rPr>
                  </w:pPr>
                  <w:r w:rsidRPr="00FB4F7F">
                    <w:rPr>
                      <w:rFonts w:ascii="Times New Roman" w:hAnsi="Times New Roman"/>
                      <w:i/>
                      <w:sz w:val="22"/>
                      <w:szCs w:val="22"/>
                      <w:lang w:val="bg-BG"/>
                    </w:rPr>
                    <w:t>Последващо оценяване</w:t>
                  </w:r>
                </w:p>
                <w:p w:rsidR="009E0043" w:rsidRPr="00FB4F7F" w:rsidRDefault="009E0043">
                  <w:pPr>
                    <w:widowControl/>
                    <w:spacing w:before="12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</w:pP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 xml:space="preserve">Избраният от дружеството подход за последваща балансова оценка на нематериалните дълготрайни активи е “препоръчителния подход” съгласно СС 38, т.е. активите са представени по цена на придобиване, намалена с начислените амортизации и загуби от обезценка. </w:t>
                  </w:r>
                </w:p>
                <w:p w:rsidR="009E0043" w:rsidRPr="00FB4F7F" w:rsidRDefault="00B02FC5" w:rsidP="00DD107C">
                  <w:pPr>
                    <w:widowControl/>
                    <w:spacing w:before="12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</w:pP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>Към 31.12.201</w:t>
                  </w:r>
                  <w:r w:rsidR="00C851BE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>8</w:t>
                  </w: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 xml:space="preserve"> </w:t>
                  </w:r>
                  <w:r w:rsidR="009E0043"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>г. дружеството не отчита загуба от обезценка на НДМА.</w:t>
                  </w:r>
                </w:p>
              </w:tc>
            </w:tr>
            <w:tr w:rsidR="009E0043" w:rsidRPr="00FB4F7F" w:rsidTr="00AD006A">
              <w:tc>
                <w:tcPr>
                  <w:tcW w:w="0" w:type="auto"/>
                  <w:shd w:val="clear" w:color="auto" w:fill="auto"/>
                </w:tcPr>
                <w:p w:rsidR="009E0043" w:rsidRPr="00FB4F7F" w:rsidRDefault="009E0043">
                  <w:pPr>
                    <w:widowControl/>
                    <w:snapToGrid w:val="0"/>
                    <w:spacing w:before="12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bg-BG"/>
                    </w:rPr>
                  </w:pPr>
                  <w:r w:rsidRPr="00FB4F7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bg-BG"/>
                    </w:rPr>
                    <w:t>Последващи разходи</w:t>
                  </w:r>
                </w:p>
                <w:p w:rsidR="009E0043" w:rsidRPr="00FB4F7F" w:rsidRDefault="009E0043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</w:pP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>Последващи разходи се капитализират само, ако се увеличи бъдещата икономическа изгода.  Всички други разходи се признават в отчета за приходи и разходи в момента на възникване.</w:t>
                  </w:r>
                </w:p>
              </w:tc>
            </w:tr>
            <w:tr w:rsidR="009E0043" w:rsidRPr="00FB4F7F" w:rsidTr="00AD006A">
              <w:tc>
                <w:tcPr>
                  <w:tcW w:w="0" w:type="auto"/>
                  <w:shd w:val="clear" w:color="auto" w:fill="auto"/>
                  <w:vAlign w:val="bottom"/>
                </w:tcPr>
                <w:p w:rsidR="009E0043" w:rsidRPr="00FB4F7F" w:rsidRDefault="009E0043">
                  <w:pPr>
                    <w:widowControl/>
                    <w:snapToGrid w:val="0"/>
                    <w:spacing w:before="12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bg-BG"/>
                    </w:rPr>
                  </w:pPr>
                  <w:r w:rsidRPr="00FB4F7F">
                    <w:rPr>
                      <w:rFonts w:ascii="Times New Roman" w:hAnsi="Times New Roman"/>
                      <w:i/>
                      <w:sz w:val="22"/>
                      <w:szCs w:val="22"/>
                      <w:lang w:val="bg-BG"/>
                    </w:rPr>
                    <w:lastRenderedPageBreak/>
                    <w:t>Амортизация</w:t>
                  </w:r>
                </w:p>
                <w:p w:rsidR="009E0043" w:rsidRPr="00FB4F7F" w:rsidRDefault="009E0043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</w:pP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 xml:space="preserve">Амортизацията е начислена на база на линейния метод върху оценения полезен живот на активите. </w:t>
                  </w:r>
                </w:p>
                <w:p w:rsidR="009E0043" w:rsidRPr="00FB4F7F" w:rsidRDefault="009E0043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</w:pP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>Активите се амортизират от началото на месеца следващ месеца на въвеждане в експлоатация.</w:t>
                  </w:r>
                </w:p>
                <w:p w:rsidR="009E0043" w:rsidRPr="00FB4F7F" w:rsidRDefault="009E0043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</w:pPr>
                  <w:r w:rsidRPr="00FB4F7F">
                    <w:rPr>
                      <w:rFonts w:ascii="Times New Roman" w:hAnsi="Times New Roman"/>
                      <w:sz w:val="22"/>
                      <w:szCs w:val="22"/>
                    </w:rPr>
                    <w:t>    </w:t>
                  </w: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 xml:space="preserve">  </w:t>
                  </w:r>
                </w:p>
              </w:tc>
            </w:tr>
          </w:tbl>
          <w:p w:rsidR="009E0043" w:rsidRPr="00FB4F7F" w:rsidRDefault="009E0043">
            <w:pPr>
              <w:rPr>
                <w:rFonts w:ascii="Times New Roman" w:hAnsi="Times New Roman"/>
                <w:i/>
                <w:position w:val="4"/>
                <w:sz w:val="22"/>
                <w:szCs w:val="22"/>
                <w:lang w:val="ru-RU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i/>
                <w:position w:val="4"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tabelLinks"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Links"/>
              <w:snapToGrid w:val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i/>
                <w:position w:val="4"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333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tabelt"/>
              <w:widowControl/>
              <w:snapToGrid w:val="0"/>
              <w:jc w:val="center"/>
              <w:rPr>
                <w:i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Links"/>
              <w:widowControl/>
              <w:snapToGrid w:val="0"/>
              <w:rPr>
                <w:b/>
                <w:sz w:val="22"/>
                <w:szCs w:val="22"/>
              </w:rPr>
            </w:pPr>
            <w:r w:rsidRPr="00FB4F7F">
              <w:rPr>
                <w:b/>
                <w:sz w:val="22"/>
                <w:szCs w:val="22"/>
              </w:rPr>
              <w:t>Материални запаси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333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numberpositive"/>
              <w:widowControl/>
              <w:snapToGrid w:val="0"/>
              <w:jc w:val="center"/>
              <w:rPr>
                <w:i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От групата на материалните запаси дружеството отчита материали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, продукция и стоки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При покупка м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атериалите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и стоките 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се оценяват по цената на придобиване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, продукцията по фактическа себестойност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. Материал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н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ите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запаси 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при потребление с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е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оценяват по метода "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средно претеглена цена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".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333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numberpositive"/>
              <w:widowControl/>
              <w:snapToGrid w:val="0"/>
              <w:jc w:val="center"/>
              <w:rPr>
                <w:i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Links"/>
              <w:widowControl/>
              <w:snapToGrid w:val="0"/>
              <w:rPr>
                <w:b/>
                <w:sz w:val="22"/>
                <w:szCs w:val="22"/>
              </w:rPr>
            </w:pPr>
            <w:r w:rsidRPr="00FB4F7F">
              <w:rPr>
                <w:b/>
                <w:sz w:val="22"/>
                <w:szCs w:val="22"/>
                <w:lang w:val="bg-BG"/>
              </w:rPr>
              <w:t>В</w:t>
            </w:r>
            <w:r w:rsidRPr="00FB4F7F">
              <w:rPr>
                <w:b/>
                <w:sz w:val="22"/>
                <w:szCs w:val="22"/>
              </w:rPr>
              <w:t>земания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333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numberpositive"/>
              <w:widowControl/>
              <w:snapToGrid w:val="0"/>
              <w:jc w:val="center"/>
              <w:rPr>
                <w:i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 w:rsidP="00DD107C">
            <w:pPr>
              <w:widowControl/>
              <w:snapToGrid w:val="0"/>
              <w:spacing w:before="120"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В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земания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та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са представени по тяхната номинална стойност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Сумите, които се очаква, че няма да бъдат възстановени се намаляват от вземанията и се отчитат като разх</w:t>
            </w:r>
            <w:r w:rsidR="00B02FC5"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оди от обезценка. Към 31.12.201</w:t>
            </w:r>
            <w:r w:rsidR="00C851BE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 е извършен възрастов анализ и оценка на събираемостта на вземанията.  Извършена е инвентаризация на вземанията.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333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tabelt"/>
              <w:widowControl/>
              <w:snapToGrid w:val="0"/>
              <w:jc w:val="center"/>
              <w:rPr>
                <w:i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t"/>
              <w:widowControl/>
              <w:snapToGrid w:val="0"/>
              <w:jc w:val="center"/>
              <w:rPr>
                <w:i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heading1"/>
              <w:widowControl/>
              <w:snapToGrid w:val="0"/>
              <w:rPr>
                <w:sz w:val="22"/>
                <w:szCs w:val="22"/>
              </w:rPr>
            </w:pPr>
            <w:r w:rsidRPr="00FB4F7F">
              <w:rPr>
                <w:sz w:val="22"/>
                <w:szCs w:val="22"/>
              </w:rPr>
              <w:t>Парични средства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75064C" w:rsidRDefault="009E0043" w:rsidP="0075064C">
            <w:pPr>
              <w:widowControl/>
              <w:snapToGrid w:val="0"/>
              <w:spacing w:before="120" w:line="240" w:lineRule="exact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5064C">
              <w:rPr>
                <w:rFonts w:ascii="Times New Roman" w:hAnsi="Times New Roman"/>
                <w:sz w:val="22"/>
                <w:szCs w:val="22"/>
                <w:lang w:val="ru-RU"/>
              </w:rPr>
              <w:t>Парични</w:t>
            </w:r>
            <w:r w:rsidRPr="0075064C">
              <w:rPr>
                <w:rFonts w:ascii="Times New Roman" w:hAnsi="Times New Roman"/>
                <w:sz w:val="22"/>
                <w:szCs w:val="22"/>
                <w:lang w:val="bg-BG"/>
              </w:rPr>
              <w:t>те</w:t>
            </w:r>
            <w:r w:rsidRPr="0075064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средства включват салда по касови наличности и банкови сметки.</w:t>
            </w:r>
          </w:p>
          <w:p w:rsidR="009E0043" w:rsidRPr="0075064C" w:rsidRDefault="009E0043" w:rsidP="0075064C">
            <w:pPr>
              <w:widowControl/>
              <w:spacing w:before="120" w:line="240" w:lineRule="exact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5064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 целите на изготвянето на </w:t>
            </w:r>
            <w:r w:rsidRPr="0075064C">
              <w:rPr>
                <w:rFonts w:ascii="Times New Roman" w:hAnsi="Times New Roman"/>
                <w:sz w:val="22"/>
                <w:szCs w:val="22"/>
                <w:lang w:val="bg-BG"/>
              </w:rPr>
              <w:t>О</w:t>
            </w:r>
            <w:r w:rsidRPr="0075064C">
              <w:rPr>
                <w:rFonts w:ascii="Times New Roman" w:hAnsi="Times New Roman"/>
                <w:sz w:val="22"/>
                <w:szCs w:val="22"/>
                <w:lang w:val="ru-RU"/>
              </w:rPr>
              <w:t>тчета за паричните потоци (по прекия подход):</w:t>
            </w:r>
          </w:p>
          <w:p w:rsidR="0075064C" w:rsidRPr="0075064C" w:rsidRDefault="0075064C" w:rsidP="0075064C">
            <w:pPr>
              <w:widowControl/>
              <w:spacing w:before="120" w:line="240" w:lineRule="exac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5064C">
              <w:rPr>
                <w:rFonts w:ascii="Times New Roman" w:hAnsi="Times New Roman"/>
                <w:sz w:val="22"/>
                <w:szCs w:val="22"/>
              </w:rPr>
              <w:t xml:space="preserve">- паричните постъпления от клиенти и паричните плащания към доставчици са представени брутно, с включен </w:t>
            </w:r>
            <w:r w:rsidRPr="0075064C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Pr="0075064C">
              <w:rPr>
                <w:rFonts w:ascii="Times New Roman" w:hAnsi="Times New Roman"/>
                <w:sz w:val="22"/>
                <w:szCs w:val="22"/>
              </w:rPr>
              <w:t>ДДС (20 %)</w:t>
            </w:r>
            <w:r w:rsidRPr="0075064C">
              <w:rPr>
                <w:rFonts w:ascii="Times New Roman" w:hAnsi="Times New Roman"/>
                <w:sz w:val="22"/>
                <w:szCs w:val="22"/>
                <w:lang w:val="bg-BG"/>
              </w:rPr>
              <w:t>;</w:t>
            </w:r>
          </w:p>
          <w:p w:rsidR="0075064C" w:rsidRPr="0075064C" w:rsidRDefault="0075064C" w:rsidP="0075064C">
            <w:pPr>
              <w:widowControl/>
              <w:spacing w:before="120" w:line="240" w:lineRule="exac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5064C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75064C">
              <w:rPr>
                <w:rFonts w:ascii="Times New Roman" w:hAnsi="Times New Roman"/>
                <w:sz w:val="22"/>
                <w:szCs w:val="22"/>
                <w:lang w:val="bg-BG"/>
              </w:rPr>
              <w:t>паричните потоци произтичащи от сделки в чужда валута се оценяват в левове по реда на СС 21;</w:t>
            </w:r>
          </w:p>
          <w:p w:rsidR="0075064C" w:rsidRPr="0075064C" w:rsidRDefault="0075064C" w:rsidP="0075064C">
            <w:pPr>
              <w:widowControl/>
              <w:spacing w:before="120" w:line="240" w:lineRule="exac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5064C">
              <w:rPr>
                <w:rFonts w:ascii="Times New Roman" w:hAnsi="Times New Roman"/>
                <w:sz w:val="22"/>
                <w:szCs w:val="22"/>
                <w:lang w:val="bg-BG"/>
              </w:rPr>
              <w:t>-плащанията по лизингови договори се представят като парични потоци от финансова дейност;</w:t>
            </w:r>
          </w:p>
          <w:p w:rsidR="0075064C" w:rsidRPr="0075064C" w:rsidRDefault="0075064C" w:rsidP="0075064C">
            <w:pPr>
              <w:widowControl/>
              <w:spacing w:before="120" w:line="240" w:lineRule="exact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5064C">
              <w:rPr>
                <w:rFonts w:ascii="Times New Roman" w:hAnsi="Times New Roman"/>
                <w:sz w:val="22"/>
                <w:szCs w:val="22"/>
                <w:lang w:val="bg-BG"/>
              </w:rPr>
              <w:t>-паричните потоци, произтичащи от данъци от печалбата се представят отделно и се категоризират като парични потоци от основна дейност;</w:t>
            </w:r>
          </w:p>
          <w:p w:rsidR="0075064C" w:rsidRPr="0075064C" w:rsidRDefault="0075064C" w:rsidP="0075064C">
            <w:pPr>
              <w:spacing w:line="240" w:lineRule="exac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5064C">
              <w:rPr>
                <w:rFonts w:ascii="Times New Roman" w:hAnsi="Times New Roman"/>
                <w:sz w:val="22"/>
                <w:szCs w:val="22"/>
                <w:lang w:val="bg-BG"/>
              </w:rPr>
              <w:t>- постъпленията и плащанията за лихви по предоставени и получени заеми се включват в паричните потоци от финансова дейност;</w:t>
            </w:r>
          </w:p>
          <w:p w:rsidR="0075064C" w:rsidRPr="0075064C" w:rsidRDefault="0075064C" w:rsidP="0075064C">
            <w:pPr>
              <w:spacing w:line="240" w:lineRule="exac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5064C">
              <w:rPr>
                <w:rFonts w:ascii="Times New Roman" w:hAnsi="Times New Roman"/>
                <w:sz w:val="22"/>
                <w:szCs w:val="22"/>
                <w:lang w:val="bg-BG"/>
              </w:rPr>
              <w:t>- паричните потоци, свързани с предоставени и получени кредити (главници), се включват като парични потоци използвани за финансова дейност;</w:t>
            </w:r>
          </w:p>
          <w:p w:rsidR="009E0043" w:rsidRPr="0075064C" w:rsidRDefault="0075064C" w:rsidP="0075064C">
            <w:pPr>
              <w:widowControl/>
              <w:spacing w:before="120" w:line="240" w:lineRule="exac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5064C">
              <w:rPr>
                <w:rFonts w:ascii="Times New Roman" w:hAnsi="Times New Roman"/>
                <w:sz w:val="22"/>
                <w:szCs w:val="22"/>
                <w:lang w:val="bg-BG"/>
              </w:rPr>
              <w:t>- платеният ДДС по покупки на дълготрайни активи се посочва като “други постъпления (плащания)”, нетно към паричните потоци от оперативна дейност, доколкото той участва и се възстановява заедно и в оперативните потоци на дружеството за съответния период (месец).</w:t>
            </w:r>
            <w:r w:rsidR="009E0043" w:rsidRPr="0075064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паричните постъпления от клиенти и паричните плащания към доставчици са представени брутно, с включен </w:t>
            </w:r>
            <w:r w:rsidR="009E0043" w:rsidRPr="0075064C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9E0043" w:rsidRPr="0075064C">
              <w:rPr>
                <w:rFonts w:ascii="Times New Roman" w:hAnsi="Times New Roman"/>
                <w:sz w:val="22"/>
                <w:szCs w:val="22"/>
                <w:lang w:val="ru-RU"/>
              </w:rPr>
              <w:t>ДДС (20 %)</w:t>
            </w:r>
            <w:r w:rsidR="009E0043" w:rsidRPr="0075064C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266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75064C" w:rsidRDefault="009E0043" w:rsidP="0075064C">
            <w:pPr>
              <w:widowControl/>
              <w:snapToGrid w:val="0"/>
              <w:spacing w:line="240" w:lineRule="exact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266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379"/>
            </w:tblGrid>
            <w:tr w:rsidR="009E0043" w:rsidRPr="00FB4F7F" w:rsidTr="00AD006A">
              <w:tc>
                <w:tcPr>
                  <w:tcW w:w="9510" w:type="dxa"/>
                  <w:shd w:val="clear" w:color="auto" w:fill="auto"/>
                </w:tcPr>
                <w:p w:rsidR="009E0043" w:rsidRPr="00FB4F7F" w:rsidRDefault="009E0043">
                  <w:pPr>
                    <w:widowControl/>
                    <w:snapToGrid w:val="0"/>
                    <w:spacing w:line="240" w:lineRule="exact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FB4F7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Резервирани отпуски</w:t>
                  </w:r>
                </w:p>
              </w:tc>
            </w:tr>
            <w:tr w:rsidR="009E0043" w:rsidRPr="00FB4F7F" w:rsidTr="00AD006A">
              <w:tc>
                <w:tcPr>
                  <w:tcW w:w="9510" w:type="dxa"/>
                  <w:shd w:val="clear" w:color="auto" w:fill="auto"/>
                </w:tcPr>
                <w:p w:rsidR="009E0043" w:rsidRPr="00FB4F7F" w:rsidRDefault="009E0043" w:rsidP="00DD107C">
                  <w:pPr>
                    <w:widowControl/>
                    <w:snapToGrid w:val="0"/>
                    <w:spacing w:line="240" w:lineRule="exact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</w:pP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>Съгласно КТ правото за ползване на определения полагаем годишен отпуск се запазва и в случаите, когато не е използван в годината, за която се отнася. В съответствие със СС 19 “Доходи на персонала” разхода за отпуски се резервира чрез формиран разход и начисление на задължение към служителите в годината, за която се отнася. При използването му в следващ отчетен период средствата за отпуск се черпят за сметка на резерва</w:t>
                  </w:r>
                  <w:r w:rsidR="00740851"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>. В предприятието към 31.12.201</w:t>
                  </w:r>
                  <w:r w:rsidR="00C851BE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>8</w:t>
                  </w:r>
                  <w:r w:rsidR="00740851"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 xml:space="preserve"> </w:t>
                  </w:r>
                  <w:r w:rsidRPr="00FB4F7F">
                    <w:rPr>
                      <w:rFonts w:ascii="Times New Roman" w:hAnsi="Times New Roman"/>
                      <w:sz w:val="22"/>
                      <w:szCs w:val="22"/>
                      <w:lang w:val="bg-BG"/>
                    </w:rPr>
                    <w:t xml:space="preserve"> г. няма неизползвани отпуски.</w:t>
                  </w:r>
                </w:p>
              </w:tc>
            </w:tr>
          </w:tbl>
          <w:p w:rsidR="009E0043" w:rsidRPr="00FB4F7F" w:rsidRDefault="009E0043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266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</w:t>
            </w:r>
            <w:r w:rsidRPr="00FB4F7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адължения</w:t>
            </w:r>
          </w:p>
          <w:p w:rsidR="009E0043" w:rsidRPr="00650936" w:rsidRDefault="009E0043" w:rsidP="00DD107C">
            <w:pPr>
              <w:widowControl/>
              <w:spacing w:line="260" w:lineRule="atLeast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З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адължения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та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са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представени в баланса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тяхната номинална стойност.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Към 31.12.20</w:t>
            </w:r>
            <w:r w:rsidRPr="00FB4F7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="00C851BE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 е извършена  инвентаризация на задълженията. 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i/>
                <w:position w:val="4"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359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tabelt"/>
              <w:widowControl/>
              <w:snapToGrid w:val="0"/>
              <w:jc w:val="center"/>
              <w:rPr>
                <w:b/>
                <w:i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t"/>
              <w:widowControl/>
              <w:snapToGrid w:val="0"/>
              <w:jc w:val="center"/>
              <w:rPr>
                <w:i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D150AC" w:rsidRPr="00FB4F7F" w:rsidTr="00807B93">
        <w:trPr>
          <w:gridAfter w:val="2"/>
          <w:wAfter w:w="22" w:type="dxa"/>
          <w:trHeight w:val="359"/>
        </w:trPr>
        <w:tc>
          <w:tcPr>
            <w:tcW w:w="299" w:type="dxa"/>
            <w:shd w:val="clear" w:color="auto" w:fill="auto"/>
          </w:tcPr>
          <w:p w:rsidR="00D150AC" w:rsidRPr="00FB4F7F" w:rsidRDefault="00D150AC">
            <w:pPr>
              <w:pStyle w:val="tabelt"/>
              <w:widowControl/>
              <w:snapToGrid w:val="0"/>
              <w:jc w:val="center"/>
              <w:rPr>
                <w:b/>
                <w:i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D150AC" w:rsidRDefault="00D150AC">
            <w:pPr>
              <w:pStyle w:val="tabelt"/>
              <w:widowControl/>
              <w:snapToGrid w:val="0"/>
              <w:jc w:val="center"/>
              <w:rPr>
                <w:i/>
                <w:color w:val="auto"/>
                <w:sz w:val="22"/>
                <w:szCs w:val="22"/>
                <w:lang w:val="en-US"/>
              </w:rPr>
            </w:pPr>
          </w:p>
          <w:p w:rsidR="003D542F" w:rsidRDefault="003D542F">
            <w:pPr>
              <w:pStyle w:val="tabelt"/>
              <w:widowControl/>
              <w:snapToGrid w:val="0"/>
              <w:jc w:val="center"/>
              <w:rPr>
                <w:i/>
                <w:color w:val="auto"/>
                <w:sz w:val="22"/>
                <w:szCs w:val="22"/>
                <w:lang w:val="en-US"/>
              </w:rPr>
            </w:pPr>
          </w:p>
          <w:p w:rsidR="003D542F" w:rsidRPr="003D542F" w:rsidRDefault="003D542F">
            <w:pPr>
              <w:pStyle w:val="tabelt"/>
              <w:widowControl/>
              <w:snapToGrid w:val="0"/>
              <w:jc w:val="center"/>
              <w:rPr>
                <w:i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6290" w:type="dxa"/>
            <w:shd w:val="clear" w:color="auto" w:fill="auto"/>
          </w:tcPr>
          <w:p w:rsidR="00D150AC" w:rsidRPr="00FB4F7F" w:rsidRDefault="00D150AC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D150AC" w:rsidRPr="00FB4F7F" w:rsidTr="00807B93">
        <w:trPr>
          <w:gridAfter w:val="2"/>
          <w:wAfter w:w="22" w:type="dxa"/>
          <w:trHeight w:val="359"/>
        </w:trPr>
        <w:tc>
          <w:tcPr>
            <w:tcW w:w="299" w:type="dxa"/>
            <w:shd w:val="clear" w:color="auto" w:fill="auto"/>
          </w:tcPr>
          <w:p w:rsidR="00D150AC" w:rsidRPr="00FB4F7F" w:rsidRDefault="00D150AC">
            <w:pPr>
              <w:pStyle w:val="tabelt"/>
              <w:widowControl/>
              <w:snapToGrid w:val="0"/>
              <w:jc w:val="center"/>
              <w:rPr>
                <w:b/>
                <w:i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D150AC" w:rsidRPr="00FB4F7F" w:rsidRDefault="00D150AC">
            <w:pPr>
              <w:pStyle w:val="tabelt"/>
              <w:widowControl/>
              <w:snapToGrid w:val="0"/>
              <w:jc w:val="center"/>
              <w:rPr>
                <w:i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6290" w:type="dxa"/>
            <w:shd w:val="clear" w:color="auto" w:fill="auto"/>
          </w:tcPr>
          <w:p w:rsidR="00D150AC" w:rsidRPr="00FB4F7F" w:rsidRDefault="00D150AC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Приходи от продажби</w:t>
            </w:r>
          </w:p>
          <w:p w:rsidR="009E0043" w:rsidRPr="00FB4F7F" w:rsidRDefault="009E0043">
            <w:pPr>
              <w:pStyle w:val="BodyText"/>
              <w:rPr>
                <w:rFonts w:ascii="Times New Roman" w:hAnsi="Times New Roman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Cs w:val="22"/>
                <w:lang w:val="ru-RU"/>
              </w:rPr>
              <w:t>Приход</w:t>
            </w:r>
            <w:r w:rsidRPr="00FB4F7F">
              <w:rPr>
                <w:rFonts w:ascii="Times New Roman" w:hAnsi="Times New Roman"/>
                <w:szCs w:val="22"/>
                <w:lang w:val="bg-BG"/>
              </w:rPr>
              <w:t xml:space="preserve">ите от продажби са признати съгласно изискванията на СС 18. </w:t>
            </w:r>
          </w:p>
          <w:p w:rsidR="009E0043" w:rsidRPr="00FB4F7F" w:rsidRDefault="009E0043">
            <w:pPr>
              <w:pStyle w:val="BodyText"/>
              <w:rPr>
                <w:rFonts w:ascii="Times New Roman" w:hAnsi="Times New Roman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Cs w:val="22"/>
                <w:lang w:val="bg-BG"/>
              </w:rPr>
              <w:t xml:space="preserve">Приход от продажба на продукция се осчетоводява в отчета за приходите и разходите по справедлива стойност на полученото или подлежащо на получаване възнаграждение под формата на парични средства или парични еквиваленти. </w:t>
            </w:r>
          </w:p>
          <w:p w:rsidR="009E0043" w:rsidRPr="00FB4F7F" w:rsidRDefault="009E0043">
            <w:pPr>
              <w:pStyle w:val="BodyText"/>
              <w:rPr>
                <w:rFonts w:ascii="Times New Roman" w:hAnsi="Times New Roman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Cs w:val="22"/>
                <w:lang w:val="bg-BG"/>
              </w:rPr>
              <w:t>Приходите от продажба на стоки се признават в момента, когато рисковете и изгодите от собствеността върху стоките са прехвърлени на купувача и разходите във връзка със сделката могат да бъдат надеждно измерени.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Приходите от услуги се признават, като се отчита етапа на завършеност на сделката към края на периода, ако този етап може да бъде надеждно измерен, както и разходите, извършени по сделката и разходите за приключването й.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  <w:trHeight w:val="338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keepLines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heading1"/>
              <w:keepNext w:val="0"/>
              <w:keepLines/>
              <w:widowControl/>
              <w:snapToGrid w:val="0"/>
              <w:rPr>
                <w:sz w:val="22"/>
                <w:szCs w:val="22"/>
              </w:rPr>
            </w:pPr>
            <w:r w:rsidRPr="00FB4F7F">
              <w:rPr>
                <w:sz w:val="22"/>
                <w:szCs w:val="22"/>
              </w:rPr>
              <w:t>Разходи за обичайна дейност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keepLines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heading1"/>
              <w:keepNext w:val="0"/>
              <w:keepLines/>
              <w:widowControl/>
              <w:snapToGrid w:val="0"/>
              <w:rPr>
                <w:b w:val="0"/>
                <w:sz w:val="22"/>
                <w:szCs w:val="22"/>
                <w:lang w:val="ru-RU"/>
              </w:rPr>
            </w:pPr>
            <w:r w:rsidRPr="00FB4F7F">
              <w:rPr>
                <w:b w:val="0"/>
                <w:sz w:val="22"/>
                <w:szCs w:val="22"/>
                <w:lang w:val="ru-RU"/>
              </w:rPr>
              <w:t xml:space="preserve">Разходите в дружеството се признават в момента на тяхното възникване и на база принципите за начисляване и съпоставимост. 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keepLines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pStyle w:val="tabelheading1"/>
              <w:keepNext w:val="0"/>
              <w:keepLines/>
              <w:widowControl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spacing w:before="120" w:line="260" w:lineRule="atLeast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before="120"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Ф</w:t>
            </w:r>
            <w:r w:rsidRPr="00FB4F7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инансови разходи/приходи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инансови приходи/разходи включват приходи и разходи от лихви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и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други финансови приходи  и разходи. 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Приходите от лихви се записват в отчета в момента на възникване, като се взема в предвид ефективния доход от актива.</w:t>
            </w:r>
          </w:p>
          <w:p w:rsidR="009E0043" w:rsidRPr="00FB4F7F" w:rsidRDefault="009E0043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Всички разходи за лихви и други, възникнали по кредитни споразумения се признават в периода на възникване. 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Разходи за данъци</w:t>
            </w:r>
          </w:p>
          <w:p w:rsidR="009E0043" w:rsidRPr="00FB4F7F" w:rsidRDefault="009E0043">
            <w:pPr>
              <w:pStyle w:val="BodyText"/>
              <w:rPr>
                <w:rFonts w:ascii="Times New Roman" w:hAnsi="Times New Roman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Cs w:val="22"/>
                <w:lang w:val="bg-BG"/>
              </w:rPr>
              <w:t>Съгласно българското данъчно законодателство дружеството дължи данък върху печалбата. Размерът н</w:t>
            </w:r>
            <w:r w:rsidR="00740851" w:rsidRPr="00FB4F7F">
              <w:rPr>
                <w:rFonts w:ascii="Times New Roman" w:hAnsi="Times New Roman"/>
                <w:szCs w:val="22"/>
                <w:lang w:val="bg-BG"/>
              </w:rPr>
              <w:t>а данъка върху печалбата за 201</w:t>
            </w:r>
            <w:r w:rsidR="00014AF5">
              <w:rPr>
                <w:rFonts w:ascii="Times New Roman" w:hAnsi="Times New Roman"/>
                <w:szCs w:val="22"/>
                <w:lang w:val="bg-BG"/>
              </w:rPr>
              <w:t>8</w:t>
            </w:r>
            <w:r w:rsidR="00740851" w:rsidRPr="00FB4F7F">
              <w:rPr>
                <w:rFonts w:ascii="Times New Roman" w:hAnsi="Times New Roman"/>
                <w:szCs w:val="22"/>
                <w:lang w:val="bg-BG"/>
              </w:rPr>
              <w:t xml:space="preserve"> г </w:t>
            </w:r>
            <w:r w:rsidRPr="00FB4F7F">
              <w:rPr>
                <w:rFonts w:ascii="Times New Roman" w:hAnsi="Times New Roman"/>
                <w:szCs w:val="22"/>
                <w:lang w:val="bg-BG"/>
              </w:rPr>
              <w:t xml:space="preserve"> и 201</w:t>
            </w:r>
            <w:r w:rsidR="00014AF5">
              <w:rPr>
                <w:rFonts w:ascii="Times New Roman" w:hAnsi="Times New Roman"/>
                <w:szCs w:val="22"/>
                <w:lang w:val="bg-BG"/>
              </w:rPr>
              <w:t>7</w:t>
            </w:r>
            <w:r w:rsidR="00740851" w:rsidRPr="00FB4F7F">
              <w:rPr>
                <w:rFonts w:ascii="Times New Roman" w:hAnsi="Times New Roman"/>
                <w:szCs w:val="22"/>
                <w:lang w:val="bg-BG"/>
              </w:rPr>
              <w:t xml:space="preserve"> </w:t>
            </w:r>
            <w:r w:rsidRPr="00FB4F7F">
              <w:rPr>
                <w:rFonts w:ascii="Times New Roman" w:hAnsi="Times New Roman"/>
                <w:szCs w:val="22"/>
                <w:lang w:val="bg-BG"/>
              </w:rPr>
              <w:t xml:space="preserve"> година е 10 % върху облагаемата печалба.</w:t>
            </w:r>
          </w:p>
          <w:p w:rsidR="009E0043" w:rsidRPr="00FB4F7F" w:rsidRDefault="009E0043">
            <w:pPr>
              <w:pStyle w:val="BodyText"/>
              <w:rPr>
                <w:rFonts w:ascii="Times New Roman" w:hAnsi="Times New Roman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Cs w:val="22"/>
                <w:lang w:val="bg-BG"/>
              </w:rPr>
              <w:t>Разходът за данък представлява сумата от текущите и отсрочените данъци.</w:t>
            </w:r>
          </w:p>
          <w:p w:rsidR="00703F04" w:rsidRDefault="009E0043" w:rsidP="00703F04">
            <w:pPr>
              <w:pStyle w:val="BodyText"/>
              <w:rPr>
                <w:rFonts w:ascii="Times New Roman" w:hAnsi="Times New Roman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Cs w:val="22"/>
                <w:lang w:val="bg-BG"/>
              </w:rPr>
              <w:t>Текущият разход за данък се определя на база на облагаемата печалба за годината, коригирана с определени приходи и разходи, които се приспадат за данъчни цели в текущия период или подлежат на облагане в други периоди. Текущият разход за данък се определя на базата на данъчната ставка в сила към края на отчетния п</w:t>
            </w:r>
            <w:r w:rsidRPr="0071780D">
              <w:rPr>
                <w:rFonts w:ascii="Times New Roman" w:hAnsi="Times New Roman"/>
                <w:szCs w:val="22"/>
                <w:lang w:val="bg-BG"/>
              </w:rPr>
              <w:t>ериод. Съгласно годи</w:t>
            </w:r>
            <w:r w:rsidR="00740851" w:rsidRPr="0071780D">
              <w:rPr>
                <w:rFonts w:ascii="Times New Roman" w:hAnsi="Times New Roman"/>
                <w:szCs w:val="22"/>
                <w:lang w:val="bg-BG"/>
              </w:rPr>
              <w:t>шната данъчна декларация за 201</w:t>
            </w:r>
            <w:r w:rsidR="00014AF5">
              <w:rPr>
                <w:rFonts w:ascii="Times New Roman" w:hAnsi="Times New Roman"/>
                <w:szCs w:val="22"/>
                <w:lang w:val="bg-BG"/>
              </w:rPr>
              <w:t>8</w:t>
            </w:r>
            <w:r w:rsidRPr="0071780D">
              <w:rPr>
                <w:rFonts w:ascii="Times New Roman" w:hAnsi="Times New Roman"/>
                <w:szCs w:val="22"/>
                <w:lang w:val="bg-BG"/>
              </w:rPr>
              <w:t xml:space="preserve">г. дружеството дължи корпоративен данък в размер на </w:t>
            </w:r>
            <w:r w:rsidR="00014AF5">
              <w:rPr>
                <w:rFonts w:ascii="Times New Roman" w:hAnsi="Times New Roman"/>
                <w:szCs w:val="22"/>
                <w:lang w:val="bg-BG"/>
              </w:rPr>
              <w:t>218</w:t>
            </w:r>
            <w:r w:rsidR="009E2C63">
              <w:rPr>
                <w:rFonts w:ascii="Times New Roman" w:hAnsi="Times New Roman"/>
                <w:szCs w:val="22"/>
                <w:lang w:val="en-US"/>
              </w:rPr>
              <w:t xml:space="preserve"> хил.</w:t>
            </w:r>
            <w:r w:rsidRPr="0071780D">
              <w:rPr>
                <w:rFonts w:ascii="Times New Roman" w:hAnsi="Times New Roman"/>
                <w:szCs w:val="22"/>
                <w:lang w:val="bg-BG"/>
              </w:rPr>
              <w:t xml:space="preserve">лв. </w:t>
            </w:r>
          </w:p>
          <w:p w:rsidR="009E0043" w:rsidRPr="00FB4F7F" w:rsidRDefault="009E0043" w:rsidP="00703F04">
            <w:pPr>
              <w:pStyle w:val="BodyText"/>
              <w:rPr>
                <w:rFonts w:ascii="Times New Roman" w:hAnsi="Times New Roman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Cs w:val="22"/>
                <w:lang w:val="bg-BG"/>
              </w:rPr>
              <w:t xml:space="preserve">Отсрочените данъци се осчетоводяват за всички временни разлики между данъчната основа на активите и пасивите и тяхната преносна стойност към датата на финансовия отчет като се ползва балансовият метод на задълженията. Задълженията по отсрочени данъци се признават по отношение на всички облагаеми временни разлики, а активите по отсрочени данъци се признават до степента, до която е вероятно да има бъдеща облагаема печалба, срещу която да могат да се използват намаляемите временни разлики. </w:t>
            </w:r>
            <w:r w:rsidRPr="00FB4F7F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gridAfter w:val="2"/>
          <w:wAfter w:w="22" w:type="dxa"/>
        </w:trPr>
        <w:tc>
          <w:tcPr>
            <w:tcW w:w="299" w:type="dxa"/>
            <w:shd w:val="clear" w:color="auto" w:fill="auto"/>
          </w:tcPr>
          <w:p w:rsidR="009E0043" w:rsidRPr="00FB4F7F" w:rsidRDefault="009E0043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379" w:type="dxa"/>
            <w:gridSpan w:val="7"/>
            <w:shd w:val="clear" w:color="auto" w:fill="auto"/>
          </w:tcPr>
          <w:p w:rsidR="00E828FD" w:rsidRDefault="00E828FD" w:rsidP="00E828FD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E828FD" w:rsidRDefault="00E828FD" w:rsidP="00E828FD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E828FD" w:rsidRDefault="00E828FD" w:rsidP="00E828FD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E828FD" w:rsidRDefault="00E828FD" w:rsidP="00E828FD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703F04" w:rsidRDefault="00703F04" w:rsidP="00E828FD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703F04" w:rsidRDefault="00703F04" w:rsidP="00E828FD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E828FD" w:rsidRDefault="00E828FD" w:rsidP="00E828FD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E828FD" w:rsidRDefault="00E828FD" w:rsidP="00E828FD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E828FD" w:rsidRDefault="00E828FD" w:rsidP="00E828FD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C65000" w:rsidRDefault="00C65000" w:rsidP="00DD107C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C65000" w:rsidRDefault="00C65000" w:rsidP="00DD107C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C65000" w:rsidRDefault="00C65000" w:rsidP="00DD107C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9E0043" w:rsidRPr="00FB4F7F" w:rsidRDefault="009E0043" w:rsidP="00DD107C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Пояснения към формите на ГФО 20</w:t>
            </w:r>
            <w:r w:rsidRPr="00FB4F7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  <w:r w:rsidR="00014AF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</w:t>
            </w:r>
            <w:r w:rsidRPr="00FB4F7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6290" w:type="dxa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i/>
                <w:sz w:val="22"/>
                <w:szCs w:val="22"/>
                <w:lang w:val="bg-BG"/>
              </w:rPr>
            </w:pPr>
          </w:p>
        </w:tc>
      </w:tr>
      <w:tr w:rsidR="009E0043" w:rsidRPr="00FB4F7F" w:rsidTr="00807B93"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</w:pPr>
          </w:p>
        </w:tc>
        <w:tc>
          <w:tcPr>
            <w:tcW w:w="1148" w:type="dxa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280" w:type="dxa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6841" w:type="dxa"/>
            <w:gridSpan w:val="4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</w:pPr>
          </w:p>
        </w:tc>
      </w:tr>
      <w:tr w:rsidR="009E0043" w:rsidRPr="00FB4F7F" w:rsidTr="00807B93"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799" w:type="dxa"/>
            <w:gridSpan w:val="2"/>
            <w:shd w:val="clear" w:color="auto" w:fill="auto"/>
          </w:tcPr>
          <w:p w:rsidR="009E0043" w:rsidRPr="00FB4F7F" w:rsidRDefault="009E0043" w:rsidP="00A12E70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Приходи </w:t>
            </w:r>
          </w:p>
        </w:tc>
        <w:tc>
          <w:tcPr>
            <w:tcW w:w="1148" w:type="dxa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280" w:type="dxa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6841" w:type="dxa"/>
            <w:gridSpan w:val="4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</w:rPr>
            </w:pPr>
          </w:p>
        </w:tc>
      </w:tr>
      <w:tr w:rsidR="009E0043" w:rsidRPr="00FB4F7F" w:rsidTr="00807B93"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5799" w:type="dxa"/>
            <w:gridSpan w:val="2"/>
            <w:shd w:val="clear" w:color="auto" w:fill="auto"/>
          </w:tcPr>
          <w:p w:rsidR="009E0043" w:rsidRPr="00FB4F7F" w:rsidRDefault="009E0043" w:rsidP="003D542F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Приходи от о</w:t>
            </w:r>
            <w:r w:rsidR="003D542F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перативна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дейност</w:t>
            </w:r>
          </w:p>
        </w:tc>
        <w:tc>
          <w:tcPr>
            <w:tcW w:w="1148" w:type="dxa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80" w:type="dxa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9E0043" w:rsidRPr="00FB4F7F" w:rsidRDefault="009E004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6841" w:type="dxa"/>
            <w:gridSpan w:val="4"/>
            <w:shd w:val="clear" w:color="auto" w:fill="auto"/>
          </w:tcPr>
          <w:p w:rsidR="009E0043" w:rsidRPr="00FB4F7F" w:rsidRDefault="009E0043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845A6F" w:rsidRPr="00FB4F7F" w:rsidTr="00807B93"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845A6F" w:rsidRPr="00FB4F7F" w:rsidRDefault="00845A6F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845A6F" w:rsidRPr="00FB4F7F" w:rsidRDefault="00845A6F">
            <w:pPr>
              <w:widowControl/>
              <w:snapToGrid w:val="0"/>
              <w:spacing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i/>
                <w:iCs/>
                <w:sz w:val="22"/>
                <w:szCs w:val="22"/>
              </w:rPr>
              <w:t>В хиляди лева</w:t>
            </w:r>
          </w:p>
        </w:tc>
        <w:tc>
          <w:tcPr>
            <w:tcW w:w="1148" w:type="dxa"/>
            <w:shd w:val="clear" w:color="auto" w:fill="auto"/>
          </w:tcPr>
          <w:p w:rsidR="00845A6F" w:rsidRPr="00FB4F7F" w:rsidRDefault="00845A6F" w:rsidP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8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280" w:type="dxa"/>
            <w:shd w:val="clear" w:color="auto" w:fill="auto"/>
          </w:tcPr>
          <w:p w:rsidR="00845A6F" w:rsidRPr="00FB4F7F" w:rsidRDefault="00845A6F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845A6F" w:rsidRPr="00FB4F7F" w:rsidRDefault="00845A6F" w:rsidP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845A6F" w:rsidRPr="00FB4F7F" w:rsidRDefault="00845A6F">
            <w:pPr>
              <w:snapToGrid w:val="0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Приходи от продажба на продукция от мебелно производство</w:t>
            </w:r>
          </w:p>
          <w:p w:rsidR="00DD107C" w:rsidRPr="00650936" w:rsidRDefault="00DD107C">
            <w:pPr>
              <w:widowControl/>
              <w:snapToGrid w:val="0"/>
              <w:spacing w:line="240" w:lineRule="auto"/>
              <w:rPr>
                <w:rFonts w:ascii="Times New Roman" w:hAnsi="Times New Roman"/>
                <w:iCs/>
                <w:sz w:val="22"/>
                <w:szCs w:val="22"/>
                <w:lang w:val="en-US"/>
              </w:rPr>
            </w:pPr>
            <w:r w:rsidRPr="00FB4F7F"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Приходи от продажба на активна енергия</w:t>
            </w:r>
          </w:p>
          <w:p w:rsidR="00DD107C" w:rsidRPr="00FB4F7F" w:rsidRDefault="00DD107C">
            <w:pPr>
              <w:widowControl/>
              <w:snapToGrid w:val="0"/>
              <w:spacing w:line="240" w:lineRule="auto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Приходи от продажба на стоки</w:t>
            </w:r>
          </w:p>
          <w:p w:rsidR="00DD107C" w:rsidRPr="00FB4F7F" w:rsidRDefault="00DD107C">
            <w:pPr>
              <w:widowControl/>
              <w:snapToGrid w:val="0"/>
              <w:spacing w:line="240" w:lineRule="auto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Приходи от услуги</w:t>
            </w:r>
            <w:r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 xml:space="preserve">                                                                          </w:t>
            </w:r>
          </w:p>
          <w:p w:rsidR="00DD107C" w:rsidRPr="00FB4F7F" w:rsidRDefault="00DD107C">
            <w:pPr>
              <w:widowControl/>
              <w:snapToGrid w:val="0"/>
              <w:spacing w:line="240" w:lineRule="auto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 xml:space="preserve">Приходи от продажба на ДМА                                                                                                     </w:t>
            </w:r>
          </w:p>
        </w:tc>
        <w:tc>
          <w:tcPr>
            <w:tcW w:w="1148" w:type="dxa"/>
            <w:shd w:val="clear" w:color="auto" w:fill="auto"/>
          </w:tcPr>
          <w:p w:rsidR="00DD107C" w:rsidRPr="0071780D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iCs/>
                <w:sz w:val="22"/>
                <w:szCs w:val="22"/>
                <w:lang w:val="en-US"/>
              </w:rPr>
            </w:pPr>
          </w:p>
          <w:p w:rsidR="00DD107C" w:rsidRPr="000B6C43" w:rsidRDefault="009556A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17717</w:t>
            </w:r>
          </w:p>
          <w:p w:rsidR="00560C8B" w:rsidRPr="000B6C43" w:rsidRDefault="009556A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768</w:t>
            </w:r>
          </w:p>
          <w:p w:rsidR="00DD107C" w:rsidRPr="000B6C43" w:rsidRDefault="000B6C4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1</w:t>
            </w:r>
            <w:r w:rsidR="009556A8"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63</w:t>
            </w:r>
          </w:p>
          <w:p w:rsidR="00DD107C" w:rsidRPr="009556A8" w:rsidRDefault="009556A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14</w:t>
            </w:r>
          </w:p>
          <w:p w:rsidR="00DD107C" w:rsidRPr="000B6C43" w:rsidRDefault="009556A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-</w:t>
            </w:r>
          </w:p>
        </w:tc>
        <w:tc>
          <w:tcPr>
            <w:tcW w:w="280" w:type="dxa"/>
            <w:shd w:val="clear" w:color="auto" w:fill="auto"/>
          </w:tcPr>
          <w:p w:rsidR="00DD107C" w:rsidRPr="00807B93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DD107C" w:rsidRPr="00807B93" w:rsidRDefault="00DD107C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iCs/>
                <w:sz w:val="22"/>
                <w:szCs w:val="22"/>
                <w:lang w:val="en-US"/>
              </w:rPr>
            </w:pPr>
          </w:p>
          <w:p w:rsidR="00DD107C" w:rsidRPr="009E2C63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11392</w:t>
            </w:r>
          </w:p>
          <w:p w:rsidR="00DD107C" w:rsidRPr="00DB5580" w:rsidRDefault="00DB5580" w:rsidP="00C645FE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 xml:space="preserve">            </w:t>
            </w:r>
            <w:r w:rsidR="00014AF5"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919</w:t>
            </w:r>
          </w:p>
          <w:p w:rsidR="00DD107C" w:rsidRPr="009E2C63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121</w:t>
            </w:r>
          </w:p>
          <w:p w:rsidR="00DD107C" w:rsidRPr="009E2C63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13</w:t>
            </w:r>
          </w:p>
          <w:p w:rsidR="00DD107C" w:rsidRPr="00807B93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i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bg-BG"/>
              </w:rPr>
              <w:t>169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</w:tr>
      <w:tr w:rsidR="00DD107C" w:rsidRPr="00FB4F7F" w:rsidTr="00963D21"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Увеличение на запаси от продукция и НП</w:t>
            </w:r>
          </w:p>
        </w:tc>
        <w:tc>
          <w:tcPr>
            <w:tcW w:w="1148" w:type="dxa"/>
            <w:shd w:val="clear" w:color="auto" w:fill="auto"/>
          </w:tcPr>
          <w:p w:rsidR="00DD107C" w:rsidRPr="000B6C43" w:rsidRDefault="009556A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89</w:t>
            </w:r>
          </w:p>
        </w:tc>
        <w:tc>
          <w:tcPr>
            <w:tcW w:w="280" w:type="dxa"/>
            <w:shd w:val="clear" w:color="auto" w:fill="auto"/>
          </w:tcPr>
          <w:p w:rsidR="00DD107C" w:rsidRPr="00807B93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DD107C" w:rsidRPr="00807B93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84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</w:tr>
      <w:tr w:rsidR="00963D21" w:rsidRPr="00FB4F7F" w:rsidTr="00077A08"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963D21" w:rsidRPr="00FB4F7F" w:rsidRDefault="00963D21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963D21" w:rsidRPr="00FB4F7F" w:rsidRDefault="00963D21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Приходи от финансирания</w:t>
            </w:r>
          </w:p>
        </w:tc>
        <w:tc>
          <w:tcPr>
            <w:tcW w:w="1148" w:type="dxa"/>
            <w:shd w:val="clear" w:color="auto" w:fill="auto"/>
          </w:tcPr>
          <w:p w:rsidR="00963D21" w:rsidRDefault="00963D21" w:rsidP="003D542F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286</w:t>
            </w:r>
          </w:p>
        </w:tc>
        <w:tc>
          <w:tcPr>
            <w:tcW w:w="280" w:type="dxa"/>
            <w:shd w:val="clear" w:color="auto" w:fill="auto"/>
          </w:tcPr>
          <w:p w:rsidR="00963D21" w:rsidRPr="00807B93" w:rsidRDefault="00963D21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963D21" w:rsidRDefault="00963D21" w:rsidP="003D542F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40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963D21" w:rsidRPr="00FB4F7F" w:rsidRDefault="00963D21">
            <w:pPr>
              <w:snapToGrid w:val="0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</w:tr>
      <w:tr w:rsidR="00077A08" w:rsidRPr="00FB4F7F" w:rsidTr="00077A08"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077A08" w:rsidRPr="00FB4F7F" w:rsidRDefault="00077A08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077A08" w:rsidRPr="00077A08" w:rsidRDefault="00077A08" w:rsidP="00077A08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Приходи от префактуриране на транспорт</w:t>
            </w:r>
          </w:p>
        </w:tc>
        <w:tc>
          <w:tcPr>
            <w:tcW w:w="1148" w:type="dxa"/>
            <w:shd w:val="clear" w:color="auto" w:fill="auto"/>
          </w:tcPr>
          <w:p w:rsidR="00077A08" w:rsidRPr="00077A08" w:rsidRDefault="00077A08" w:rsidP="00963D21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077A08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2185</w:t>
            </w:r>
          </w:p>
        </w:tc>
        <w:tc>
          <w:tcPr>
            <w:tcW w:w="280" w:type="dxa"/>
            <w:shd w:val="clear" w:color="auto" w:fill="auto"/>
          </w:tcPr>
          <w:p w:rsidR="00077A08" w:rsidRPr="00077A08" w:rsidRDefault="00077A0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077A08" w:rsidRPr="00077A08" w:rsidRDefault="00077A08" w:rsidP="00963D21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077A08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1675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077A08" w:rsidRPr="00FB4F7F" w:rsidRDefault="00077A08">
            <w:pPr>
              <w:snapToGrid w:val="0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</w:tr>
      <w:tr w:rsidR="00DD107C" w:rsidRPr="00FB4F7F" w:rsidTr="00077A08"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Други приходи</w:t>
            </w:r>
          </w:p>
        </w:tc>
        <w:tc>
          <w:tcPr>
            <w:tcW w:w="1148" w:type="dxa"/>
            <w:tcBorders>
              <w:bottom w:val="double" w:sz="1" w:space="0" w:color="000000"/>
            </w:tcBorders>
            <w:shd w:val="clear" w:color="auto" w:fill="auto"/>
          </w:tcPr>
          <w:p w:rsidR="00DD107C" w:rsidRPr="00077A08" w:rsidRDefault="009556A8" w:rsidP="00077A0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077A08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 xml:space="preserve">  2</w:t>
            </w:r>
            <w:r w:rsidR="00963D21" w:rsidRPr="00077A08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0</w:t>
            </w:r>
          </w:p>
        </w:tc>
        <w:tc>
          <w:tcPr>
            <w:tcW w:w="280" w:type="dxa"/>
            <w:shd w:val="clear" w:color="auto" w:fill="auto"/>
          </w:tcPr>
          <w:p w:rsidR="00DD107C" w:rsidRPr="00077A08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bottom w:val="double" w:sz="1" w:space="0" w:color="000000"/>
            </w:tcBorders>
            <w:shd w:val="clear" w:color="auto" w:fill="auto"/>
          </w:tcPr>
          <w:p w:rsidR="00DD107C" w:rsidRPr="00077A08" w:rsidRDefault="00014AF5" w:rsidP="00077A0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077A08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7</w:t>
            </w:r>
            <w:r w:rsidR="00963D21" w:rsidRPr="00077A08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4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rPr>
          <w:trHeight w:val="84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bottom w:val="double" w:sz="1" w:space="0" w:color="000000"/>
            </w:tcBorders>
            <w:shd w:val="clear" w:color="auto" w:fill="auto"/>
          </w:tcPr>
          <w:p w:rsidR="00DD107C" w:rsidRPr="000B6C43" w:rsidRDefault="009556A8" w:rsidP="003D542F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21242</w:t>
            </w:r>
          </w:p>
        </w:tc>
        <w:tc>
          <w:tcPr>
            <w:tcW w:w="280" w:type="dxa"/>
            <w:shd w:val="clear" w:color="auto" w:fill="auto"/>
          </w:tcPr>
          <w:p w:rsidR="00DD107C" w:rsidRPr="00807B93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bottom w:val="double" w:sz="1" w:space="0" w:color="000000"/>
            </w:tcBorders>
            <w:shd w:val="clear" w:color="auto" w:fill="auto"/>
          </w:tcPr>
          <w:p w:rsidR="00DD107C" w:rsidRPr="00807B93" w:rsidRDefault="00014AF5" w:rsidP="003D542F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14487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blPrEx>
          <w:tblCellMar>
            <w:left w:w="70" w:type="dxa"/>
            <w:right w:w="70" w:type="dxa"/>
          </w:tblCellMar>
        </w:tblPrEx>
        <w:trPr>
          <w:trHeight w:val="371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2.</w:t>
            </w: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 w:rsidP="003D542F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Разходи за о</w:t>
            </w:r>
            <w:r w:rsidR="003D542F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перативна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дейност </w:t>
            </w:r>
          </w:p>
        </w:tc>
        <w:tc>
          <w:tcPr>
            <w:tcW w:w="1148" w:type="dxa"/>
            <w:shd w:val="clear" w:color="auto" w:fill="auto"/>
          </w:tcPr>
          <w:p w:rsidR="00DD107C" w:rsidRPr="0071780D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280" w:type="dxa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2.1.</w:t>
            </w: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Разходи за материали</w:t>
            </w:r>
          </w:p>
        </w:tc>
        <w:tc>
          <w:tcPr>
            <w:tcW w:w="1148" w:type="dxa"/>
            <w:shd w:val="clear" w:color="auto" w:fill="auto"/>
          </w:tcPr>
          <w:p w:rsidR="00DD107C" w:rsidRPr="0071780D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80" w:type="dxa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i/>
                <w:iCs/>
                <w:sz w:val="22"/>
                <w:szCs w:val="22"/>
              </w:rPr>
              <w:t>В хиляди лева</w:t>
            </w:r>
          </w:p>
        </w:tc>
        <w:tc>
          <w:tcPr>
            <w:tcW w:w="1148" w:type="dxa"/>
            <w:shd w:val="clear" w:color="auto" w:fill="auto"/>
          </w:tcPr>
          <w:p w:rsidR="00DD107C" w:rsidRPr="0071780D" w:rsidRDefault="009E2C63" w:rsidP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8</w:t>
            </w:r>
            <w:r w:rsidR="00DD107C"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280" w:type="dxa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DD107C" w:rsidRPr="00FB4F7F" w:rsidRDefault="00DD107C" w:rsidP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blPrEx>
          <w:tblCellMar>
            <w:left w:w="70" w:type="dxa"/>
            <w:right w:w="70" w:type="dxa"/>
          </w:tblCellMar>
        </w:tblPrEx>
        <w:trPr>
          <w:trHeight w:val="1116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Горива</w:t>
            </w:r>
          </w:p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Ел.енергия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</w:p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Разходи за резервни части и окомплектовка</w:t>
            </w:r>
          </w:p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Вода</w:t>
            </w:r>
          </w:p>
          <w:p w:rsidR="00DD107C" w:rsidRPr="00DD107C" w:rsidRDefault="00DD107C" w:rsidP="00A12E70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Разходи за основни материали</w:t>
            </w:r>
            <w:r w:rsidR="00A12E7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A12E70">
              <w:rPr>
                <w:rFonts w:ascii="Times New Roman" w:hAnsi="Times New Roman"/>
                <w:sz w:val="22"/>
                <w:szCs w:val="22"/>
                <w:lang w:val="bg-BG"/>
              </w:rPr>
              <w:t>и други</w:t>
            </w:r>
          </w:p>
        </w:tc>
        <w:tc>
          <w:tcPr>
            <w:tcW w:w="1148" w:type="dxa"/>
            <w:tcBorders>
              <w:bottom w:val="double" w:sz="1" w:space="0" w:color="000000"/>
            </w:tcBorders>
            <w:shd w:val="clear" w:color="auto" w:fill="auto"/>
          </w:tcPr>
          <w:p w:rsidR="00DD107C" w:rsidRPr="007601A7" w:rsidRDefault="00E53F1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29</w:t>
            </w:r>
          </w:p>
          <w:p w:rsidR="00DD107C" w:rsidRPr="007601A7" w:rsidRDefault="00E53F1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96</w:t>
            </w:r>
          </w:p>
          <w:p w:rsidR="00DD107C" w:rsidRPr="007601A7" w:rsidRDefault="00E53F1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99</w:t>
            </w:r>
          </w:p>
          <w:p w:rsidR="00DD107C" w:rsidRPr="007601A7" w:rsidRDefault="00E53F1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  <w:p w:rsidR="00DD107C" w:rsidRPr="00E53F18" w:rsidRDefault="00E53F18" w:rsidP="00DE108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11603</w:t>
            </w:r>
          </w:p>
        </w:tc>
        <w:tc>
          <w:tcPr>
            <w:tcW w:w="280" w:type="dxa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bottom w:val="double" w:sz="1" w:space="0" w:color="000000"/>
            </w:tcBorders>
            <w:shd w:val="clear" w:color="auto" w:fill="auto"/>
          </w:tcPr>
          <w:p w:rsidR="00DD107C" w:rsidRPr="000306D2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18</w:t>
            </w:r>
          </w:p>
          <w:p w:rsidR="00DD107C" w:rsidRPr="000306D2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62</w:t>
            </w:r>
          </w:p>
          <w:p w:rsidR="00DD107C" w:rsidRPr="000306D2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27</w:t>
            </w:r>
          </w:p>
          <w:p w:rsidR="00DD107C" w:rsidRPr="00A0491C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highlight w:val="yellow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  <w:p w:rsidR="00DD107C" w:rsidRPr="000306D2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750</w:t>
            </w:r>
            <w:r w:rsidR="00DB5580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4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DD107C" w:rsidRPr="00E27596" w:rsidRDefault="00E53F1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11831</w:t>
            </w:r>
          </w:p>
        </w:tc>
        <w:tc>
          <w:tcPr>
            <w:tcW w:w="280" w:type="dxa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DD107C" w:rsidRPr="000306D2" w:rsidRDefault="00DB5580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76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19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2.2.</w:t>
            </w: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Разходи за външни услуги</w:t>
            </w:r>
          </w:p>
        </w:tc>
        <w:tc>
          <w:tcPr>
            <w:tcW w:w="1148" w:type="dxa"/>
            <w:tcBorders>
              <w:top w:val="double" w:sz="1" w:space="0" w:color="000000"/>
            </w:tcBorders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280" w:type="dxa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top w:val="double" w:sz="1" w:space="0" w:color="000000"/>
            </w:tcBorders>
            <w:shd w:val="clear" w:color="auto" w:fill="auto"/>
          </w:tcPr>
          <w:p w:rsidR="00DD107C" w:rsidRPr="00FB4F7F" w:rsidRDefault="00DD107C" w:rsidP="009E004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i/>
                <w:iCs/>
                <w:sz w:val="22"/>
                <w:szCs w:val="22"/>
              </w:rPr>
              <w:t>В хиляди лева</w:t>
            </w:r>
          </w:p>
        </w:tc>
        <w:tc>
          <w:tcPr>
            <w:tcW w:w="1148" w:type="dxa"/>
            <w:shd w:val="clear" w:color="auto" w:fill="auto"/>
          </w:tcPr>
          <w:p w:rsidR="00DD107C" w:rsidRPr="0071780D" w:rsidRDefault="00DD107C" w:rsidP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8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280" w:type="dxa"/>
            <w:shd w:val="clear" w:color="auto" w:fill="auto"/>
          </w:tcPr>
          <w:p w:rsidR="00DD107C" w:rsidRPr="0071780D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DD107C" w:rsidRPr="0071780D" w:rsidRDefault="00DD107C" w:rsidP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Разходи за ремонт на сграда и МПС</w:t>
            </w:r>
          </w:p>
        </w:tc>
        <w:tc>
          <w:tcPr>
            <w:tcW w:w="1148" w:type="dxa"/>
            <w:shd w:val="clear" w:color="auto" w:fill="auto"/>
          </w:tcPr>
          <w:p w:rsidR="00DD107C" w:rsidRPr="00F63E30" w:rsidRDefault="00F63E3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280" w:type="dxa"/>
            <w:shd w:val="clear" w:color="auto" w:fill="auto"/>
          </w:tcPr>
          <w:p w:rsidR="00DD107C" w:rsidRPr="0071780D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DD107C" w:rsidRPr="0071780D" w:rsidRDefault="001D298D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Разходи за застраховки</w:t>
            </w:r>
          </w:p>
        </w:tc>
        <w:tc>
          <w:tcPr>
            <w:tcW w:w="1148" w:type="dxa"/>
            <w:shd w:val="clear" w:color="auto" w:fill="auto"/>
          </w:tcPr>
          <w:p w:rsidR="00DD107C" w:rsidRPr="00F63E30" w:rsidRDefault="00F63E3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49</w:t>
            </w:r>
          </w:p>
        </w:tc>
        <w:tc>
          <w:tcPr>
            <w:tcW w:w="280" w:type="dxa"/>
            <w:shd w:val="clear" w:color="auto" w:fill="auto"/>
          </w:tcPr>
          <w:p w:rsidR="00DD107C" w:rsidRPr="0071780D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DD107C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58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DD107C" w:rsidRPr="00FB4F7F" w:rsidTr="00077A0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Default="00DD107C" w:rsidP="00077A08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Разходи за охрана</w:t>
            </w:r>
          </w:p>
          <w:p w:rsidR="00077A08" w:rsidRPr="005D1F74" w:rsidRDefault="00077A08" w:rsidP="00077A08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Ремонт машини и оборудване</w:t>
            </w:r>
          </w:p>
        </w:tc>
        <w:tc>
          <w:tcPr>
            <w:tcW w:w="1148" w:type="dxa"/>
            <w:shd w:val="clear" w:color="auto" w:fill="auto"/>
          </w:tcPr>
          <w:p w:rsidR="00DD107C" w:rsidRDefault="00DD107C" w:rsidP="00077A0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  <w:p w:rsidR="00077A08" w:rsidRPr="00E27596" w:rsidRDefault="00077A08" w:rsidP="00077A0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46</w:t>
            </w:r>
          </w:p>
        </w:tc>
        <w:tc>
          <w:tcPr>
            <w:tcW w:w="280" w:type="dxa"/>
            <w:shd w:val="clear" w:color="auto" w:fill="auto"/>
          </w:tcPr>
          <w:p w:rsidR="00DD107C" w:rsidRPr="0071780D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DD107C" w:rsidRDefault="00DD107C" w:rsidP="00077A0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  <w:p w:rsidR="00077A08" w:rsidRPr="0071780D" w:rsidRDefault="00FA11BB" w:rsidP="00077A0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Разходи за телефони</w:t>
            </w:r>
          </w:p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Разходи за местни данъци и такси</w:t>
            </w:r>
          </w:p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Разходи за транспорт</w:t>
            </w:r>
          </w:p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Куриерски услуги </w:t>
            </w:r>
          </w:p>
          <w:p w:rsidR="00DD107C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Правни услуги</w:t>
            </w:r>
          </w:p>
          <w:p w:rsidR="00DD107C" w:rsidRPr="00586628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Разходи за балансиране на електроенергийната система</w:t>
            </w:r>
          </w:p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Други външни услуги </w:t>
            </w:r>
          </w:p>
        </w:tc>
        <w:tc>
          <w:tcPr>
            <w:tcW w:w="1148" w:type="dxa"/>
            <w:tcBorders>
              <w:bottom w:val="double" w:sz="1" w:space="0" w:color="000000"/>
            </w:tcBorders>
            <w:shd w:val="clear" w:color="auto" w:fill="auto"/>
          </w:tcPr>
          <w:p w:rsidR="00DD107C" w:rsidRPr="00F63E30" w:rsidRDefault="00F63E3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  <w:p w:rsidR="00DD107C" w:rsidRPr="003E1570" w:rsidRDefault="003E157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3E1570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30</w:t>
            </w:r>
          </w:p>
          <w:p w:rsidR="00DD107C" w:rsidRPr="00F63E30" w:rsidRDefault="00F63E3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2521</w:t>
            </w:r>
          </w:p>
          <w:p w:rsidR="00DD107C" w:rsidRPr="00F63E30" w:rsidRDefault="00F63E3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  <w:p w:rsidR="00DD107C" w:rsidRPr="00F63E30" w:rsidRDefault="00F63E3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  <w:p w:rsidR="00DD107C" w:rsidRPr="00F63E30" w:rsidRDefault="00F63E3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77</w:t>
            </w:r>
          </w:p>
          <w:p w:rsidR="00DD107C" w:rsidRPr="000B329E" w:rsidRDefault="00077A08" w:rsidP="00077A0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487</w:t>
            </w:r>
          </w:p>
        </w:tc>
        <w:tc>
          <w:tcPr>
            <w:tcW w:w="280" w:type="dxa"/>
            <w:shd w:val="clear" w:color="auto" w:fill="auto"/>
          </w:tcPr>
          <w:p w:rsidR="00DD107C" w:rsidRPr="0071780D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bottom w:val="double" w:sz="1" w:space="0" w:color="000000"/>
            </w:tcBorders>
            <w:shd w:val="clear" w:color="auto" w:fill="auto"/>
          </w:tcPr>
          <w:p w:rsidR="00DD107C" w:rsidRPr="0071780D" w:rsidRDefault="001D298D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  <w:p w:rsidR="00DD107C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31</w:t>
            </w:r>
          </w:p>
          <w:p w:rsidR="00DD107C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1667</w:t>
            </w:r>
          </w:p>
          <w:p w:rsidR="00DD107C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  <w:p w:rsidR="00DD107C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-</w:t>
            </w:r>
          </w:p>
          <w:p w:rsidR="00DD107C" w:rsidRPr="0071780D" w:rsidRDefault="001D298D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98</w:t>
            </w:r>
          </w:p>
          <w:p w:rsidR="00DD107C" w:rsidRPr="0071780D" w:rsidRDefault="00014AF5" w:rsidP="00FA11B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="00FA11BB">
              <w:rPr>
                <w:rFonts w:ascii="Times New Roman" w:hAnsi="Times New Roman"/>
                <w:sz w:val="22"/>
                <w:szCs w:val="22"/>
                <w:lang w:val="bg-BG"/>
              </w:rPr>
              <w:t>34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4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DD107C" w:rsidRPr="000B329E" w:rsidRDefault="000B329E" w:rsidP="009848B7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3238</w:t>
            </w:r>
          </w:p>
        </w:tc>
        <w:tc>
          <w:tcPr>
            <w:tcW w:w="280" w:type="dxa"/>
            <w:shd w:val="clear" w:color="auto" w:fill="auto"/>
          </w:tcPr>
          <w:p w:rsidR="00DD107C" w:rsidRPr="0071780D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DD107C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2119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2.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Други разходи</w:t>
            </w:r>
          </w:p>
        </w:tc>
        <w:tc>
          <w:tcPr>
            <w:tcW w:w="1148" w:type="dxa"/>
            <w:tcBorders>
              <w:top w:val="double" w:sz="1" w:space="0" w:color="000000"/>
            </w:tcBorders>
            <w:shd w:val="clear" w:color="auto" w:fill="auto"/>
          </w:tcPr>
          <w:p w:rsidR="00DD107C" w:rsidRPr="0071780D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1780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80" w:type="dxa"/>
            <w:shd w:val="clear" w:color="auto" w:fill="auto"/>
          </w:tcPr>
          <w:p w:rsidR="00DD107C" w:rsidRPr="0071780D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top w:val="double" w:sz="1" w:space="0" w:color="000000"/>
            </w:tcBorders>
            <w:shd w:val="clear" w:color="auto" w:fill="auto"/>
          </w:tcPr>
          <w:p w:rsidR="00DD107C" w:rsidRPr="0071780D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1780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DD107C" w:rsidRPr="00FB4F7F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DD107C" w:rsidRPr="00FB4F7F" w:rsidRDefault="00DD107C">
            <w:pPr>
              <w:widowControl/>
              <w:snapToGrid w:val="0"/>
              <w:spacing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i/>
                <w:iCs/>
                <w:sz w:val="22"/>
                <w:szCs w:val="22"/>
              </w:rPr>
              <w:t>В хиляди лева</w:t>
            </w:r>
          </w:p>
        </w:tc>
        <w:tc>
          <w:tcPr>
            <w:tcW w:w="1148" w:type="dxa"/>
            <w:shd w:val="clear" w:color="auto" w:fill="auto"/>
          </w:tcPr>
          <w:p w:rsidR="00DD107C" w:rsidRPr="0071780D" w:rsidRDefault="00DD107C" w:rsidP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8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280" w:type="dxa"/>
            <w:shd w:val="clear" w:color="auto" w:fill="auto"/>
          </w:tcPr>
          <w:p w:rsidR="00DD107C" w:rsidRPr="0071780D" w:rsidRDefault="00DD107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DD107C" w:rsidRPr="0071780D" w:rsidRDefault="00DD107C" w:rsidP="001D298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DD107C" w:rsidRPr="00FB4F7F" w:rsidRDefault="00DD107C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FB4F7F" w:rsidTr="00807B93">
        <w:tblPrEx>
          <w:tblCellMar>
            <w:left w:w="70" w:type="dxa"/>
            <w:right w:w="70" w:type="dxa"/>
          </w:tblCellMar>
        </w:tblPrEx>
        <w:trPr>
          <w:trHeight w:val="723"/>
        </w:trPr>
        <w:tc>
          <w:tcPr>
            <w:tcW w:w="793" w:type="dxa"/>
            <w:gridSpan w:val="2"/>
            <w:shd w:val="clear" w:color="auto" w:fill="auto"/>
          </w:tcPr>
          <w:p w:rsidR="00AB040D" w:rsidRPr="00FB4F7F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FB4F7F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Отчетна стойност на продадени стоки</w:t>
            </w:r>
          </w:p>
          <w:p w:rsidR="00AB040D" w:rsidRPr="00FB4F7F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Отчетна стойност на продадени суровини и материали</w:t>
            </w:r>
          </w:p>
          <w:p w:rsidR="00F06D19" w:rsidRPr="00F06D19" w:rsidRDefault="00F06D19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Отчетна стойност на продадените ДА</w:t>
            </w:r>
          </w:p>
          <w:p w:rsidR="00AB040D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Отписани вземания</w:t>
            </w:r>
          </w:p>
          <w:p w:rsidR="00AB040D" w:rsidRPr="00FB4F7F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Неустойки по договор</w:t>
            </w:r>
          </w:p>
          <w:p w:rsidR="00AB040D" w:rsidRPr="00FB4F7F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Други</w:t>
            </w:r>
          </w:p>
        </w:tc>
        <w:tc>
          <w:tcPr>
            <w:tcW w:w="1148" w:type="dxa"/>
            <w:shd w:val="clear" w:color="auto" w:fill="auto"/>
          </w:tcPr>
          <w:p w:rsidR="00DD5DA8" w:rsidRPr="00D70A49" w:rsidRDefault="00474504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137</w:t>
            </w:r>
          </w:p>
          <w:p w:rsidR="004240C4" w:rsidRPr="00D70A49" w:rsidRDefault="00474504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23</w:t>
            </w:r>
          </w:p>
          <w:p w:rsidR="00AB040D" w:rsidRPr="00474504" w:rsidRDefault="00474504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AB040D" w:rsidRPr="00225D59" w:rsidRDefault="00474504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  <w:p w:rsidR="00DD5DA8" w:rsidRPr="00225D59" w:rsidRDefault="00474504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16</w:t>
            </w:r>
          </w:p>
          <w:p w:rsidR="00AB040D" w:rsidRPr="00474504" w:rsidRDefault="00474504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AB040D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114</w:t>
            </w:r>
          </w:p>
          <w:p w:rsidR="00AB040D" w:rsidRPr="00F06D19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="00AE54CE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  <w:p w:rsidR="00F06D19" w:rsidRDefault="00014AF5" w:rsidP="001D298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     152        </w:t>
            </w:r>
            <w:r w:rsidR="001D298D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</w:t>
            </w:r>
            <w:r w:rsidR="00F06D19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</w:t>
            </w:r>
            <w:r w:rsidR="001D298D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</w:p>
          <w:p w:rsidR="00AB040D" w:rsidRPr="0071780D" w:rsidRDefault="00F06D19" w:rsidP="001D298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     </w:t>
            </w:r>
            <w:r w:rsidR="00014AF5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5</w:t>
            </w:r>
          </w:p>
          <w:p w:rsidR="00AB040D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  <w:p w:rsidR="00AB040D" w:rsidRPr="00F06D19" w:rsidRDefault="001D298D" w:rsidP="00014AF5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      </w:t>
            </w:r>
            <w:r w:rsidR="00014AF5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4AF5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0775BE" w:rsidRDefault="00AB040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040D" w:rsidRPr="00FB4F7F" w:rsidTr="00807B93">
        <w:tblPrEx>
          <w:tblCellMar>
            <w:left w:w="70" w:type="dxa"/>
            <w:right w:w="70" w:type="dxa"/>
          </w:tblCellMar>
        </w:tblPrEx>
        <w:trPr>
          <w:trHeight w:val="363"/>
        </w:trPr>
        <w:tc>
          <w:tcPr>
            <w:tcW w:w="793" w:type="dxa"/>
            <w:gridSpan w:val="2"/>
            <w:shd w:val="clear" w:color="auto" w:fill="auto"/>
          </w:tcPr>
          <w:p w:rsidR="00AB040D" w:rsidRPr="00FB4F7F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FB4F7F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4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AB040D" w:rsidRPr="00D70A49" w:rsidRDefault="00474504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190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AB040D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324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FB4F7F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FB4F7F" w:rsidTr="00807B93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AB040D" w:rsidRPr="00FB4F7F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2.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FB4F7F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Амортизации</w:t>
            </w:r>
          </w:p>
        </w:tc>
        <w:tc>
          <w:tcPr>
            <w:tcW w:w="1148" w:type="dxa"/>
            <w:tcBorders>
              <w:top w:val="double" w:sz="1" w:space="0" w:color="000000"/>
            </w:tcBorders>
            <w:shd w:val="clear" w:color="auto" w:fill="auto"/>
          </w:tcPr>
          <w:p w:rsidR="00AB040D" w:rsidRPr="00FB4F7F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80" w:type="dxa"/>
            <w:shd w:val="clear" w:color="auto" w:fill="auto"/>
          </w:tcPr>
          <w:p w:rsidR="00AB040D" w:rsidRPr="00FB4F7F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top w:val="double" w:sz="1" w:space="0" w:color="000000"/>
            </w:tcBorders>
            <w:shd w:val="clear" w:color="auto" w:fill="auto"/>
          </w:tcPr>
          <w:p w:rsidR="00AB040D" w:rsidRPr="00FB4F7F" w:rsidRDefault="00AB040D" w:rsidP="009E0043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FB4F7F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FB4F7F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AB040D" w:rsidRPr="00FB4F7F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FB4F7F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i/>
                <w:iCs/>
                <w:sz w:val="22"/>
                <w:szCs w:val="22"/>
              </w:rPr>
              <w:t>В хиляди лева</w:t>
            </w:r>
          </w:p>
        </w:tc>
        <w:tc>
          <w:tcPr>
            <w:tcW w:w="1148" w:type="dxa"/>
            <w:shd w:val="clear" w:color="auto" w:fill="auto"/>
          </w:tcPr>
          <w:p w:rsidR="00AB040D" w:rsidRPr="00FB4F7F" w:rsidRDefault="00AB040D" w:rsidP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8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280" w:type="dxa"/>
            <w:shd w:val="clear" w:color="auto" w:fill="auto"/>
          </w:tcPr>
          <w:p w:rsidR="00AB040D" w:rsidRPr="00FB4F7F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AB040D" w:rsidRPr="00FB4F7F" w:rsidRDefault="00AB040D" w:rsidP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FB4F7F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AB040D" w:rsidRPr="00FB4F7F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Амортизации</w:t>
            </w:r>
          </w:p>
        </w:tc>
        <w:tc>
          <w:tcPr>
            <w:tcW w:w="1148" w:type="dxa"/>
            <w:tcBorders>
              <w:bottom w:val="double" w:sz="1" w:space="0" w:color="000000"/>
            </w:tcBorders>
            <w:shd w:val="clear" w:color="auto" w:fill="auto"/>
          </w:tcPr>
          <w:p w:rsidR="00AB040D" w:rsidRPr="000647DB" w:rsidRDefault="000647D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982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bottom w:val="double" w:sz="1" w:space="0" w:color="000000"/>
            </w:tcBorders>
            <w:shd w:val="clear" w:color="auto" w:fill="auto"/>
          </w:tcPr>
          <w:p w:rsidR="00AB040D" w:rsidRPr="001D298D" w:rsidRDefault="00014AF5" w:rsidP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627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4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AB040D" w:rsidRPr="000647DB" w:rsidRDefault="000647DB" w:rsidP="00A0491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982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AB040D" w:rsidRPr="001D298D" w:rsidRDefault="00014AF5" w:rsidP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627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1D298D" w:rsidRDefault="001D298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3.</w:t>
            </w:r>
          </w:p>
        </w:tc>
        <w:tc>
          <w:tcPr>
            <w:tcW w:w="5799" w:type="dxa"/>
            <w:gridSpan w:val="2"/>
            <w:shd w:val="clear" w:color="auto" w:fill="auto"/>
          </w:tcPr>
          <w:p w:rsidR="001D298D" w:rsidRDefault="001D298D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Финансови разходи и приходи, нетно</w:t>
            </w:r>
          </w:p>
        </w:tc>
        <w:tc>
          <w:tcPr>
            <w:tcW w:w="1148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AB040D" w:rsidRPr="0071780D" w:rsidRDefault="00AB040D" w:rsidP="009E004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i/>
                <w:iCs/>
                <w:sz w:val="22"/>
                <w:szCs w:val="22"/>
              </w:rPr>
              <w:t>В хиляди лева</w:t>
            </w:r>
          </w:p>
        </w:tc>
        <w:tc>
          <w:tcPr>
            <w:tcW w:w="1148" w:type="dxa"/>
            <w:shd w:val="clear" w:color="auto" w:fill="auto"/>
          </w:tcPr>
          <w:p w:rsidR="00AB040D" w:rsidRPr="0071780D" w:rsidRDefault="00AB040D" w:rsidP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8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AB040D" w:rsidRPr="0071780D" w:rsidRDefault="00AB040D" w:rsidP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780D">
              <w:rPr>
                <w:rFonts w:ascii="Times New Roman" w:hAnsi="Times New Roman"/>
                <w:sz w:val="22"/>
                <w:szCs w:val="22"/>
              </w:rPr>
              <w:t>Финансови разходи</w:t>
            </w:r>
          </w:p>
        </w:tc>
        <w:tc>
          <w:tcPr>
            <w:tcW w:w="1148" w:type="dxa"/>
            <w:shd w:val="clear" w:color="auto" w:fill="auto"/>
          </w:tcPr>
          <w:p w:rsidR="00AB040D" w:rsidRPr="0071780D" w:rsidRDefault="00C06FC8" w:rsidP="000647D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="000647DB">
              <w:rPr>
                <w:rFonts w:ascii="Times New Roman" w:hAnsi="Times New Roman"/>
                <w:sz w:val="22"/>
                <w:szCs w:val="22"/>
              </w:rPr>
              <w:t>83</w:t>
            </w:r>
            <w:r w:rsidR="00AB040D" w:rsidRPr="0071780D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AB040D" w:rsidRPr="0071780D" w:rsidRDefault="00AE54CE" w:rsidP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="00014AF5">
              <w:rPr>
                <w:rFonts w:ascii="Times New Roman" w:hAnsi="Times New Roman"/>
                <w:sz w:val="22"/>
                <w:szCs w:val="22"/>
                <w:lang w:val="bg-BG"/>
              </w:rPr>
              <w:t>49</w:t>
            </w:r>
            <w:r w:rsidR="00AB040D" w:rsidRPr="0071780D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780D">
              <w:rPr>
                <w:rFonts w:ascii="Times New Roman" w:hAnsi="Times New Roman"/>
                <w:sz w:val="22"/>
                <w:szCs w:val="22"/>
              </w:rPr>
              <w:t>Финансови приходи</w:t>
            </w:r>
          </w:p>
        </w:tc>
        <w:tc>
          <w:tcPr>
            <w:tcW w:w="1148" w:type="dxa"/>
            <w:tcBorders>
              <w:bottom w:val="double" w:sz="1" w:space="0" w:color="000000"/>
            </w:tcBorders>
            <w:shd w:val="clear" w:color="auto" w:fill="auto"/>
          </w:tcPr>
          <w:p w:rsidR="00AB040D" w:rsidRPr="000647DB" w:rsidRDefault="00FD35C2" w:rsidP="000647DB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   </w:t>
            </w:r>
            <w:r w:rsidR="000647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647D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bottom w:val="double" w:sz="1" w:space="0" w:color="000000"/>
            </w:tcBorders>
            <w:shd w:val="clear" w:color="auto" w:fill="auto"/>
          </w:tcPr>
          <w:p w:rsidR="00AB040D" w:rsidRPr="0071780D" w:rsidRDefault="00014AF5" w:rsidP="00014AF5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    14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4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AB040D" w:rsidRPr="0071780D" w:rsidRDefault="00AB040D" w:rsidP="00C06FC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(</w:t>
            </w:r>
            <w:r w:rsidR="000647DB">
              <w:rPr>
                <w:rFonts w:ascii="Times New Roman" w:hAnsi="Times New Roman"/>
                <w:b/>
                <w:bCs/>
                <w:sz w:val="22"/>
                <w:szCs w:val="22"/>
              </w:rPr>
              <w:t>74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)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AB040D" w:rsidRPr="0071780D" w:rsidRDefault="00014AF5" w:rsidP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(35</w:t>
            </w:r>
            <w:r w:rsidR="00AB040D"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3.1.</w:t>
            </w: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Финансови разходи</w:t>
            </w:r>
          </w:p>
        </w:tc>
        <w:tc>
          <w:tcPr>
            <w:tcW w:w="1148" w:type="dxa"/>
            <w:tcBorders>
              <w:top w:val="double" w:sz="1" w:space="0" w:color="000000"/>
            </w:tcBorders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top w:val="double" w:sz="1" w:space="0" w:color="000000"/>
            </w:tcBorders>
            <w:shd w:val="clear" w:color="auto" w:fill="auto"/>
          </w:tcPr>
          <w:p w:rsidR="00AB040D" w:rsidRPr="0071780D" w:rsidRDefault="00AB040D" w:rsidP="009E004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i/>
                <w:iCs/>
                <w:sz w:val="22"/>
                <w:szCs w:val="22"/>
              </w:rPr>
              <w:t>В хиляди лева</w:t>
            </w:r>
          </w:p>
        </w:tc>
        <w:tc>
          <w:tcPr>
            <w:tcW w:w="1148" w:type="dxa"/>
            <w:shd w:val="clear" w:color="auto" w:fill="auto"/>
          </w:tcPr>
          <w:p w:rsidR="00AB040D" w:rsidRPr="0071780D" w:rsidRDefault="00AB040D" w:rsidP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8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AB040D" w:rsidRPr="0071780D" w:rsidRDefault="00AB040D" w:rsidP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Разходи за лихви</w:t>
            </w:r>
          </w:p>
        </w:tc>
        <w:tc>
          <w:tcPr>
            <w:tcW w:w="1148" w:type="dxa"/>
            <w:shd w:val="clear" w:color="auto" w:fill="auto"/>
          </w:tcPr>
          <w:p w:rsidR="00AB040D" w:rsidRPr="0071780D" w:rsidRDefault="00677995" w:rsidP="00A0491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(</w:t>
            </w:r>
            <w:r w:rsidR="0028080D">
              <w:rPr>
                <w:rFonts w:ascii="Times New Roman" w:hAnsi="Times New Roman"/>
                <w:sz w:val="22"/>
                <w:szCs w:val="22"/>
              </w:rPr>
              <w:t>34</w:t>
            </w:r>
            <w:r w:rsidR="00AB040D" w:rsidRPr="0071780D">
              <w:rPr>
                <w:rFonts w:ascii="Times New Roman" w:hAnsi="Times New Roman"/>
                <w:sz w:val="22"/>
                <w:szCs w:val="22"/>
                <w:lang w:val="bg-BG"/>
              </w:rPr>
              <w:t>)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AB040D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(19</w:t>
            </w:r>
            <w:r w:rsidR="00AB040D" w:rsidRPr="0071780D">
              <w:rPr>
                <w:rFonts w:ascii="Times New Roman" w:hAnsi="Times New Roman"/>
                <w:sz w:val="22"/>
                <w:szCs w:val="22"/>
                <w:lang w:val="bg-BG"/>
              </w:rPr>
              <w:t>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Други финансови разходи</w:t>
            </w:r>
          </w:p>
          <w:p w:rsidR="00AB040D" w:rsidRPr="0071780D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Отрицателни разлики от валутни курсове</w:t>
            </w:r>
          </w:p>
        </w:tc>
        <w:tc>
          <w:tcPr>
            <w:tcW w:w="1148" w:type="dxa"/>
            <w:tcBorders>
              <w:bottom w:val="double" w:sz="1" w:space="0" w:color="000000"/>
            </w:tcBorders>
            <w:shd w:val="clear" w:color="auto" w:fill="auto"/>
          </w:tcPr>
          <w:p w:rsidR="00AB040D" w:rsidRPr="0071780D" w:rsidRDefault="00677995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(</w:t>
            </w:r>
            <w:r w:rsidR="0028080D">
              <w:rPr>
                <w:rFonts w:ascii="Times New Roman" w:hAnsi="Times New Roman"/>
                <w:sz w:val="22"/>
                <w:szCs w:val="22"/>
              </w:rPr>
              <w:t>16</w:t>
            </w:r>
            <w:r w:rsidR="00AB040D" w:rsidRPr="0071780D">
              <w:rPr>
                <w:rFonts w:ascii="Times New Roman" w:hAnsi="Times New Roman"/>
                <w:sz w:val="22"/>
                <w:szCs w:val="22"/>
                <w:lang w:val="bg-BG"/>
              </w:rPr>
              <w:t>)</w:t>
            </w:r>
          </w:p>
          <w:p w:rsidR="00AB040D" w:rsidRPr="0071780D" w:rsidRDefault="00677995" w:rsidP="00A0491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(</w:t>
            </w:r>
            <w:r w:rsidR="0028080D">
              <w:rPr>
                <w:rFonts w:ascii="Times New Roman" w:hAnsi="Times New Roman"/>
                <w:sz w:val="22"/>
                <w:szCs w:val="22"/>
              </w:rPr>
              <w:t>33</w:t>
            </w:r>
            <w:r w:rsidR="00AB040D" w:rsidRPr="0071780D">
              <w:rPr>
                <w:rFonts w:ascii="Times New Roman" w:hAnsi="Times New Roman"/>
                <w:sz w:val="22"/>
                <w:szCs w:val="22"/>
                <w:lang w:val="bg-BG"/>
              </w:rPr>
              <w:t>)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bottom w:val="double" w:sz="1" w:space="0" w:color="000000"/>
            </w:tcBorders>
            <w:shd w:val="clear" w:color="auto" w:fill="auto"/>
          </w:tcPr>
          <w:p w:rsidR="00AB040D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(13</w:t>
            </w:r>
            <w:r w:rsidR="00AB040D" w:rsidRPr="0071780D">
              <w:rPr>
                <w:rFonts w:ascii="Times New Roman" w:hAnsi="Times New Roman"/>
                <w:sz w:val="22"/>
                <w:szCs w:val="22"/>
                <w:lang w:val="bg-BG"/>
              </w:rPr>
              <w:t>)</w:t>
            </w:r>
          </w:p>
          <w:p w:rsidR="00AB040D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(17</w:t>
            </w:r>
            <w:r w:rsidR="00AB040D" w:rsidRPr="0071780D">
              <w:rPr>
                <w:rFonts w:ascii="Times New Roman" w:hAnsi="Times New Roman"/>
                <w:sz w:val="22"/>
                <w:szCs w:val="22"/>
                <w:lang w:val="bg-BG"/>
              </w:rPr>
              <w:t>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4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AB040D" w:rsidRPr="0071780D" w:rsidRDefault="00AB040D" w:rsidP="00A0491C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(</w:t>
            </w:r>
            <w:r w:rsidR="0028080D">
              <w:rPr>
                <w:rFonts w:ascii="Times New Roman" w:hAnsi="Times New Roman"/>
                <w:b/>
                <w:bCs/>
                <w:sz w:val="22"/>
                <w:szCs w:val="22"/>
              </w:rPr>
              <w:t>83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)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AB040D" w:rsidRPr="0071780D" w:rsidRDefault="00AB040D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(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49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)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3.2.</w:t>
            </w: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Финансови приходи</w:t>
            </w:r>
          </w:p>
        </w:tc>
        <w:tc>
          <w:tcPr>
            <w:tcW w:w="1148" w:type="dxa"/>
            <w:tcBorders>
              <w:top w:val="double" w:sz="1" w:space="0" w:color="000000"/>
            </w:tcBorders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top w:val="double" w:sz="1" w:space="0" w:color="000000"/>
            </w:tcBorders>
            <w:shd w:val="clear" w:color="auto" w:fill="auto"/>
          </w:tcPr>
          <w:p w:rsidR="00AB040D" w:rsidRPr="0071780D" w:rsidRDefault="00AB040D" w:rsidP="009E004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i/>
                <w:iCs/>
                <w:sz w:val="22"/>
                <w:szCs w:val="22"/>
              </w:rPr>
              <w:t>В хиляди лева</w:t>
            </w:r>
          </w:p>
        </w:tc>
        <w:tc>
          <w:tcPr>
            <w:tcW w:w="1148" w:type="dxa"/>
            <w:shd w:val="clear" w:color="auto" w:fill="auto"/>
          </w:tcPr>
          <w:p w:rsidR="00AB040D" w:rsidRPr="0071780D" w:rsidRDefault="00AB040D" w:rsidP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8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AB040D" w:rsidRPr="0071780D" w:rsidRDefault="00AB040D" w:rsidP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014AF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Положителни разлики от валутни курсове</w:t>
            </w:r>
          </w:p>
        </w:tc>
        <w:tc>
          <w:tcPr>
            <w:tcW w:w="1148" w:type="dxa"/>
            <w:shd w:val="clear" w:color="auto" w:fill="auto"/>
          </w:tcPr>
          <w:p w:rsidR="00AB040D" w:rsidRPr="0028080D" w:rsidRDefault="002808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shd w:val="clear" w:color="auto" w:fill="auto"/>
          </w:tcPr>
          <w:p w:rsidR="00AB040D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14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93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799" w:type="dxa"/>
            <w:gridSpan w:val="2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4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AB040D" w:rsidRPr="0028080D" w:rsidRDefault="002808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0" w:type="dxa"/>
            <w:shd w:val="clear" w:color="auto" w:fill="auto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2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AB040D" w:rsidRPr="0071780D" w:rsidRDefault="00014AF5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14</w:t>
            </w:r>
          </w:p>
        </w:tc>
        <w:tc>
          <w:tcPr>
            <w:tcW w:w="6841" w:type="dxa"/>
            <w:gridSpan w:val="4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807B93">
        <w:trPr>
          <w:gridAfter w:val="1"/>
          <w:wAfter w:w="14" w:type="dxa"/>
          <w:trHeight w:val="279"/>
        </w:trPr>
        <w:tc>
          <w:tcPr>
            <w:tcW w:w="833" w:type="dxa"/>
            <w:gridSpan w:val="3"/>
            <w:shd w:val="clear" w:color="auto" w:fill="auto"/>
          </w:tcPr>
          <w:p w:rsidR="00AB040D" w:rsidRPr="0071780D" w:rsidRDefault="00AB040D">
            <w:pPr>
              <w:pStyle w:val="tabelheading1"/>
              <w:widowControl/>
              <w:snapToGrid w:val="0"/>
              <w:ind w:left="567" w:hanging="567"/>
              <w:jc w:val="center"/>
              <w:rPr>
                <w:sz w:val="22"/>
                <w:szCs w:val="22"/>
                <w:lang w:val="en-US"/>
              </w:rPr>
            </w:pPr>
            <w:r w:rsidRPr="0071780D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8845" w:type="dxa"/>
            <w:gridSpan w:val="5"/>
            <w:shd w:val="clear" w:color="auto" w:fill="auto"/>
          </w:tcPr>
          <w:p w:rsidR="00AB040D" w:rsidRPr="0071780D" w:rsidRDefault="00AB040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1780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Дълготрайни материални и нематериални активи</w:t>
            </w:r>
          </w:p>
        </w:tc>
        <w:tc>
          <w:tcPr>
            <w:tcW w:w="6298" w:type="dxa"/>
            <w:gridSpan w:val="2"/>
            <w:shd w:val="clear" w:color="auto" w:fill="auto"/>
          </w:tcPr>
          <w:p w:rsidR="00AB040D" w:rsidRPr="0071780D" w:rsidRDefault="00AB040D">
            <w:pPr>
              <w:snapToGrid w:val="0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</w:p>
        </w:tc>
      </w:tr>
    </w:tbl>
    <w:p w:rsidR="009E0043" w:rsidRPr="0071780D" w:rsidRDefault="009E0043" w:rsidP="00382EA1">
      <w:pPr>
        <w:keepNext/>
        <w:keepLines/>
        <w:tabs>
          <w:tab w:val="left" w:pos="810"/>
        </w:tabs>
        <w:spacing w:before="120" w:line="240" w:lineRule="auto"/>
        <w:rPr>
          <w:rFonts w:ascii="Times New Roman" w:hAnsi="Times New Roman"/>
          <w:sz w:val="22"/>
          <w:szCs w:val="22"/>
        </w:rPr>
      </w:pPr>
      <w:r w:rsidRPr="0071780D">
        <w:rPr>
          <w:rFonts w:ascii="Times New Roman" w:hAnsi="Times New Roman"/>
          <w:sz w:val="22"/>
          <w:szCs w:val="22"/>
          <w:lang w:val="bg-BG"/>
        </w:rPr>
        <w:tab/>
      </w: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18"/>
        <w:gridCol w:w="816"/>
        <w:gridCol w:w="919"/>
        <w:gridCol w:w="993"/>
        <w:gridCol w:w="992"/>
        <w:gridCol w:w="1134"/>
        <w:gridCol w:w="1559"/>
        <w:gridCol w:w="851"/>
      </w:tblGrid>
      <w:tr w:rsidR="006760EC" w:rsidRPr="0071780D" w:rsidTr="00BA3E69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  <w:p w:rsidR="006760EC" w:rsidRPr="0071780D" w:rsidRDefault="006760EC">
            <w:pPr>
              <w:widowControl/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  <w:p w:rsidR="006760EC" w:rsidRPr="0071780D" w:rsidRDefault="006760EC">
            <w:pPr>
              <w:widowControl/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Земя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Сгради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Машини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 w:rsidP="00250BF2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250BF2">
              <w:rPr>
                <w:rFonts w:ascii="Times New Roman" w:hAnsi="Times New Roman"/>
                <w:sz w:val="22"/>
                <w:szCs w:val="22"/>
                <w:lang w:val="bg-BG"/>
              </w:rPr>
              <w:t>топански инвентар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Транспортни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50BF2" w:rsidRDefault="00E41E24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Аванси и ДМА в процес на изграждане</w:t>
            </w:r>
            <w:r w:rsidR="00250BF2">
              <w:rPr>
                <w:rFonts w:ascii="Times New Roman" w:hAnsi="Times New Roman"/>
                <w:sz w:val="22"/>
                <w:szCs w:val="22"/>
                <w:lang w:val="bg-BG"/>
              </w:rPr>
              <w:t>,</w:t>
            </w:r>
            <w:r w:rsidR="007A1DC9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програмни продукти и</w:t>
            </w:r>
          </w:p>
          <w:p w:rsidR="006760EC" w:rsidRPr="0071780D" w:rsidRDefault="00250BF2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аванси за нематериални активи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Общо</w:t>
            </w:r>
          </w:p>
        </w:tc>
      </w:tr>
      <w:tr w:rsidR="006760EC" w:rsidRPr="0071780D" w:rsidTr="00BA3E69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ОТЧЕТНА СТОЙНОСТ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0EC" w:rsidRPr="0071780D" w:rsidRDefault="006760EC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AB040D" w:rsidRPr="0071780D" w:rsidTr="00BA3E69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EC0FA6" w:rsidRDefault="00B91289" w:rsidP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Към 01 януари 201</w:t>
            </w:r>
            <w:r w:rsidR="00014AF5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A5407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128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A5407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3208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27</w:t>
            </w:r>
            <w:r w:rsidR="00A73BE3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8480</w:t>
            </w:r>
          </w:p>
        </w:tc>
      </w:tr>
      <w:tr w:rsidR="00AB040D" w:rsidRPr="0071780D" w:rsidTr="00BA3E69">
        <w:trPr>
          <w:trHeight w:val="25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Придобити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A73BE3" w:rsidRDefault="00AB040D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1415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1526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3010</w:t>
            </w:r>
          </w:p>
        </w:tc>
      </w:tr>
      <w:tr w:rsidR="00AB040D" w:rsidRPr="0071780D" w:rsidTr="00BA3E69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Отписани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 w:rsidP="00C645FE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 w:rsidP="00A73BE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A73BE3">
              <w:rPr>
                <w:rFonts w:ascii="Times New Roman" w:hAnsi="Times New Roman"/>
                <w:sz w:val="22"/>
                <w:szCs w:val="22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1369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1684</w:t>
            </w:r>
          </w:p>
        </w:tc>
      </w:tr>
      <w:tr w:rsidR="00AB040D" w:rsidRPr="0071780D" w:rsidTr="00BA3E69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EC0FA6" w:rsidRDefault="00B91289" w:rsidP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Към 31.12.201</w:t>
            </w:r>
            <w:r w:rsidR="00014AF5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A73BE3" w:rsidRDefault="00A73BE3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128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73BE3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3208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5537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40D" w:rsidRPr="00A73BE3" w:rsidRDefault="007A5407" w:rsidP="00C645F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9806</w:t>
            </w:r>
          </w:p>
        </w:tc>
      </w:tr>
      <w:tr w:rsidR="00AB040D" w:rsidRPr="0071780D" w:rsidTr="00BA3E69">
        <w:trPr>
          <w:trHeight w:val="25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Придобити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EC6E10" w:rsidRDefault="00CC59E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CC59E8" w:rsidRDefault="00CC59E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CC59E8" w:rsidRDefault="00CC59E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CC59E8" w:rsidRDefault="00CC59E8" w:rsidP="00A872D7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CC59E8" w:rsidRDefault="00CC59E8" w:rsidP="00477075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40D" w:rsidRPr="00CC59E8" w:rsidRDefault="00CC59E8" w:rsidP="00250BF2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2385</w:t>
            </w:r>
          </w:p>
        </w:tc>
      </w:tr>
      <w:tr w:rsidR="00AB040D" w:rsidRPr="0071780D" w:rsidTr="00BA3E69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Отписани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E10" w:rsidRPr="00EC6E10" w:rsidRDefault="00EC6E10" w:rsidP="00EC6E1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477075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CD6E1E" w:rsidRDefault="00AB04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477075" w:rsidRDefault="00AB040D" w:rsidP="00A872D7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CC59E8" w:rsidRDefault="00CC59E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40D" w:rsidRPr="00CC59E8" w:rsidRDefault="00CC59E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562</w:t>
            </w:r>
          </w:p>
        </w:tc>
      </w:tr>
      <w:tr w:rsidR="00AB040D" w:rsidRPr="0071780D" w:rsidTr="00BA3E69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EC0FA6" w:rsidRDefault="00B91289" w:rsidP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Към 31 декември 201</w:t>
            </w:r>
            <w:r w:rsidR="00014AF5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EC6E10" w:rsidRDefault="00EC6E1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128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EC6E10" w:rsidRDefault="00CC59E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3368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CC59E8" w:rsidRDefault="00CC59E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477075" w:rsidRDefault="00CC59E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CC59E8" w:rsidRDefault="00CC59E8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CC59E8" w:rsidRDefault="00CC59E8" w:rsidP="00250BF2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40D" w:rsidRPr="00CC59E8" w:rsidRDefault="00CC59E8" w:rsidP="00250BF2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11629</w:t>
            </w:r>
          </w:p>
        </w:tc>
      </w:tr>
      <w:tr w:rsidR="00A12E70" w:rsidRPr="0071780D" w:rsidTr="00BA3E69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E70" w:rsidRPr="0071780D" w:rsidRDefault="00A12E70" w:rsidP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в т.ч. напълно амортизирани активи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E70" w:rsidRPr="0071780D" w:rsidRDefault="00A12E7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E70" w:rsidRPr="0071780D" w:rsidRDefault="00A12E7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E70" w:rsidRPr="00250BF2" w:rsidRDefault="00D1659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1847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E70" w:rsidRPr="000D1FD4" w:rsidRDefault="00D1659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E70" w:rsidRPr="00250BF2" w:rsidRDefault="00D1659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2E70" w:rsidRPr="00D1659E" w:rsidRDefault="00D1659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2E70" w:rsidRPr="000D1FD4" w:rsidRDefault="00D1659E" w:rsidP="00E41E24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2123</w:t>
            </w:r>
          </w:p>
        </w:tc>
      </w:tr>
      <w:tr w:rsidR="00AB040D" w:rsidRPr="0071780D" w:rsidTr="00BA3E69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НАТРУПАНА АМОРТИЗАЦИЯ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40D" w:rsidRPr="0071780D" w:rsidRDefault="00AB04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7925EE" w:rsidRPr="0071780D" w:rsidTr="00BA3E69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C0FA6" w:rsidRDefault="007925EE" w:rsidP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Към 01 януари 201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 w:rsidP="00352C4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AF501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AF501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2721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AF501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AF501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5EE" w:rsidRPr="00AF501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3415</w:t>
            </w:r>
          </w:p>
        </w:tc>
      </w:tr>
      <w:tr w:rsidR="007925EE" w:rsidRPr="0071780D" w:rsidTr="00BA3E69">
        <w:trPr>
          <w:trHeight w:val="25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Начислена амортизация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 w:rsidP="00352C4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266CE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266CE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266CE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266CE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AF501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5EE" w:rsidRPr="00E266CE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627</w:t>
            </w:r>
          </w:p>
        </w:tc>
      </w:tr>
      <w:tr w:rsidR="007925EE" w:rsidRPr="0071780D" w:rsidTr="00BA3E69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Отписана амортизация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 w:rsidP="00352C4B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 w:rsidP="00AF501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AF501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3E0030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266CE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 w:rsidP="0071460D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5EE" w:rsidRPr="00AF501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163</w:t>
            </w:r>
          </w:p>
        </w:tc>
      </w:tr>
      <w:tr w:rsidR="007925EE" w:rsidRPr="0071780D" w:rsidTr="00BA3E69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C0FA6" w:rsidRDefault="007925EE" w:rsidP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Към 31 декември 201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 w:rsidP="00352C4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266CE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266CE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3130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266CE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AF501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AF501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5EE" w:rsidRPr="00E266CE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3879</w:t>
            </w:r>
          </w:p>
        </w:tc>
      </w:tr>
      <w:tr w:rsidR="007925EE" w:rsidRPr="0071780D" w:rsidTr="00BA3E69">
        <w:trPr>
          <w:trHeight w:val="25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Начислена амортизация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546D45" w:rsidRDefault="00546D45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546D45" w:rsidRDefault="00546D45" w:rsidP="00E41E24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546D45" w:rsidRDefault="00546D45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546D45" w:rsidRDefault="00546D45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546D45" w:rsidRDefault="00546D45" w:rsidP="003E003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5EE" w:rsidRPr="00E266CE" w:rsidRDefault="000065E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982</w:t>
            </w:r>
          </w:p>
        </w:tc>
      </w:tr>
      <w:tr w:rsidR="007925EE" w:rsidRPr="0071780D" w:rsidTr="00BA3E69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Отписана амортизация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3E0030" w:rsidRDefault="007925EE" w:rsidP="003E0030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AF5019" w:rsidRDefault="007925E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3E0030" w:rsidRDefault="007925E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266CE" w:rsidRDefault="007925E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5EE" w:rsidRPr="00AF5019" w:rsidRDefault="007925E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7925EE" w:rsidRPr="0071780D" w:rsidTr="00BA3E69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C0FA6" w:rsidRDefault="007925EE" w:rsidP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Към 31 декември 201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546D45" w:rsidRDefault="00546D45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546D45" w:rsidRDefault="00546D45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546D45" w:rsidRDefault="00546D45" w:rsidP="00E41E24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546D45" w:rsidRDefault="00546D45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546D45" w:rsidRDefault="00546D45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5EE" w:rsidRPr="00546D45" w:rsidRDefault="00546D45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4861</w:t>
            </w:r>
          </w:p>
        </w:tc>
      </w:tr>
      <w:tr w:rsidR="007925EE" w:rsidRPr="0071780D" w:rsidTr="00BA3E69">
        <w:trPr>
          <w:trHeight w:val="25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БАЛАНСОВА СТОЙНОСТ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5EE" w:rsidRPr="0071780D" w:rsidRDefault="007925EE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7925EE" w:rsidRPr="0071780D" w:rsidTr="00BA3E69">
        <w:trPr>
          <w:trHeight w:val="26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C0FA6" w:rsidRDefault="007925EE" w:rsidP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Към 31 декември 201</w:t>
            </w: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B573D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128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B573D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2803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B573D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2407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B573D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B573D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B573D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5EE" w:rsidRPr="00B573D9" w:rsidRDefault="007925EE" w:rsidP="0071460D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5927</w:t>
            </w:r>
          </w:p>
        </w:tc>
      </w:tr>
      <w:tr w:rsidR="007925EE" w:rsidRPr="0071780D" w:rsidTr="00BA3E69">
        <w:trPr>
          <w:trHeight w:val="2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EC0FA6" w:rsidRDefault="007925EE" w:rsidP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Към 31 декември 201</w:t>
            </w:r>
            <w:r>
              <w:rPr>
                <w:rFonts w:ascii="Times New Roman" w:hAnsi="Times New Roman"/>
                <w:bCs/>
                <w:sz w:val="22"/>
                <w:szCs w:val="22"/>
                <w:lang w:val="bg-BG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C5621A" w:rsidRDefault="00C5621A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C5621A" w:rsidRDefault="00C5621A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C5621A" w:rsidRDefault="00C5621A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C5621A" w:rsidRDefault="00C5621A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C5621A" w:rsidRDefault="00C5621A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25EE" w:rsidRPr="00C5621A" w:rsidRDefault="00C5621A" w:rsidP="00250BF2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5EE" w:rsidRPr="00C5621A" w:rsidRDefault="00C5621A" w:rsidP="00250BF2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6768</w:t>
            </w:r>
          </w:p>
        </w:tc>
      </w:tr>
    </w:tbl>
    <w:p w:rsidR="009E0043" w:rsidRPr="0071780D" w:rsidRDefault="009E0043">
      <w:pPr>
        <w:jc w:val="both"/>
        <w:rPr>
          <w:rFonts w:ascii="Times New Roman" w:hAnsi="Times New Roman"/>
          <w:sz w:val="22"/>
          <w:szCs w:val="22"/>
        </w:rPr>
      </w:pPr>
    </w:p>
    <w:p w:rsidR="009E0043" w:rsidRPr="0071780D" w:rsidRDefault="009E0043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71780D">
        <w:rPr>
          <w:rFonts w:ascii="Times New Roman" w:hAnsi="Times New Roman"/>
          <w:sz w:val="22"/>
          <w:szCs w:val="22"/>
          <w:lang w:val="bg-BG"/>
        </w:rPr>
        <w:t>Според преценката на комисията по инвентаризация не са налице условия за обезценка на дълготрайните материални активи.</w:t>
      </w:r>
    </w:p>
    <w:p w:rsidR="009E0043" w:rsidRDefault="00246193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lastRenderedPageBreak/>
        <w:t xml:space="preserve">В полза на Райфайзен банк за обезпечаване на кредит овърдрафт са заложени машини на стойност 517 хил. </w:t>
      </w:r>
      <w:r w:rsidR="00CB6BCD">
        <w:rPr>
          <w:rFonts w:ascii="Times New Roman" w:hAnsi="Times New Roman"/>
          <w:sz w:val="22"/>
          <w:szCs w:val="22"/>
          <w:lang w:val="bg-BG"/>
        </w:rPr>
        <w:t>е</w:t>
      </w:r>
      <w:r>
        <w:rPr>
          <w:rFonts w:ascii="Times New Roman" w:hAnsi="Times New Roman"/>
          <w:sz w:val="22"/>
          <w:szCs w:val="22"/>
          <w:lang w:val="bg-BG"/>
        </w:rPr>
        <w:t>вро.</w:t>
      </w:r>
    </w:p>
    <w:p w:rsidR="00382EA1" w:rsidRPr="0071780D" w:rsidRDefault="00382EA1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B37230" w:rsidRPr="00FA11BB" w:rsidRDefault="009E0043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71780D">
        <w:rPr>
          <w:rFonts w:ascii="Times New Roman" w:hAnsi="Times New Roman"/>
          <w:sz w:val="22"/>
          <w:szCs w:val="22"/>
          <w:lang w:val="bg-BG"/>
        </w:rPr>
        <w:t>Недвижимо имущество на дружеството е предоставено като о</w:t>
      </w:r>
      <w:r w:rsidR="00BF5765" w:rsidRPr="0071780D">
        <w:rPr>
          <w:rFonts w:ascii="Times New Roman" w:hAnsi="Times New Roman"/>
          <w:sz w:val="22"/>
          <w:szCs w:val="22"/>
          <w:lang w:val="bg-BG"/>
        </w:rPr>
        <w:t xml:space="preserve">безпечение за банков кредит от </w:t>
      </w:r>
      <w:r w:rsidR="008D7920" w:rsidRPr="0071780D">
        <w:rPr>
          <w:rFonts w:ascii="Times New Roman" w:hAnsi="Times New Roman"/>
          <w:sz w:val="22"/>
          <w:szCs w:val="22"/>
          <w:lang w:val="en-US"/>
        </w:rPr>
        <w:t xml:space="preserve">СЖ </w:t>
      </w:r>
      <w:r w:rsidR="00BF5765" w:rsidRPr="0071780D">
        <w:rPr>
          <w:rFonts w:ascii="Times New Roman" w:hAnsi="Times New Roman"/>
          <w:sz w:val="22"/>
          <w:szCs w:val="22"/>
          <w:lang w:val="bg-BG"/>
        </w:rPr>
        <w:t>„</w:t>
      </w:r>
      <w:r w:rsidR="008D7920" w:rsidRPr="0071780D">
        <w:rPr>
          <w:rFonts w:ascii="Times New Roman" w:hAnsi="Times New Roman"/>
          <w:sz w:val="22"/>
          <w:szCs w:val="22"/>
          <w:lang w:val="en-US"/>
        </w:rPr>
        <w:t>ЕКСПРЕСБАНК</w:t>
      </w:r>
      <w:r w:rsidR="005E030A" w:rsidRPr="0071780D">
        <w:rPr>
          <w:rFonts w:ascii="Times New Roman" w:hAnsi="Times New Roman"/>
          <w:sz w:val="22"/>
          <w:szCs w:val="22"/>
          <w:lang w:val="bg-BG"/>
        </w:rPr>
        <w:t xml:space="preserve">” </w:t>
      </w:r>
      <w:r w:rsidRPr="0071780D">
        <w:rPr>
          <w:rFonts w:ascii="Times New Roman" w:hAnsi="Times New Roman"/>
          <w:sz w:val="22"/>
          <w:szCs w:val="22"/>
          <w:lang w:val="bg-BG"/>
        </w:rPr>
        <w:t>АД – Производствена сграда гр.Сливен бул.”Тракия” 63а</w:t>
      </w:r>
      <w:r w:rsidR="00BA3E69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BA3E69" w:rsidRPr="00FA11BB">
        <w:rPr>
          <w:rFonts w:ascii="Times New Roman" w:hAnsi="Times New Roman"/>
          <w:sz w:val="22"/>
          <w:szCs w:val="22"/>
          <w:lang w:val="bg-BG"/>
        </w:rPr>
        <w:t xml:space="preserve">оценена по балансова стойност за </w:t>
      </w:r>
      <w:r w:rsidR="00FA11BB" w:rsidRPr="00FA11BB">
        <w:rPr>
          <w:rFonts w:ascii="Times New Roman" w:hAnsi="Times New Roman"/>
          <w:sz w:val="22"/>
          <w:szCs w:val="22"/>
          <w:lang w:val="bg-BG"/>
        </w:rPr>
        <w:t xml:space="preserve">183 </w:t>
      </w:r>
      <w:r w:rsidR="00BA3E69" w:rsidRPr="00FA11BB">
        <w:rPr>
          <w:rFonts w:ascii="Times New Roman" w:hAnsi="Times New Roman"/>
          <w:sz w:val="22"/>
          <w:szCs w:val="22"/>
          <w:lang w:val="bg-BG"/>
        </w:rPr>
        <w:t>хил. лв.</w:t>
      </w:r>
    </w:p>
    <w:p w:rsidR="00FE6F42" w:rsidRPr="00FA11BB" w:rsidRDefault="00FE6F42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FA11BB">
        <w:rPr>
          <w:rFonts w:ascii="Times New Roman" w:hAnsi="Times New Roman"/>
          <w:sz w:val="22"/>
          <w:szCs w:val="22"/>
          <w:lang w:val="bg-BG"/>
        </w:rPr>
        <w:tab/>
      </w:r>
    </w:p>
    <w:tbl>
      <w:tblPr>
        <w:tblW w:w="9229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9"/>
        <w:gridCol w:w="7"/>
        <w:gridCol w:w="29"/>
        <w:gridCol w:w="14"/>
        <w:gridCol w:w="5751"/>
        <w:gridCol w:w="53"/>
        <w:gridCol w:w="1126"/>
        <w:gridCol w:w="15"/>
        <w:gridCol w:w="289"/>
        <w:gridCol w:w="1108"/>
        <w:gridCol w:w="10"/>
        <w:gridCol w:w="18"/>
      </w:tblGrid>
      <w:tr w:rsidR="009E0043" w:rsidRPr="00FA11BB" w:rsidTr="00462751">
        <w:trPr>
          <w:gridAfter w:val="1"/>
          <w:wAfter w:w="18" w:type="dxa"/>
        </w:trPr>
        <w:tc>
          <w:tcPr>
            <w:tcW w:w="816" w:type="dxa"/>
            <w:gridSpan w:val="2"/>
            <w:shd w:val="clear" w:color="auto" w:fill="auto"/>
          </w:tcPr>
          <w:p w:rsidR="009E0043" w:rsidRPr="00FA11BB" w:rsidRDefault="009E0043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FA11BB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5.</w:t>
            </w:r>
          </w:p>
        </w:tc>
        <w:tc>
          <w:tcPr>
            <w:tcW w:w="5794" w:type="dxa"/>
            <w:gridSpan w:val="3"/>
            <w:shd w:val="clear" w:color="auto" w:fill="auto"/>
          </w:tcPr>
          <w:p w:rsidR="009E0043" w:rsidRPr="00FA11BB" w:rsidRDefault="009E0043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FA11BB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Отсрочени данъци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9E0043" w:rsidRPr="00FA11BB" w:rsidRDefault="009E004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04" w:type="dxa"/>
            <w:gridSpan w:val="2"/>
            <w:shd w:val="clear" w:color="auto" w:fill="auto"/>
          </w:tcPr>
          <w:p w:rsidR="009E0043" w:rsidRPr="00FA11BB" w:rsidRDefault="009E0043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9E0043" w:rsidRPr="00FA11BB" w:rsidRDefault="009E004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</w:tr>
      <w:tr w:rsidR="00E828FD" w:rsidRPr="0071780D" w:rsidTr="00462751">
        <w:trPr>
          <w:gridAfter w:val="1"/>
          <w:wAfter w:w="18" w:type="dxa"/>
        </w:trPr>
        <w:tc>
          <w:tcPr>
            <w:tcW w:w="8093" w:type="dxa"/>
            <w:gridSpan w:val="9"/>
            <w:shd w:val="clear" w:color="auto" w:fill="auto"/>
          </w:tcPr>
          <w:p w:rsidR="00E828FD" w:rsidRPr="0071780D" w:rsidRDefault="00E828FD">
            <w:pPr>
              <w:tabs>
                <w:tab w:val="left" w:pos="851"/>
              </w:tabs>
              <w:snapToGrid w:val="0"/>
              <w:ind w:left="-51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A11BB">
              <w:rPr>
                <w:rFonts w:ascii="Times New Roman" w:hAnsi="Times New Roman"/>
                <w:sz w:val="22"/>
                <w:szCs w:val="22"/>
                <w:lang w:val="bg-BG"/>
              </w:rPr>
              <w:t>.Дружеството не отчита временни разлики и отсрочени данъци.</w:t>
            </w:r>
          </w:p>
          <w:p w:rsidR="00E828FD" w:rsidRPr="0071780D" w:rsidRDefault="00E828FD">
            <w:pPr>
              <w:pStyle w:val="tab"/>
              <w:tabs>
                <w:tab w:val="left" w:pos="8222"/>
              </w:tabs>
              <w:snapToGrid w:val="0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E828FD" w:rsidRPr="0071780D" w:rsidRDefault="00E828FD">
            <w:pPr>
              <w:widowControl/>
              <w:snapToGrid w:val="0"/>
              <w:jc w:val="right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</w:tr>
      <w:tr w:rsidR="009E0043" w:rsidRPr="0071780D" w:rsidTr="00462751">
        <w:trPr>
          <w:gridAfter w:val="1"/>
          <w:wAfter w:w="18" w:type="dxa"/>
        </w:trPr>
        <w:tc>
          <w:tcPr>
            <w:tcW w:w="816" w:type="dxa"/>
            <w:gridSpan w:val="2"/>
            <w:shd w:val="clear" w:color="auto" w:fill="auto"/>
          </w:tcPr>
          <w:p w:rsidR="009E0043" w:rsidRPr="0071780D" w:rsidRDefault="009E0043">
            <w:pPr>
              <w:pStyle w:val="Bodytext0"/>
              <w:snapToGrid w:val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color w:val="auto"/>
                <w:sz w:val="22"/>
                <w:szCs w:val="22"/>
                <w:lang w:val="bg-BG"/>
              </w:rPr>
              <w:t>6.</w:t>
            </w:r>
          </w:p>
        </w:tc>
        <w:tc>
          <w:tcPr>
            <w:tcW w:w="5794" w:type="dxa"/>
            <w:gridSpan w:val="3"/>
            <w:shd w:val="clear" w:color="auto" w:fill="auto"/>
          </w:tcPr>
          <w:p w:rsidR="009E0043" w:rsidRPr="0071780D" w:rsidRDefault="009E0043">
            <w:pPr>
              <w:pStyle w:val="IAS"/>
              <w:tabs>
                <w:tab w:val="left" w:pos="8222"/>
              </w:tabs>
              <w:snapToGrid w:val="0"/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  <w:t>Материални запаси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9E0043" w:rsidRPr="0071780D" w:rsidRDefault="009E0043">
            <w:pPr>
              <w:widowControl/>
              <w:snapToGrid w:val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4" w:type="dxa"/>
            <w:gridSpan w:val="2"/>
            <w:shd w:val="clear" w:color="auto" w:fill="auto"/>
          </w:tcPr>
          <w:p w:rsidR="009E0043" w:rsidRPr="0071780D" w:rsidRDefault="009E0043">
            <w:pPr>
              <w:pStyle w:val="tab"/>
              <w:tabs>
                <w:tab w:val="left" w:pos="8222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9E0043" w:rsidRPr="0071780D" w:rsidRDefault="009E0043">
            <w:pPr>
              <w:widowControl/>
              <w:snapToGrid w:val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820AB" w:rsidRPr="0071780D" w:rsidTr="00462751">
        <w:trPr>
          <w:gridAfter w:val="1"/>
          <w:wAfter w:w="18" w:type="dxa"/>
        </w:trPr>
        <w:tc>
          <w:tcPr>
            <w:tcW w:w="816" w:type="dxa"/>
            <w:gridSpan w:val="2"/>
            <w:shd w:val="clear" w:color="auto" w:fill="auto"/>
          </w:tcPr>
          <w:p w:rsidR="00A820AB" w:rsidRPr="0071780D" w:rsidRDefault="00A820AB">
            <w:pPr>
              <w:pStyle w:val="Bodytext0"/>
              <w:snapToGrid w:val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794" w:type="dxa"/>
            <w:gridSpan w:val="3"/>
            <w:shd w:val="clear" w:color="auto" w:fill="auto"/>
          </w:tcPr>
          <w:p w:rsidR="00A820AB" w:rsidRPr="0071780D" w:rsidRDefault="00A820AB">
            <w:pPr>
              <w:pStyle w:val="IAS"/>
              <w:tabs>
                <w:tab w:val="left" w:pos="8222"/>
              </w:tabs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В хиляди лева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A820AB" w:rsidRPr="0071780D" w:rsidRDefault="002C3D02" w:rsidP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845A6F"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B824E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8</w:t>
            </w:r>
            <w:r w:rsidR="00A820AB"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304" w:type="dxa"/>
            <w:gridSpan w:val="2"/>
            <w:shd w:val="clear" w:color="auto" w:fill="auto"/>
          </w:tcPr>
          <w:p w:rsidR="00A820AB" w:rsidRPr="0071780D" w:rsidRDefault="00A820A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A820AB" w:rsidRPr="0071780D" w:rsidRDefault="00A820AB" w:rsidP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B824E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</w:tr>
      <w:tr w:rsidR="007A1DC9" w:rsidRPr="0071780D" w:rsidTr="007A1DC9">
        <w:trPr>
          <w:gridAfter w:val="1"/>
          <w:wAfter w:w="18" w:type="dxa"/>
        </w:trPr>
        <w:tc>
          <w:tcPr>
            <w:tcW w:w="816" w:type="dxa"/>
            <w:gridSpan w:val="2"/>
            <w:shd w:val="clear" w:color="auto" w:fill="auto"/>
          </w:tcPr>
          <w:p w:rsidR="007A1DC9" w:rsidRPr="0071780D" w:rsidRDefault="007A1DC9">
            <w:pPr>
              <w:pStyle w:val="Bodytext0"/>
              <w:snapToGrid w:val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794" w:type="dxa"/>
            <w:gridSpan w:val="3"/>
            <w:shd w:val="clear" w:color="auto" w:fill="auto"/>
          </w:tcPr>
          <w:p w:rsidR="007A1DC9" w:rsidRDefault="007A1DC9">
            <w:pPr>
              <w:pStyle w:val="IAS"/>
              <w:tabs>
                <w:tab w:val="left" w:pos="8222"/>
              </w:tabs>
              <w:snapToGrid w:val="0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bg-BG"/>
              </w:rPr>
              <w:t>Материали</w:t>
            </w:r>
          </w:p>
          <w:p w:rsidR="00DB4163" w:rsidRPr="00DB4163" w:rsidRDefault="00DB4163">
            <w:pPr>
              <w:pStyle w:val="IAS"/>
              <w:tabs>
                <w:tab w:val="left" w:pos="8222"/>
              </w:tabs>
              <w:snapToGrid w:val="0"/>
              <w:rPr>
                <w:rFonts w:ascii="Times New Roman" w:hAnsi="Times New Roman"/>
                <w:i w:val="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bg-BG"/>
              </w:rPr>
              <w:t>Продукция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7A1DC9" w:rsidRDefault="00DB4163">
            <w:pPr>
              <w:widowControl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1228</w:t>
            </w:r>
          </w:p>
          <w:p w:rsidR="00DB4163" w:rsidRPr="00DB4163" w:rsidRDefault="00DB4163" w:rsidP="00DB4163">
            <w:pPr>
              <w:widowControl/>
              <w:tabs>
                <w:tab w:val="left" w:pos="1050"/>
              </w:tabs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>1</w:t>
            </w:r>
          </w:p>
        </w:tc>
        <w:tc>
          <w:tcPr>
            <w:tcW w:w="304" w:type="dxa"/>
            <w:gridSpan w:val="2"/>
            <w:shd w:val="clear" w:color="auto" w:fill="auto"/>
          </w:tcPr>
          <w:p w:rsidR="007A1DC9" w:rsidRPr="0071780D" w:rsidRDefault="007A1DC9">
            <w:pPr>
              <w:pStyle w:val="tab"/>
              <w:tabs>
                <w:tab w:val="left" w:pos="822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DB4163" w:rsidRDefault="00B824E4" w:rsidP="00352C4B">
            <w:pPr>
              <w:widowControl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868</w:t>
            </w:r>
          </w:p>
          <w:p w:rsidR="007A1DC9" w:rsidRPr="00DB4163" w:rsidRDefault="00DB4163" w:rsidP="00DB4163">
            <w:pPr>
              <w:tabs>
                <w:tab w:val="left" w:pos="102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>-</w:t>
            </w:r>
          </w:p>
        </w:tc>
      </w:tr>
      <w:tr w:rsidR="007A1DC9" w:rsidRPr="0071780D" w:rsidTr="007A1DC9">
        <w:trPr>
          <w:gridAfter w:val="1"/>
          <w:wAfter w:w="18" w:type="dxa"/>
        </w:trPr>
        <w:tc>
          <w:tcPr>
            <w:tcW w:w="816" w:type="dxa"/>
            <w:gridSpan w:val="2"/>
            <w:shd w:val="clear" w:color="auto" w:fill="auto"/>
          </w:tcPr>
          <w:p w:rsidR="007A1DC9" w:rsidRPr="0071780D" w:rsidRDefault="007A1DC9">
            <w:pPr>
              <w:pStyle w:val="Bodytext0"/>
              <w:snapToGrid w:val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794" w:type="dxa"/>
            <w:gridSpan w:val="3"/>
            <w:shd w:val="clear" w:color="auto" w:fill="auto"/>
          </w:tcPr>
          <w:p w:rsidR="007A1DC9" w:rsidRPr="0071780D" w:rsidRDefault="007A1DC9">
            <w:pPr>
              <w:pStyle w:val="IAS"/>
              <w:tabs>
                <w:tab w:val="left" w:pos="8222"/>
              </w:tabs>
              <w:snapToGrid w:val="0"/>
              <w:rPr>
                <w:rFonts w:ascii="Times New Roman" w:hAnsi="Times New Roman"/>
                <w:i w:val="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bg-BG"/>
              </w:rPr>
              <w:t>Стоки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7A1DC9" w:rsidRDefault="00DB4163">
            <w:pPr>
              <w:widowControl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61</w:t>
            </w:r>
          </w:p>
        </w:tc>
        <w:tc>
          <w:tcPr>
            <w:tcW w:w="304" w:type="dxa"/>
            <w:gridSpan w:val="2"/>
            <w:shd w:val="clear" w:color="auto" w:fill="auto"/>
          </w:tcPr>
          <w:p w:rsidR="007A1DC9" w:rsidRPr="0071780D" w:rsidRDefault="007A1DC9">
            <w:pPr>
              <w:pStyle w:val="tab"/>
              <w:tabs>
                <w:tab w:val="left" w:pos="822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7A1DC9" w:rsidRDefault="00B824E4" w:rsidP="00352C4B">
            <w:pPr>
              <w:widowControl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62</w:t>
            </w:r>
          </w:p>
        </w:tc>
      </w:tr>
      <w:tr w:rsidR="00E80AB9" w:rsidRPr="0071780D" w:rsidTr="007A1DC9">
        <w:trPr>
          <w:gridAfter w:val="1"/>
          <w:wAfter w:w="18" w:type="dxa"/>
        </w:trPr>
        <w:tc>
          <w:tcPr>
            <w:tcW w:w="816" w:type="dxa"/>
            <w:gridSpan w:val="2"/>
            <w:shd w:val="clear" w:color="auto" w:fill="auto"/>
          </w:tcPr>
          <w:p w:rsidR="00E80AB9" w:rsidRPr="0071780D" w:rsidRDefault="00E80AB9">
            <w:pPr>
              <w:pStyle w:val="Bodytext0"/>
              <w:snapToGrid w:val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794" w:type="dxa"/>
            <w:gridSpan w:val="3"/>
            <w:shd w:val="clear" w:color="auto" w:fill="auto"/>
          </w:tcPr>
          <w:p w:rsidR="00E80AB9" w:rsidRPr="0071780D" w:rsidRDefault="00E80AB9">
            <w:pPr>
              <w:pStyle w:val="IAS"/>
              <w:tabs>
                <w:tab w:val="left" w:pos="8222"/>
              </w:tabs>
              <w:snapToGrid w:val="0"/>
              <w:rPr>
                <w:rFonts w:ascii="Times New Roman" w:hAnsi="Times New Roman"/>
                <w:i w:val="0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i w:val="0"/>
                <w:sz w:val="22"/>
                <w:szCs w:val="22"/>
                <w:lang w:val="bg-BG"/>
              </w:rPr>
              <w:t>Предоставени аванси</w:t>
            </w:r>
          </w:p>
        </w:tc>
        <w:tc>
          <w:tcPr>
            <w:tcW w:w="117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0AB9" w:rsidRPr="0071780D" w:rsidRDefault="00DB4163">
            <w:pPr>
              <w:widowControl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165</w:t>
            </w:r>
          </w:p>
        </w:tc>
        <w:tc>
          <w:tcPr>
            <w:tcW w:w="304" w:type="dxa"/>
            <w:gridSpan w:val="2"/>
            <w:shd w:val="clear" w:color="auto" w:fill="auto"/>
          </w:tcPr>
          <w:p w:rsidR="00E80AB9" w:rsidRPr="0071780D" w:rsidRDefault="00E80AB9">
            <w:pPr>
              <w:pStyle w:val="tab"/>
              <w:tabs>
                <w:tab w:val="left" w:pos="822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E80AB9" w:rsidRPr="0071780D" w:rsidRDefault="00B824E4" w:rsidP="00352C4B">
            <w:pPr>
              <w:widowControl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300</w:t>
            </w:r>
          </w:p>
        </w:tc>
      </w:tr>
      <w:tr w:rsidR="00E80AB9" w:rsidRPr="00FB4F7F" w:rsidTr="00462751">
        <w:trPr>
          <w:gridAfter w:val="1"/>
          <w:wAfter w:w="18" w:type="dxa"/>
        </w:trPr>
        <w:tc>
          <w:tcPr>
            <w:tcW w:w="816" w:type="dxa"/>
            <w:gridSpan w:val="2"/>
            <w:shd w:val="clear" w:color="auto" w:fill="auto"/>
          </w:tcPr>
          <w:p w:rsidR="00E80AB9" w:rsidRPr="0071780D" w:rsidRDefault="00E80AB9">
            <w:pPr>
              <w:pStyle w:val="Bodytext0"/>
              <w:snapToGrid w:val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794" w:type="dxa"/>
            <w:gridSpan w:val="3"/>
            <w:shd w:val="clear" w:color="auto" w:fill="auto"/>
          </w:tcPr>
          <w:p w:rsidR="00E80AB9" w:rsidRPr="0071780D" w:rsidRDefault="00E80AB9">
            <w:pPr>
              <w:pStyle w:val="IAS"/>
              <w:tabs>
                <w:tab w:val="left" w:pos="8222"/>
              </w:tabs>
              <w:snapToGrid w:val="0"/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</w:pPr>
          </w:p>
        </w:tc>
        <w:tc>
          <w:tcPr>
            <w:tcW w:w="11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0AB9" w:rsidRPr="0071780D" w:rsidRDefault="00DB4163" w:rsidP="00BF5290">
            <w:pPr>
              <w:widowControl/>
              <w:snapToGrid w:val="0"/>
              <w:jc w:val="right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1455</w:t>
            </w:r>
          </w:p>
        </w:tc>
        <w:tc>
          <w:tcPr>
            <w:tcW w:w="304" w:type="dxa"/>
            <w:gridSpan w:val="2"/>
            <w:shd w:val="clear" w:color="auto" w:fill="auto"/>
          </w:tcPr>
          <w:p w:rsidR="00E80AB9" w:rsidRPr="0071780D" w:rsidRDefault="00E80AB9">
            <w:pPr>
              <w:pStyle w:val="tab"/>
              <w:tabs>
                <w:tab w:val="left" w:pos="8222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80AB9" w:rsidRPr="00D07E2A" w:rsidRDefault="00B824E4" w:rsidP="00352C4B">
            <w:pPr>
              <w:widowControl/>
              <w:snapToGrid w:val="0"/>
              <w:jc w:val="right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1230</w:t>
            </w:r>
          </w:p>
        </w:tc>
      </w:tr>
      <w:tr w:rsidR="00E80AB9" w:rsidRPr="00FB4F7F" w:rsidTr="00A820AB">
        <w:tblPrEx>
          <w:tblCellMar>
            <w:left w:w="70" w:type="dxa"/>
            <w:right w:w="70" w:type="dxa"/>
          </w:tblCellMar>
        </w:tblPrEx>
        <w:trPr>
          <w:cantSplit/>
          <w:trHeight w:val="914"/>
        </w:trPr>
        <w:tc>
          <w:tcPr>
            <w:tcW w:w="845" w:type="dxa"/>
            <w:gridSpan w:val="3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384" w:type="dxa"/>
            <w:gridSpan w:val="9"/>
            <w:shd w:val="clear" w:color="auto" w:fill="auto"/>
          </w:tcPr>
          <w:p w:rsidR="00E80AB9" w:rsidRDefault="00E80AB9">
            <w:pPr>
              <w:widowControl/>
              <w:snapToGrid w:val="0"/>
              <w:spacing w:line="240" w:lineRule="auto"/>
              <w:ind w:left="-51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50BF2" w:rsidRDefault="00E80AB9">
            <w:pPr>
              <w:widowControl/>
              <w:snapToGrid w:val="0"/>
              <w:spacing w:line="240" w:lineRule="auto"/>
              <w:ind w:left="-51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Материалните запаси са налични към 31.12.201</w:t>
            </w:r>
            <w:r w:rsidR="00B824E4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 и наличието им е удостоверено с инвентаризации. Според комисията извършила инвентаризациите на материалните запаси не са налице условия за тяхната обезценка.</w:t>
            </w:r>
          </w:p>
          <w:p w:rsidR="00250BF2" w:rsidRDefault="00250BF2">
            <w:pPr>
              <w:widowControl/>
              <w:snapToGrid w:val="0"/>
              <w:spacing w:line="240" w:lineRule="auto"/>
              <w:ind w:left="-51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E80AB9" w:rsidRDefault="00D04933">
            <w:pPr>
              <w:widowControl/>
              <w:snapToGrid w:val="0"/>
              <w:spacing w:line="240" w:lineRule="auto"/>
              <w:ind w:left="-51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В полза на Уникредит Булбанк АД за обезпечаване на кредит овърдрафт са заложени материални запаси на стойност 750 хил.лв.</w:t>
            </w:r>
          </w:p>
          <w:p w:rsidR="00E80AB9" w:rsidRPr="00FB4F7F" w:rsidRDefault="00E80AB9">
            <w:pPr>
              <w:widowControl/>
              <w:snapToGrid w:val="0"/>
              <w:spacing w:line="240" w:lineRule="auto"/>
              <w:ind w:left="-51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E80AB9" w:rsidRPr="00FB4F7F" w:rsidTr="00462751">
        <w:tblPrEx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845" w:type="dxa"/>
            <w:gridSpan w:val="3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7.</w:t>
            </w:r>
          </w:p>
        </w:tc>
        <w:tc>
          <w:tcPr>
            <w:tcW w:w="5818" w:type="dxa"/>
            <w:gridSpan w:val="3"/>
            <w:shd w:val="clear" w:color="auto" w:fill="auto"/>
          </w:tcPr>
          <w:p w:rsidR="00E80AB9" w:rsidRPr="0071780D" w:rsidRDefault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В</w:t>
            </w:r>
            <w:r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земания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E80AB9" w:rsidRPr="0071780D" w:rsidRDefault="00E80AB9" w:rsidP="00DB760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shd w:val="clear" w:color="auto" w:fill="auto"/>
          </w:tcPr>
          <w:p w:rsidR="00E80AB9" w:rsidRPr="0071780D" w:rsidRDefault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36" w:type="dxa"/>
            <w:gridSpan w:val="3"/>
            <w:shd w:val="clear" w:color="auto" w:fill="auto"/>
          </w:tcPr>
          <w:p w:rsidR="00E80AB9" w:rsidRPr="0071780D" w:rsidRDefault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</w:tr>
      <w:tr w:rsidR="00E80AB9" w:rsidRPr="00FB4F7F" w:rsidTr="00462751">
        <w:tblPrEx>
          <w:tblCellMar>
            <w:left w:w="70" w:type="dxa"/>
            <w:right w:w="70" w:type="dxa"/>
          </w:tblCellMar>
        </w:tblPrEx>
        <w:trPr>
          <w:cantSplit/>
          <w:trHeight w:val="287"/>
        </w:trPr>
        <w:tc>
          <w:tcPr>
            <w:tcW w:w="845" w:type="dxa"/>
            <w:gridSpan w:val="3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5818" w:type="dxa"/>
            <w:gridSpan w:val="3"/>
            <w:shd w:val="clear" w:color="auto" w:fill="auto"/>
          </w:tcPr>
          <w:p w:rsidR="00E80AB9" w:rsidRPr="0071780D" w:rsidRDefault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1780D">
              <w:rPr>
                <w:rFonts w:ascii="Times New Roman" w:hAnsi="Times New Roman"/>
                <w:i/>
                <w:iCs/>
                <w:sz w:val="22"/>
                <w:szCs w:val="22"/>
              </w:rPr>
              <w:t>В хиляди лева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E80AB9" w:rsidRPr="0071780D" w:rsidRDefault="006B055C" w:rsidP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B824E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8</w:t>
            </w:r>
            <w:r w:rsidR="00E80AB9"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289" w:type="dxa"/>
            <w:shd w:val="clear" w:color="auto" w:fill="auto"/>
          </w:tcPr>
          <w:p w:rsidR="00E80AB9" w:rsidRPr="0071780D" w:rsidRDefault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36" w:type="dxa"/>
            <w:gridSpan w:val="3"/>
            <w:shd w:val="clear" w:color="auto" w:fill="auto"/>
          </w:tcPr>
          <w:p w:rsidR="00E80AB9" w:rsidRPr="0071780D" w:rsidRDefault="006B055C" w:rsidP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B824E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</w:t>
            </w:r>
            <w:r w:rsidR="00E80AB9" w:rsidRPr="0071780D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</w:tr>
      <w:tr w:rsidR="007A1DC9" w:rsidRPr="00FB4F7F" w:rsidTr="00462751">
        <w:tblPrEx>
          <w:tblCellMar>
            <w:left w:w="70" w:type="dxa"/>
            <w:right w:w="70" w:type="dxa"/>
          </w:tblCellMar>
        </w:tblPrEx>
        <w:trPr>
          <w:cantSplit/>
          <w:trHeight w:val="321"/>
        </w:trPr>
        <w:tc>
          <w:tcPr>
            <w:tcW w:w="845" w:type="dxa"/>
            <w:gridSpan w:val="3"/>
            <w:shd w:val="clear" w:color="auto" w:fill="auto"/>
          </w:tcPr>
          <w:p w:rsidR="007A1DC9" w:rsidRPr="00FB4F7F" w:rsidRDefault="007A1DC9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818" w:type="dxa"/>
            <w:gridSpan w:val="3"/>
            <w:shd w:val="clear" w:color="auto" w:fill="auto"/>
          </w:tcPr>
          <w:p w:rsidR="007A1DC9" w:rsidRPr="0071780D" w:rsidRDefault="007A1DC9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Вземания от клиенти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7A1DC9" w:rsidRDefault="00DB416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1814</w:t>
            </w:r>
          </w:p>
        </w:tc>
        <w:tc>
          <w:tcPr>
            <w:tcW w:w="289" w:type="dxa"/>
            <w:shd w:val="clear" w:color="auto" w:fill="auto"/>
          </w:tcPr>
          <w:p w:rsidR="007A1DC9" w:rsidRPr="0071780D" w:rsidRDefault="007A1DC9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36" w:type="dxa"/>
            <w:gridSpan w:val="3"/>
            <w:shd w:val="clear" w:color="auto" w:fill="auto"/>
          </w:tcPr>
          <w:p w:rsidR="007A1DC9" w:rsidRDefault="00B824E4" w:rsidP="00352C4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1568</w:t>
            </w:r>
          </w:p>
        </w:tc>
      </w:tr>
      <w:tr w:rsidR="00E80AB9" w:rsidRPr="00FB4F7F" w:rsidTr="00462751">
        <w:tblPrEx>
          <w:tblCellMar>
            <w:left w:w="70" w:type="dxa"/>
            <w:right w:w="70" w:type="dxa"/>
          </w:tblCellMar>
        </w:tblPrEx>
        <w:trPr>
          <w:cantSplit/>
          <w:trHeight w:val="321"/>
        </w:trPr>
        <w:tc>
          <w:tcPr>
            <w:tcW w:w="845" w:type="dxa"/>
            <w:gridSpan w:val="3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818" w:type="dxa"/>
            <w:gridSpan w:val="3"/>
            <w:shd w:val="clear" w:color="auto" w:fill="auto"/>
          </w:tcPr>
          <w:p w:rsidR="00E80AB9" w:rsidRPr="0071780D" w:rsidRDefault="00E80AB9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ДДС за възстановяване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E80AB9" w:rsidRPr="0071780D" w:rsidRDefault="00DB416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495</w:t>
            </w:r>
          </w:p>
        </w:tc>
        <w:tc>
          <w:tcPr>
            <w:tcW w:w="289" w:type="dxa"/>
            <w:shd w:val="clear" w:color="auto" w:fill="auto"/>
          </w:tcPr>
          <w:p w:rsidR="00E80AB9" w:rsidRPr="0071780D" w:rsidRDefault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36" w:type="dxa"/>
            <w:gridSpan w:val="3"/>
            <w:shd w:val="clear" w:color="auto" w:fill="auto"/>
          </w:tcPr>
          <w:p w:rsidR="00E80AB9" w:rsidRPr="0071780D" w:rsidRDefault="00B824E4" w:rsidP="00352C4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183</w:t>
            </w:r>
          </w:p>
        </w:tc>
      </w:tr>
      <w:tr w:rsidR="00E80AB9" w:rsidRPr="00FB4F7F" w:rsidTr="00462751">
        <w:tblPrEx>
          <w:tblCellMar>
            <w:left w:w="70" w:type="dxa"/>
            <w:right w:w="70" w:type="dxa"/>
          </w:tblCellMar>
        </w:tblPrEx>
        <w:trPr>
          <w:cantSplit/>
          <w:trHeight w:val="321"/>
        </w:trPr>
        <w:tc>
          <w:tcPr>
            <w:tcW w:w="845" w:type="dxa"/>
            <w:gridSpan w:val="3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818" w:type="dxa"/>
            <w:gridSpan w:val="3"/>
            <w:shd w:val="clear" w:color="auto" w:fill="auto"/>
          </w:tcPr>
          <w:p w:rsidR="00E80AB9" w:rsidRPr="0071780D" w:rsidRDefault="00E80AB9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Други вземания 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E80AB9" w:rsidRPr="0071780D" w:rsidRDefault="00DB416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289" w:type="dxa"/>
            <w:shd w:val="clear" w:color="auto" w:fill="auto"/>
          </w:tcPr>
          <w:p w:rsidR="00E80AB9" w:rsidRPr="0071780D" w:rsidRDefault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36" w:type="dxa"/>
            <w:gridSpan w:val="3"/>
            <w:shd w:val="clear" w:color="auto" w:fill="auto"/>
          </w:tcPr>
          <w:p w:rsidR="00E80AB9" w:rsidRPr="0071780D" w:rsidRDefault="00B824E4" w:rsidP="00352C4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</w:tr>
      <w:tr w:rsidR="00E80AB9" w:rsidRPr="00FB4F7F" w:rsidTr="00462751">
        <w:tblPrEx>
          <w:tblCellMar>
            <w:left w:w="70" w:type="dxa"/>
            <w:right w:w="70" w:type="dxa"/>
          </w:tblCellMar>
        </w:tblPrEx>
        <w:trPr>
          <w:cantSplit/>
          <w:trHeight w:val="86"/>
        </w:trPr>
        <w:tc>
          <w:tcPr>
            <w:tcW w:w="845" w:type="dxa"/>
            <w:gridSpan w:val="3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5818" w:type="dxa"/>
            <w:gridSpan w:val="3"/>
            <w:shd w:val="clear" w:color="auto" w:fill="auto"/>
          </w:tcPr>
          <w:p w:rsidR="00E80AB9" w:rsidRPr="0071780D" w:rsidRDefault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41" w:type="dxa"/>
            <w:gridSpan w:val="2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E80AB9" w:rsidRPr="0071780D" w:rsidRDefault="00DB416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2312</w:t>
            </w:r>
          </w:p>
        </w:tc>
        <w:tc>
          <w:tcPr>
            <w:tcW w:w="289" w:type="dxa"/>
            <w:shd w:val="clear" w:color="auto" w:fill="auto"/>
          </w:tcPr>
          <w:p w:rsidR="00E80AB9" w:rsidRPr="0071780D" w:rsidRDefault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36" w:type="dxa"/>
            <w:gridSpan w:val="3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E80AB9" w:rsidRPr="0071780D" w:rsidRDefault="00B824E4" w:rsidP="00352C4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1753</w:t>
            </w:r>
          </w:p>
        </w:tc>
      </w:tr>
      <w:tr w:rsidR="00E80AB9" w:rsidRPr="00B1093F" w:rsidTr="00A820AB">
        <w:tblPrEx>
          <w:tblCellMar>
            <w:left w:w="70" w:type="dxa"/>
            <w:right w:w="70" w:type="dxa"/>
          </w:tblCellMar>
        </w:tblPrEx>
        <w:trPr>
          <w:cantSplit/>
          <w:trHeight w:val="446"/>
        </w:trPr>
        <w:tc>
          <w:tcPr>
            <w:tcW w:w="845" w:type="dxa"/>
            <w:gridSpan w:val="3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384" w:type="dxa"/>
            <w:gridSpan w:val="9"/>
            <w:shd w:val="clear" w:color="auto" w:fill="auto"/>
          </w:tcPr>
          <w:p w:rsidR="00E80AB9" w:rsidRPr="0071780D" w:rsidRDefault="00E80AB9">
            <w:pPr>
              <w:tabs>
                <w:tab w:val="left" w:pos="851"/>
              </w:tabs>
              <w:snapToGrid w:val="0"/>
              <w:ind w:left="-51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E80AB9" w:rsidRPr="0071780D" w:rsidRDefault="00E80AB9" w:rsidP="00B1093F">
            <w:pPr>
              <w:tabs>
                <w:tab w:val="left" w:pos="851"/>
              </w:tabs>
              <w:snapToGrid w:val="0"/>
              <w:ind w:left="-51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Вземанията от клиенти възникнали от предходни години са в размер на </w:t>
            </w:r>
            <w:r w:rsidR="00DB4163" w:rsidRPr="00DB416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57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хил.лв.</w:t>
            </w:r>
            <w:r w:rsidRPr="0071780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Същите са трудно събираеми, не са обезценени, но са в несъществен размер.</w:t>
            </w:r>
          </w:p>
          <w:p w:rsidR="00E80AB9" w:rsidRPr="0071780D" w:rsidRDefault="00E80AB9" w:rsidP="00B1093F">
            <w:pPr>
              <w:tabs>
                <w:tab w:val="left" w:pos="851"/>
              </w:tabs>
              <w:snapToGrid w:val="0"/>
              <w:ind w:left="-51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E80AB9" w:rsidRPr="0071780D" w:rsidRDefault="00E80AB9" w:rsidP="00081B14">
            <w:pPr>
              <w:tabs>
                <w:tab w:val="left" w:pos="851"/>
              </w:tabs>
              <w:snapToGrid w:val="0"/>
              <w:ind w:left="-51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>Вземанията от клиен</w:t>
            </w:r>
            <w:r w:rsidR="00081B14">
              <w:rPr>
                <w:rFonts w:ascii="Times New Roman" w:hAnsi="Times New Roman"/>
                <w:sz w:val="22"/>
                <w:szCs w:val="22"/>
                <w:lang w:val="bg-BG"/>
              </w:rPr>
              <w:t>ти са заложени, като обезпечение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за овърдрафт</w:t>
            </w:r>
            <w:r w:rsidR="00081B14">
              <w:rPr>
                <w:rFonts w:ascii="Times New Roman" w:hAnsi="Times New Roman"/>
                <w:sz w:val="22"/>
                <w:szCs w:val="22"/>
                <w:lang w:val="bg-BG"/>
              </w:rPr>
              <w:t>и</w:t>
            </w:r>
            <w:r w:rsidRPr="0071780D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за оборотни средства в „</w:t>
            </w:r>
            <w:r w:rsidR="00081B14">
              <w:rPr>
                <w:rFonts w:ascii="Times New Roman" w:hAnsi="Times New Roman"/>
                <w:sz w:val="22"/>
                <w:szCs w:val="22"/>
                <w:lang w:val="bg-BG"/>
              </w:rPr>
              <w:t>Райфаизенбанк” ЕАД, както и в „Уникредит Булбанк” АД</w:t>
            </w:r>
            <w:r w:rsidR="007A1DC9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</w:p>
        </w:tc>
      </w:tr>
      <w:tr w:rsidR="00E80AB9" w:rsidRPr="00FB4F7F" w:rsidTr="00A820AB">
        <w:tblPrEx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859" w:type="dxa"/>
            <w:gridSpan w:val="4"/>
            <w:shd w:val="clear" w:color="auto" w:fill="auto"/>
          </w:tcPr>
          <w:p w:rsidR="00E80AB9" w:rsidRPr="0071780D" w:rsidRDefault="00E80AB9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  <w:p w:rsidR="00E80AB9" w:rsidRPr="0071780D" w:rsidRDefault="00E80AB9">
            <w:pPr>
              <w:widowControl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8.</w:t>
            </w:r>
          </w:p>
        </w:tc>
        <w:tc>
          <w:tcPr>
            <w:tcW w:w="8370" w:type="dxa"/>
            <w:gridSpan w:val="8"/>
            <w:shd w:val="clear" w:color="auto" w:fill="auto"/>
          </w:tcPr>
          <w:p w:rsidR="00E80AB9" w:rsidRPr="0071780D" w:rsidRDefault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  <w:p w:rsidR="00E80AB9" w:rsidRPr="0071780D" w:rsidRDefault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71780D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Парични средства и парични еквиваленти</w:t>
            </w:r>
          </w:p>
        </w:tc>
      </w:tr>
      <w:tr w:rsidR="00E80AB9" w:rsidRPr="00FB4F7F" w:rsidTr="00462751">
        <w:tblPrEx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859" w:type="dxa"/>
            <w:gridSpan w:val="4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5804" w:type="dxa"/>
            <w:gridSpan w:val="2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i/>
                <w:iCs/>
                <w:sz w:val="22"/>
                <w:szCs w:val="22"/>
              </w:rPr>
              <w:t>В хиляди лева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E80AB9" w:rsidRPr="00FB4F7F" w:rsidRDefault="00E80AB9" w:rsidP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B824E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8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289" w:type="dxa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36" w:type="dxa"/>
            <w:gridSpan w:val="3"/>
            <w:shd w:val="clear" w:color="auto" w:fill="auto"/>
          </w:tcPr>
          <w:p w:rsidR="00E80AB9" w:rsidRPr="00FB4F7F" w:rsidRDefault="00E80AB9" w:rsidP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B824E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</w:tr>
      <w:tr w:rsidR="00E80AB9" w:rsidRPr="00FB4F7F" w:rsidTr="00462751">
        <w:tblPrEx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859" w:type="dxa"/>
            <w:gridSpan w:val="4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5804" w:type="dxa"/>
            <w:gridSpan w:val="2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</w:rPr>
              <w:t>Парични средства в каса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E80AB9" w:rsidRPr="00247493" w:rsidRDefault="00397F3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25</w:t>
            </w:r>
          </w:p>
        </w:tc>
        <w:tc>
          <w:tcPr>
            <w:tcW w:w="289" w:type="dxa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36" w:type="dxa"/>
            <w:gridSpan w:val="3"/>
            <w:shd w:val="clear" w:color="auto" w:fill="auto"/>
          </w:tcPr>
          <w:p w:rsidR="00E80AB9" w:rsidRPr="00247493" w:rsidRDefault="00B824E4" w:rsidP="00352C4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</w:tr>
      <w:tr w:rsidR="00E80AB9" w:rsidRPr="00FB4F7F" w:rsidTr="00462751">
        <w:tblPrEx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859" w:type="dxa"/>
            <w:gridSpan w:val="4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5804" w:type="dxa"/>
            <w:gridSpan w:val="2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Парични средства в банки</w:t>
            </w:r>
          </w:p>
        </w:tc>
        <w:tc>
          <w:tcPr>
            <w:tcW w:w="1141" w:type="dxa"/>
            <w:gridSpan w:val="2"/>
            <w:tcBorders>
              <w:bottom w:val="double" w:sz="1" w:space="0" w:color="000000"/>
            </w:tcBorders>
            <w:shd w:val="clear" w:color="auto" w:fill="auto"/>
          </w:tcPr>
          <w:p w:rsidR="00E80AB9" w:rsidRPr="00FB4F7F" w:rsidRDefault="00397F3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289" w:type="dxa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36" w:type="dxa"/>
            <w:gridSpan w:val="3"/>
            <w:tcBorders>
              <w:bottom w:val="double" w:sz="1" w:space="0" w:color="000000"/>
            </w:tcBorders>
            <w:shd w:val="clear" w:color="auto" w:fill="auto"/>
          </w:tcPr>
          <w:p w:rsidR="00E80AB9" w:rsidRPr="00FB4F7F" w:rsidRDefault="00B824E4" w:rsidP="00352C4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124</w:t>
            </w:r>
          </w:p>
        </w:tc>
      </w:tr>
      <w:tr w:rsidR="00E80AB9" w:rsidRPr="00FB4F7F" w:rsidTr="00462751">
        <w:tblPrEx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859" w:type="dxa"/>
            <w:gridSpan w:val="4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5804" w:type="dxa"/>
            <w:gridSpan w:val="2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41" w:type="dxa"/>
            <w:gridSpan w:val="2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E80AB9" w:rsidRPr="003F069A" w:rsidRDefault="00397F33" w:rsidP="00247493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27</w:t>
            </w:r>
          </w:p>
        </w:tc>
        <w:tc>
          <w:tcPr>
            <w:tcW w:w="289" w:type="dxa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36" w:type="dxa"/>
            <w:gridSpan w:val="3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E80AB9" w:rsidRPr="00081B14" w:rsidRDefault="00B824E4" w:rsidP="00352C4B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137</w:t>
            </w:r>
          </w:p>
        </w:tc>
      </w:tr>
      <w:tr w:rsidR="00250BF2" w:rsidRPr="00FB4F7F" w:rsidTr="00BB35F7">
        <w:tblPrEx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859" w:type="dxa"/>
            <w:gridSpan w:val="4"/>
            <w:shd w:val="clear" w:color="auto" w:fill="auto"/>
          </w:tcPr>
          <w:p w:rsidR="00250BF2" w:rsidRPr="00FB4F7F" w:rsidRDefault="00250BF2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370" w:type="dxa"/>
            <w:gridSpan w:val="8"/>
            <w:shd w:val="clear" w:color="auto" w:fill="auto"/>
          </w:tcPr>
          <w:p w:rsidR="00250BF2" w:rsidRDefault="00250BF2" w:rsidP="00A03567">
            <w:pPr>
              <w:tabs>
                <w:tab w:val="left" w:pos="567"/>
              </w:tabs>
              <w:ind w:hanging="709"/>
              <w:jc w:val="both"/>
              <w:outlineLvl w:val="0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</w:p>
        </w:tc>
      </w:tr>
      <w:tr w:rsidR="00A03567" w:rsidRPr="00FB4F7F" w:rsidTr="00BB35F7">
        <w:tblPrEx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859" w:type="dxa"/>
            <w:gridSpan w:val="4"/>
            <w:shd w:val="clear" w:color="auto" w:fill="auto"/>
          </w:tcPr>
          <w:p w:rsidR="00A03567" w:rsidRPr="00FB4F7F" w:rsidRDefault="00A03567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370" w:type="dxa"/>
            <w:gridSpan w:val="8"/>
            <w:shd w:val="clear" w:color="auto" w:fill="auto"/>
          </w:tcPr>
          <w:p w:rsidR="00A03567" w:rsidRPr="00FB4F7F" w:rsidRDefault="00A03567" w:rsidP="00462751">
            <w:pPr>
              <w:tabs>
                <w:tab w:val="left" w:pos="567"/>
              </w:tabs>
              <w:ind w:hanging="709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Парич Паричните средства във валута са преоценени по заключит</w:t>
            </w:r>
            <w:r w:rsidR="00B824E4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елния курс на БНБ към 31.12.2018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B824E4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г. (31.12.2017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 г.), в съответствие с изискванията на СС 21.</w:t>
            </w:r>
          </w:p>
        </w:tc>
      </w:tr>
      <w:tr w:rsidR="00382EA1" w:rsidRPr="00FB4F7F" w:rsidTr="00BB35F7">
        <w:tblPrEx>
          <w:tblCellMar>
            <w:left w:w="70" w:type="dxa"/>
            <w:right w:w="70" w:type="dxa"/>
          </w:tblCellMar>
        </w:tblPrEx>
        <w:trPr>
          <w:cantSplit/>
          <w:trHeight w:val="284"/>
        </w:trPr>
        <w:tc>
          <w:tcPr>
            <w:tcW w:w="859" w:type="dxa"/>
            <w:gridSpan w:val="4"/>
            <w:shd w:val="clear" w:color="auto" w:fill="auto"/>
          </w:tcPr>
          <w:p w:rsidR="00382EA1" w:rsidRPr="00FB4F7F" w:rsidRDefault="00382EA1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370" w:type="dxa"/>
            <w:gridSpan w:val="8"/>
            <w:shd w:val="clear" w:color="auto" w:fill="auto"/>
          </w:tcPr>
          <w:p w:rsidR="00382EA1" w:rsidRDefault="00382EA1" w:rsidP="00A03567">
            <w:pPr>
              <w:tabs>
                <w:tab w:val="left" w:pos="567"/>
              </w:tabs>
              <w:ind w:hanging="709"/>
              <w:jc w:val="both"/>
              <w:outlineLvl w:val="0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</w:p>
        </w:tc>
      </w:tr>
      <w:tr w:rsidR="00E80AB9" w:rsidRPr="00FB4F7F" w:rsidTr="00462751">
        <w:trPr>
          <w:gridAfter w:val="2"/>
          <w:wAfter w:w="28" w:type="dxa"/>
          <w:cantSplit/>
          <w:trHeight w:val="180"/>
        </w:trPr>
        <w:tc>
          <w:tcPr>
            <w:tcW w:w="809" w:type="dxa"/>
            <w:shd w:val="clear" w:color="auto" w:fill="auto"/>
          </w:tcPr>
          <w:p w:rsidR="00E80AB9" w:rsidRPr="00FB4F7F" w:rsidRDefault="00E80AB9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  <w:t>9</w:t>
            </w:r>
            <w:r w:rsidRPr="00FB4F7F">
              <w:rPr>
                <w:rFonts w:ascii="Times New Roman" w:hAnsi="Times New Roman"/>
                <w:b/>
                <w:i w:val="0"/>
                <w:sz w:val="22"/>
                <w:szCs w:val="22"/>
              </w:rPr>
              <w:t>.</w:t>
            </w:r>
          </w:p>
        </w:tc>
        <w:tc>
          <w:tcPr>
            <w:tcW w:w="8392" w:type="dxa"/>
            <w:gridSpan w:val="9"/>
            <w:shd w:val="clear" w:color="auto" w:fill="auto"/>
          </w:tcPr>
          <w:p w:rsidR="00E80AB9" w:rsidRPr="00FB4F7F" w:rsidRDefault="00E80AB9">
            <w:pPr>
              <w:keepNext/>
              <w:widowControl/>
              <w:snapToGrid w:val="0"/>
              <w:spacing w:line="252" w:lineRule="exact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K</w:t>
            </w:r>
            <w:r w:rsidRPr="00FB4F7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апитал</w:t>
            </w:r>
          </w:p>
        </w:tc>
      </w:tr>
      <w:tr w:rsidR="00E80AB9" w:rsidRPr="00FB4F7F" w:rsidTr="00462751">
        <w:trPr>
          <w:gridAfter w:val="2"/>
          <w:wAfter w:w="28" w:type="dxa"/>
          <w:cantSplit/>
          <w:trHeight w:val="1106"/>
        </w:trPr>
        <w:tc>
          <w:tcPr>
            <w:tcW w:w="809" w:type="dxa"/>
            <w:shd w:val="clear" w:color="auto" w:fill="auto"/>
          </w:tcPr>
          <w:p w:rsidR="00E80AB9" w:rsidRPr="00FB4F7F" w:rsidRDefault="00E80AB9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8392" w:type="dxa"/>
            <w:gridSpan w:val="9"/>
            <w:shd w:val="clear" w:color="auto" w:fill="auto"/>
          </w:tcPr>
          <w:p w:rsidR="00E80AB9" w:rsidRDefault="00E80AB9" w:rsidP="00FE6F42">
            <w:pPr>
              <w:widowControl/>
              <w:snapToGrid w:val="0"/>
              <w:spacing w:before="120"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СД "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НАЧЕВИ-90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-С-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ИЕ”</w:t>
            </w:r>
            <w:r w:rsidRPr="00FB4F7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е събирателно дружество и в съответствие с Търговския закон няма регистриран собствен капитал.</w:t>
            </w:r>
          </w:p>
          <w:p w:rsidR="005C7873" w:rsidRPr="00FB4F7F" w:rsidRDefault="005C7873" w:rsidP="00FE6F42">
            <w:pPr>
              <w:widowControl/>
              <w:snapToGrid w:val="0"/>
              <w:spacing w:before="120"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E80AB9" w:rsidRPr="00FB4F7F" w:rsidTr="00462751">
        <w:trPr>
          <w:gridAfter w:val="2"/>
          <w:wAfter w:w="28" w:type="dxa"/>
          <w:cantSplit/>
        </w:trPr>
        <w:tc>
          <w:tcPr>
            <w:tcW w:w="809" w:type="dxa"/>
            <w:shd w:val="clear" w:color="auto" w:fill="auto"/>
          </w:tcPr>
          <w:p w:rsidR="00E80AB9" w:rsidRPr="00FB4F7F" w:rsidRDefault="00E80AB9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  <w:lastRenderedPageBreak/>
              <w:t>10.</w:t>
            </w:r>
          </w:p>
          <w:p w:rsidR="00E80AB9" w:rsidRPr="00FB4F7F" w:rsidRDefault="00E80AB9">
            <w:pPr>
              <w:pStyle w:val="IAS"/>
              <w:widowControl/>
              <w:snapToGrid w:val="0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</w:pPr>
          </w:p>
        </w:tc>
        <w:tc>
          <w:tcPr>
            <w:tcW w:w="8392" w:type="dxa"/>
            <w:gridSpan w:val="9"/>
            <w:shd w:val="clear" w:color="auto" w:fill="auto"/>
          </w:tcPr>
          <w:p w:rsidR="00E80AB9" w:rsidRPr="00FB4F7F" w:rsidRDefault="00E80AB9">
            <w:pPr>
              <w:keepNext/>
              <w:widowControl/>
              <w:snapToGrid w:val="0"/>
              <w:spacing w:line="252" w:lineRule="exact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Неразпределена печалба/загуба от минали години</w:t>
            </w:r>
          </w:p>
        </w:tc>
      </w:tr>
      <w:tr w:rsidR="00E80AB9" w:rsidRPr="00FB4F7F" w:rsidTr="00462751">
        <w:trPr>
          <w:gridAfter w:val="2"/>
          <w:wAfter w:w="28" w:type="dxa"/>
          <w:cantSplit/>
        </w:trPr>
        <w:tc>
          <w:tcPr>
            <w:tcW w:w="809" w:type="dxa"/>
            <w:shd w:val="clear" w:color="auto" w:fill="auto"/>
          </w:tcPr>
          <w:p w:rsidR="00E80AB9" w:rsidRPr="00FB4F7F" w:rsidRDefault="00E80AB9" w:rsidP="00E64B57">
            <w:pPr>
              <w:pStyle w:val="tabelheading1"/>
              <w:widowControl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8392" w:type="dxa"/>
            <w:gridSpan w:val="9"/>
            <w:shd w:val="clear" w:color="auto" w:fill="auto"/>
          </w:tcPr>
          <w:p w:rsidR="00E80AB9" w:rsidRPr="00397F33" w:rsidRDefault="00E80AB9" w:rsidP="00E64B57">
            <w:pPr>
              <w:snapToGrid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Неразпределената печалба към 31.12.201</w:t>
            </w:r>
            <w:r w:rsidR="00397F33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8</w:t>
            </w:r>
            <w:r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г. е в размер </w:t>
            </w:r>
            <w:r w:rsidR="003F069A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на </w:t>
            </w:r>
            <w:r w:rsidR="00397F33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3579</w:t>
            </w:r>
            <w:r w:rsidR="003F069A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 </w:t>
            </w:r>
            <w:r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хил.лв.</w:t>
            </w:r>
          </w:p>
          <w:p w:rsidR="00E80AB9" w:rsidRPr="0071780D" w:rsidRDefault="00B11EE4" w:rsidP="00397F33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К</w:t>
            </w:r>
            <w:r w:rsidR="00E80AB9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ъм 01.01.201</w:t>
            </w:r>
            <w:r w:rsidR="00397F33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8</w:t>
            </w:r>
            <w:r w:rsidR="00E80AB9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 г</w:t>
            </w:r>
            <w:r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 неразпределената печа</w:t>
            </w:r>
            <w:r w:rsidR="008B138B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лба е в размер на </w:t>
            </w:r>
            <w:r w:rsidR="00397F33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2880</w:t>
            </w:r>
            <w:r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 хил. лв. и през годината</w:t>
            </w:r>
            <w:r w:rsidR="00E80AB9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 е увеличена </w:t>
            </w:r>
            <w:r w:rsidR="00272A4A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с печалбата, реализирана за 201</w:t>
            </w:r>
            <w:r w:rsidR="00397F33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7</w:t>
            </w:r>
            <w:r w:rsidR="00E80AB9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 г – в размер на </w:t>
            </w:r>
            <w:r w:rsidR="00397F33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1772</w:t>
            </w:r>
            <w:r w:rsidR="00E80AB9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 хил.лв. и е намалена с разпределената за дивиденти на съдружниците печалба в размер на </w:t>
            </w:r>
            <w:r w:rsidR="00397F33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1</w:t>
            </w:r>
            <w:r w:rsidR="00D549DE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073</w:t>
            </w:r>
            <w:r w:rsidR="003F069A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 </w:t>
            </w:r>
            <w:r w:rsidR="00E80AB9" w:rsidRPr="00397F3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хил.лв.</w:t>
            </w:r>
          </w:p>
        </w:tc>
      </w:tr>
      <w:tr w:rsidR="00E80AB9" w:rsidRPr="00FB4F7F" w:rsidTr="00462751">
        <w:trPr>
          <w:gridAfter w:val="2"/>
          <w:wAfter w:w="28" w:type="dxa"/>
          <w:cantSplit/>
          <w:trHeight w:val="246"/>
        </w:trPr>
        <w:tc>
          <w:tcPr>
            <w:tcW w:w="809" w:type="dxa"/>
            <w:shd w:val="clear" w:color="auto" w:fill="auto"/>
            <w:vAlign w:val="bottom"/>
          </w:tcPr>
          <w:p w:rsidR="00E80AB9" w:rsidRPr="00FB4F7F" w:rsidRDefault="00E80AB9" w:rsidP="00E64B57">
            <w:pPr>
              <w:pStyle w:val="tabelheading1"/>
              <w:widowControl/>
              <w:snapToGrid w:val="0"/>
              <w:rPr>
                <w:sz w:val="22"/>
                <w:szCs w:val="22"/>
              </w:rPr>
            </w:pPr>
            <w:r w:rsidRPr="00FB4F7F">
              <w:rPr>
                <w:sz w:val="22"/>
                <w:szCs w:val="22"/>
                <w:lang w:val="bg-BG"/>
              </w:rPr>
              <w:t>11</w:t>
            </w:r>
            <w:r w:rsidRPr="00FB4F7F">
              <w:rPr>
                <w:sz w:val="22"/>
                <w:szCs w:val="22"/>
              </w:rPr>
              <w:t>.</w:t>
            </w:r>
          </w:p>
        </w:tc>
        <w:tc>
          <w:tcPr>
            <w:tcW w:w="8392" w:type="dxa"/>
            <w:gridSpan w:val="9"/>
            <w:shd w:val="clear" w:color="auto" w:fill="auto"/>
          </w:tcPr>
          <w:p w:rsidR="00E80AB9" w:rsidRPr="0071780D" w:rsidRDefault="00E80AB9" w:rsidP="00E64B57">
            <w:pPr>
              <w:pStyle w:val="tabelheading1"/>
              <w:keepLines/>
              <w:snapToGrid w:val="0"/>
              <w:spacing w:before="120" w:line="240" w:lineRule="auto"/>
              <w:rPr>
                <w:sz w:val="22"/>
                <w:szCs w:val="22"/>
                <w:lang w:val="bg-BG"/>
              </w:rPr>
            </w:pPr>
            <w:r w:rsidRPr="0071780D">
              <w:rPr>
                <w:sz w:val="22"/>
                <w:szCs w:val="22"/>
                <w:lang w:val="bg-BG"/>
              </w:rPr>
              <w:t>Финансови резултати</w:t>
            </w:r>
          </w:p>
        </w:tc>
      </w:tr>
      <w:tr w:rsidR="00E80AB9" w:rsidRPr="00FB4F7F" w:rsidTr="00462751">
        <w:trPr>
          <w:gridAfter w:val="2"/>
          <w:wAfter w:w="28" w:type="dxa"/>
          <w:cantSplit/>
          <w:trHeight w:val="246"/>
        </w:trPr>
        <w:tc>
          <w:tcPr>
            <w:tcW w:w="809" w:type="dxa"/>
            <w:shd w:val="clear" w:color="auto" w:fill="auto"/>
            <w:vAlign w:val="bottom"/>
          </w:tcPr>
          <w:p w:rsidR="00E80AB9" w:rsidRPr="00FB4F7F" w:rsidRDefault="00E80AB9">
            <w:pPr>
              <w:pStyle w:val="tabelheading1"/>
              <w:widowControl/>
              <w:snapToGrid w:val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8392" w:type="dxa"/>
            <w:gridSpan w:val="9"/>
            <w:shd w:val="clear" w:color="auto" w:fill="auto"/>
          </w:tcPr>
          <w:p w:rsidR="00E80AB9" w:rsidRPr="0071780D" w:rsidRDefault="00E80AB9" w:rsidP="008B138B">
            <w:pPr>
              <w:pStyle w:val="tabelheading1"/>
              <w:keepLines/>
              <w:snapToGrid w:val="0"/>
              <w:spacing w:before="120" w:line="240" w:lineRule="auto"/>
              <w:rPr>
                <w:b w:val="0"/>
                <w:sz w:val="22"/>
                <w:szCs w:val="22"/>
                <w:lang w:val="bg-BG"/>
              </w:rPr>
            </w:pPr>
            <w:r w:rsidRPr="0071780D">
              <w:rPr>
                <w:b w:val="0"/>
                <w:sz w:val="22"/>
                <w:szCs w:val="22"/>
                <w:lang w:val="bg-BG"/>
              </w:rPr>
              <w:t>За 201</w:t>
            </w:r>
            <w:r w:rsidR="00B824E4">
              <w:rPr>
                <w:b w:val="0"/>
                <w:sz w:val="22"/>
                <w:szCs w:val="22"/>
                <w:lang w:val="bg-BG"/>
              </w:rPr>
              <w:t>8</w:t>
            </w:r>
            <w:r w:rsidRPr="0071780D">
              <w:rPr>
                <w:b w:val="0"/>
                <w:sz w:val="22"/>
                <w:szCs w:val="22"/>
                <w:lang w:val="bg-BG"/>
              </w:rPr>
              <w:t xml:space="preserve"> г. дружеството отчита текуща печалба   в размер на</w:t>
            </w:r>
            <w:r w:rsidR="00D9050A">
              <w:rPr>
                <w:b w:val="0"/>
                <w:sz w:val="22"/>
                <w:szCs w:val="22"/>
                <w:lang w:val="bg-BG"/>
              </w:rPr>
              <w:t xml:space="preserve"> </w:t>
            </w:r>
            <w:r w:rsidR="00B824E4">
              <w:rPr>
                <w:b w:val="0"/>
                <w:sz w:val="22"/>
                <w:szCs w:val="22"/>
                <w:lang w:val="bg-BG"/>
              </w:rPr>
              <w:t>1957</w:t>
            </w:r>
            <w:r w:rsidRPr="0071780D">
              <w:rPr>
                <w:b w:val="0"/>
                <w:sz w:val="22"/>
                <w:szCs w:val="22"/>
                <w:lang w:val="bg-BG"/>
              </w:rPr>
              <w:t xml:space="preserve"> хил. лв.</w:t>
            </w:r>
          </w:p>
        </w:tc>
      </w:tr>
      <w:tr w:rsidR="00E80AB9" w:rsidRPr="00FB4F7F" w:rsidTr="00462751">
        <w:trPr>
          <w:gridAfter w:val="1"/>
          <w:wAfter w:w="18" w:type="dxa"/>
        </w:trPr>
        <w:tc>
          <w:tcPr>
            <w:tcW w:w="816" w:type="dxa"/>
            <w:gridSpan w:val="2"/>
            <w:shd w:val="clear" w:color="auto" w:fill="auto"/>
          </w:tcPr>
          <w:p w:rsidR="00E80AB9" w:rsidRPr="00FB4F7F" w:rsidRDefault="00E80AB9">
            <w:pPr>
              <w:pStyle w:val="Bodytext0"/>
              <w:snapToGrid w:val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bg-BG"/>
              </w:rPr>
            </w:pPr>
          </w:p>
          <w:p w:rsidR="00E80AB9" w:rsidRPr="00FB4F7F" w:rsidRDefault="00E80AB9">
            <w:pPr>
              <w:pStyle w:val="Bodytext0"/>
              <w:snapToGrid w:val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color w:val="auto"/>
                <w:sz w:val="22"/>
                <w:szCs w:val="22"/>
                <w:lang w:val="bg-BG"/>
              </w:rPr>
              <w:t>12</w:t>
            </w:r>
            <w:r w:rsidRPr="00FB4F7F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5794" w:type="dxa"/>
            <w:gridSpan w:val="3"/>
            <w:shd w:val="clear" w:color="auto" w:fill="auto"/>
          </w:tcPr>
          <w:p w:rsidR="00E80AB9" w:rsidRPr="00FB4F7F" w:rsidRDefault="00E80AB9">
            <w:pPr>
              <w:pStyle w:val="IAS"/>
              <w:widowControl/>
              <w:tabs>
                <w:tab w:val="left" w:pos="8222"/>
              </w:tabs>
              <w:snapToGrid w:val="0"/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</w:pPr>
          </w:p>
          <w:p w:rsidR="00E80AB9" w:rsidRPr="00FB4F7F" w:rsidRDefault="00E80AB9">
            <w:pPr>
              <w:pStyle w:val="IAS"/>
              <w:widowControl/>
              <w:tabs>
                <w:tab w:val="left" w:pos="8222"/>
              </w:tabs>
              <w:snapToGrid w:val="0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  <w:t>З</w:t>
            </w:r>
            <w:r w:rsidRPr="00FB4F7F">
              <w:rPr>
                <w:rFonts w:ascii="Times New Roman" w:hAnsi="Times New Roman"/>
                <w:b/>
                <w:i w:val="0"/>
                <w:sz w:val="22"/>
                <w:szCs w:val="22"/>
              </w:rPr>
              <w:t>адължения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E80AB9" w:rsidRPr="00FB4F7F" w:rsidRDefault="00E80AB9">
            <w:pPr>
              <w:widowControl/>
              <w:snapToGrid w:val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4" w:type="dxa"/>
            <w:gridSpan w:val="2"/>
            <w:shd w:val="clear" w:color="auto" w:fill="auto"/>
          </w:tcPr>
          <w:p w:rsidR="00E80AB9" w:rsidRPr="00FB4F7F" w:rsidRDefault="00E80AB9">
            <w:pPr>
              <w:pStyle w:val="tab"/>
              <w:widowControl/>
              <w:tabs>
                <w:tab w:val="left" w:pos="8222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E80AB9" w:rsidRPr="00FB4F7F" w:rsidRDefault="00E80AB9">
            <w:pPr>
              <w:widowControl/>
              <w:snapToGrid w:val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0AB9" w:rsidRPr="00FB4F7F" w:rsidTr="00462751">
        <w:trPr>
          <w:gridAfter w:val="1"/>
          <w:wAfter w:w="18" w:type="dxa"/>
        </w:trPr>
        <w:tc>
          <w:tcPr>
            <w:tcW w:w="816" w:type="dxa"/>
            <w:gridSpan w:val="2"/>
            <w:shd w:val="clear" w:color="auto" w:fill="auto"/>
          </w:tcPr>
          <w:p w:rsidR="00E80AB9" w:rsidRPr="00FB4F7F" w:rsidRDefault="00E80AB9">
            <w:pPr>
              <w:pStyle w:val="tabelt"/>
              <w:keepNext/>
              <w:widowControl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5794" w:type="dxa"/>
            <w:gridSpan w:val="3"/>
            <w:shd w:val="clear" w:color="auto" w:fill="auto"/>
          </w:tcPr>
          <w:p w:rsidR="00E80AB9" w:rsidRPr="00FB4F7F" w:rsidRDefault="00E80AB9">
            <w:pPr>
              <w:pStyle w:val="IAS"/>
              <w:widowControl/>
              <w:tabs>
                <w:tab w:val="left" w:pos="8222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FB4F7F">
              <w:rPr>
                <w:rFonts w:ascii="Times New Roman" w:hAnsi="Times New Roman"/>
                <w:sz w:val="22"/>
                <w:szCs w:val="22"/>
              </w:rPr>
              <w:t>В хиляди лева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E80AB9" w:rsidRPr="00FB4F7F" w:rsidRDefault="00E80AB9" w:rsidP="00B736E1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B824E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8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304" w:type="dxa"/>
            <w:gridSpan w:val="2"/>
            <w:shd w:val="clear" w:color="auto" w:fill="auto"/>
          </w:tcPr>
          <w:p w:rsidR="00E80AB9" w:rsidRPr="00FB4F7F" w:rsidRDefault="00E80AB9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E80AB9" w:rsidRPr="00FB4F7F" w:rsidRDefault="00E80AB9" w:rsidP="00B11EE4">
            <w:pPr>
              <w:widowControl/>
              <w:snapToGrid w:val="0"/>
              <w:spacing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201</w:t>
            </w:r>
            <w:r w:rsidR="00B824E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</w:t>
            </w:r>
            <w:r w:rsidRPr="00FB4F7F">
              <w:rPr>
                <w:rFonts w:ascii="Times New Roman" w:hAnsi="Times New Roman"/>
                <w:b/>
                <w:bCs/>
                <w:sz w:val="22"/>
                <w:szCs w:val="22"/>
              </w:rPr>
              <w:t>г.</w:t>
            </w:r>
          </w:p>
        </w:tc>
      </w:tr>
      <w:tr w:rsidR="00B11EE4" w:rsidRPr="00FB4F7F" w:rsidTr="00462751">
        <w:trPr>
          <w:gridAfter w:val="1"/>
          <w:wAfter w:w="18" w:type="dxa"/>
        </w:trPr>
        <w:tc>
          <w:tcPr>
            <w:tcW w:w="816" w:type="dxa"/>
            <w:gridSpan w:val="2"/>
            <w:shd w:val="clear" w:color="auto" w:fill="auto"/>
          </w:tcPr>
          <w:p w:rsidR="00B11EE4" w:rsidRPr="00FB4F7F" w:rsidRDefault="00B11EE4">
            <w:pPr>
              <w:pStyle w:val="IAS"/>
              <w:widowControl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4" w:type="dxa"/>
            <w:gridSpan w:val="3"/>
            <w:shd w:val="clear" w:color="auto" w:fill="auto"/>
          </w:tcPr>
          <w:p w:rsidR="00B11EE4" w:rsidRDefault="00B11EE4" w:rsidP="00112106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Задължения към доставчици</w:t>
            </w:r>
          </w:p>
          <w:p w:rsidR="006C30B7" w:rsidRPr="00FB4F7F" w:rsidRDefault="006C30B7" w:rsidP="00112106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Задължения по аванси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B11EE4" w:rsidRDefault="00CE76E9" w:rsidP="00CE76E9">
            <w:pPr>
              <w:widowControl/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</w:t>
            </w:r>
            <w:r w:rsidR="00F447B5">
              <w:rPr>
                <w:rFonts w:ascii="Times New Roman" w:hAnsi="Times New Roman"/>
                <w:sz w:val="22"/>
                <w:szCs w:val="22"/>
                <w:lang w:val="bg-BG"/>
              </w:rPr>
              <w:t>1295</w:t>
            </w:r>
          </w:p>
          <w:p w:rsidR="006C30B7" w:rsidRPr="00112106" w:rsidRDefault="00CE76E9" w:rsidP="00F447B5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</w:t>
            </w:r>
            <w:r w:rsidR="00F447B5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="008B138B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                 </w:t>
            </w:r>
          </w:p>
        </w:tc>
        <w:tc>
          <w:tcPr>
            <w:tcW w:w="304" w:type="dxa"/>
            <w:gridSpan w:val="2"/>
            <w:shd w:val="clear" w:color="auto" w:fill="auto"/>
          </w:tcPr>
          <w:p w:rsidR="00B11EE4" w:rsidRPr="00FB4F7F" w:rsidRDefault="00B11EE4">
            <w:pPr>
              <w:pStyle w:val="tab"/>
              <w:widowControl/>
              <w:snapToGrid w:val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B11EE4" w:rsidRDefault="00B11EE4" w:rsidP="008B138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B824E4">
              <w:rPr>
                <w:rFonts w:ascii="Times New Roman" w:hAnsi="Times New Roman"/>
                <w:sz w:val="22"/>
                <w:szCs w:val="22"/>
                <w:lang w:val="bg-BG"/>
              </w:rPr>
              <w:t>1142</w:t>
            </w:r>
          </w:p>
          <w:p w:rsidR="00FF02BF" w:rsidRPr="00112106" w:rsidRDefault="00B824E4" w:rsidP="008B138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 5</w:t>
            </w:r>
          </w:p>
        </w:tc>
      </w:tr>
      <w:tr w:rsidR="00B11EE4" w:rsidRPr="00FB4F7F" w:rsidTr="00462751">
        <w:trPr>
          <w:gridAfter w:val="1"/>
          <w:wAfter w:w="18" w:type="dxa"/>
          <w:trHeight w:val="567"/>
        </w:trPr>
        <w:tc>
          <w:tcPr>
            <w:tcW w:w="816" w:type="dxa"/>
            <w:gridSpan w:val="2"/>
            <w:shd w:val="clear" w:color="auto" w:fill="auto"/>
          </w:tcPr>
          <w:p w:rsidR="00B11EE4" w:rsidRPr="00FB4F7F" w:rsidRDefault="00B11EE4">
            <w:pPr>
              <w:pStyle w:val="IAS"/>
              <w:widowControl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4" w:type="dxa"/>
            <w:gridSpan w:val="3"/>
            <w:shd w:val="clear" w:color="auto" w:fill="auto"/>
          </w:tcPr>
          <w:p w:rsidR="00B11EE4" w:rsidRPr="00FB4F7F" w:rsidRDefault="00B11EE4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Краткосрочни з</w:t>
            </w:r>
            <w:r w:rsidRPr="00FB4F7F">
              <w:rPr>
                <w:rFonts w:ascii="Times New Roman" w:hAnsi="Times New Roman"/>
                <w:sz w:val="22"/>
                <w:szCs w:val="22"/>
                <w:lang w:val="ru-RU"/>
              </w:rPr>
              <w:t>адължения към персонала</w:t>
            </w:r>
          </w:p>
          <w:p w:rsidR="00B11EE4" w:rsidRPr="00FB4F7F" w:rsidRDefault="00B11EE4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Краткосрочни задължения към осигурители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B11EE4" w:rsidRPr="00FB4F7F" w:rsidRDefault="00B11EE4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F447B5">
              <w:rPr>
                <w:rFonts w:ascii="Times New Roman" w:hAnsi="Times New Roman"/>
                <w:sz w:val="22"/>
                <w:szCs w:val="22"/>
                <w:lang w:val="bg-BG"/>
              </w:rPr>
              <w:t>97</w:t>
            </w:r>
          </w:p>
          <w:p w:rsidR="00B11EE4" w:rsidRPr="00FB4F7F" w:rsidRDefault="00B11EE4" w:rsidP="00F447B5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F447B5">
              <w:rPr>
                <w:rFonts w:ascii="Times New Roman" w:hAnsi="Times New Roman"/>
                <w:sz w:val="22"/>
                <w:szCs w:val="22"/>
                <w:lang w:val="bg-BG"/>
              </w:rPr>
              <w:t>80</w:t>
            </w:r>
          </w:p>
        </w:tc>
        <w:tc>
          <w:tcPr>
            <w:tcW w:w="304" w:type="dxa"/>
            <w:gridSpan w:val="2"/>
            <w:shd w:val="clear" w:color="auto" w:fill="auto"/>
          </w:tcPr>
          <w:p w:rsidR="00B11EE4" w:rsidRPr="00FB4F7F" w:rsidRDefault="00B11EE4">
            <w:pPr>
              <w:pStyle w:val="tab"/>
              <w:widowControl/>
              <w:snapToGrid w:val="0"/>
              <w:rPr>
                <w:sz w:val="22"/>
                <w:szCs w:val="22"/>
                <w:lang w:val="bg-BG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B11EE4" w:rsidRPr="00FB4F7F" w:rsidRDefault="00B11EE4" w:rsidP="00352C4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B824E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B736E1">
              <w:rPr>
                <w:rFonts w:ascii="Times New Roman" w:hAnsi="Times New Roman"/>
                <w:sz w:val="22"/>
                <w:szCs w:val="22"/>
                <w:lang w:val="bg-BG"/>
              </w:rPr>
              <w:t>69</w:t>
            </w:r>
          </w:p>
          <w:p w:rsidR="00B11EE4" w:rsidRPr="00FB4F7F" w:rsidRDefault="00B11EE4" w:rsidP="00FF02BF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B824E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</w:t>
            </w:r>
            <w:r w:rsidR="00B736E1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="00B824E4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</w:tr>
      <w:tr w:rsidR="00B11EE4" w:rsidRPr="00FB4F7F" w:rsidTr="00462751">
        <w:trPr>
          <w:gridAfter w:val="1"/>
          <w:wAfter w:w="18" w:type="dxa"/>
          <w:trHeight w:val="255"/>
        </w:trPr>
        <w:tc>
          <w:tcPr>
            <w:tcW w:w="816" w:type="dxa"/>
            <w:gridSpan w:val="2"/>
            <w:shd w:val="clear" w:color="auto" w:fill="auto"/>
          </w:tcPr>
          <w:p w:rsidR="00B11EE4" w:rsidRPr="00FB4F7F" w:rsidRDefault="00B11EE4">
            <w:pPr>
              <w:pStyle w:val="IAS"/>
              <w:widowControl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4" w:type="dxa"/>
            <w:gridSpan w:val="3"/>
            <w:shd w:val="clear" w:color="auto" w:fill="auto"/>
          </w:tcPr>
          <w:p w:rsidR="00B11EE4" w:rsidRPr="00FB4F7F" w:rsidRDefault="00B11EE4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Данъчни задължения, в т.ч.:</w:t>
            </w:r>
          </w:p>
          <w:p w:rsidR="00B11EE4" w:rsidRPr="00FB4F7F" w:rsidRDefault="00B11EE4">
            <w:pPr>
              <w:widowControl/>
              <w:numPr>
                <w:ilvl w:val="0"/>
                <w:numId w:val="3"/>
              </w:numPr>
              <w:snapToGrid w:val="0"/>
              <w:spacing w:line="260" w:lineRule="atLeast"/>
              <w:ind w:left="360" w:firstLine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данък дивидент</w:t>
            </w:r>
          </w:p>
          <w:p w:rsidR="00B11EE4" w:rsidRPr="00FB4F7F" w:rsidRDefault="00B11EE4">
            <w:pPr>
              <w:widowControl/>
              <w:numPr>
                <w:ilvl w:val="0"/>
                <w:numId w:val="3"/>
              </w:numPr>
              <w:snapToGrid w:val="0"/>
              <w:spacing w:line="260" w:lineRule="atLeast"/>
              <w:ind w:left="375" w:firstLine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>данък върху доходите на физическите лица</w:t>
            </w:r>
          </w:p>
          <w:p w:rsidR="00B11EE4" w:rsidRPr="00112106" w:rsidRDefault="00B11EE4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12106">
              <w:rPr>
                <w:rFonts w:ascii="Times New Roman" w:hAnsi="Times New Roman"/>
                <w:sz w:val="22"/>
                <w:szCs w:val="22"/>
                <w:lang w:val="bg-BG"/>
              </w:rPr>
              <w:t>Банков дългосрочен кредит</w:t>
            </w:r>
            <w:r w:rsidR="007A1DC9">
              <w:rPr>
                <w:rFonts w:ascii="Times New Roman" w:hAnsi="Times New Roman"/>
                <w:sz w:val="22"/>
                <w:szCs w:val="22"/>
                <w:lang w:val="bg-BG"/>
              </w:rPr>
              <w:t>, в т. ч.:</w:t>
            </w:r>
          </w:p>
          <w:p w:rsidR="00B11EE4" w:rsidRPr="00112106" w:rsidRDefault="00B11EE4">
            <w:pPr>
              <w:widowControl/>
              <w:numPr>
                <w:ilvl w:val="0"/>
                <w:numId w:val="3"/>
              </w:numPr>
              <w:snapToGrid w:val="0"/>
              <w:spacing w:line="260" w:lineRule="atLeast"/>
              <w:ind w:left="375" w:firstLine="0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12106">
              <w:rPr>
                <w:rFonts w:ascii="Times New Roman" w:hAnsi="Times New Roman"/>
                <w:sz w:val="22"/>
                <w:szCs w:val="22"/>
                <w:lang w:val="bg-BG"/>
              </w:rPr>
              <w:t>краткосрочна част от дългосрочния банков кредит</w:t>
            </w:r>
          </w:p>
          <w:p w:rsidR="00B11EE4" w:rsidRPr="00FB4F7F" w:rsidRDefault="00B11EE4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12106">
              <w:rPr>
                <w:rFonts w:ascii="Times New Roman" w:hAnsi="Times New Roman"/>
                <w:sz w:val="22"/>
                <w:szCs w:val="22"/>
                <w:lang w:val="bg-BG"/>
              </w:rPr>
              <w:t>Банков</w:t>
            </w:r>
            <w:r w:rsidR="004021BE">
              <w:rPr>
                <w:rFonts w:ascii="Times New Roman" w:hAnsi="Times New Roman"/>
                <w:sz w:val="22"/>
                <w:szCs w:val="22"/>
                <w:lang w:val="bg-BG"/>
              </w:rPr>
              <w:t>и краткосроч</w:t>
            </w:r>
            <w:r w:rsidRPr="00112106">
              <w:rPr>
                <w:rFonts w:ascii="Times New Roman" w:hAnsi="Times New Roman"/>
                <w:sz w:val="22"/>
                <w:szCs w:val="22"/>
                <w:lang w:val="bg-BG"/>
              </w:rPr>
              <w:t>н</w:t>
            </w:r>
            <w:r w:rsidR="004021BE">
              <w:rPr>
                <w:rFonts w:ascii="Times New Roman" w:hAnsi="Times New Roman"/>
                <w:sz w:val="22"/>
                <w:szCs w:val="22"/>
                <w:lang w:val="bg-BG"/>
              </w:rPr>
              <w:t>и</w:t>
            </w:r>
            <w:r w:rsidRPr="0011210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кредит</w:t>
            </w:r>
            <w:r w:rsidR="004021BE">
              <w:rPr>
                <w:rFonts w:ascii="Times New Roman" w:hAnsi="Times New Roman"/>
                <w:sz w:val="22"/>
                <w:szCs w:val="22"/>
                <w:lang w:val="bg-BG"/>
              </w:rPr>
              <w:t>и</w:t>
            </w: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</w:p>
          <w:p w:rsidR="00B11EE4" w:rsidRPr="00FB4F7F" w:rsidRDefault="00B11EE4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Други задължения                                                                                                                                                          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B11EE4" w:rsidRPr="00FB4F7F" w:rsidRDefault="00B11EE4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F447B5">
              <w:rPr>
                <w:rFonts w:ascii="Times New Roman" w:hAnsi="Times New Roman"/>
                <w:sz w:val="22"/>
                <w:szCs w:val="22"/>
                <w:lang w:val="bg-BG"/>
              </w:rPr>
              <w:t>84</w:t>
            </w:r>
          </w:p>
          <w:p w:rsidR="00B11EE4" w:rsidRPr="006C30B7" w:rsidRDefault="00CE76E9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</w:t>
            </w:r>
            <w:r w:rsidR="00F447B5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  <w:p w:rsidR="00B11EE4" w:rsidRPr="00FB4F7F" w:rsidRDefault="006C30B7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</w:t>
            </w:r>
            <w:r w:rsidR="00F447B5">
              <w:rPr>
                <w:rFonts w:ascii="Times New Roman" w:hAnsi="Times New Roman"/>
                <w:sz w:val="22"/>
                <w:szCs w:val="22"/>
                <w:lang w:val="bg-BG"/>
              </w:rPr>
              <w:t>45</w:t>
            </w:r>
          </w:p>
          <w:p w:rsidR="00B11EE4" w:rsidRPr="00112106" w:rsidRDefault="00CE76E9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F447B5">
              <w:rPr>
                <w:rFonts w:ascii="Times New Roman" w:hAnsi="Times New Roman"/>
                <w:sz w:val="22"/>
                <w:szCs w:val="22"/>
                <w:lang w:val="bg-BG"/>
              </w:rPr>
              <w:t>326</w:t>
            </w:r>
          </w:p>
          <w:p w:rsidR="00B11EE4" w:rsidRPr="00112106" w:rsidRDefault="00CE76E9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130</w:t>
            </w:r>
          </w:p>
          <w:p w:rsidR="00B11EE4" w:rsidRPr="00112106" w:rsidRDefault="00F447B5" w:rsidP="00CE76E9">
            <w:pPr>
              <w:widowControl/>
              <w:snapToGrid w:val="0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1353</w:t>
            </w:r>
          </w:p>
          <w:p w:rsidR="00B11EE4" w:rsidRPr="00FB4F7F" w:rsidRDefault="00B11EE4" w:rsidP="00F447B5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</w:t>
            </w:r>
            <w:r w:rsidR="00F447B5">
              <w:rPr>
                <w:rFonts w:ascii="Times New Roman" w:hAnsi="Times New Roman"/>
                <w:sz w:val="22"/>
                <w:szCs w:val="22"/>
                <w:lang w:val="bg-BG"/>
              </w:rPr>
              <w:t>57</w:t>
            </w:r>
          </w:p>
        </w:tc>
        <w:tc>
          <w:tcPr>
            <w:tcW w:w="304" w:type="dxa"/>
            <w:gridSpan w:val="2"/>
            <w:shd w:val="clear" w:color="auto" w:fill="auto"/>
          </w:tcPr>
          <w:p w:rsidR="00B11EE4" w:rsidRPr="00FB4F7F" w:rsidRDefault="00B11EE4">
            <w:pPr>
              <w:pStyle w:val="tab"/>
              <w:widowControl/>
              <w:snapToGrid w:val="0"/>
              <w:rPr>
                <w:sz w:val="22"/>
                <w:szCs w:val="22"/>
                <w:lang w:val="bg-BG"/>
              </w:rPr>
            </w:pPr>
          </w:p>
          <w:p w:rsidR="00B11EE4" w:rsidRPr="00FB4F7F" w:rsidRDefault="00B11EE4">
            <w:pPr>
              <w:pStyle w:val="tab"/>
              <w:widowControl/>
              <w:snapToGrid w:val="0"/>
              <w:rPr>
                <w:sz w:val="22"/>
                <w:szCs w:val="22"/>
                <w:lang w:val="bg-BG"/>
              </w:rPr>
            </w:pPr>
          </w:p>
          <w:p w:rsidR="00B11EE4" w:rsidRPr="00FB4F7F" w:rsidRDefault="00B11EE4">
            <w:pPr>
              <w:pStyle w:val="tab"/>
              <w:widowControl/>
              <w:snapToGrid w:val="0"/>
              <w:rPr>
                <w:sz w:val="22"/>
                <w:szCs w:val="22"/>
                <w:lang w:val="bg-BG"/>
              </w:rPr>
            </w:pPr>
          </w:p>
          <w:p w:rsidR="00B11EE4" w:rsidRPr="00FB4F7F" w:rsidRDefault="00B11EE4">
            <w:pPr>
              <w:pStyle w:val="tab"/>
              <w:widowControl/>
              <w:snapToGrid w:val="0"/>
              <w:rPr>
                <w:sz w:val="22"/>
                <w:szCs w:val="22"/>
                <w:lang w:val="bg-BG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B11EE4" w:rsidRPr="00FB4F7F" w:rsidRDefault="00B824E4" w:rsidP="00352C4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 55</w:t>
            </w:r>
          </w:p>
          <w:p w:rsidR="00B11EE4" w:rsidRPr="00FF02BF" w:rsidRDefault="00B11EE4" w:rsidP="00352C4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bg-BG"/>
              </w:rPr>
            </w:pPr>
            <w:r w:rsidRPr="00FB4F7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FF02BF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B824E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16</w:t>
            </w:r>
          </w:p>
          <w:p w:rsidR="00B11EE4" w:rsidRPr="00FB4F7F" w:rsidRDefault="00FF02BF" w:rsidP="00352C4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</w:t>
            </w:r>
            <w:r w:rsidR="00B824E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29</w:t>
            </w:r>
          </w:p>
          <w:p w:rsidR="00B11EE4" w:rsidRPr="00112106" w:rsidRDefault="00B824E4" w:rsidP="00352C4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467</w:t>
            </w:r>
          </w:p>
          <w:p w:rsidR="00B11EE4" w:rsidRPr="00112106" w:rsidRDefault="00B824E4" w:rsidP="00352C4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130</w:t>
            </w:r>
          </w:p>
          <w:p w:rsidR="00B11EE4" w:rsidRPr="00112106" w:rsidRDefault="00B736E1" w:rsidP="00352C4B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B824E4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B824E4">
              <w:rPr>
                <w:rFonts w:ascii="Times New Roman" w:hAnsi="Times New Roman"/>
                <w:sz w:val="22"/>
                <w:szCs w:val="22"/>
                <w:lang w:val="bg-BG"/>
              </w:rPr>
              <w:t>1054</w:t>
            </w:r>
          </w:p>
          <w:p w:rsidR="00B11EE4" w:rsidRPr="00FB4F7F" w:rsidRDefault="00B824E4" w:rsidP="00FF02BF">
            <w:pPr>
              <w:widowControl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 170</w:t>
            </w:r>
          </w:p>
        </w:tc>
      </w:tr>
      <w:tr w:rsidR="00B11EE4" w:rsidRPr="00FB4F7F" w:rsidTr="00462751">
        <w:trPr>
          <w:gridAfter w:val="1"/>
          <w:wAfter w:w="18" w:type="dxa"/>
          <w:trHeight w:val="310"/>
        </w:trPr>
        <w:tc>
          <w:tcPr>
            <w:tcW w:w="816" w:type="dxa"/>
            <w:gridSpan w:val="2"/>
            <w:shd w:val="clear" w:color="auto" w:fill="auto"/>
          </w:tcPr>
          <w:p w:rsidR="00B11EE4" w:rsidRPr="00FB4F7F" w:rsidRDefault="00B11EE4">
            <w:pPr>
              <w:pStyle w:val="IAS"/>
              <w:widowControl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4" w:type="dxa"/>
            <w:gridSpan w:val="3"/>
            <w:shd w:val="clear" w:color="auto" w:fill="auto"/>
          </w:tcPr>
          <w:p w:rsidR="00B11EE4" w:rsidRPr="00FB4F7F" w:rsidRDefault="00B11EE4">
            <w:pPr>
              <w:widowControl/>
              <w:snapToGrid w:val="0"/>
              <w:spacing w:line="260" w:lineRule="atLeast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179" w:type="dxa"/>
            <w:gridSpan w:val="2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B11EE4" w:rsidRPr="00805C60" w:rsidRDefault="00F447B5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3296</w:t>
            </w:r>
          </w:p>
        </w:tc>
        <w:tc>
          <w:tcPr>
            <w:tcW w:w="304" w:type="dxa"/>
            <w:gridSpan w:val="2"/>
            <w:shd w:val="clear" w:color="auto" w:fill="auto"/>
          </w:tcPr>
          <w:p w:rsidR="00B11EE4" w:rsidRPr="00FB4F7F" w:rsidRDefault="00B11EE4">
            <w:pPr>
              <w:pStyle w:val="tab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B11EE4" w:rsidRPr="00805C60" w:rsidRDefault="00B824E4" w:rsidP="00352C4B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3010</w:t>
            </w:r>
          </w:p>
        </w:tc>
      </w:tr>
    </w:tbl>
    <w:p w:rsidR="009E0043" w:rsidRDefault="009E0043" w:rsidP="0030225B">
      <w:pPr>
        <w:pStyle w:val="--"/>
        <w:widowControl/>
        <w:spacing w:line="260" w:lineRule="exact"/>
        <w:ind w:left="851"/>
        <w:rPr>
          <w:sz w:val="22"/>
          <w:szCs w:val="22"/>
          <w:lang w:val="bg-BG"/>
        </w:rPr>
      </w:pPr>
      <w:r w:rsidRPr="00FB4F7F">
        <w:rPr>
          <w:sz w:val="22"/>
          <w:szCs w:val="22"/>
          <w:lang w:val="bg-BG"/>
        </w:rPr>
        <w:t>От всички представени в баланса задължения, обезпечени на 100 % са задълженията към банките. Дружеството няма просрочени задължения.</w:t>
      </w:r>
    </w:p>
    <w:p w:rsidR="00B736E1" w:rsidRDefault="00B736E1" w:rsidP="0030225B">
      <w:pPr>
        <w:pStyle w:val="--"/>
        <w:widowControl/>
        <w:spacing w:line="260" w:lineRule="exact"/>
        <w:ind w:left="851"/>
        <w:rPr>
          <w:sz w:val="22"/>
          <w:szCs w:val="22"/>
          <w:lang w:val="bg-BG"/>
        </w:rPr>
      </w:pPr>
    </w:p>
    <w:p w:rsidR="00B736E1" w:rsidRDefault="00B736E1" w:rsidP="00B736E1">
      <w:pPr>
        <w:pStyle w:val="--"/>
        <w:widowControl/>
        <w:spacing w:line="260" w:lineRule="exact"/>
        <w:ind w:left="284"/>
        <w:rPr>
          <w:b/>
          <w:sz w:val="22"/>
          <w:szCs w:val="22"/>
          <w:lang w:val="bg-BG"/>
        </w:rPr>
      </w:pPr>
      <w:r w:rsidRPr="00B736E1">
        <w:rPr>
          <w:b/>
          <w:sz w:val="22"/>
          <w:szCs w:val="22"/>
          <w:lang w:val="bg-BG"/>
        </w:rPr>
        <w:t>13.</w:t>
      </w:r>
      <w:r>
        <w:rPr>
          <w:b/>
          <w:sz w:val="22"/>
          <w:szCs w:val="22"/>
          <w:lang w:val="bg-BG"/>
        </w:rPr>
        <w:t xml:space="preserve">     Финансирания</w:t>
      </w:r>
    </w:p>
    <w:p w:rsidR="00B30943" w:rsidRDefault="00B96353" w:rsidP="00E64B57">
      <w:pPr>
        <w:pStyle w:val="--"/>
        <w:widowControl/>
        <w:spacing w:line="260" w:lineRule="exact"/>
        <w:ind w:left="56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bg-BG"/>
        </w:rPr>
        <w:t xml:space="preserve"> </w:t>
      </w:r>
      <w:r w:rsidR="00B30943" w:rsidRPr="00B30943">
        <w:rPr>
          <w:sz w:val="22"/>
          <w:szCs w:val="22"/>
          <w:lang w:val="bg-BG"/>
        </w:rPr>
        <w:t>През</w:t>
      </w:r>
      <w:r w:rsidR="00B30943">
        <w:rPr>
          <w:sz w:val="22"/>
          <w:szCs w:val="22"/>
          <w:lang w:val="bg-BG"/>
        </w:rPr>
        <w:t xml:space="preserve"> януари</w:t>
      </w:r>
      <w:r w:rsidR="00B30943" w:rsidRPr="00B30943">
        <w:rPr>
          <w:sz w:val="22"/>
          <w:szCs w:val="22"/>
          <w:lang w:val="bg-BG"/>
        </w:rPr>
        <w:t xml:space="preserve"> 2017г</w:t>
      </w:r>
      <w:r w:rsidR="00B30943">
        <w:rPr>
          <w:sz w:val="22"/>
          <w:szCs w:val="22"/>
          <w:lang w:val="bg-BG"/>
        </w:rPr>
        <w:t xml:space="preserve">. </w:t>
      </w:r>
      <w:r w:rsidR="00B30943" w:rsidRPr="00721E77">
        <w:rPr>
          <w:sz w:val="22"/>
          <w:szCs w:val="22"/>
          <w:lang w:val="ru-RU"/>
        </w:rPr>
        <w:t>СД "</w:t>
      </w:r>
      <w:r w:rsidR="00B30943" w:rsidRPr="00721E77">
        <w:rPr>
          <w:sz w:val="22"/>
          <w:szCs w:val="22"/>
          <w:lang w:val="bg-BG"/>
        </w:rPr>
        <w:t>НАЧЕВИ-90</w:t>
      </w:r>
      <w:r w:rsidR="00B30943" w:rsidRPr="00721E77">
        <w:rPr>
          <w:sz w:val="22"/>
          <w:szCs w:val="22"/>
          <w:lang w:val="ru-RU"/>
        </w:rPr>
        <w:t>-С-</w:t>
      </w:r>
      <w:r w:rsidR="00B30943" w:rsidRPr="00721E77">
        <w:rPr>
          <w:sz w:val="22"/>
          <w:szCs w:val="22"/>
          <w:lang w:val="bg-BG"/>
        </w:rPr>
        <w:t>ИЕ”</w:t>
      </w:r>
      <w:r w:rsidR="00B30943" w:rsidRPr="00721E77">
        <w:rPr>
          <w:sz w:val="22"/>
          <w:szCs w:val="22"/>
          <w:lang w:val="en-US"/>
        </w:rPr>
        <w:t xml:space="preserve"> </w:t>
      </w:r>
      <w:r w:rsidR="00B30943" w:rsidRPr="00B30943">
        <w:rPr>
          <w:sz w:val="22"/>
          <w:szCs w:val="22"/>
          <w:lang w:val="bg-BG"/>
        </w:rPr>
        <w:t xml:space="preserve"> </w:t>
      </w:r>
      <w:r w:rsidR="00B30943">
        <w:rPr>
          <w:sz w:val="22"/>
          <w:szCs w:val="22"/>
          <w:lang w:val="bg-BG"/>
        </w:rPr>
        <w:t xml:space="preserve">сключва ДОГОВОР ЗА БЕЗВЪЗМЕЗДНА </w:t>
      </w:r>
      <w:r w:rsidR="007368B4">
        <w:rPr>
          <w:sz w:val="22"/>
          <w:szCs w:val="22"/>
          <w:lang w:val="bg-BG"/>
        </w:rPr>
        <w:t xml:space="preserve">   </w:t>
      </w:r>
      <w:r w:rsidR="00B30943">
        <w:rPr>
          <w:sz w:val="22"/>
          <w:szCs w:val="22"/>
          <w:lang w:val="bg-BG"/>
        </w:rPr>
        <w:t xml:space="preserve">ФИНАНСОВА ПОМОЩ </w:t>
      </w:r>
      <w:r w:rsidR="00370A72">
        <w:rPr>
          <w:sz w:val="22"/>
          <w:szCs w:val="22"/>
          <w:lang w:val="bg-BG"/>
        </w:rPr>
        <w:t>№</w:t>
      </w:r>
      <w:r w:rsidR="00B30943">
        <w:rPr>
          <w:sz w:val="22"/>
          <w:szCs w:val="22"/>
          <w:lang w:val="en-US"/>
        </w:rPr>
        <w:t>BG16RFOP002-1.001-0061-C01</w:t>
      </w:r>
      <w:r w:rsidR="00B30943">
        <w:rPr>
          <w:sz w:val="22"/>
          <w:szCs w:val="22"/>
          <w:lang w:val="bg-BG"/>
        </w:rPr>
        <w:t xml:space="preserve"> с Министерство на Икономиката по Оперативна програма „Иновации и Конкурентноспособност” 2014-2020</w:t>
      </w:r>
      <w:r w:rsidR="007368B4">
        <w:rPr>
          <w:sz w:val="22"/>
          <w:szCs w:val="22"/>
          <w:lang w:val="bg-BG"/>
        </w:rPr>
        <w:t>/съфинансиран с Европейски Съюз/</w:t>
      </w:r>
    </w:p>
    <w:p w:rsidR="00B30943" w:rsidRPr="00E64B57" w:rsidRDefault="00B96353" w:rsidP="00E64B57">
      <w:pPr>
        <w:pStyle w:val="--"/>
        <w:widowControl/>
        <w:spacing w:line="260" w:lineRule="exact"/>
        <w:ind w:left="567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</w:t>
      </w:r>
      <w:r w:rsidR="00B30943">
        <w:rPr>
          <w:sz w:val="22"/>
          <w:szCs w:val="22"/>
          <w:lang w:val="en-US"/>
        </w:rPr>
        <w:t xml:space="preserve">Одобреният проект е за повишаване на иновационната дейност на </w:t>
      </w:r>
      <w:r w:rsidR="00B30943" w:rsidRPr="00721E77">
        <w:rPr>
          <w:sz w:val="22"/>
          <w:szCs w:val="22"/>
          <w:lang w:val="ru-RU"/>
        </w:rPr>
        <w:t>СД "</w:t>
      </w:r>
      <w:r w:rsidR="00B30943" w:rsidRPr="00721E77">
        <w:rPr>
          <w:sz w:val="22"/>
          <w:szCs w:val="22"/>
          <w:lang w:val="bg-BG"/>
        </w:rPr>
        <w:t>НАЧЕВИ-90</w:t>
      </w:r>
      <w:r w:rsidR="00B30943" w:rsidRPr="00721E77">
        <w:rPr>
          <w:sz w:val="22"/>
          <w:szCs w:val="22"/>
          <w:lang w:val="ru-RU"/>
        </w:rPr>
        <w:t>-С-</w:t>
      </w:r>
      <w:r w:rsidR="00B30943" w:rsidRPr="00721E77">
        <w:rPr>
          <w:sz w:val="22"/>
          <w:szCs w:val="22"/>
          <w:lang w:val="bg-BG"/>
        </w:rPr>
        <w:t>ИЕ</w:t>
      </w:r>
      <w:r w:rsidR="00B30943">
        <w:rPr>
          <w:sz w:val="22"/>
          <w:szCs w:val="22"/>
          <w:lang w:val="bg-BG"/>
        </w:rPr>
        <w:t xml:space="preserve"> в областта на мехатрониката, чрез внедряване в серийно производство и пазарна реализация на полезен модел „умен диван”. </w:t>
      </w:r>
      <w:r w:rsidR="00370A72">
        <w:rPr>
          <w:sz w:val="22"/>
          <w:szCs w:val="22"/>
          <w:lang w:val="bg-BG"/>
        </w:rPr>
        <w:t>Предоставената</w:t>
      </w:r>
      <w:r w:rsidR="006C4DF8">
        <w:rPr>
          <w:sz w:val="22"/>
          <w:szCs w:val="22"/>
          <w:lang w:val="bg-BG"/>
        </w:rPr>
        <w:t xml:space="preserve"> финансова помощ по проекта </w:t>
      </w:r>
      <w:r w:rsidR="00B30943">
        <w:rPr>
          <w:sz w:val="22"/>
          <w:szCs w:val="22"/>
          <w:lang w:val="bg-BG"/>
        </w:rPr>
        <w:t xml:space="preserve"> представлява 60% от очакваните допустими разходи. Към</w:t>
      </w:r>
      <w:r w:rsidR="006C4DF8">
        <w:rPr>
          <w:sz w:val="22"/>
          <w:szCs w:val="22"/>
          <w:lang w:val="bg-BG"/>
        </w:rPr>
        <w:t xml:space="preserve"> 31.12.2018</w:t>
      </w:r>
      <w:r w:rsidR="00BA3E69">
        <w:rPr>
          <w:sz w:val="22"/>
          <w:szCs w:val="22"/>
          <w:lang w:val="bg-BG"/>
        </w:rPr>
        <w:t xml:space="preserve"> </w:t>
      </w:r>
      <w:r w:rsidR="007368B4">
        <w:rPr>
          <w:sz w:val="22"/>
          <w:szCs w:val="22"/>
          <w:lang w:val="bg-BG"/>
        </w:rPr>
        <w:t>г</w:t>
      </w:r>
      <w:r w:rsidR="00F37B9D">
        <w:rPr>
          <w:sz w:val="22"/>
          <w:szCs w:val="22"/>
          <w:lang w:val="bg-BG"/>
        </w:rPr>
        <w:t>. по сметката на дружеството  за изпълнение на</w:t>
      </w:r>
      <w:r w:rsidR="007368B4">
        <w:rPr>
          <w:sz w:val="22"/>
          <w:szCs w:val="22"/>
          <w:lang w:val="bg-BG"/>
        </w:rPr>
        <w:t xml:space="preserve"> проекта са</w:t>
      </w:r>
      <w:r w:rsidR="00B30943">
        <w:rPr>
          <w:sz w:val="22"/>
          <w:szCs w:val="22"/>
          <w:lang w:val="bg-BG"/>
        </w:rPr>
        <w:t xml:space="preserve"> </w:t>
      </w:r>
      <w:r w:rsidR="006C4DF8">
        <w:rPr>
          <w:sz w:val="22"/>
          <w:szCs w:val="22"/>
          <w:lang w:val="bg-BG"/>
        </w:rPr>
        <w:t>постъпили 997 459,30</w:t>
      </w:r>
      <w:r w:rsidR="00B30943">
        <w:rPr>
          <w:sz w:val="22"/>
          <w:szCs w:val="22"/>
          <w:lang w:val="bg-BG"/>
        </w:rPr>
        <w:t xml:space="preserve"> лв.</w:t>
      </w:r>
      <w:r w:rsidR="00E64B57">
        <w:rPr>
          <w:sz w:val="22"/>
          <w:szCs w:val="22"/>
          <w:lang w:val="en-US"/>
        </w:rPr>
        <w:t xml:space="preserve"> </w:t>
      </w:r>
      <w:r w:rsidR="00E64B57">
        <w:rPr>
          <w:sz w:val="22"/>
          <w:szCs w:val="22"/>
          <w:lang w:val="bg-BG"/>
        </w:rPr>
        <w:t>През текущия период е признат прих</w:t>
      </w:r>
      <w:r w:rsidR="006C4DF8">
        <w:rPr>
          <w:sz w:val="22"/>
          <w:szCs w:val="22"/>
          <w:lang w:val="bg-BG"/>
        </w:rPr>
        <w:t>од от финансиране в размер на 286</w:t>
      </w:r>
      <w:r w:rsidR="00E64B57">
        <w:rPr>
          <w:sz w:val="22"/>
          <w:szCs w:val="22"/>
          <w:lang w:val="bg-BG"/>
        </w:rPr>
        <w:t xml:space="preserve"> хил. лв.</w:t>
      </w:r>
    </w:p>
    <w:p w:rsidR="001608EF" w:rsidRPr="00FB4F7F" w:rsidRDefault="001608EF" w:rsidP="00E64B57">
      <w:pPr>
        <w:pStyle w:val="--"/>
        <w:widowControl/>
        <w:spacing w:line="260" w:lineRule="exact"/>
        <w:ind w:left="851"/>
        <w:jc w:val="both"/>
        <w:rPr>
          <w:sz w:val="22"/>
          <w:szCs w:val="22"/>
          <w:lang w:val="bg-BG"/>
        </w:rPr>
      </w:pPr>
    </w:p>
    <w:tbl>
      <w:tblPr>
        <w:tblW w:w="8654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8371"/>
      </w:tblGrid>
      <w:tr w:rsidR="001608EF" w:rsidRPr="00721E77" w:rsidTr="00BC47B3">
        <w:trPr>
          <w:cantSplit/>
          <w:trHeight w:val="3511"/>
        </w:trPr>
        <w:tc>
          <w:tcPr>
            <w:tcW w:w="283" w:type="dxa"/>
            <w:shd w:val="clear" w:color="auto" w:fill="auto"/>
          </w:tcPr>
          <w:p w:rsidR="001608EF" w:rsidRPr="00721E77" w:rsidRDefault="00B736E1" w:rsidP="00E64B57">
            <w:pPr>
              <w:pStyle w:val="IAS"/>
              <w:widowControl/>
              <w:snapToGrid w:val="0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bg-BG"/>
              </w:rPr>
              <w:t>14</w:t>
            </w:r>
            <w:r w:rsidR="001608EF" w:rsidRPr="00721E77">
              <w:rPr>
                <w:rFonts w:ascii="Times New Roman" w:hAnsi="Times New Roman"/>
                <w:b/>
                <w:i w:val="0"/>
                <w:sz w:val="22"/>
                <w:szCs w:val="22"/>
              </w:rPr>
              <w:t>.</w:t>
            </w:r>
          </w:p>
        </w:tc>
        <w:tc>
          <w:tcPr>
            <w:tcW w:w="8371" w:type="dxa"/>
            <w:shd w:val="clear" w:color="auto" w:fill="auto"/>
          </w:tcPr>
          <w:p w:rsidR="001608EF" w:rsidRDefault="008761B5" w:rsidP="00E64B57">
            <w:pPr>
              <w:widowControl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</w:t>
            </w:r>
            <w:r w:rsidR="001608EF" w:rsidRPr="00721E7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Събития настъпили след датата на </w:t>
            </w:r>
            <w:r w:rsidR="001608EF" w:rsidRPr="00721E7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Б</w:t>
            </w:r>
            <w:r w:rsidR="001608EF" w:rsidRPr="00721E7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аланса</w:t>
            </w:r>
          </w:p>
          <w:p w:rsidR="00370A72" w:rsidRDefault="00B96353" w:rsidP="00E64B57">
            <w:pPr>
              <w:widowControl/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370A72" w:rsidRPr="00721E7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са настъпили събития след датата на </w:t>
            </w:r>
            <w:r w:rsidR="00370A72" w:rsidRPr="00721E77">
              <w:rPr>
                <w:rFonts w:ascii="Times New Roman" w:hAnsi="Times New Roman"/>
                <w:sz w:val="22"/>
                <w:szCs w:val="22"/>
                <w:lang w:val="bg-BG"/>
              </w:rPr>
              <w:t>Б</w:t>
            </w:r>
            <w:r w:rsidR="00370A72" w:rsidRPr="00721E77">
              <w:rPr>
                <w:rFonts w:ascii="Times New Roman" w:hAnsi="Times New Roman"/>
                <w:sz w:val="22"/>
                <w:szCs w:val="22"/>
                <w:lang w:val="ru-RU"/>
              </w:rPr>
              <w:t>аланса по отношение на обектите представени във финансовия отчет, които да изискват корекции или отделно оповестяване към 31.12.20</w:t>
            </w:r>
            <w:r w:rsidR="00370A72" w:rsidRPr="00721E77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6C4DF8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  <w:r w:rsidR="00370A72" w:rsidRPr="00721E7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370A72" w:rsidRPr="00721E7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г., освен оповестените в приложението </w:t>
            </w:r>
            <w:r w:rsidR="00370A72" w:rsidRPr="00721E77">
              <w:rPr>
                <w:rFonts w:ascii="Times New Roman" w:hAnsi="Times New Roman"/>
                <w:sz w:val="22"/>
                <w:szCs w:val="22"/>
                <w:lang w:val="bg-BG"/>
              </w:rPr>
              <w:t>към</w:t>
            </w:r>
            <w:r w:rsidR="00370A72" w:rsidRPr="00721E7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370A72" w:rsidRPr="00721E77">
              <w:rPr>
                <w:rFonts w:ascii="Times New Roman" w:hAnsi="Times New Roman"/>
                <w:sz w:val="22"/>
                <w:szCs w:val="22"/>
                <w:lang w:val="bg-BG"/>
              </w:rPr>
              <w:t>О</w:t>
            </w:r>
            <w:r w:rsidR="00370A72" w:rsidRPr="00721E77">
              <w:rPr>
                <w:rFonts w:ascii="Times New Roman" w:hAnsi="Times New Roman"/>
                <w:sz w:val="22"/>
                <w:szCs w:val="22"/>
                <w:lang w:val="ru-RU"/>
              </w:rPr>
              <w:t>тчета</w:t>
            </w:r>
            <w:r w:rsidR="00370A72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:rsidR="00370A72" w:rsidRDefault="00370A72" w:rsidP="00E64B57">
            <w:pPr>
              <w:pStyle w:val="15"/>
              <w:widowControl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721E77">
              <w:rPr>
                <w:sz w:val="22"/>
                <w:szCs w:val="22"/>
                <w:lang w:val="bg-BG"/>
              </w:rPr>
              <w:t>В</w:t>
            </w:r>
            <w:r w:rsidRPr="00721E77">
              <w:rPr>
                <w:sz w:val="22"/>
                <w:szCs w:val="22"/>
                <w:lang w:val="ru-RU"/>
              </w:rPr>
              <w:t xml:space="preserve"> периода от </w:t>
            </w:r>
            <w:r w:rsidRPr="00721E77">
              <w:rPr>
                <w:sz w:val="22"/>
                <w:szCs w:val="22"/>
                <w:lang w:val="bg-BG"/>
              </w:rPr>
              <w:t>31.12.201</w:t>
            </w:r>
            <w:r w:rsidR="006C4DF8">
              <w:rPr>
                <w:sz w:val="22"/>
                <w:szCs w:val="22"/>
                <w:lang w:val="bg-BG"/>
              </w:rPr>
              <w:t>8</w:t>
            </w:r>
            <w:r w:rsidRPr="00721E77">
              <w:rPr>
                <w:sz w:val="22"/>
                <w:szCs w:val="22"/>
                <w:lang w:val="bg-BG"/>
              </w:rPr>
              <w:t xml:space="preserve"> г</w:t>
            </w:r>
            <w:r w:rsidRPr="00721E77">
              <w:rPr>
                <w:sz w:val="22"/>
                <w:szCs w:val="22"/>
                <w:lang w:val="ru-RU"/>
              </w:rPr>
              <w:t>. до датата на изготвяне на финансовия отчет</w:t>
            </w:r>
            <w:r w:rsidRPr="00721E77">
              <w:rPr>
                <w:sz w:val="22"/>
                <w:szCs w:val="22"/>
                <w:lang w:val="bg-BG"/>
              </w:rPr>
              <w:t xml:space="preserve"> н</w:t>
            </w:r>
            <w:r w:rsidRPr="00721E77">
              <w:rPr>
                <w:sz w:val="22"/>
                <w:szCs w:val="22"/>
                <w:lang w:val="ru-RU"/>
              </w:rPr>
              <w:t>е са възникнали сделки или събития от съществено значение и (или) с необичайно естество, които по мнение на дружеството биха рефлектирали значително върху резултата на СД "</w:t>
            </w:r>
            <w:r w:rsidRPr="00721E77">
              <w:rPr>
                <w:sz w:val="22"/>
                <w:szCs w:val="22"/>
                <w:lang w:val="bg-BG"/>
              </w:rPr>
              <w:t>НАЧЕВИ-90</w:t>
            </w:r>
            <w:r w:rsidRPr="00721E77">
              <w:rPr>
                <w:sz w:val="22"/>
                <w:szCs w:val="22"/>
                <w:lang w:val="ru-RU"/>
              </w:rPr>
              <w:t>-С-</w:t>
            </w:r>
            <w:r w:rsidRPr="00721E77">
              <w:rPr>
                <w:sz w:val="22"/>
                <w:szCs w:val="22"/>
                <w:lang w:val="bg-BG"/>
              </w:rPr>
              <w:t>ИЕ”</w:t>
            </w:r>
            <w:r w:rsidRPr="00721E77">
              <w:rPr>
                <w:sz w:val="22"/>
                <w:szCs w:val="22"/>
                <w:lang w:val="en-US"/>
              </w:rPr>
              <w:t xml:space="preserve"> </w:t>
            </w:r>
            <w:r w:rsidRPr="00721E77">
              <w:rPr>
                <w:sz w:val="22"/>
                <w:szCs w:val="22"/>
                <w:lang w:val="ru-RU"/>
              </w:rPr>
              <w:t>за следващата финансова година.</w:t>
            </w:r>
          </w:p>
          <w:p w:rsidR="00370A72" w:rsidRPr="00BA3E69" w:rsidRDefault="00370A72" w:rsidP="00E64B57">
            <w:pPr>
              <w:pStyle w:val="15"/>
              <w:widowControl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3270A">
              <w:rPr>
                <w:sz w:val="22"/>
                <w:szCs w:val="22"/>
                <w:lang w:val="ru-RU"/>
              </w:rPr>
              <w:t>Настоящия отчет е утвърден от Управителя</w:t>
            </w:r>
            <w:r>
              <w:rPr>
                <w:sz w:val="22"/>
                <w:szCs w:val="22"/>
                <w:lang w:val="bg-BG"/>
              </w:rPr>
              <w:t>т, подписал отчета,</w:t>
            </w:r>
            <w:r w:rsidRPr="0053270A">
              <w:rPr>
                <w:sz w:val="22"/>
                <w:szCs w:val="22"/>
                <w:lang w:val="ru-RU"/>
              </w:rPr>
              <w:t xml:space="preserve"> на </w:t>
            </w:r>
            <w:r w:rsidR="00BA3E69" w:rsidRPr="00BA3E69">
              <w:rPr>
                <w:sz w:val="22"/>
                <w:szCs w:val="22"/>
                <w:lang w:val="ru-RU"/>
              </w:rPr>
              <w:t>11</w:t>
            </w:r>
            <w:r w:rsidRPr="00BA3E69">
              <w:rPr>
                <w:sz w:val="22"/>
                <w:szCs w:val="22"/>
                <w:lang w:val="en-US"/>
              </w:rPr>
              <w:t>.</w:t>
            </w:r>
            <w:r w:rsidR="00BA3E69" w:rsidRPr="00BA3E69">
              <w:rPr>
                <w:sz w:val="22"/>
                <w:szCs w:val="22"/>
                <w:lang w:val="bg-BG"/>
              </w:rPr>
              <w:t>03</w:t>
            </w:r>
            <w:r w:rsidRPr="00BA3E69">
              <w:rPr>
                <w:sz w:val="22"/>
                <w:szCs w:val="22"/>
                <w:lang w:val="ru-RU"/>
              </w:rPr>
              <w:t>.201</w:t>
            </w:r>
            <w:r w:rsidR="00BA3E69" w:rsidRPr="00BA3E69">
              <w:rPr>
                <w:sz w:val="22"/>
                <w:szCs w:val="22"/>
                <w:lang w:val="ru-RU"/>
              </w:rPr>
              <w:t>9</w:t>
            </w:r>
            <w:r w:rsidRPr="00BA3E69">
              <w:rPr>
                <w:sz w:val="22"/>
                <w:szCs w:val="22"/>
                <w:lang w:val="ru-RU"/>
              </w:rPr>
              <w:t xml:space="preserve"> г.</w:t>
            </w:r>
          </w:p>
          <w:p w:rsidR="008761B5" w:rsidRDefault="008761B5" w:rsidP="00E64B57">
            <w:pPr>
              <w:pStyle w:val="--"/>
              <w:widowControl/>
              <w:spacing w:line="260" w:lineRule="exact"/>
              <w:ind w:firstLine="567"/>
              <w:jc w:val="both"/>
              <w:rPr>
                <w:sz w:val="24"/>
                <w:szCs w:val="24"/>
                <w:lang w:val="bg-BG"/>
              </w:rPr>
            </w:pPr>
          </w:p>
          <w:p w:rsidR="00370A72" w:rsidRDefault="00370A72" w:rsidP="00E64B57">
            <w:pPr>
              <w:pStyle w:val="--"/>
              <w:widowControl/>
              <w:spacing w:line="260" w:lineRule="exact"/>
              <w:ind w:firstLine="567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Съставител:</w:t>
            </w:r>
            <w:r>
              <w:rPr>
                <w:sz w:val="24"/>
                <w:szCs w:val="24"/>
                <w:lang w:val="bg-BG"/>
              </w:rPr>
              <w:tab/>
            </w:r>
            <w:r>
              <w:rPr>
                <w:sz w:val="24"/>
                <w:szCs w:val="24"/>
                <w:lang w:val="bg-BG"/>
              </w:rPr>
              <w:tab/>
            </w:r>
            <w:r>
              <w:rPr>
                <w:sz w:val="24"/>
                <w:szCs w:val="24"/>
                <w:lang w:val="bg-BG"/>
              </w:rPr>
              <w:tab/>
            </w:r>
            <w:r>
              <w:rPr>
                <w:sz w:val="24"/>
                <w:szCs w:val="24"/>
                <w:lang w:val="bg-BG"/>
              </w:rPr>
              <w:tab/>
            </w:r>
            <w:r>
              <w:rPr>
                <w:sz w:val="24"/>
                <w:szCs w:val="24"/>
                <w:lang w:val="bg-BG"/>
              </w:rPr>
              <w:tab/>
            </w:r>
            <w:r>
              <w:rPr>
                <w:sz w:val="24"/>
                <w:szCs w:val="24"/>
                <w:lang w:val="bg-BG"/>
              </w:rPr>
              <w:tab/>
            </w:r>
            <w:r w:rsidRPr="00FB4F7F">
              <w:rPr>
                <w:sz w:val="24"/>
                <w:szCs w:val="24"/>
                <w:lang w:val="bg-BG"/>
              </w:rPr>
              <w:t>Ръководител:</w:t>
            </w:r>
          </w:p>
          <w:p w:rsidR="00370A72" w:rsidRPr="00FB4F7F" w:rsidRDefault="00370A72" w:rsidP="00E64B57">
            <w:pPr>
              <w:pStyle w:val="EndnoteText"/>
              <w:widowControl/>
              <w:jc w:val="both"/>
              <w:rPr>
                <w:sz w:val="24"/>
                <w:szCs w:val="24"/>
                <w:lang w:val="bg-BG"/>
              </w:rPr>
            </w:pPr>
            <w:r w:rsidRPr="00FB4F7F">
              <w:rPr>
                <w:sz w:val="24"/>
                <w:szCs w:val="24"/>
                <w:lang w:val="bg-BG"/>
              </w:rPr>
              <w:t xml:space="preserve">                  /</w:t>
            </w:r>
            <w:r>
              <w:rPr>
                <w:sz w:val="24"/>
                <w:szCs w:val="24"/>
                <w:lang w:val="bg-BG"/>
              </w:rPr>
              <w:t>Христина Иванова</w:t>
            </w:r>
            <w:r w:rsidRPr="00FB4F7F">
              <w:rPr>
                <w:sz w:val="24"/>
                <w:szCs w:val="24"/>
                <w:lang w:val="bg-BG"/>
              </w:rPr>
              <w:t xml:space="preserve">/    </w:t>
            </w:r>
            <w:r w:rsidRPr="00FB4F7F">
              <w:rPr>
                <w:sz w:val="24"/>
                <w:szCs w:val="24"/>
                <w:lang w:val="bg-BG"/>
              </w:rPr>
              <w:tab/>
            </w:r>
            <w:r w:rsidRPr="00FB4F7F">
              <w:rPr>
                <w:sz w:val="24"/>
                <w:szCs w:val="24"/>
                <w:lang w:val="bg-BG"/>
              </w:rPr>
              <w:tab/>
            </w:r>
            <w:r w:rsidRPr="00FB4F7F">
              <w:rPr>
                <w:sz w:val="24"/>
                <w:szCs w:val="24"/>
                <w:lang w:val="bg-BG"/>
              </w:rPr>
              <w:tab/>
            </w:r>
            <w:r w:rsidRPr="00FB4F7F">
              <w:rPr>
                <w:sz w:val="24"/>
                <w:szCs w:val="24"/>
                <w:lang w:val="bg-BG"/>
              </w:rPr>
              <w:tab/>
            </w:r>
            <w:r>
              <w:rPr>
                <w:sz w:val="24"/>
                <w:szCs w:val="24"/>
                <w:lang w:val="bg-BG"/>
              </w:rPr>
              <w:t xml:space="preserve">            </w:t>
            </w:r>
            <w:r w:rsidRPr="00FB4F7F">
              <w:rPr>
                <w:sz w:val="24"/>
                <w:szCs w:val="24"/>
                <w:lang w:val="bg-BG"/>
              </w:rPr>
              <w:t>/</w:t>
            </w:r>
            <w:r>
              <w:rPr>
                <w:sz w:val="24"/>
                <w:szCs w:val="24"/>
                <w:lang w:val="bg-BG"/>
              </w:rPr>
              <w:t>Иван</w:t>
            </w:r>
            <w:r w:rsidRPr="00FB4F7F">
              <w:rPr>
                <w:sz w:val="24"/>
                <w:szCs w:val="24"/>
                <w:lang w:val="bg-BG"/>
              </w:rPr>
              <w:t xml:space="preserve"> Начев/</w:t>
            </w:r>
          </w:p>
          <w:p w:rsidR="00370A72" w:rsidRDefault="00370A72" w:rsidP="00E64B57">
            <w:pPr>
              <w:pStyle w:val="15"/>
              <w:widowControl/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  <w:p w:rsidR="00370A72" w:rsidRPr="00721E77" w:rsidRDefault="00370A72" w:rsidP="00E64B57">
            <w:pPr>
              <w:widowControl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0D3FDA" w:rsidRPr="00721E77" w:rsidTr="00BC47B3">
        <w:trPr>
          <w:cantSplit/>
        </w:trPr>
        <w:tc>
          <w:tcPr>
            <w:tcW w:w="283" w:type="dxa"/>
            <w:shd w:val="clear" w:color="auto" w:fill="auto"/>
          </w:tcPr>
          <w:p w:rsidR="000D3FDA" w:rsidRDefault="000D3FDA" w:rsidP="008761B5">
            <w:pPr>
              <w:pStyle w:val="IAS"/>
              <w:widowControl/>
              <w:snapToGrid w:val="0"/>
              <w:spacing w:line="240" w:lineRule="auto"/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371" w:type="dxa"/>
            <w:shd w:val="clear" w:color="auto" w:fill="auto"/>
          </w:tcPr>
          <w:p w:rsidR="000D3FDA" w:rsidRPr="00721E77" w:rsidRDefault="000D3FDA" w:rsidP="00F77484">
            <w:pPr>
              <w:widowControl/>
              <w:snapToGrid w:val="0"/>
              <w:spacing w:line="240" w:lineRule="auto"/>
              <w:ind w:left="57" w:right="57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30225B" w:rsidRDefault="0030225B" w:rsidP="00FA11BB">
      <w:pPr>
        <w:pStyle w:val="--"/>
        <w:widowControl/>
        <w:spacing w:line="260" w:lineRule="exact"/>
        <w:rPr>
          <w:sz w:val="24"/>
          <w:szCs w:val="24"/>
          <w:lang w:val="bg-BG"/>
        </w:rPr>
      </w:pPr>
    </w:p>
    <w:sectPr w:rsidR="0030225B" w:rsidSect="00370A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021" w:bottom="851" w:left="1673" w:header="675" w:footer="57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412" w:rsidRDefault="007E4412">
      <w:r>
        <w:separator/>
      </w:r>
    </w:p>
  </w:endnote>
  <w:endnote w:type="continuationSeparator" w:id="0">
    <w:p w:rsidR="007E4412" w:rsidRDefault="007E4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98" w:rsidRDefault="00AB0F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D6" w:rsidRDefault="009504D6">
    <w:pPr>
      <w:pStyle w:val="Footer"/>
      <w:widowControl/>
      <w:ind w:left="8505" w:right="360" w:firstLine="567"/>
      <w:rPr>
        <w:lang w:val="bg-BG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39pt;margin-top:.05pt;width:4.95pt;height:12.8pt;z-index:251657728;mso-wrap-distance-left:0;mso-wrap-distance-right:0;mso-position-horizontal-relative:page" stroked="f">
          <v:fill opacity="0" color2="black"/>
          <v:textbox inset="0,0,0,0">
            <w:txbxContent>
              <w:p w:rsidR="009504D6" w:rsidRDefault="009504D6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3A5407">
                  <w:rPr>
                    <w:rStyle w:val="PageNumber"/>
                    <w:noProof/>
                  </w:rPr>
                  <w:t>8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98" w:rsidRDefault="00AB0F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412" w:rsidRDefault="007E4412">
      <w:r>
        <w:separator/>
      </w:r>
    </w:p>
  </w:footnote>
  <w:footnote w:type="continuationSeparator" w:id="0">
    <w:p w:rsidR="007E4412" w:rsidRDefault="007E4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98" w:rsidRDefault="00AB0F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3510"/>
      <w:gridCol w:w="5704"/>
    </w:tblGrid>
    <w:tr w:rsidR="009504D6">
      <w:tc>
        <w:tcPr>
          <w:tcW w:w="3510" w:type="dxa"/>
          <w:shd w:val="clear" w:color="auto" w:fill="auto"/>
        </w:tcPr>
        <w:p w:rsidR="009504D6" w:rsidRDefault="009504D6">
          <w:pPr>
            <w:pStyle w:val="headerrechts"/>
            <w:widowControl/>
            <w:snapToGrid w:val="0"/>
            <w:jc w:val="left"/>
            <w:rPr>
              <w:i/>
              <w:sz w:val="20"/>
            </w:rPr>
          </w:pPr>
        </w:p>
      </w:tc>
      <w:tc>
        <w:tcPr>
          <w:tcW w:w="5704" w:type="dxa"/>
          <w:shd w:val="clear" w:color="auto" w:fill="auto"/>
        </w:tcPr>
        <w:p w:rsidR="009504D6" w:rsidRDefault="009504D6">
          <w:pPr>
            <w:pStyle w:val="headerrechts"/>
            <w:widowControl/>
            <w:snapToGrid w:val="0"/>
            <w:ind w:right="141"/>
            <w:jc w:val="center"/>
            <w:rPr>
              <w:rFonts w:ascii="Times New Roman" w:hAnsi="Times New Roman"/>
              <w:i/>
              <w:sz w:val="16"/>
              <w:lang w:val="bg-BG"/>
            </w:rPr>
          </w:pPr>
          <w:r>
            <w:rPr>
              <w:rFonts w:ascii="Times New Roman" w:hAnsi="Times New Roman"/>
              <w:i/>
              <w:sz w:val="16"/>
              <w:lang w:val="bg-BG"/>
            </w:rPr>
            <w:t xml:space="preserve">                                                                                            СД „НАЧЕВИ-90 и сие„ </w:t>
          </w:r>
        </w:p>
      </w:tc>
    </w:tr>
    <w:tr w:rsidR="009504D6">
      <w:tc>
        <w:tcPr>
          <w:tcW w:w="3510" w:type="dxa"/>
          <w:shd w:val="clear" w:color="auto" w:fill="auto"/>
        </w:tcPr>
        <w:p w:rsidR="009504D6" w:rsidRDefault="009504D6">
          <w:pPr>
            <w:pStyle w:val="headerrechts"/>
            <w:widowControl/>
            <w:snapToGrid w:val="0"/>
            <w:jc w:val="left"/>
            <w:rPr>
              <w:rFonts w:ascii="Times New Roman" w:hAnsi="Times New Roman"/>
              <w:b/>
              <w:sz w:val="20"/>
            </w:rPr>
          </w:pPr>
        </w:p>
      </w:tc>
      <w:tc>
        <w:tcPr>
          <w:tcW w:w="5704" w:type="dxa"/>
          <w:shd w:val="clear" w:color="auto" w:fill="auto"/>
        </w:tcPr>
        <w:p w:rsidR="009504D6" w:rsidRPr="00240B75" w:rsidRDefault="009504D6" w:rsidP="00DD107C">
          <w:pPr>
            <w:pStyle w:val="headerrechts"/>
            <w:widowControl/>
            <w:snapToGrid w:val="0"/>
            <w:ind w:right="141"/>
            <w:jc w:val="left"/>
            <w:rPr>
              <w:rFonts w:ascii="Times New Roman" w:hAnsi="Times New Roman"/>
              <w:i/>
              <w:sz w:val="16"/>
              <w:lang w:val="en-US"/>
            </w:rPr>
          </w:pPr>
          <w:r>
            <w:rPr>
              <w:rFonts w:ascii="Times New Roman" w:hAnsi="Times New Roman"/>
              <w:i/>
              <w:sz w:val="16"/>
              <w:lang w:val="bg-BG"/>
            </w:rPr>
            <w:t xml:space="preserve">Приложение към </w:t>
          </w:r>
          <w:r>
            <w:rPr>
              <w:rFonts w:ascii="Times New Roman" w:hAnsi="Times New Roman"/>
              <w:i/>
              <w:sz w:val="16"/>
              <w:lang w:val="ru-RU"/>
            </w:rPr>
            <w:t>Финансов отчет за год</w:t>
          </w:r>
          <w:r w:rsidR="00AB0F98">
            <w:rPr>
              <w:rFonts w:ascii="Times New Roman" w:hAnsi="Times New Roman"/>
              <w:i/>
              <w:sz w:val="16"/>
              <w:lang w:val="ru-RU"/>
            </w:rPr>
            <w:t>ишния период към 31 декември 20</w:t>
          </w:r>
          <w:r w:rsidR="007D3B0A">
            <w:rPr>
              <w:rFonts w:ascii="Times New Roman" w:hAnsi="Times New Roman"/>
              <w:i/>
              <w:sz w:val="16"/>
              <w:lang w:val="en-US"/>
            </w:rPr>
            <w:t>1</w:t>
          </w:r>
          <w:r w:rsidR="007D3B0A">
            <w:rPr>
              <w:rFonts w:ascii="Times New Roman" w:hAnsi="Times New Roman"/>
              <w:i/>
              <w:sz w:val="16"/>
              <w:lang w:val="bg-BG"/>
            </w:rPr>
            <w:t>8</w:t>
          </w:r>
          <w:r>
            <w:rPr>
              <w:rFonts w:ascii="Times New Roman" w:hAnsi="Times New Roman"/>
              <w:i/>
              <w:sz w:val="16"/>
              <w:lang w:val="ru-RU"/>
            </w:rPr>
            <w:t>г.</w:t>
          </w:r>
        </w:p>
      </w:tc>
    </w:tr>
  </w:tbl>
  <w:p w:rsidR="009504D6" w:rsidRDefault="009504D6">
    <w:pPr>
      <w:pStyle w:val="Headerhd"/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98" w:rsidRDefault="00AB0F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E00F9"/>
    <w:rsid w:val="000065ED"/>
    <w:rsid w:val="00006AA6"/>
    <w:rsid w:val="00014AF5"/>
    <w:rsid w:val="000306D2"/>
    <w:rsid w:val="00035595"/>
    <w:rsid w:val="00053353"/>
    <w:rsid w:val="000647DB"/>
    <w:rsid w:val="00076A47"/>
    <w:rsid w:val="000775BE"/>
    <w:rsid w:val="00077A08"/>
    <w:rsid w:val="00081B14"/>
    <w:rsid w:val="00094180"/>
    <w:rsid w:val="000A229D"/>
    <w:rsid w:val="000B329E"/>
    <w:rsid w:val="000B6C43"/>
    <w:rsid w:val="000D1FD4"/>
    <w:rsid w:val="000D3FDA"/>
    <w:rsid w:val="00112106"/>
    <w:rsid w:val="00116263"/>
    <w:rsid w:val="0014244F"/>
    <w:rsid w:val="00142A4F"/>
    <w:rsid w:val="001608DF"/>
    <w:rsid w:val="001608EF"/>
    <w:rsid w:val="00162A87"/>
    <w:rsid w:val="001A257D"/>
    <w:rsid w:val="001B1DF8"/>
    <w:rsid w:val="001D298D"/>
    <w:rsid w:val="001D7585"/>
    <w:rsid w:val="001E31B1"/>
    <w:rsid w:val="001E3A35"/>
    <w:rsid w:val="00225D59"/>
    <w:rsid w:val="00237114"/>
    <w:rsid w:val="00240B75"/>
    <w:rsid w:val="00245BDA"/>
    <w:rsid w:val="00246193"/>
    <w:rsid w:val="00247493"/>
    <w:rsid w:val="00250BF2"/>
    <w:rsid w:val="002568AF"/>
    <w:rsid w:val="00266DCA"/>
    <w:rsid w:val="00272A4A"/>
    <w:rsid w:val="0028080D"/>
    <w:rsid w:val="002C3D02"/>
    <w:rsid w:val="002D315D"/>
    <w:rsid w:val="002F4205"/>
    <w:rsid w:val="0030225B"/>
    <w:rsid w:val="00306624"/>
    <w:rsid w:val="003500C7"/>
    <w:rsid w:val="00352C4B"/>
    <w:rsid w:val="003707CB"/>
    <w:rsid w:val="00370A72"/>
    <w:rsid w:val="00382EA1"/>
    <w:rsid w:val="00397F33"/>
    <w:rsid w:val="003A5407"/>
    <w:rsid w:val="003D542F"/>
    <w:rsid w:val="003E0030"/>
    <w:rsid w:val="003E12E2"/>
    <w:rsid w:val="003E1570"/>
    <w:rsid w:val="003E28AC"/>
    <w:rsid w:val="003F069A"/>
    <w:rsid w:val="004021BE"/>
    <w:rsid w:val="00411917"/>
    <w:rsid w:val="00411B29"/>
    <w:rsid w:val="004141C9"/>
    <w:rsid w:val="00414F14"/>
    <w:rsid w:val="00421352"/>
    <w:rsid w:val="004240C4"/>
    <w:rsid w:val="00425243"/>
    <w:rsid w:val="00432E85"/>
    <w:rsid w:val="00434CBE"/>
    <w:rsid w:val="004566A9"/>
    <w:rsid w:val="00462751"/>
    <w:rsid w:val="0046725E"/>
    <w:rsid w:val="00474504"/>
    <w:rsid w:val="00477064"/>
    <w:rsid w:val="00477075"/>
    <w:rsid w:val="0048156B"/>
    <w:rsid w:val="004A048C"/>
    <w:rsid w:val="004E3BB1"/>
    <w:rsid w:val="004F395C"/>
    <w:rsid w:val="00500DC7"/>
    <w:rsid w:val="0052568C"/>
    <w:rsid w:val="005301E5"/>
    <w:rsid w:val="0053270A"/>
    <w:rsid w:val="00546D45"/>
    <w:rsid w:val="00560C8B"/>
    <w:rsid w:val="00586628"/>
    <w:rsid w:val="005A250B"/>
    <w:rsid w:val="005B1B56"/>
    <w:rsid w:val="005C5E47"/>
    <w:rsid w:val="005C7873"/>
    <w:rsid w:val="005D1F74"/>
    <w:rsid w:val="005E030A"/>
    <w:rsid w:val="00641D7A"/>
    <w:rsid w:val="00650936"/>
    <w:rsid w:val="00670937"/>
    <w:rsid w:val="006760EC"/>
    <w:rsid w:val="00677995"/>
    <w:rsid w:val="006931D0"/>
    <w:rsid w:val="006B055C"/>
    <w:rsid w:val="006C30B7"/>
    <w:rsid w:val="006C4DF8"/>
    <w:rsid w:val="006E64A2"/>
    <w:rsid w:val="006F0B6D"/>
    <w:rsid w:val="006F1327"/>
    <w:rsid w:val="00703F04"/>
    <w:rsid w:val="0071460D"/>
    <w:rsid w:val="0071780D"/>
    <w:rsid w:val="00721E77"/>
    <w:rsid w:val="007368B4"/>
    <w:rsid w:val="00740851"/>
    <w:rsid w:val="0075064C"/>
    <w:rsid w:val="007601A7"/>
    <w:rsid w:val="00760C3B"/>
    <w:rsid w:val="007925EE"/>
    <w:rsid w:val="00797210"/>
    <w:rsid w:val="007A1DC9"/>
    <w:rsid w:val="007A5407"/>
    <w:rsid w:val="007C4EA5"/>
    <w:rsid w:val="007C5938"/>
    <w:rsid w:val="007D0BE8"/>
    <w:rsid w:val="007D3B0A"/>
    <w:rsid w:val="007E4412"/>
    <w:rsid w:val="008026F6"/>
    <w:rsid w:val="0080595F"/>
    <w:rsid w:val="00805B1A"/>
    <w:rsid w:val="00805C60"/>
    <w:rsid w:val="00807B93"/>
    <w:rsid w:val="00845A6F"/>
    <w:rsid w:val="00852E1F"/>
    <w:rsid w:val="00873B1E"/>
    <w:rsid w:val="0087592B"/>
    <w:rsid w:val="008761B5"/>
    <w:rsid w:val="008A2198"/>
    <w:rsid w:val="008B138B"/>
    <w:rsid w:val="008D3F00"/>
    <w:rsid w:val="008D7920"/>
    <w:rsid w:val="00902BD9"/>
    <w:rsid w:val="0092790C"/>
    <w:rsid w:val="009504D6"/>
    <w:rsid w:val="009556A8"/>
    <w:rsid w:val="00957421"/>
    <w:rsid w:val="00963D21"/>
    <w:rsid w:val="0097472D"/>
    <w:rsid w:val="009843ED"/>
    <w:rsid w:val="009848B7"/>
    <w:rsid w:val="009909E5"/>
    <w:rsid w:val="009C69DD"/>
    <w:rsid w:val="009D4AE0"/>
    <w:rsid w:val="009E0043"/>
    <w:rsid w:val="009E2C63"/>
    <w:rsid w:val="009F7EA1"/>
    <w:rsid w:val="00A03567"/>
    <w:rsid w:val="00A0491C"/>
    <w:rsid w:val="00A12E70"/>
    <w:rsid w:val="00A20D1F"/>
    <w:rsid w:val="00A231EE"/>
    <w:rsid w:val="00A2577D"/>
    <w:rsid w:val="00A65515"/>
    <w:rsid w:val="00A73BE3"/>
    <w:rsid w:val="00A820AB"/>
    <w:rsid w:val="00A872D7"/>
    <w:rsid w:val="00AA29F2"/>
    <w:rsid w:val="00AB040D"/>
    <w:rsid w:val="00AB0F98"/>
    <w:rsid w:val="00AB292B"/>
    <w:rsid w:val="00AD006A"/>
    <w:rsid w:val="00AE54CE"/>
    <w:rsid w:val="00AF5019"/>
    <w:rsid w:val="00AF70FE"/>
    <w:rsid w:val="00B02FC5"/>
    <w:rsid w:val="00B1093F"/>
    <w:rsid w:val="00B11EE4"/>
    <w:rsid w:val="00B30943"/>
    <w:rsid w:val="00B37230"/>
    <w:rsid w:val="00B55DAF"/>
    <w:rsid w:val="00B573D9"/>
    <w:rsid w:val="00B736E1"/>
    <w:rsid w:val="00B824E4"/>
    <w:rsid w:val="00B91289"/>
    <w:rsid w:val="00B9350B"/>
    <w:rsid w:val="00B96353"/>
    <w:rsid w:val="00BA23BB"/>
    <w:rsid w:val="00BA3E69"/>
    <w:rsid w:val="00BB35F7"/>
    <w:rsid w:val="00BC47B3"/>
    <w:rsid w:val="00BE2631"/>
    <w:rsid w:val="00BF5290"/>
    <w:rsid w:val="00BF5765"/>
    <w:rsid w:val="00C06FC8"/>
    <w:rsid w:val="00C5621A"/>
    <w:rsid w:val="00C57D50"/>
    <w:rsid w:val="00C61103"/>
    <w:rsid w:val="00C645FE"/>
    <w:rsid w:val="00C65000"/>
    <w:rsid w:val="00C76761"/>
    <w:rsid w:val="00C851BE"/>
    <w:rsid w:val="00C87C3D"/>
    <w:rsid w:val="00C9554E"/>
    <w:rsid w:val="00CB6BCD"/>
    <w:rsid w:val="00CC59E8"/>
    <w:rsid w:val="00CD0FB5"/>
    <w:rsid w:val="00CD3179"/>
    <w:rsid w:val="00CD6E1E"/>
    <w:rsid w:val="00CE76E9"/>
    <w:rsid w:val="00CF5AB2"/>
    <w:rsid w:val="00D04933"/>
    <w:rsid w:val="00D07E2A"/>
    <w:rsid w:val="00D150AC"/>
    <w:rsid w:val="00D1659E"/>
    <w:rsid w:val="00D549DE"/>
    <w:rsid w:val="00D70A49"/>
    <w:rsid w:val="00D7316D"/>
    <w:rsid w:val="00D9050A"/>
    <w:rsid w:val="00DA7478"/>
    <w:rsid w:val="00DB4163"/>
    <w:rsid w:val="00DB5580"/>
    <w:rsid w:val="00DB760B"/>
    <w:rsid w:val="00DD107C"/>
    <w:rsid w:val="00DD5DA8"/>
    <w:rsid w:val="00DE00F9"/>
    <w:rsid w:val="00DE049A"/>
    <w:rsid w:val="00DE108B"/>
    <w:rsid w:val="00E24152"/>
    <w:rsid w:val="00E266CE"/>
    <w:rsid w:val="00E27596"/>
    <w:rsid w:val="00E34A78"/>
    <w:rsid w:val="00E406CA"/>
    <w:rsid w:val="00E41E24"/>
    <w:rsid w:val="00E53F18"/>
    <w:rsid w:val="00E64B57"/>
    <w:rsid w:val="00E80AB9"/>
    <w:rsid w:val="00E828FD"/>
    <w:rsid w:val="00E832A4"/>
    <w:rsid w:val="00EA612A"/>
    <w:rsid w:val="00EA6948"/>
    <w:rsid w:val="00EC0FA6"/>
    <w:rsid w:val="00EC6E10"/>
    <w:rsid w:val="00EE0415"/>
    <w:rsid w:val="00EF427E"/>
    <w:rsid w:val="00EF5ACB"/>
    <w:rsid w:val="00F06D19"/>
    <w:rsid w:val="00F3553F"/>
    <w:rsid w:val="00F37B9D"/>
    <w:rsid w:val="00F447B5"/>
    <w:rsid w:val="00F63127"/>
    <w:rsid w:val="00F63E30"/>
    <w:rsid w:val="00F70F1E"/>
    <w:rsid w:val="00F77484"/>
    <w:rsid w:val="00F841F2"/>
    <w:rsid w:val="00F92EB1"/>
    <w:rsid w:val="00FA11BB"/>
    <w:rsid w:val="00FA1CBE"/>
    <w:rsid w:val="00FB37C7"/>
    <w:rsid w:val="00FB4F7F"/>
    <w:rsid w:val="00FB5393"/>
    <w:rsid w:val="00FC59D5"/>
    <w:rsid w:val="00FD35C2"/>
    <w:rsid w:val="00FE6F42"/>
    <w:rsid w:val="00FE7587"/>
    <w:rsid w:val="00FF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spacing w:line="260" w:lineRule="exact"/>
    </w:pPr>
    <w:rPr>
      <w:rFonts w:ascii="Times" w:hAnsi="Times"/>
      <w:sz w:val="18"/>
      <w:lang w:val="en-GB" w:eastAsia="ar-SA"/>
    </w:rPr>
  </w:style>
  <w:style w:type="paragraph" w:styleId="Heading3">
    <w:name w:val="heading 3"/>
    <w:basedOn w:val="Heading1h1"/>
    <w:next w:val="teXt"/>
    <w:qFormat/>
    <w:pPr>
      <w:numPr>
        <w:ilvl w:val="2"/>
        <w:numId w:val="1"/>
      </w:numPr>
      <w:spacing w:before="120" w:line="280" w:lineRule="exact"/>
      <w:outlineLvl w:val="2"/>
    </w:pPr>
    <w:rPr>
      <w:b/>
      <w:i/>
      <w:sz w:val="24"/>
    </w:rPr>
  </w:style>
  <w:style w:type="paragraph" w:styleId="Heading4">
    <w:name w:val="heading 4"/>
    <w:basedOn w:val="Heading1h1"/>
    <w:next w:val="teXt"/>
    <w:qFormat/>
    <w:pPr>
      <w:numPr>
        <w:ilvl w:val="3"/>
        <w:numId w:val="1"/>
      </w:numPr>
      <w:spacing w:before="120" w:line="240" w:lineRule="exact"/>
      <w:outlineLvl w:val="3"/>
    </w:pPr>
    <w:rPr>
      <w:i/>
      <w:sz w:val="24"/>
    </w:rPr>
  </w:style>
  <w:style w:type="paragraph" w:styleId="Heading5">
    <w:name w:val="heading 5"/>
    <w:basedOn w:val="Heading4"/>
    <w:next w:val="teXt"/>
    <w:qFormat/>
    <w:pPr>
      <w:numPr>
        <w:ilvl w:val="4"/>
      </w:numPr>
      <w:outlineLvl w:val="4"/>
    </w:pPr>
    <w:rPr>
      <w:i w:val="0"/>
    </w:rPr>
  </w:style>
  <w:style w:type="paragraph" w:styleId="Heading6">
    <w:name w:val="heading 6"/>
    <w:basedOn w:val="Normal"/>
    <w:next w:val="teXt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teXt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teXt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teXt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2">
    <w:name w:val="Шрифт на абзаца по подразбиране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1">
    <w:name w:val="Шрифт на абзаца по подразбиране1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3z0">
    <w:name w:val="WW8NumSt3z0"/>
    <w:rPr>
      <w:rFonts w:ascii="Times" w:hAnsi="Times" w:cs="Times"/>
    </w:rPr>
  </w:style>
  <w:style w:type="character" w:customStyle="1" w:styleId="WW-">
    <w:name w:val="WW-Шрифт на абзаца по подразбиране"/>
  </w:style>
  <w:style w:type="character" w:styleId="PageNumber">
    <w:name w:val="page number"/>
    <w:basedOn w:val="WW-"/>
    <w:rPr>
      <w:sz w:val="20"/>
    </w:rPr>
  </w:style>
  <w:style w:type="character" w:customStyle="1" w:styleId="a">
    <w:name w:val="Знаци за бележки под линия"/>
    <w:basedOn w:val="WW-"/>
    <w:rPr>
      <w:sz w:val="18"/>
      <w:vertAlign w:val="superscript"/>
    </w:rPr>
  </w:style>
  <w:style w:type="character" w:customStyle="1" w:styleId="a0">
    <w:name w:val="Знаци за бележки в края"/>
    <w:basedOn w:val="WW-"/>
    <w:rPr>
      <w:sz w:val="18"/>
      <w:vertAlign w:val="superscript"/>
    </w:rPr>
  </w:style>
  <w:style w:type="character" w:customStyle="1" w:styleId="10">
    <w:name w:val="Препратка към коментар1"/>
    <w:basedOn w:val="WW-"/>
    <w:rPr>
      <w:sz w:val="16"/>
    </w:rPr>
  </w:style>
  <w:style w:type="character" w:styleId="Hyperlink">
    <w:name w:val="Hyperlink"/>
    <w:basedOn w:val="WW-"/>
    <w:rPr>
      <w:color w:val="0000FF"/>
      <w:sz w:val="20"/>
      <w:u w:val="single"/>
    </w:rPr>
  </w:style>
  <w:style w:type="character" w:styleId="FollowedHyperlink">
    <w:name w:val="FollowedHyperlink"/>
    <w:basedOn w:val="WW-"/>
    <w:rPr>
      <w:color w:val="800080"/>
      <w:sz w:val="20"/>
      <w:u w:val="single"/>
    </w:rPr>
  </w:style>
  <w:style w:type="character" w:customStyle="1" w:styleId="a1">
    <w:name w:val="Водачи"/>
    <w:rPr>
      <w:rFonts w:ascii="OpenSymbol" w:eastAsia="OpenSymbol" w:hAnsi="OpenSymbol" w:cs="OpenSymbol"/>
    </w:rPr>
  </w:style>
  <w:style w:type="paragraph" w:customStyle="1" w:styleId="3">
    <w:name w:val="Заглавие3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tabs>
        <w:tab w:val="left" w:pos="860"/>
      </w:tabs>
      <w:spacing w:after="130"/>
      <w:jc w:val="both"/>
    </w:pPr>
    <w:rPr>
      <w:sz w:val="22"/>
    </w:rPr>
  </w:style>
  <w:style w:type="paragraph" w:styleId="List">
    <w:name w:val="List"/>
    <w:basedOn w:val="BodyText"/>
    <w:rPr>
      <w:rFonts w:cs="Tahoma"/>
    </w:rPr>
  </w:style>
  <w:style w:type="paragraph" w:customStyle="1" w:styleId="30">
    <w:name w:val="Надпис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2">
    <w:name w:val="Указател"/>
    <w:basedOn w:val="Normal"/>
    <w:pPr>
      <w:suppressLineNumbers/>
    </w:pPr>
    <w:rPr>
      <w:rFonts w:cs="Tahoma"/>
    </w:rPr>
  </w:style>
  <w:style w:type="paragraph" w:customStyle="1" w:styleId="Heading1h1">
    <w:name w:val="Heading 1.h1"/>
    <w:basedOn w:val="Normal"/>
    <w:next w:val="teXt"/>
    <w:pPr>
      <w:keepNext/>
      <w:keepLines/>
      <w:spacing w:before="320" w:line="400" w:lineRule="exact"/>
      <w:ind w:hanging="709"/>
    </w:pPr>
    <w:rPr>
      <w:sz w:val="36"/>
    </w:rPr>
  </w:style>
  <w:style w:type="paragraph" w:customStyle="1" w:styleId="20">
    <w:name w:val="Заглавие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1">
    <w:name w:val="Надпис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Заглавие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2">
    <w:name w:val="Надпис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ing2h2">
    <w:name w:val="Heading 2.h2"/>
    <w:basedOn w:val="Heading1h1"/>
    <w:next w:val="teXt"/>
    <w:pPr>
      <w:spacing w:before="300" w:line="300" w:lineRule="exact"/>
    </w:pPr>
    <w:rPr>
      <w:b/>
      <w:sz w:val="26"/>
    </w:rPr>
  </w:style>
  <w:style w:type="paragraph" w:customStyle="1" w:styleId="teXt">
    <w:name w:val="teXt"/>
    <w:basedOn w:val="Normal"/>
    <w:pPr>
      <w:spacing w:before="130"/>
      <w:jc w:val="both"/>
    </w:pPr>
  </w:style>
  <w:style w:type="paragraph" w:customStyle="1" w:styleId="Bullet1">
    <w:name w:val="Bullet1"/>
    <w:basedOn w:val="Normal"/>
    <w:pPr>
      <w:keepLines/>
      <w:ind w:left="352" w:hanging="352"/>
    </w:pPr>
  </w:style>
  <w:style w:type="paragraph" w:customStyle="1" w:styleId="Bullet2">
    <w:name w:val="Bullet2"/>
    <w:basedOn w:val="Bullet1"/>
    <w:pPr>
      <w:ind w:left="704"/>
    </w:pPr>
  </w:style>
  <w:style w:type="paragraph" w:customStyle="1" w:styleId="Datum">
    <w:name w:val="Datum"/>
    <w:basedOn w:val="Normal"/>
    <w:next w:val="teXt"/>
    <w:pPr>
      <w:spacing w:before="130"/>
      <w:jc w:val="right"/>
    </w:pPr>
  </w:style>
  <w:style w:type="paragraph" w:styleId="Footer">
    <w:name w:val="footer"/>
    <w:basedOn w:val="Normal"/>
    <w:pPr>
      <w:jc w:val="center"/>
    </w:pPr>
  </w:style>
  <w:style w:type="paragraph" w:customStyle="1" w:styleId="hJaar1">
    <w:name w:val="hJaar1"/>
    <w:basedOn w:val="Heading1h1"/>
    <w:next w:val="teXt"/>
  </w:style>
  <w:style w:type="paragraph" w:customStyle="1" w:styleId="hJaar2">
    <w:name w:val="hJaar2"/>
    <w:basedOn w:val="Heading2h2"/>
    <w:next w:val="teXt"/>
  </w:style>
  <w:style w:type="paragraph" w:customStyle="1" w:styleId="hJaar3">
    <w:name w:val="hJaar3"/>
    <w:basedOn w:val="Heading3"/>
    <w:next w:val="teXt"/>
    <w:pPr>
      <w:numPr>
        <w:ilvl w:val="0"/>
        <w:numId w:val="0"/>
      </w:numPr>
    </w:pPr>
  </w:style>
  <w:style w:type="paragraph" w:customStyle="1" w:styleId="Headerhd">
    <w:name w:val="Header.hd"/>
    <w:basedOn w:val="Normal"/>
  </w:style>
  <w:style w:type="paragraph" w:customStyle="1" w:styleId="headercursief">
    <w:name w:val="headercursief"/>
    <w:basedOn w:val="Normal"/>
    <w:pPr>
      <w:spacing w:line="220" w:lineRule="exact"/>
      <w:jc w:val="right"/>
    </w:pPr>
    <w:rPr>
      <w:i/>
    </w:rPr>
  </w:style>
  <w:style w:type="paragraph" w:customStyle="1" w:styleId="InhoudsOpgave">
    <w:name w:val="InhoudsOpgave"/>
    <w:basedOn w:val="Normal"/>
    <w:next w:val="InhoudsTitel"/>
    <w:pPr>
      <w:spacing w:line="720" w:lineRule="exact"/>
    </w:pPr>
    <w:rPr>
      <w:sz w:val="36"/>
    </w:rPr>
  </w:style>
  <w:style w:type="paragraph" w:styleId="TOC1">
    <w:name w:val="toc 1"/>
    <w:basedOn w:val="Normal"/>
    <w:pPr>
      <w:tabs>
        <w:tab w:val="right" w:pos="9072"/>
      </w:tabs>
      <w:spacing w:before="240" w:line="300" w:lineRule="exact"/>
      <w:ind w:left="851" w:right="1270" w:hanging="851"/>
    </w:pPr>
    <w:rPr>
      <w:sz w:val="26"/>
    </w:rPr>
  </w:style>
  <w:style w:type="paragraph" w:customStyle="1" w:styleId="InhoudsTitel">
    <w:name w:val="InhoudsTitel"/>
    <w:basedOn w:val="TOC1"/>
    <w:next w:val="TOC1"/>
    <w:rPr>
      <w:b/>
    </w:rPr>
  </w:style>
  <w:style w:type="paragraph" w:customStyle="1" w:styleId="BulletLetter">
    <w:name w:val="BulletLetter"/>
    <w:basedOn w:val="Bullet1"/>
  </w:style>
  <w:style w:type="paragraph" w:customStyle="1" w:styleId="BulletNummer">
    <w:name w:val="BulletNummer"/>
    <w:basedOn w:val="Bullet1"/>
  </w:style>
  <w:style w:type="paragraph" w:customStyle="1" w:styleId="OnderSchrift">
    <w:name w:val="OnderSchrift"/>
    <w:basedOn w:val="Normal"/>
    <w:next w:val="teXt"/>
    <w:pPr>
      <w:pBdr>
        <w:left w:val="single" w:sz="4" w:space="6" w:color="000000"/>
        <w:bottom w:val="single" w:sz="4" w:space="6" w:color="000000"/>
        <w:right w:val="single" w:sz="4" w:space="6" w:color="000000"/>
      </w:pBdr>
      <w:spacing w:before="130"/>
      <w:ind w:left="91" w:right="102"/>
    </w:pPr>
    <w:rPr>
      <w:i/>
      <w:sz w:val="16"/>
    </w:rPr>
  </w:style>
  <w:style w:type="paragraph" w:customStyle="1" w:styleId="Plaatje">
    <w:name w:val="Plaatje"/>
    <w:basedOn w:val="Normal"/>
    <w:next w:val="OnderSchrift"/>
    <w:pPr>
      <w:keepNext/>
      <w:pBdr>
        <w:top w:val="single" w:sz="4" w:space="6" w:color="000000"/>
        <w:left w:val="single" w:sz="4" w:space="6" w:color="000000"/>
        <w:right w:val="single" w:sz="4" w:space="6" w:color="000000"/>
      </w:pBdr>
      <w:spacing w:before="260" w:line="260" w:lineRule="atLeast"/>
      <w:ind w:left="91" w:right="102"/>
      <w:jc w:val="center"/>
    </w:pPr>
  </w:style>
  <w:style w:type="paragraph" w:customStyle="1" w:styleId="Ref">
    <w:name w:val="Ref"/>
    <w:basedOn w:val="Normal"/>
    <w:next w:val="teXt"/>
    <w:pPr>
      <w:ind w:left="397" w:right="397"/>
    </w:pPr>
  </w:style>
  <w:style w:type="paragraph" w:customStyle="1" w:styleId="IAS">
    <w:name w:val="IAS"/>
    <w:basedOn w:val="Headerhd"/>
    <w:rPr>
      <w:i/>
      <w:sz w:val="20"/>
    </w:rPr>
  </w:style>
  <w:style w:type="paragraph" w:customStyle="1" w:styleId="tabelLinks">
    <w:name w:val="tabelLinks"/>
    <w:basedOn w:val="IAS"/>
    <w:pPr>
      <w:jc w:val="both"/>
    </w:pPr>
    <w:rPr>
      <w:rFonts w:ascii="Times New Roman" w:hAnsi="Times New Roman"/>
      <w:i w:val="0"/>
      <w:sz w:val="18"/>
    </w:rPr>
  </w:style>
  <w:style w:type="paragraph" w:customStyle="1" w:styleId="tabelRechts">
    <w:name w:val="tabelRechts"/>
    <w:basedOn w:val="tabelLinks"/>
    <w:pPr>
      <w:ind w:right="57"/>
      <w:jc w:val="right"/>
    </w:pPr>
  </w:style>
  <w:style w:type="paragraph" w:customStyle="1" w:styleId="tabelheading1">
    <w:name w:val="tabelheading1"/>
    <w:basedOn w:val="tabelLinks"/>
    <w:pPr>
      <w:keepNext/>
    </w:pPr>
    <w:rPr>
      <w:b/>
    </w:rPr>
  </w:style>
  <w:style w:type="paragraph" w:customStyle="1" w:styleId="tabelheading2">
    <w:name w:val="tabelheading2"/>
    <w:basedOn w:val="tabelheading1"/>
    <w:rPr>
      <w:b w:val="0"/>
      <w:i/>
    </w:rPr>
  </w:style>
  <w:style w:type="paragraph" w:customStyle="1" w:styleId="tabelKop">
    <w:name w:val="tabelKop"/>
    <w:basedOn w:val="Normal"/>
    <w:pPr>
      <w:keepNext/>
      <w:keepLines/>
      <w:spacing w:before="130" w:after="130"/>
    </w:pPr>
  </w:style>
  <w:style w:type="paragraph" w:customStyle="1" w:styleId="vOorblad1">
    <w:name w:val="vOorblad1"/>
    <w:basedOn w:val="Normal"/>
    <w:next w:val="vOorblad2"/>
    <w:pPr>
      <w:spacing w:before="260" w:line="440" w:lineRule="exact"/>
      <w:ind w:left="397" w:right="397"/>
    </w:pPr>
    <w:rPr>
      <w:b/>
      <w:sz w:val="26"/>
    </w:rPr>
  </w:style>
  <w:style w:type="paragraph" w:customStyle="1" w:styleId="vOorblad2">
    <w:name w:val="vOorblad2"/>
    <w:basedOn w:val="Normal"/>
    <w:next w:val="teXt"/>
    <w:pPr>
      <w:spacing w:before="880" w:line="440" w:lineRule="exact"/>
      <w:ind w:left="397" w:right="397"/>
    </w:pPr>
    <w:rPr>
      <w:sz w:val="36"/>
    </w:rPr>
  </w:style>
  <w:style w:type="paragraph" w:styleId="TOC2">
    <w:name w:val="toc 2"/>
    <w:basedOn w:val="TOC1"/>
    <w:pPr>
      <w:spacing w:before="80"/>
    </w:pPr>
  </w:style>
  <w:style w:type="paragraph" w:customStyle="1" w:styleId="valUtaLinks">
    <w:name w:val="valUtaLinks"/>
    <w:basedOn w:val="tabelLinks"/>
    <w:rPr>
      <w:sz w:val="16"/>
    </w:rPr>
  </w:style>
  <w:style w:type="paragraph" w:customStyle="1" w:styleId="valUtaRechts">
    <w:name w:val="valUtaRechts"/>
    <w:basedOn w:val="tabelRechts"/>
    <w:rPr>
      <w:sz w:val="16"/>
    </w:rPr>
  </w:style>
  <w:style w:type="paragraph" w:customStyle="1" w:styleId="Adres">
    <w:name w:val="Adres"/>
    <w:basedOn w:val="Normal"/>
    <w:next w:val="Datum"/>
    <w:pPr>
      <w:spacing w:before="1474"/>
    </w:pPr>
  </w:style>
  <w:style w:type="paragraph" w:customStyle="1" w:styleId="headerrechts">
    <w:name w:val="headerrechts"/>
    <w:basedOn w:val="Headerhd"/>
    <w:pPr>
      <w:jc w:val="right"/>
    </w:pPr>
  </w:style>
  <w:style w:type="paragraph" w:customStyle="1" w:styleId="aanBeveling">
    <w:name w:val="aanBeveling"/>
    <w:basedOn w:val="teXt"/>
    <w:next w:val="teXt"/>
    <w:pPr>
      <w:ind w:left="340"/>
    </w:pPr>
    <w:rPr>
      <w:i/>
    </w:rPr>
  </w:style>
  <w:style w:type="paragraph" w:customStyle="1" w:styleId="Schutblad">
    <w:name w:val="Schutblad"/>
    <w:basedOn w:val="Heading1h1"/>
    <w:pPr>
      <w:pageBreakBefore/>
      <w:spacing w:before="1600" w:after="10400"/>
      <w:ind w:left="1644" w:firstLine="0"/>
    </w:pPr>
    <w:rPr>
      <w:sz w:val="44"/>
    </w:rPr>
  </w:style>
  <w:style w:type="paragraph" w:customStyle="1" w:styleId="Kref">
    <w:name w:val="Kref"/>
    <w:basedOn w:val="Normal"/>
    <w:next w:val="Normal"/>
    <w:pPr>
      <w:spacing w:line="240" w:lineRule="exact"/>
    </w:pPr>
  </w:style>
  <w:style w:type="paragraph" w:styleId="FootnoteText">
    <w:name w:val="footnote text"/>
    <w:basedOn w:val="Normal"/>
    <w:pPr>
      <w:ind w:left="284" w:hanging="284"/>
    </w:pPr>
    <w:rPr>
      <w:rFonts w:ascii="Times New Roman" w:hAnsi="Times New Roman"/>
      <w:sz w:val="14"/>
    </w:rPr>
  </w:style>
  <w:style w:type="paragraph" w:customStyle="1" w:styleId="HansVoetnoot">
    <w:name w:val="HansVoetnoot"/>
    <w:basedOn w:val="FootnoteText"/>
    <w:next w:val="teXt"/>
    <w:rPr>
      <w:sz w:val="20"/>
      <w:vertAlign w:val="superscript"/>
    </w:rPr>
  </w:style>
  <w:style w:type="paragraph" w:styleId="EndnoteText">
    <w:name w:val="endnote text"/>
    <w:basedOn w:val="Normal"/>
    <w:rPr>
      <w:rFonts w:ascii="Times New Roman" w:hAnsi="Times New Roman"/>
      <w:sz w:val="16"/>
    </w:rPr>
  </w:style>
  <w:style w:type="paragraph" w:customStyle="1" w:styleId="13">
    <w:name w:val="Текст на коментар1"/>
    <w:basedOn w:val="Normal"/>
    <w:rPr>
      <w:sz w:val="20"/>
    </w:rPr>
  </w:style>
  <w:style w:type="paragraph" w:customStyle="1" w:styleId="--">
    <w:name w:val="--&gt;"/>
    <w:pPr>
      <w:widowControl w:val="0"/>
      <w:suppressAutoHyphens/>
    </w:pPr>
    <w:rPr>
      <w:rFonts w:eastAsia="Arial"/>
      <w:lang w:val="en-GB" w:eastAsia="ar-SA"/>
    </w:rPr>
  </w:style>
  <w:style w:type="paragraph" w:customStyle="1" w:styleId="a3">
    <w:name w:val=":("/>
    <w:pPr>
      <w:widowControl w:val="0"/>
      <w:suppressAutoHyphens/>
    </w:pPr>
    <w:rPr>
      <w:rFonts w:eastAsia="Arial"/>
      <w:lang w:val="en-GB" w:eastAsia="ar-SA"/>
    </w:rPr>
  </w:style>
  <w:style w:type="paragraph" w:customStyle="1" w:styleId="a4">
    <w:name w:val=":)"/>
    <w:pPr>
      <w:widowControl w:val="0"/>
      <w:suppressAutoHyphens/>
    </w:pPr>
    <w:rPr>
      <w:rFonts w:eastAsia="Arial"/>
      <w:lang w:val="en-GB" w:eastAsia="ar-SA"/>
    </w:rPr>
  </w:style>
  <w:style w:type="paragraph" w:customStyle="1" w:styleId="a5">
    <w:name w:val=":|"/>
    <w:pPr>
      <w:widowControl w:val="0"/>
      <w:suppressAutoHyphens/>
    </w:pPr>
    <w:rPr>
      <w:rFonts w:eastAsia="Arial"/>
      <w:lang w:val="en-GB" w:eastAsia="ar-SA"/>
    </w:rPr>
  </w:style>
  <w:style w:type="paragraph" w:customStyle="1" w:styleId="-">
    <w:name w:val=":-("/>
    <w:pPr>
      <w:widowControl w:val="0"/>
      <w:suppressAutoHyphens/>
    </w:pPr>
    <w:rPr>
      <w:rFonts w:eastAsia="Arial"/>
      <w:lang w:val="en-GB" w:eastAsia="ar-SA"/>
    </w:rPr>
  </w:style>
  <w:style w:type="paragraph" w:customStyle="1" w:styleId="-0">
    <w:name w:val=":-)"/>
    <w:pPr>
      <w:widowControl w:val="0"/>
      <w:suppressAutoHyphens/>
    </w:pPr>
    <w:rPr>
      <w:rFonts w:eastAsia="Arial"/>
      <w:lang w:val="en-GB" w:eastAsia="ar-SA"/>
    </w:rPr>
  </w:style>
  <w:style w:type="paragraph" w:customStyle="1" w:styleId="-1">
    <w:name w:val=":-|"/>
    <w:pPr>
      <w:widowControl w:val="0"/>
      <w:suppressAutoHyphens/>
    </w:pPr>
    <w:rPr>
      <w:rFonts w:eastAsia="Arial"/>
      <w:lang w:val="en-GB" w:eastAsia="ar-SA"/>
    </w:rPr>
  </w:style>
  <w:style w:type="paragraph" w:customStyle="1" w:styleId="--0">
    <w:name w:val="&lt;--"/>
    <w:pPr>
      <w:widowControl w:val="0"/>
      <w:suppressAutoHyphens/>
    </w:pPr>
    <w:rPr>
      <w:rFonts w:eastAsia="Arial"/>
      <w:lang w:val="en-GB" w:eastAsia="ar-SA"/>
    </w:rPr>
  </w:style>
  <w:style w:type="paragraph" w:customStyle="1" w:styleId="a6">
    <w:name w:val="&lt;=="/>
    <w:pPr>
      <w:widowControl w:val="0"/>
      <w:suppressAutoHyphens/>
    </w:pPr>
    <w:rPr>
      <w:rFonts w:eastAsia="Arial"/>
      <w:lang w:val="en-GB" w:eastAsia="ar-SA"/>
    </w:rPr>
  </w:style>
  <w:style w:type="paragraph" w:customStyle="1" w:styleId="a7">
    <w:name w:val="&lt;=&gt;"/>
    <w:pPr>
      <w:widowControl w:val="0"/>
      <w:suppressAutoHyphens/>
    </w:pPr>
    <w:rPr>
      <w:rFonts w:eastAsia="Arial"/>
      <w:lang w:val="en-GB" w:eastAsia="ar-SA"/>
    </w:rPr>
  </w:style>
  <w:style w:type="paragraph" w:customStyle="1" w:styleId="a8">
    <w:name w:val="==&gt;"/>
    <w:pPr>
      <w:widowControl w:val="0"/>
      <w:suppressAutoHyphens/>
    </w:pPr>
    <w:rPr>
      <w:rFonts w:eastAsia="Arial"/>
      <w:lang w:val="en-GB" w:eastAsia="ar-SA"/>
    </w:rPr>
  </w:style>
  <w:style w:type="paragraph" w:customStyle="1" w:styleId="tabelt">
    <w:name w:val="tabel_.t_"/>
    <w:basedOn w:val="Normal"/>
    <w:pPr>
      <w:spacing w:after="120" w:line="40" w:lineRule="exact"/>
      <w:ind w:right="91"/>
      <w:jc w:val="right"/>
    </w:pPr>
    <w:rPr>
      <w:rFonts w:ascii="Times New Roman" w:hAnsi="Times New Roman"/>
      <w:color w:val="FF0000"/>
      <w:position w:val="4"/>
      <w:sz w:val="20"/>
    </w:rPr>
  </w:style>
  <w:style w:type="paragraph" w:customStyle="1" w:styleId="tabelt0">
    <w:name w:val="tabel=.t="/>
    <w:basedOn w:val="Normal"/>
    <w:pPr>
      <w:spacing w:after="120" w:line="60" w:lineRule="exact"/>
      <w:ind w:right="91"/>
      <w:jc w:val="right"/>
    </w:pPr>
    <w:rPr>
      <w:rFonts w:ascii="Times New Roman" w:hAnsi="Times New Roman"/>
      <w:sz w:val="22"/>
      <w:u w:val="double"/>
    </w:rPr>
  </w:style>
  <w:style w:type="paragraph" w:customStyle="1" w:styleId="tabelt1">
    <w:name w:val="tabel+.t+"/>
    <w:basedOn w:val="IAS"/>
    <w:rPr>
      <w:rFonts w:ascii="Times New Roman" w:hAnsi="Times New Roman"/>
      <w:i w:val="0"/>
      <w:sz w:val="18"/>
    </w:rPr>
  </w:style>
  <w:style w:type="paragraph" w:customStyle="1" w:styleId="tab">
    <w:name w:val="tab+"/>
    <w:basedOn w:val="IAS"/>
    <w:pPr>
      <w:ind w:right="91"/>
      <w:jc w:val="right"/>
    </w:pPr>
    <w:rPr>
      <w:rFonts w:ascii="Times New Roman" w:hAnsi="Times New Roman"/>
      <w:i w:val="0"/>
      <w:sz w:val="18"/>
    </w:rPr>
  </w:style>
  <w:style w:type="paragraph" w:customStyle="1" w:styleId="tabR">
    <w:name w:val="tabR"/>
    <w:basedOn w:val="IAS"/>
    <w:rPr>
      <w:rFonts w:ascii="Times New Roman" w:hAnsi="Times New Roman"/>
      <w:i w:val="0"/>
      <w:sz w:val="18"/>
    </w:rPr>
  </w:style>
  <w:style w:type="paragraph" w:customStyle="1" w:styleId="prov">
    <w:name w:val="prov"/>
    <w:basedOn w:val="IAS"/>
    <w:rPr>
      <w:rFonts w:ascii="Times New Roman" w:hAnsi="Times New Roman"/>
      <w:i w:val="0"/>
      <w:sz w:val="18"/>
    </w:rPr>
  </w:style>
  <w:style w:type="paragraph" w:customStyle="1" w:styleId="14">
    <w:name w:val="Списък с водещи символи1"/>
    <w:basedOn w:val="Normal"/>
    <w:pPr>
      <w:ind w:left="283" w:hanging="283"/>
    </w:pPr>
  </w:style>
  <w:style w:type="paragraph" w:customStyle="1" w:styleId="Bodyby">
    <w:name w:val="Body.by"/>
    <w:pPr>
      <w:widowControl w:val="0"/>
      <w:suppressAutoHyphens/>
      <w:spacing w:after="130" w:line="260" w:lineRule="exact"/>
      <w:jc w:val="both"/>
    </w:pPr>
    <w:rPr>
      <w:rFonts w:ascii="Times" w:eastAsia="Arial" w:hAnsi="Times"/>
      <w:sz w:val="22"/>
      <w:lang w:val="en-GB" w:eastAsia="ar-SA"/>
    </w:rPr>
  </w:style>
  <w:style w:type="paragraph" w:customStyle="1" w:styleId="Text0">
    <w:name w:val="Text"/>
    <w:basedOn w:val="Normal"/>
    <w:pPr>
      <w:tabs>
        <w:tab w:val="left" w:pos="284"/>
      </w:tabs>
      <w:spacing w:after="260" w:line="240" w:lineRule="auto"/>
      <w:jc w:val="both"/>
    </w:pPr>
    <w:rPr>
      <w:rFonts w:ascii="Times New Roman" w:hAnsi="Times New Roman"/>
      <w:sz w:val="22"/>
    </w:rPr>
  </w:style>
  <w:style w:type="paragraph" w:customStyle="1" w:styleId="tabelsubts">
    <w:name w:val="tabel sub__.ts_"/>
    <w:basedOn w:val="Normal"/>
    <w:pPr>
      <w:spacing w:after="180" w:line="36" w:lineRule="auto"/>
      <w:ind w:right="120"/>
      <w:jc w:val="right"/>
    </w:pPr>
  </w:style>
  <w:style w:type="paragraph" w:customStyle="1" w:styleId="example">
    <w:name w:val="example"/>
    <w:basedOn w:val="Normal"/>
    <w:pPr>
      <w:pBdr>
        <w:top w:val="single" w:sz="4" w:space="2" w:color="000000"/>
        <w:left w:val="single" w:sz="4" w:space="2" w:color="000000"/>
        <w:bottom w:val="single" w:sz="4" w:space="2" w:color="000000"/>
        <w:right w:val="single" w:sz="4" w:space="2" w:color="000000"/>
      </w:pBdr>
      <w:spacing w:after="180" w:line="240" w:lineRule="auto"/>
      <w:ind w:left="432"/>
      <w:jc w:val="both"/>
    </w:pPr>
    <w:rPr>
      <w:rFonts w:ascii="Times New Roman" w:hAnsi="Times New Roman"/>
      <w:sz w:val="20"/>
    </w:rPr>
  </w:style>
  <w:style w:type="paragraph" w:customStyle="1" w:styleId="Bullet">
    <w:name w:val="Bullet"/>
    <w:basedOn w:val="Bodyby"/>
    <w:pPr>
      <w:spacing w:before="240" w:after="0" w:line="240" w:lineRule="auto"/>
      <w:ind w:left="360" w:right="40" w:hanging="360"/>
      <w:jc w:val="left"/>
    </w:pPr>
  </w:style>
  <w:style w:type="paragraph" w:customStyle="1" w:styleId="t">
    <w:name w:val="t"/>
    <w:basedOn w:val="Normal"/>
    <w:pPr>
      <w:jc w:val="both"/>
    </w:pPr>
    <w:rPr>
      <w:rFonts w:ascii="Times New Roman" w:hAnsi="Times New Roman"/>
    </w:rPr>
  </w:style>
  <w:style w:type="paragraph" w:customStyle="1" w:styleId="Sasho">
    <w:name w:val="Sasho"/>
    <w:basedOn w:val="Normal"/>
    <w:next w:val="Normal"/>
    <w:pPr>
      <w:spacing w:line="480" w:lineRule="auto"/>
      <w:ind w:left="397" w:hanging="113"/>
    </w:pPr>
    <w:rPr>
      <w:rFonts w:ascii="Times New Roman" w:hAnsi="Times New Roman"/>
      <w:b/>
      <w:caps/>
    </w:rPr>
  </w:style>
  <w:style w:type="paragraph" w:styleId="Index2">
    <w:name w:val="index 2"/>
    <w:basedOn w:val="Normal"/>
    <w:next w:val="Normal"/>
    <w:pPr>
      <w:tabs>
        <w:tab w:val="right" w:pos="3750"/>
      </w:tabs>
      <w:spacing w:line="260" w:lineRule="atLeast"/>
      <w:ind w:left="340" w:right="851"/>
    </w:pPr>
    <w:rPr>
      <w:rFonts w:ascii="Times New Roman" w:hAnsi="Times New Roman"/>
      <w:sz w:val="22"/>
    </w:rPr>
  </w:style>
  <w:style w:type="paragraph" w:customStyle="1" w:styleId="numbertablehead">
    <w:name w:val="number table head"/>
    <w:basedOn w:val="Normal"/>
    <w:pPr>
      <w:spacing w:line="260" w:lineRule="atLeast"/>
      <w:ind w:right="62"/>
      <w:jc w:val="right"/>
    </w:pPr>
    <w:rPr>
      <w:rFonts w:ascii="Times New Roman" w:hAnsi="Times New Roman"/>
      <w:b/>
      <w:sz w:val="20"/>
    </w:rPr>
  </w:style>
  <w:style w:type="paragraph" w:customStyle="1" w:styleId="210">
    <w:name w:val="Основен текст 21"/>
    <w:basedOn w:val="Normal"/>
    <w:pPr>
      <w:tabs>
        <w:tab w:val="left" w:pos="540"/>
        <w:tab w:val="left" w:pos="900"/>
      </w:tabs>
      <w:ind w:right="-334"/>
    </w:pPr>
    <w:rPr>
      <w:rFonts w:ascii="Times New Roman" w:hAnsi="Times New Roman"/>
      <w:sz w:val="20"/>
    </w:rPr>
  </w:style>
  <w:style w:type="paragraph" w:customStyle="1" w:styleId="31">
    <w:name w:val="Основен текст 31"/>
    <w:basedOn w:val="Normal"/>
    <w:pPr>
      <w:spacing w:line="260" w:lineRule="atLeast"/>
      <w:jc w:val="both"/>
    </w:pPr>
    <w:rPr>
      <w:rFonts w:ascii="Times New Roman" w:hAnsi="Times New Roman"/>
      <w:sz w:val="20"/>
    </w:rPr>
  </w:style>
  <w:style w:type="paragraph" w:customStyle="1" w:styleId="numberpositive">
    <w:name w:val="number positive"/>
    <w:basedOn w:val="Normal"/>
    <w:pPr>
      <w:spacing w:line="260" w:lineRule="atLeast"/>
      <w:ind w:right="62"/>
      <w:jc w:val="right"/>
    </w:pPr>
    <w:rPr>
      <w:rFonts w:ascii="Times New Roman" w:hAnsi="Times New Roman"/>
      <w:sz w:val="20"/>
    </w:rPr>
  </w:style>
  <w:style w:type="paragraph" w:customStyle="1" w:styleId="euroheading">
    <w:name w:val="euro heading"/>
    <w:basedOn w:val="Normal"/>
    <w:pPr>
      <w:spacing w:line="260" w:lineRule="atLeast"/>
      <w:jc w:val="both"/>
    </w:pPr>
    <w:rPr>
      <w:rFonts w:ascii="Times New Roman" w:hAnsi="Times New Roman"/>
      <w:i/>
    </w:rPr>
  </w:style>
  <w:style w:type="paragraph" w:customStyle="1" w:styleId="Bodytext0">
    <w:name w:val="Body text"/>
    <w:pPr>
      <w:widowControl w:val="0"/>
      <w:suppressAutoHyphens/>
      <w:spacing w:line="260" w:lineRule="atLeast"/>
      <w:jc w:val="both"/>
    </w:pPr>
    <w:rPr>
      <w:rFonts w:ascii="TimesNewRomanPS" w:eastAsia="Arial" w:hAnsi="TimesNewRomanPS"/>
      <w:color w:val="000080"/>
      <w:lang w:val="en-GB" w:eastAsia="ar-SA"/>
    </w:rPr>
  </w:style>
  <w:style w:type="paragraph" w:customStyle="1" w:styleId="Heading2h21">
    <w:name w:val="Heading 2.h21"/>
    <w:basedOn w:val="Heading3"/>
    <w:next w:val="BodyText"/>
    <w:pPr>
      <w:numPr>
        <w:ilvl w:val="0"/>
        <w:numId w:val="0"/>
      </w:numPr>
      <w:spacing w:before="0" w:after="130" w:line="280" w:lineRule="atLeast"/>
    </w:pPr>
    <w:rPr>
      <w:rFonts w:ascii="Times New Roman" w:hAnsi="Times New Roman"/>
    </w:rPr>
  </w:style>
  <w:style w:type="paragraph" w:customStyle="1" w:styleId="numbernegative">
    <w:name w:val="number negative"/>
    <w:basedOn w:val="Normal"/>
    <w:pPr>
      <w:spacing w:line="260" w:lineRule="atLeast"/>
      <w:jc w:val="right"/>
    </w:pPr>
    <w:rPr>
      <w:rFonts w:ascii="Times New Roman" w:hAnsi="Times New Roman"/>
      <w:sz w:val="20"/>
    </w:rPr>
  </w:style>
  <w:style w:type="paragraph" w:customStyle="1" w:styleId="notenumber">
    <w:name w:val="note number"/>
    <w:basedOn w:val="Normal"/>
    <w:pPr>
      <w:spacing w:line="260" w:lineRule="atLeast"/>
      <w:ind w:right="85"/>
      <w:jc w:val="right"/>
    </w:pPr>
    <w:rPr>
      <w:rFonts w:ascii="Times New Roman" w:hAnsi="Times New Roman"/>
      <w:sz w:val="20"/>
    </w:rPr>
  </w:style>
  <w:style w:type="paragraph" w:customStyle="1" w:styleId="AccountingPolicy">
    <w:name w:val="Accounting Policy"/>
    <w:basedOn w:val="Normal"/>
    <w:pPr>
      <w:tabs>
        <w:tab w:val="left" w:pos="1106"/>
        <w:tab w:val="left" w:pos="1502"/>
        <w:tab w:val="left" w:pos="1786"/>
      </w:tabs>
      <w:spacing w:line="260" w:lineRule="atLeast"/>
      <w:ind w:left="1502" w:hanging="1502"/>
      <w:jc w:val="both"/>
    </w:pPr>
    <w:rPr>
      <w:rFonts w:ascii="TimesNewRomanPS" w:hAnsi="TimesNewRomanPS"/>
      <w:color w:val="000080"/>
      <w:sz w:val="20"/>
    </w:rPr>
  </w:style>
  <w:style w:type="paragraph" w:customStyle="1" w:styleId="AccountBody2">
    <w:name w:val="AccountBody2"/>
    <w:basedOn w:val="Normal"/>
    <w:next w:val="Normal"/>
    <w:pPr>
      <w:tabs>
        <w:tab w:val="left" w:pos="1077"/>
        <w:tab w:val="left" w:pos="1502"/>
        <w:tab w:val="left" w:pos="1786"/>
        <w:tab w:val="right" w:pos="7143"/>
        <w:tab w:val="decimal" w:pos="8079"/>
        <w:tab w:val="decimal" w:pos="9553"/>
      </w:tabs>
      <w:spacing w:line="260" w:lineRule="atLeast"/>
    </w:pPr>
    <w:rPr>
      <w:rFonts w:ascii="TimesNewRomanPS" w:hAnsi="TimesNewRomanPS"/>
      <w:color w:val="000080"/>
      <w:sz w:val="20"/>
    </w:rPr>
  </w:style>
  <w:style w:type="paragraph" w:customStyle="1" w:styleId="310">
    <w:name w:val="Основен текст с отстъп 31"/>
    <w:basedOn w:val="Normal"/>
    <w:pPr>
      <w:spacing w:line="240" w:lineRule="auto"/>
      <w:ind w:left="1440"/>
      <w:jc w:val="both"/>
    </w:pPr>
    <w:rPr>
      <w:rFonts w:ascii="Times New Roman" w:hAnsi="Times New Roman"/>
      <w:sz w:val="24"/>
    </w:rPr>
  </w:style>
  <w:style w:type="paragraph" w:customStyle="1" w:styleId="xl37">
    <w:name w:val="xl37"/>
    <w:basedOn w:val="Normal"/>
    <w:pP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40">
    <w:name w:val="xl40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41">
    <w:name w:val="xl41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42">
    <w:name w:val="xl4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sz w:val="24"/>
    </w:rPr>
  </w:style>
  <w:style w:type="paragraph" w:customStyle="1" w:styleId="xl43">
    <w:name w:val="xl4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44">
    <w:name w:val="xl44"/>
    <w:basedOn w:val="Normal"/>
    <w:pPr>
      <w:pBdr>
        <w:left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45">
    <w:name w:val="xl45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b/>
      <w:i/>
      <w:sz w:val="24"/>
    </w:rPr>
  </w:style>
  <w:style w:type="paragraph" w:customStyle="1" w:styleId="xl46">
    <w:name w:val="xl4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47">
    <w:name w:val="xl4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right"/>
    </w:pPr>
    <w:rPr>
      <w:rFonts w:ascii="Times New Roman" w:hAnsi="Times New Roman"/>
      <w:b/>
      <w:sz w:val="24"/>
    </w:rPr>
  </w:style>
  <w:style w:type="paragraph" w:customStyle="1" w:styleId="xl48">
    <w:name w:val="xl4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b/>
      <w:i/>
      <w:sz w:val="24"/>
    </w:rPr>
  </w:style>
  <w:style w:type="paragraph" w:customStyle="1" w:styleId="xl49">
    <w:name w:val="xl4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b/>
      <w:i/>
      <w:sz w:val="24"/>
    </w:rPr>
  </w:style>
  <w:style w:type="paragraph" w:customStyle="1" w:styleId="xl50">
    <w:name w:val="xl5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51">
    <w:name w:val="xl5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52">
    <w:name w:val="xl5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53">
    <w:name w:val="xl5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55">
    <w:name w:val="xl5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56">
    <w:name w:val="xl5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b/>
      <w:sz w:val="24"/>
    </w:rPr>
  </w:style>
  <w:style w:type="paragraph" w:customStyle="1" w:styleId="xl57">
    <w:name w:val="xl5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sz w:val="24"/>
    </w:rPr>
  </w:style>
  <w:style w:type="paragraph" w:customStyle="1" w:styleId="xl58">
    <w:name w:val="xl5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59">
    <w:name w:val="xl5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60">
    <w:name w:val="xl6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61">
    <w:name w:val="xl6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b/>
      <w:sz w:val="24"/>
    </w:rPr>
  </w:style>
  <w:style w:type="paragraph" w:customStyle="1" w:styleId="xl62">
    <w:name w:val="xl6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xl63">
    <w:name w:val="xl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64">
    <w:name w:val="xl6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70">
    <w:name w:val="xl70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5">
    <w:name w:val="Блоков текст1"/>
    <w:basedOn w:val="Normal"/>
    <w:pPr>
      <w:spacing w:line="360" w:lineRule="auto"/>
      <w:ind w:left="57" w:right="57" w:firstLine="357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6">
    <w:name w:val="План на документа1"/>
    <w:basedOn w:val="Normal"/>
    <w:pPr>
      <w:shd w:val="clear" w:color="auto" w:fill="000080"/>
    </w:pPr>
    <w:rPr>
      <w:rFonts w:ascii="Tahoma" w:hAnsi="Tahoma"/>
    </w:rPr>
  </w:style>
  <w:style w:type="paragraph" w:customStyle="1" w:styleId="-2">
    <w:name w:val="Таблица - съдържание"/>
    <w:basedOn w:val="Normal"/>
    <w:pPr>
      <w:suppressLineNumbers/>
    </w:pPr>
  </w:style>
  <w:style w:type="paragraph" w:customStyle="1" w:styleId="-3">
    <w:name w:val="Таблица - заглавие"/>
    <w:basedOn w:val="-2"/>
    <w:pPr>
      <w:jc w:val="center"/>
    </w:pPr>
    <w:rPr>
      <w:b/>
      <w:bCs/>
      <w:i/>
      <w:iCs/>
    </w:rPr>
  </w:style>
  <w:style w:type="paragraph" w:customStyle="1" w:styleId="-4">
    <w:name w:val="Рамка - съдържание"/>
    <w:basedOn w:val="BodyText"/>
  </w:style>
  <w:style w:type="paragraph" w:styleId="BalloonText">
    <w:name w:val="Balloon Text"/>
    <w:basedOn w:val="Normal"/>
    <w:link w:val="BalloonTextChar"/>
    <w:rsid w:val="000065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65ED"/>
    <w:rPr>
      <w:rFonts w:ascii="Tahoma" w:hAnsi="Tahoma" w:cs="Tahoma"/>
      <w:sz w:val="16"/>
      <w:szCs w:val="1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1E436-381A-4E30-919A-3004495D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2835</Words>
  <Characters>16166</Characters>
  <Application>Microsoft Office Word</Application>
  <DocSecurity>0</DocSecurity>
  <Lines>134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Income statement</vt:lpstr>
      <vt:lpstr>Income statement</vt:lpstr>
    </vt:vector>
  </TitlesOfParts>
  <Company>- ETH0 -</Company>
  <LinksUpToDate>false</LinksUpToDate>
  <CharactersWithSpaces>18964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statement</dc:title>
  <dc:subject>Illustrative fs</dc:subject>
  <dc:creator>Daniel Rahnev</dc:creator>
  <cp:lastModifiedBy>mariya</cp:lastModifiedBy>
  <cp:revision>2</cp:revision>
  <cp:lastPrinted>2019-02-28T08:42:00Z</cp:lastPrinted>
  <dcterms:created xsi:type="dcterms:W3CDTF">2019-03-26T15:21:00Z</dcterms:created>
  <dcterms:modified xsi:type="dcterms:W3CDTF">2019-03-26T15:21:00Z</dcterms:modified>
</cp:coreProperties>
</file>