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DA5" w:rsidRDefault="008D2DA5">
      <w:pPr>
        <w:jc w:val="center"/>
        <w:rPr>
          <w:b/>
          <w:sz w:val="32"/>
          <w:lang w:val="bg-BG"/>
        </w:rPr>
      </w:pPr>
      <w:r>
        <w:rPr>
          <w:b/>
          <w:sz w:val="32"/>
          <w:lang w:val="bg-BG"/>
        </w:rPr>
        <w:t xml:space="preserve">ГОДИШЕН ДОКЛАД ЗА ДЕЙНОСТТА </w:t>
      </w:r>
    </w:p>
    <w:p w:rsidR="008D2DA5" w:rsidRDefault="008D2DA5">
      <w:pPr>
        <w:jc w:val="center"/>
        <w:rPr>
          <w:b/>
          <w:sz w:val="32"/>
          <w:lang w:val="bg-BG"/>
        </w:rPr>
      </w:pPr>
      <w:r>
        <w:rPr>
          <w:b/>
          <w:sz w:val="32"/>
          <w:lang w:val="bg-BG"/>
        </w:rPr>
        <w:t>НА СД„НАЧЕВИ-90-С-ие” ПРЕЗ 201</w:t>
      </w:r>
      <w:r w:rsidR="00666C7F">
        <w:rPr>
          <w:b/>
          <w:sz w:val="32"/>
          <w:lang w:val="bg-BG"/>
        </w:rPr>
        <w:t>8</w:t>
      </w:r>
      <w:r>
        <w:rPr>
          <w:b/>
          <w:sz w:val="32"/>
          <w:lang w:val="bg-BG"/>
        </w:rPr>
        <w:t xml:space="preserve"> ГОДИНА</w:t>
      </w:r>
    </w:p>
    <w:p w:rsidR="008D2DA5" w:rsidRDefault="008D2DA5">
      <w:pPr>
        <w:spacing w:line="360" w:lineRule="auto"/>
        <w:jc w:val="both"/>
        <w:rPr>
          <w:lang w:val="bg-BG"/>
        </w:rPr>
      </w:pPr>
    </w:p>
    <w:p w:rsidR="008D2DA5" w:rsidRDefault="008D2DA5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>Този доклад е изготвен на основание изискванията на Закона за счетоводството и Търговския закон. Докладът представя коментар и анализ на годишния финансов отчет, както и друга съществена информация относно финансовото състояние и резултатите от дейността на дружеството.</w:t>
      </w:r>
    </w:p>
    <w:p w:rsidR="008D2DA5" w:rsidRDefault="008D2DA5">
      <w:pPr>
        <w:spacing w:line="360" w:lineRule="auto"/>
        <w:ind w:firstLine="708"/>
        <w:jc w:val="both"/>
        <w:rPr>
          <w:lang w:val="bg-BG"/>
        </w:rPr>
      </w:pPr>
      <w:r>
        <w:rPr>
          <w:lang w:val="bg-BG"/>
        </w:rPr>
        <w:t>При изготвянето на доклада са спазени принципите на вярно и честно представяне.</w:t>
      </w:r>
    </w:p>
    <w:p w:rsidR="008D2DA5" w:rsidRDefault="008D2DA5">
      <w:pPr>
        <w:pStyle w:val="BodyText"/>
        <w:spacing w:line="360" w:lineRule="auto"/>
        <w:rPr>
          <w:lang w:val="bg-BG"/>
        </w:rPr>
      </w:pPr>
      <w:r>
        <w:rPr>
          <w:lang w:val="bg-BG"/>
        </w:rPr>
        <w:tab/>
        <w:t>Доклада за дейността да се разглежда в едно с финансовия отчет на дружеството за 201</w:t>
      </w:r>
      <w:r w:rsidR="00666C7F">
        <w:rPr>
          <w:lang w:val="bg-BG"/>
        </w:rPr>
        <w:t>8</w:t>
      </w:r>
      <w:r>
        <w:rPr>
          <w:lang w:val="bg-BG"/>
        </w:rPr>
        <w:t xml:space="preserve"> г. </w:t>
      </w:r>
    </w:p>
    <w:p w:rsidR="008D2DA5" w:rsidRDefault="008D2DA5">
      <w:pPr>
        <w:pStyle w:val="BodyText"/>
        <w:spacing w:line="360" w:lineRule="auto"/>
        <w:rPr>
          <w:lang w:val="bg-BG"/>
        </w:rPr>
      </w:pPr>
      <w:r>
        <w:rPr>
          <w:lang w:val="bg-BG"/>
        </w:rPr>
        <w:t xml:space="preserve">            Дружеството е учредено с Решение</w:t>
      </w:r>
      <w:r>
        <w:rPr>
          <w:b/>
          <w:i/>
          <w:lang w:val="bg-BG"/>
        </w:rPr>
        <w:t xml:space="preserve">  №  73 / 03.01.</w:t>
      </w:r>
      <w:r>
        <w:rPr>
          <w:b/>
          <w:i/>
        </w:rPr>
        <w:t>199</w:t>
      </w:r>
      <w:r>
        <w:rPr>
          <w:b/>
          <w:i/>
          <w:lang w:val="bg-BG"/>
        </w:rPr>
        <w:t>1г.</w:t>
      </w:r>
      <w:r>
        <w:rPr>
          <w:lang w:val="bg-BG"/>
        </w:rPr>
        <w:t xml:space="preserve"> на Сливенския Окръжен съд.</w:t>
      </w:r>
    </w:p>
    <w:p w:rsidR="0098080B" w:rsidRDefault="008D2DA5" w:rsidP="0098080B">
      <w:pPr>
        <w:pStyle w:val="BodyText"/>
        <w:spacing w:line="360" w:lineRule="auto"/>
        <w:rPr>
          <w:lang w:val="be-BY"/>
        </w:rPr>
      </w:pPr>
      <w:r>
        <w:rPr>
          <w:lang w:val="bg-BG"/>
        </w:rPr>
        <w:t xml:space="preserve">            СД „Начеви-90-С-ие” не е капиталово дружество, то е учредено без срок от шестима съдружници и се управлява от тях заедно и поотделно.  </w:t>
      </w:r>
      <w:r w:rsidR="0098080B">
        <w:rPr>
          <w:lang w:val="be-BY"/>
        </w:rPr>
        <w:t>През отчетния период не са настъпили промени в основните принципи на управление на дружеството. Управител</w:t>
      </w:r>
      <w:r w:rsidR="0098080B">
        <w:rPr>
          <w:lang w:val="bg-BG"/>
        </w:rPr>
        <w:t>ите</w:t>
      </w:r>
      <w:r w:rsidR="00C5230C">
        <w:rPr>
          <w:lang w:val="be-BY"/>
        </w:rPr>
        <w:t xml:space="preserve"> на дружеството са съдружници</w:t>
      </w:r>
      <w:r w:rsidR="00DF621D">
        <w:rPr>
          <w:lang w:val="bg-BG"/>
        </w:rPr>
        <w:t>,</w:t>
      </w:r>
      <w:r w:rsidR="00C5230C">
        <w:rPr>
          <w:lang w:val="be-BY"/>
        </w:rPr>
        <w:t xml:space="preserve"> </w:t>
      </w:r>
      <w:r w:rsidR="00C5230C">
        <w:t>като</w:t>
      </w:r>
      <w:r w:rsidR="0098080B">
        <w:rPr>
          <w:lang w:val="be-BY"/>
        </w:rPr>
        <w:t xml:space="preserve"> </w:t>
      </w:r>
      <w:r w:rsidR="00C5230C">
        <w:rPr>
          <w:lang w:val="be-BY"/>
        </w:rPr>
        <w:t>п</w:t>
      </w:r>
      <w:r w:rsidR="00D01340">
        <w:rPr>
          <w:lang w:val="be-BY"/>
        </w:rPr>
        <w:t>рез 2018</w:t>
      </w:r>
      <w:r w:rsidR="0098080B">
        <w:rPr>
          <w:lang w:val="be-BY"/>
        </w:rPr>
        <w:t xml:space="preserve"> г. са пол</w:t>
      </w:r>
      <w:r w:rsidR="00CD2C90">
        <w:rPr>
          <w:lang w:val="be-BY"/>
        </w:rPr>
        <w:t xml:space="preserve">учили дивиденти в размер на </w:t>
      </w:r>
      <w:r w:rsidR="00D01340">
        <w:rPr>
          <w:lang w:val="be-BY"/>
        </w:rPr>
        <w:t>1073</w:t>
      </w:r>
      <w:r w:rsidR="00DF621D">
        <w:rPr>
          <w:lang w:val="be-BY"/>
        </w:rPr>
        <w:t xml:space="preserve"> </w:t>
      </w:r>
      <w:r w:rsidR="0098080B">
        <w:rPr>
          <w:lang w:val="be-BY"/>
        </w:rPr>
        <w:t>хил. лв.</w:t>
      </w:r>
    </w:p>
    <w:p w:rsidR="0098080B" w:rsidRPr="007A5F8B" w:rsidRDefault="0098080B" w:rsidP="0098080B">
      <w:pPr>
        <w:pStyle w:val="BodyText"/>
        <w:spacing w:line="360" w:lineRule="auto"/>
        <w:rPr>
          <w:lang w:val="bg-BG"/>
        </w:rPr>
      </w:pPr>
      <w:r>
        <w:tab/>
        <w:t>Дружеството няма регистрирани клонове.</w:t>
      </w:r>
      <w:r>
        <w:rPr>
          <w:lang w:val="bg-BG"/>
        </w:rPr>
        <w:t xml:space="preserve"> Дружеството няма съучастия в други дружества.</w:t>
      </w:r>
    </w:p>
    <w:p w:rsidR="0098080B" w:rsidRPr="00241F77" w:rsidRDefault="0098080B" w:rsidP="0098080B">
      <w:pPr>
        <w:spacing w:line="360" w:lineRule="auto"/>
        <w:ind w:firstLine="720"/>
        <w:jc w:val="both"/>
        <w:rPr>
          <w:b/>
          <w:sz w:val="28"/>
          <w:lang w:val="bg-BG"/>
        </w:rPr>
      </w:pPr>
      <w:r w:rsidRPr="00241F77">
        <w:rPr>
          <w:b/>
          <w:sz w:val="28"/>
          <w:lang w:val="bg-BG"/>
        </w:rPr>
        <w:t>І. Финансово състояние</w:t>
      </w:r>
      <w:r>
        <w:rPr>
          <w:b/>
          <w:sz w:val="28"/>
          <w:lang w:val="bg-BG"/>
        </w:rPr>
        <w:t>.</w:t>
      </w:r>
    </w:p>
    <w:p w:rsidR="0098080B" w:rsidRDefault="0098080B" w:rsidP="0098080B">
      <w:pPr>
        <w:pStyle w:val="BodyText"/>
        <w:spacing w:line="360" w:lineRule="auto"/>
        <w:rPr>
          <w:lang w:val="be-BY"/>
        </w:rPr>
      </w:pPr>
      <w:r>
        <w:rPr>
          <w:lang w:val="be-BY"/>
        </w:rPr>
        <w:t xml:space="preserve">Основен предмет на дейност на дружеството е производство на тапицирани мебели и производство на активна еленергия в землището на с. Бяла.  </w:t>
      </w:r>
    </w:p>
    <w:p w:rsidR="0098080B" w:rsidRDefault="0098080B" w:rsidP="0098080B">
      <w:pPr>
        <w:pStyle w:val="BodyText"/>
        <w:spacing w:line="360" w:lineRule="auto"/>
        <w:ind w:firstLine="720"/>
        <w:rPr>
          <w:lang w:val="be-BY"/>
        </w:rPr>
      </w:pPr>
      <w:r>
        <w:rPr>
          <w:lang w:val="be-BY"/>
        </w:rPr>
        <w:t xml:space="preserve">Произведената електроенергия се изкупува по силата на двадесет годишен договор на преференциални цени от </w:t>
      </w:r>
      <w:r w:rsidR="00BA34EF">
        <w:rPr>
          <w:lang w:val="be-BY"/>
        </w:rPr>
        <w:t xml:space="preserve">ЕВН България електроснабдяване </w:t>
      </w:r>
      <w:r>
        <w:rPr>
          <w:lang w:val="bg-BG"/>
        </w:rPr>
        <w:t>ЕАД</w:t>
      </w:r>
      <w:r>
        <w:rPr>
          <w:lang w:val="be-BY"/>
        </w:rPr>
        <w:t>.</w:t>
      </w:r>
    </w:p>
    <w:p w:rsidR="0098080B" w:rsidRDefault="0098080B" w:rsidP="0098080B">
      <w:pPr>
        <w:pStyle w:val="BodyText"/>
        <w:spacing w:line="360" w:lineRule="auto"/>
        <w:rPr>
          <w:lang w:val="be-BY"/>
        </w:rPr>
      </w:pPr>
    </w:p>
    <w:tbl>
      <w:tblPr>
        <w:tblW w:w="10491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4"/>
        <w:gridCol w:w="2127"/>
        <w:gridCol w:w="1276"/>
        <w:gridCol w:w="1275"/>
        <w:gridCol w:w="1418"/>
        <w:gridCol w:w="1417"/>
        <w:gridCol w:w="1418"/>
        <w:gridCol w:w="1276"/>
      </w:tblGrid>
      <w:tr w:rsidR="0092392A" w:rsidRPr="00E04594" w:rsidTr="008840D8">
        <w:tblPrEx>
          <w:tblCellMar>
            <w:top w:w="0" w:type="dxa"/>
            <w:bottom w:w="0" w:type="dxa"/>
          </w:tblCellMar>
        </w:tblPrEx>
        <w:trPr>
          <w:trHeight w:val="605"/>
        </w:trPr>
        <w:tc>
          <w:tcPr>
            <w:tcW w:w="284" w:type="dxa"/>
          </w:tcPr>
          <w:p w:rsidR="0092392A" w:rsidRPr="00E04594" w:rsidRDefault="0092392A" w:rsidP="004B4857">
            <w:pPr>
              <w:jc w:val="center"/>
              <w:rPr>
                <w:rFonts w:ascii="Arial" w:hAnsi="Arial"/>
                <w:b/>
                <w:sz w:val="20"/>
              </w:rPr>
            </w:pPr>
            <w:r w:rsidRPr="00E04594">
              <w:rPr>
                <w:rFonts w:ascii="Arial" w:hAnsi="Arial"/>
                <w:b/>
                <w:sz w:val="20"/>
              </w:rPr>
              <w:t>№</w:t>
            </w:r>
          </w:p>
        </w:tc>
        <w:tc>
          <w:tcPr>
            <w:tcW w:w="2127" w:type="dxa"/>
          </w:tcPr>
          <w:p w:rsidR="0092392A" w:rsidRPr="00267368" w:rsidRDefault="0092392A" w:rsidP="004B4857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  <w:r>
              <w:rPr>
                <w:rFonts w:ascii="Arial" w:hAnsi="Arial"/>
                <w:b/>
                <w:sz w:val="20"/>
                <w:lang w:val="bg-BG"/>
              </w:rPr>
              <w:t>Нетни приходи от продажби</w:t>
            </w:r>
          </w:p>
        </w:tc>
        <w:tc>
          <w:tcPr>
            <w:tcW w:w="1276" w:type="dxa"/>
          </w:tcPr>
          <w:p w:rsidR="0092392A" w:rsidRPr="00CD2C90" w:rsidRDefault="0092392A" w:rsidP="004B4857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  <w:r w:rsidRPr="00E04594">
              <w:rPr>
                <w:rFonts w:ascii="Arial" w:hAnsi="Arial"/>
                <w:b/>
                <w:sz w:val="20"/>
              </w:rPr>
              <w:t>201</w:t>
            </w:r>
            <w:r>
              <w:rPr>
                <w:rFonts w:ascii="Arial" w:hAnsi="Arial"/>
                <w:b/>
                <w:sz w:val="20"/>
                <w:lang w:val="bg-BG"/>
              </w:rPr>
              <w:t>8</w:t>
            </w:r>
          </w:p>
          <w:p w:rsidR="0092392A" w:rsidRPr="00E04594" w:rsidRDefault="0092392A" w:rsidP="004B4857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kWh</w:t>
            </w:r>
          </w:p>
        </w:tc>
        <w:tc>
          <w:tcPr>
            <w:tcW w:w="1275" w:type="dxa"/>
          </w:tcPr>
          <w:p w:rsidR="0092392A" w:rsidRPr="00E04594" w:rsidRDefault="0092392A" w:rsidP="004B4857">
            <w:pPr>
              <w:jc w:val="center"/>
              <w:rPr>
                <w:rFonts w:ascii="Arial" w:hAnsi="Arial"/>
                <w:b/>
                <w:sz w:val="20"/>
              </w:rPr>
            </w:pPr>
            <w:r w:rsidRPr="00E04594">
              <w:rPr>
                <w:rFonts w:ascii="Arial" w:hAnsi="Arial"/>
                <w:b/>
                <w:sz w:val="20"/>
              </w:rPr>
              <w:t>Стойност</w:t>
            </w:r>
          </w:p>
          <w:p w:rsidR="0092392A" w:rsidRPr="00E04594" w:rsidRDefault="0092392A" w:rsidP="004B4857">
            <w:pPr>
              <w:jc w:val="center"/>
              <w:rPr>
                <w:rFonts w:ascii="Arial" w:hAnsi="Arial"/>
                <w:b/>
                <w:sz w:val="20"/>
              </w:rPr>
            </w:pPr>
            <w:r w:rsidRPr="00E04594">
              <w:rPr>
                <w:rFonts w:ascii="Arial" w:hAnsi="Arial"/>
                <w:b/>
                <w:sz w:val="20"/>
              </w:rPr>
              <w:t>хил. лв.</w:t>
            </w:r>
          </w:p>
        </w:tc>
        <w:tc>
          <w:tcPr>
            <w:tcW w:w="1418" w:type="dxa"/>
          </w:tcPr>
          <w:p w:rsidR="0092392A" w:rsidRPr="000F483A" w:rsidRDefault="0092392A" w:rsidP="004B4857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  <w:r>
              <w:rPr>
                <w:rFonts w:ascii="Arial" w:hAnsi="Arial"/>
                <w:b/>
                <w:sz w:val="20"/>
                <w:lang w:val="bg-BG"/>
              </w:rPr>
              <w:t>Относител дял %</w:t>
            </w:r>
          </w:p>
        </w:tc>
        <w:tc>
          <w:tcPr>
            <w:tcW w:w="1417" w:type="dxa"/>
          </w:tcPr>
          <w:p w:rsidR="0092392A" w:rsidRPr="00CD2C90" w:rsidRDefault="0092392A" w:rsidP="00A6375B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  <w:r w:rsidRPr="00E04594">
              <w:rPr>
                <w:rFonts w:ascii="Arial" w:hAnsi="Arial"/>
                <w:b/>
                <w:sz w:val="20"/>
              </w:rPr>
              <w:t>201</w:t>
            </w:r>
            <w:r>
              <w:rPr>
                <w:rFonts w:ascii="Arial" w:hAnsi="Arial"/>
                <w:b/>
                <w:sz w:val="20"/>
                <w:lang w:val="bg-BG"/>
              </w:rPr>
              <w:t>7</w:t>
            </w:r>
          </w:p>
          <w:p w:rsidR="0092392A" w:rsidRPr="00E04594" w:rsidRDefault="0092392A" w:rsidP="00A6375B">
            <w:pPr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kWh</w:t>
            </w:r>
          </w:p>
        </w:tc>
        <w:tc>
          <w:tcPr>
            <w:tcW w:w="1418" w:type="dxa"/>
          </w:tcPr>
          <w:p w:rsidR="0092392A" w:rsidRPr="00E04594" w:rsidRDefault="0092392A" w:rsidP="00A6375B">
            <w:pPr>
              <w:jc w:val="center"/>
              <w:rPr>
                <w:rFonts w:ascii="Arial" w:hAnsi="Arial"/>
                <w:b/>
                <w:sz w:val="20"/>
              </w:rPr>
            </w:pPr>
            <w:r w:rsidRPr="00E04594">
              <w:rPr>
                <w:rFonts w:ascii="Arial" w:hAnsi="Arial"/>
                <w:b/>
                <w:sz w:val="20"/>
              </w:rPr>
              <w:t>Стойност</w:t>
            </w:r>
          </w:p>
          <w:p w:rsidR="0092392A" w:rsidRPr="00E04594" w:rsidRDefault="0092392A" w:rsidP="00A6375B">
            <w:pPr>
              <w:jc w:val="center"/>
              <w:rPr>
                <w:rFonts w:ascii="Arial" w:hAnsi="Arial"/>
                <w:b/>
                <w:sz w:val="20"/>
              </w:rPr>
            </w:pPr>
            <w:r w:rsidRPr="00E04594">
              <w:rPr>
                <w:rFonts w:ascii="Arial" w:hAnsi="Arial"/>
                <w:b/>
                <w:sz w:val="20"/>
              </w:rPr>
              <w:t>хил. лв.</w:t>
            </w:r>
          </w:p>
        </w:tc>
        <w:tc>
          <w:tcPr>
            <w:tcW w:w="1276" w:type="dxa"/>
          </w:tcPr>
          <w:p w:rsidR="0092392A" w:rsidRPr="000F483A" w:rsidRDefault="0092392A" w:rsidP="00A6375B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  <w:r>
              <w:rPr>
                <w:rFonts w:ascii="Arial" w:hAnsi="Arial"/>
                <w:b/>
                <w:sz w:val="20"/>
                <w:lang w:val="bg-BG"/>
              </w:rPr>
              <w:t>Относител дял %</w:t>
            </w:r>
          </w:p>
        </w:tc>
      </w:tr>
      <w:tr w:rsidR="0092392A" w:rsidRPr="00DE2E0D" w:rsidTr="008840D8">
        <w:tblPrEx>
          <w:tblCellMar>
            <w:top w:w="0" w:type="dxa"/>
            <w:bottom w:w="0" w:type="dxa"/>
          </w:tblCellMar>
        </w:tblPrEx>
        <w:trPr>
          <w:trHeight w:val="370"/>
        </w:trPr>
        <w:tc>
          <w:tcPr>
            <w:tcW w:w="284" w:type="dxa"/>
          </w:tcPr>
          <w:p w:rsidR="0092392A" w:rsidRPr="00DE2E0D" w:rsidRDefault="0092392A" w:rsidP="004B4857">
            <w:pPr>
              <w:jc w:val="both"/>
              <w:rPr>
                <w:rFonts w:ascii="Arial" w:hAnsi="Arial"/>
                <w:sz w:val="20"/>
              </w:rPr>
            </w:pPr>
            <w:r w:rsidRPr="00DE2E0D">
              <w:rPr>
                <w:rFonts w:ascii="Arial" w:hAnsi="Arial"/>
                <w:sz w:val="20"/>
              </w:rPr>
              <w:t>1</w:t>
            </w:r>
          </w:p>
        </w:tc>
        <w:tc>
          <w:tcPr>
            <w:tcW w:w="2127" w:type="dxa"/>
          </w:tcPr>
          <w:p w:rsidR="0092392A" w:rsidRPr="00267368" w:rsidRDefault="0092392A" w:rsidP="004B4857">
            <w:pPr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</w:rPr>
              <w:t>E</w:t>
            </w:r>
            <w:r>
              <w:rPr>
                <w:rFonts w:ascii="Arial" w:hAnsi="Arial"/>
                <w:sz w:val="20"/>
                <w:lang w:val="bg-BG"/>
              </w:rPr>
              <w:t>лектроенергия</w:t>
            </w:r>
          </w:p>
        </w:tc>
        <w:tc>
          <w:tcPr>
            <w:tcW w:w="1276" w:type="dxa"/>
          </w:tcPr>
          <w:p w:rsidR="0092392A" w:rsidRPr="000E7936" w:rsidRDefault="00A4075E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4 079 293</w:t>
            </w:r>
          </w:p>
        </w:tc>
        <w:tc>
          <w:tcPr>
            <w:tcW w:w="1275" w:type="dxa"/>
          </w:tcPr>
          <w:p w:rsidR="0092392A" w:rsidRPr="00921D9B" w:rsidRDefault="00A4075E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768</w:t>
            </w:r>
          </w:p>
        </w:tc>
        <w:tc>
          <w:tcPr>
            <w:tcW w:w="1418" w:type="dxa"/>
          </w:tcPr>
          <w:p w:rsidR="0092392A" w:rsidRPr="000F483A" w:rsidRDefault="00A4075E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4,11</w:t>
            </w:r>
          </w:p>
        </w:tc>
        <w:tc>
          <w:tcPr>
            <w:tcW w:w="1417" w:type="dxa"/>
          </w:tcPr>
          <w:p w:rsidR="0092392A" w:rsidRPr="000E7936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4 881 767</w:t>
            </w:r>
          </w:p>
        </w:tc>
        <w:tc>
          <w:tcPr>
            <w:tcW w:w="1418" w:type="dxa"/>
          </w:tcPr>
          <w:p w:rsidR="0092392A" w:rsidRPr="00921D9B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919</w:t>
            </w:r>
          </w:p>
        </w:tc>
        <w:tc>
          <w:tcPr>
            <w:tcW w:w="1276" w:type="dxa"/>
          </w:tcPr>
          <w:p w:rsidR="0092392A" w:rsidRPr="000F483A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7,38</w:t>
            </w:r>
          </w:p>
        </w:tc>
      </w:tr>
      <w:tr w:rsidR="0092392A" w:rsidRPr="00DE2E0D" w:rsidTr="008840D8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84" w:type="dxa"/>
          </w:tcPr>
          <w:p w:rsidR="0092392A" w:rsidRPr="00921D9B" w:rsidRDefault="0092392A" w:rsidP="004B4857">
            <w:pPr>
              <w:jc w:val="both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2</w:t>
            </w:r>
          </w:p>
        </w:tc>
        <w:tc>
          <w:tcPr>
            <w:tcW w:w="2127" w:type="dxa"/>
          </w:tcPr>
          <w:p w:rsidR="0092392A" w:rsidRDefault="0092392A" w:rsidP="004B4857">
            <w:pPr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Мебели</w:t>
            </w:r>
          </w:p>
        </w:tc>
        <w:tc>
          <w:tcPr>
            <w:tcW w:w="1276" w:type="dxa"/>
          </w:tcPr>
          <w:p w:rsidR="0092392A" w:rsidRDefault="0092392A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</w:p>
        </w:tc>
        <w:tc>
          <w:tcPr>
            <w:tcW w:w="1275" w:type="dxa"/>
          </w:tcPr>
          <w:p w:rsidR="0092392A" w:rsidRPr="00921D9B" w:rsidRDefault="00A4075E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17 717</w:t>
            </w:r>
          </w:p>
        </w:tc>
        <w:tc>
          <w:tcPr>
            <w:tcW w:w="1418" w:type="dxa"/>
          </w:tcPr>
          <w:p w:rsidR="0092392A" w:rsidRDefault="00A4075E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94,94</w:t>
            </w:r>
          </w:p>
        </w:tc>
        <w:tc>
          <w:tcPr>
            <w:tcW w:w="1417" w:type="dxa"/>
          </w:tcPr>
          <w:p w:rsidR="0092392A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</w:p>
        </w:tc>
        <w:tc>
          <w:tcPr>
            <w:tcW w:w="1418" w:type="dxa"/>
          </w:tcPr>
          <w:p w:rsidR="0092392A" w:rsidRPr="00921D9B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11 392</w:t>
            </w:r>
          </w:p>
        </w:tc>
        <w:tc>
          <w:tcPr>
            <w:tcW w:w="1276" w:type="dxa"/>
          </w:tcPr>
          <w:p w:rsidR="0092392A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91,54</w:t>
            </w:r>
          </w:p>
        </w:tc>
      </w:tr>
      <w:tr w:rsidR="0092392A" w:rsidRPr="00DE2E0D" w:rsidTr="008840D8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84" w:type="dxa"/>
          </w:tcPr>
          <w:p w:rsidR="0092392A" w:rsidRDefault="0092392A" w:rsidP="004B4857">
            <w:pPr>
              <w:jc w:val="both"/>
              <w:rPr>
                <w:rFonts w:ascii="Arial" w:hAnsi="Arial"/>
                <w:sz w:val="20"/>
                <w:lang w:val="bg-BG"/>
              </w:rPr>
            </w:pPr>
          </w:p>
        </w:tc>
        <w:tc>
          <w:tcPr>
            <w:tcW w:w="2127" w:type="dxa"/>
          </w:tcPr>
          <w:p w:rsidR="0092392A" w:rsidRDefault="0092392A" w:rsidP="004B4857">
            <w:pPr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в т.ч. външен пазар</w:t>
            </w:r>
          </w:p>
        </w:tc>
        <w:tc>
          <w:tcPr>
            <w:tcW w:w="1276" w:type="dxa"/>
          </w:tcPr>
          <w:p w:rsidR="0092392A" w:rsidRDefault="0092392A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</w:p>
        </w:tc>
        <w:tc>
          <w:tcPr>
            <w:tcW w:w="1275" w:type="dxa"/>
          </w:tcPr>
          <w:p w:rsidR="0092392A" w:rsidRDefault="00A4075E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16 994</w:t>
            </w:r>
          </w:p>
        </w:tc>
        <w:tc>
          <w:tcPr>
            <w:tcW w:w="1418" w:type="dxa"/>
          </w:tcPr>
          <w:p w:rsidR="0092392A" w:rsidRDefault="0092392A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</w:p>
        </w:tc>
        <w:tc>
          <w:tcPr>
            <w:tcW w:w="1417" w:type="dxa"/>
          </w:tcPr>
          <w:p w:rsidR="0092392A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</w:p>
        </w:tc>
        <w:tc>
          <w:tcPr>
            <w:tcW w:w="1418" w:type="dxa"/>
          </w:tcPr>
          <w:p w:rsidR="0092392A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10 423</w:t>
            </w:r>
          </w:p>
        </w:tc>
        <w:tc>
          <w:tcPr>
            <w:tcW w:w="1276" w:type="dxa"/>
          </w:tcPr>
          <w:p w:rsidR="0092392A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</w:p>
        </w:tc>
      </w:tr>
      <w:tr w:rsidR="0092392A" w:rsidRPr="00DE2E0D" w:rsidTr="008840D8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84" w:type="dxa"/>
          </w:tcPr>
          <w:p w:rsidR="0092392A" w:rsidRPr="00921D9B" w:rsidRDefault="0092392A" w:rsidP="004B4857">
            <w:pPr>
              <w:jc w:val="both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3</w:t>
            </w:r>
          </w:p>
        </w:tc>
        <w:tc>
          <w:tcPr>
            <w:tcW w:w="2127" w:type="dxa"/>
          </w:tcPr>
          <w:p w:rsidR="0092392A" w:rsidRDefault="0092392A" w:rsidP="004B4857">
            <w:pPr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Стоки</w:t>
            </w:r>
          </w:p>
        </w:tc>
        <w:tc>
          <w:tcPr>
            <w:tcW w:w="1276" w:type="dxa"/>
          </w:tcPr>
          <w:p w:rsidR="0092392A" w:rsidRDefault="0092392A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</w:p>
        </w:tc>
        <w:tc>
          <w:tcPr>
            <w:tcW w:w="1275" w:type="dxa"/>
          </w:tcPr>
          <w:p w:rsidR="0092392A" w:rsidRPr="00BA34EF" w:rsidRDefault="00A4075E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163</w:t>
            </w:r>
          </w:p>
        </w:tc>
        <w:tc>
          <w:tcPr>
            <w:tcW w:w="1418" w:type="dxa"/>
          </w:tcPr>
          <w:p w:rsidR="0092392A" w:rsidRDefault="00A4075E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0,87</w:t>
            </w:r>
          </w:p>
        </w:tc>
        <w:tc>
          <w:tcPr>
            <w:tcW w:w="1417" w:type="dxa"/>
          </w:tcPr>
          <w:p w:rsidR="0092392A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</w:p>
        </w:tc>
        <w:tc>
          <w:tcPr>
            <w:tcW w:w="1418" w:type="dxa"/>
          </w:tcPr>
          <w:p w:rsidR="0092392A" w:rsidRPr="00BA34EF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121</w:t>
            </w:r>
          </w:p>
        </w:tc>
        <w:tc>
          <w:tcPr>
            <w:tcW w:w="1276" w:type="dxa"/>
          </w:tcPr>
          <w:p w:rsidR="0092392A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0,97</w:t>
            </w:r>
          </w:p>
        </w:tc>
      </w:tr>
      <w:tr w:rsidR="0092392A" w:rsidRPr="00DE2E0D" w:rsidTr="008840D8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84" w:type="dxa"/>
          </w:tcPr>
          <w:p w:rsidR="0092392A" w:rsidRPr="00921D9B" w:rsidRDefault="0092392A" w:rsidP="004B4857">
            <w:pPr>
              <w:jc w:val="both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4</w:t>
            </w:r>
          </w:p>
        </w:tc>
        <w:tc>
          <w:tcPr>
            <w:tcW w:w="2127" w:type="dxa"/>
          </w:tcPr>
          <w:p w:rsidR="0092392A" w:rsidRPr="00267368" w:rsidRDefault="0092392A" w:rsidP="004B4857">
            <w:pPr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Услуги</w:t>
            </w:r>
          </w:p>
        </w:tc>
        <w:tc>
          <w:tcPr>
            <w:tcW w:w="1276" w:type="dxa"/>
          </w:tcPr>
          <w:p w:rsidR="0092392A" w:rsidRPr="000E7936" w:rsidRDefault="0092392A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</w:p>
        </w:tc>
        <w:tc>
          <w:tcPr>
            <w:tcW w:w="1275" w:type="dxa"/>
          </w:tcPr>
          <w:p w:rsidR="0092392A" w:rsidRPr="00BA34EF" w:rsidRDefault="00A4075E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14</w:t>
            </w:r>
          </w:p>
        </w:tc>
        <w:tc>
          <w:tcPr>
            <w:tcW w:w="1418" w:type="dxa"/>
          </w:tcPr>
          <w:p w:rsidR="0092392A" w:rsidRDefault="00A4075E" w:rsidP="004B4857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0,08</w:t>
            </w:r>
          </w:p>
        </w:tc>
        <w:tc>
          <w:tcPr>
            <w:tcW w:w="1417" w:type="dxa"/>
          </w:tcPr>
          <w:p w:rsidR="0092392A" w:rsidRPr="000E7936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</w:p>
        </w:tc>
        <w:tc>
          <w:tcPr>
            <w:tcW w:w="1418" w:type="dxa"/>
          </w:tcPr>
          <w:p w:rsidR="0092392A" w:rsidRPr="00BA34EF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13</w:t>
            </w:r>
          </w:p>
        </w:tc>
        <w:tc>
          <w:tcPr>
            <w:tcW w:w="1276" w:type="dxa"/>
          </w:tcPr>
          <w:p w:rsidR="0092392A" w:rsidRDefault="0092392A" w:rsidP="00A6375B">
            <w:pPr>
              <w:jc w:val="center"/>
              <w:rPr>
                <w:rFonts w:ascii="Arial" w:hAnsi="Arial"/>
                <w:sz w:val="20"/>
                <w:lang w:val="bg-BG"/>
              </w:rPr>
            </w:pPr>
            <w:r>
              <w:rPr>
                <w:rFonts w:ascii="Arial" w:hAnsi="Arial"/>
                <w:sz w:val="20"/>
                <w:lang w:val="bg-BG"/>
              </w:rPr>
              <w:t>0,11</w:t>
            </w:r>
          </w:p>
        </w:tc>
      </w:tr>
      <w:tr w:rsidR="0092392A" w:rsidRPr="00DE2E0D" w:rsidTr="008840D8">
        <w:tblPrEx>
          <w:tblCellMar>
            <w:top w:w="0" w:type="dxa"/>
            <w:bottom w:w="0" w:type="dxa"/>
          </w:tblCellMar>
        </w:tblPrEx>
        <w:trPr>
          <w:trHeight w:val="294"/>
        </w:trPr>
        <w:tc>
          <w:tcPr>
            <w:tcW w:w="284" w:type="dxa"/>
          </w:tcPr>
          <w:p w:rsidR="0092392A" w:rsidRPr="00DE2E0D" w:rsidRDefault="0092392A" w:rsidP="004B4857">
            <w:pPr>
              <w:jc w:val="both"/>
              <w:rPr>
                <w:rFonts w:ascii="Arial" w:hAnsi="Arial"/>
                <w:sz w:val="20"/>
              </w:rPr>
            </w:pPr>
          </w:p>
        </w:tc>
        <w:tc>
          <w:tcPr>
            <w:tcW w:w="2127" w:type="dxa"/>
          </w:tcPr>
          <w:p w:rsidR="0092392A" w:rsidRPr="00BA34EF" w:rsidRDefault="0092392A" w:rsidP="00921D9B">
            <w:pPr>
              <w:rPr>
                <w:rFonts w:ascii="Arial" w:hAnsi="Arial"/>
                <w:b/>
                <w:sz w:val="20"/>
                <w:lang w:val="bg-BG"/>
              </w:rPr>
            </w:pPr>
            <w:r w:rsidRPr="00BA34EF">
              <w:rPr>
                <w:rFonts w:ascii="Arial" w:hAnsi="Arial"/>
                <w:b/>
                <w:sz w:val="20"/>
                <w:lang w:val="bg-BG"/>
              </w:rPr>
              <w:t xml:space="preserve">Общо </w:t>
            </w:r>
          </w:p>
        </w:tc>
        <w:tc>
          <w:tcPr>
            <w:tcW w:w="1276" w:type="dxa"/>
          </w:tcPr>
          <w:p w:rsidR="0092392A" w:rsidRPr="00BA34EF" w:rsidRDefault="0092392A" w:rsidP="004B4857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</w:p>
        </w:tc>
        <w:tc>
          <w:tcPr>
            <w:tcW w:w="1275" w:type="dxa"/>
          </w:tcPr>
          <w:p w:rsidR="0092392A" w:rsidRPr="00BA34EF" w:rsidRDefault="00A4075E" w:rsidP="004B4857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  <w:r>
              <w:rPr>
                <w:rFonts w:ascii="Arial" w:hAnsi="Arial"/>
                <w:b/>
                <w:sz w:val="20"/>
                <w:lang w:val="bg-BG"/>
              </w:rPr>
              <w:t>18 662</w:t>
            </w:r>
          </w:p>
        </w:tc>
        <w:tc>
          <w:tcPr>
            <w:tcW w:w="1418" w:type="dxa"/>
          </w:tcPr>
          <w:p w:rsidR="0092392A" w:rsidRPr="00BA34EF" w:rsidRDefault="0092392A" w:rsidP="004B4857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  <w:r>
              <w:rPr>
                <w:rFonts w:ascii="Arial" w:hAnsi="Arial"/>
                <w:b/>
                <w:sz w:val="20"/>
                <w:lang w:val="bg-BG"/>
              </w:rPr>
              <w:t>100,00</w:t>
            </w:r>
          </w:p>
        </w:tc>
        <w:tc>
          <w:tcPr>
            <w:tcW w:w="1417" w:type="dxa"/>
          </w:tcPr>
          <w:p w:rsidR="0092392A" w:rsidRPr="00BA34EF" w:rsidRDefault="0092392A" w:rsidP="00A6375B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</w:p>
        </w:tc>
        <w:tc>
          <w:tcPr>
            <w:tcW w:w="1418" w:type="dxa"/>
          </w:tcPr>
          <w:p w:rsidR="0092392A" w:rsidRPr="00BA34EF" w:rsidRDefault="0092392A" w:rsidP="00A6375B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  <w:r>
              <w:rPr>
                <w:rFonts w:ascii="Arial" w:hAnsi="Arial"/>
                <w:b/>
                <w:sz w:val="20"/>
                <w:lang w:val="bg-BG"/>
              </w:rPr>
              <w:t>12 445</w:t>
            </w:r>
          </w:p>
        </w:tc>
        <w:tc>
          <w:tcPr>
            <w:tcW w:w="1276" w:type="dxa"/>
          </w:tcPr>
          <w:p w:rsidR="0092392A" w:rsidRPr="00BA34EF" w:rsidRDefault="0092392A" w:rsidP="00A6375B">
            <w:pPr>
              <w:jc w:val="center"/>
              <w:rPr>
                <w:rFonts w:ascii="Arial" w:hAnsi="Arial"/>
                <w:b/>
                <w:sz w:val="20"/>
                <w:lang w:val="bg-BG"/>
              </w:rPr>
            </w:pPr>
            <w:r>
              <w:rPr>
                <w:rFonts w:ascii="Arial" w:hAnsi="Arial"/>
                <w:b/>
                <w:sz w:val="20"/>
                <w:lang w:val="bg-BG"/>
              </w:rPr>
              <w:t>100,00</w:t>
            </w:r>
          </w:p>
        </w:tc>
      </w:tr>
    </w:tbl>
    <w:p w:rsidR="008D2DA5" w:rsidRDefault="008D2DA5">
      <w:pPr>
        <w:pStyle w:val="BodyText"/>
        <w:spacing w:line="360" w:lineRule="auto"/>
        <w:rPr>
          <w:lang w:val="bg-BG"/>
        </w:rPr>
      </w:pPr>
      <w:r>
        <w:rPr>
          <w:lang w:val="bg-BG"/>
        </w:rPr>
        <w:t xml:space="preserve">          </w:t>
      </w:r>
    </w:p>
    <w:p w:rsidR="008D2DA5" w:rsidRDefault="008D2DA5">
      <w:pPr>
        <w:pStyle w:val="BodyText"/>
        <w:spacing w:line="360" w:lineRule="auto"/>
        <w:rPr>
          <w:rFonts w:ascii="Tahoma" w:hAnsi="Tahoma" w:cs="Tahoma"/>
          <w:sz w:val="21"/>
          <w:szCs w:val="21"/>
        </w:rPr>
      </w:pPr>
      <w:r>
        <w:rPr>
          <w:lang w:val="be-BY"/>
        </w:rPr>
        <w:t xml:space="preserve">             </w:t>
      </w:r>
      <w:r w:rsidR="00BA34EF">
        <w:rPr>
          <w:lang w:val="be-BY"/>
        </w:rPr>
        <w:t>Дружеството реализира тапицираните мебели ос</w:t>
      </w:r>
      <w:r w:rsidR="006D0B3C">
        <w:rPr>
          <w:lang w:val="be-BY"/>
        </w:rPr>
        <w:t>новно на външен пазар. През 2018</w:t>
      </w:r>
      <w:r w:rsidR="00BA34EF">
        <w:rPr>
          <w:lang w:val="be-BY"/>
        </w:rPr>
        <w:t xml:space="preserve"> г. на външен пазар са </w:t>
      </w:r>
      <w:r w:rsidR="000E606B">
        <w:rPr>
          <w:lang w:val="be-BY"/>
        </w:rPr>
        <w:t xml:space="preserve">реализирани </w:t>
      </w:r>
      <w:r w:rsidR="00860A63">
        <w:rPr>
          <w:lang w:val="be-BY"/>
        </w:rPr>
        <w:t>95,92</w:t>
      </w:r>
      <w:r w:rsidR="000E606B">
        <w:rPr>
          <w:lang w:val="be-BY"/>
        </w:rPr>
        <w:t xml:space="preserve">% от мебелите, а на вътрешен </w:t>
      </w:r>
      <w:r w:rsidR="00860A63">
        <w:rPr>
          <w:lang w:val="be-BY"/>
        </w:rPr>
        <w:t>4,08</w:t>
      </w:r>
      <w:r w:rsidR="000E606B">
        <w:rPr>
          <w:lang w:val="be-BY"/>
        </w:rPr>
        <w:t>%. П</w:t>
      </w:r>
      <w:r w:rsidR="00860A63">
        <w:rPr>
          <w:lang w:val="be-BY"/>
        </w:rPr>
        <w:t>рез 2017</w:t>
      </w:r>
      <w:r w:rsidR="000E606B">
        <w:rPr>
          <w:lang w:val="be-BY"/>
        </w:rPr>
        <w:t xml:space="preserve"> г. на външен пазар са реализирани</w:t>
      </w:r>
      <w:r w:rsidR="00860A63">
        <w:rPr>
          <w:lang w:val="be-BY"/>
        </w:rPr>
        <w:t xml:space="preserve"> 91,49</w:t>
      </w:r>
      <w:r w:rsidR="000E606B">
        <w:rPr>
          <w:lang w:val="be-BY"/>
        </w:rPr>
        <w:t xml:space="preserve">% от мебелите, а на вътрешен </w:t>
      </w:r>
      <w:r w:rsidR="00860A63">
        <w:rPr>
          <w:lang w:val="be-BY"/>
        </w:rPr>
        <w:t>8,51</w:t>
      </w:r>
      <w:r w:rsidR="000E606B">
        <w:rPr>
          <w:lang w:val="be-BY"/>
        </w:rPr>
        <w:t>%.</w:t>
      </w:r>
      <w:r w:rsidR="00D86248" w:rsidRPr="00D86248">
        <w:rPr>
          <w:rFonts w:ascii="Tahoma" w:hAnsi="Tahoma" w:cs="Tahoma"/>
          <w:sz w:val="21"/>
          <w:szCs w:val="21"/>
        </w:rPr>
        <w:t xml:space="preserve"> </w:t>
      </w:r>
    </w:p>
    <w:p w:rsidR="00D16229" w:rsidRDefault="00D16229">
      <w:pPr>
        <w:pStyle w:val="BodyText"/>
        <w:spacing w:line="360" w:lineRule="auto"/>
        <w:rPr>
          <w:rFonts w:ascii="Tahoma" w:hAnsi="Tahoma" w:cs="Tahoma"/>
          <w:sz w:val="21"/>
          <w:szCs w:val="21"/>
        </w:rPr>
      </w:pPr>
    </w:p>
    <w:p w:rsidR="00D16229" w:rsidRDefault="00D16229">
      <w:pPr>
        <w:pStyle w:val="BodyText"/>
        <w:spacing w:line="360" w:lineRule="auto"/>
        <w:rPr>
          <w:lang w:val="be-BY"/>
        </w:rPr>
      </w:pPr>
    </w:p>
    <w:p w:rsidR="008D2DA5" w:rsidRDefault="008D2DA5">
      <w:pPr>
        <w:spacing w:line="360" w:lineRule="auto"/>
        <w:ind w:firstLine="720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lastRenderedPageBreak/>
        <w:t>І. Финансово състояние.</w:t>
      </w:r>
    </w:p>
    <w:p w:rsidR="008D2DA5" w:rsidRDefault="008D2DA5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Ръководството определя състоянието на дружеството като стабилно и изготвянето на фин</w:t>
      </w:r>
      <w:r w:rsidR="00F56389">
        <w:rPr>
          <w:lang w:val="bg-BG"/>
        </w:rPr>
        <w:t>ансовия отчет за 201</w:t>
      </w:r>
      <w:r w:rsidR="00860A63">
        <w:rPr>
          <w:lang w:val="bg-BG"/>
        </w:rPr>
        <w:t>8</w:t>
      </w:r>
      <w:r>
        <w:rPr>
          <w:lang w:val="bg-BG"/>
        </w:rPr>
        <w:t xml:space="preserve"> година на базата на принципа за „действащо предприятие” като обосновано.</w:t>
      </w:r>
    </w:p>
    <w:p w:rsidR="008D2DA5" w:rsidRDefault="008D2DA5">
      <w:pPr>
        <w:spacing w:line="360" w:lineRule="auto"/>
        <w:ind w:firstLine="720"/>
        <w:jc w:val="both"/>
        <w:rPr>
          <w:b/>
          <w:u w:val="single"/>
          <w:lang w:val="bg-BG"/>
        </w:rPr>
      </w:pPr>
      <w:r>
        <w:rPr>
          <w:b/>
          <w:u w:val="single"/>
          <w:lang w:val="bg-BG"/>
        </w:rPr>
        <w:t>1. Ликвидност</w:t>
      </w:r>
    </w:p>
    <w:p w:rsidR="008D2DA5" w:rsidRDefault="008D2DA5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Показателите за ликвидност за 201</w:t>
      </w:r>
      <w:r w:rsidR="00860A63">
        <w:rPr>
          <w:lang w:val="bg-BG"/>
        </w:rPr>
        <w:t>8</w:t>
      </w:r>
      <w:r>
        <w:rPr>
          <w:lang w:val="bg-BG"/>
        </w:rPr>
        <w:t xml:space="preserve"> година </w:t>
      </w:r>
      <w:r w:rsidR="00142324">
        <w:rPr>
          <w:lang w:val="bg-BG"/>
        </w:rPr>
        <w:t>и</w:t>
      </w:r>
      <w:r>
        <w:rPr>
          <w:lang w:val="bg-BG"/>
        </w:rPr>
        <w:t xml:space="preserve"> 201</w:t>
      </w:r>
      <w:r w:rsidR="00860A63">
        <w:rPr>
          <w:lang w:val="bg-BG"/>
        </w:rPr>
        <w:t>7</w:t>
      </w:r>
      <w:r>
        <w:rPr>
          <w:lang w:val="bg-BG"/>
        </w:rPr>
        <w:t xml:space="preserve"> г. са както следва: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788"/>
        <w:gridCol w:w="773"/>
        <w:gridCol w:w="823"/>
      </w:tblGrid>
      <w:tr w:rsidR="008D2DA5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A5" w:rsidRDefault="008D2DA5">
            <w:pPr>
              <w:snapToGrid w:val="0"/>
              <w:spacing w:line="360" w:lineRule="auto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Показатели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A5" w:rsidRPr="00E255B7" w:rsidRDefault="008D2DA5" w:rsidP="005F5A33">
            <w:pPr>
              <w:snapToGrid w:val="0"/>
              <w:spacing w:line="360" w:lineRule="auto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201</w:t>
            </w:r>
            <w:r w:rsidR="00860A63">
              <w:rPr>
                <w:b/>
                <w:sz w:val="20"/>
                <w:lang w:val="bg-BG"/>
              </w:rPr>
              <w:t>8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D2DA5" w:rsidRPr="00E255B7" w:rsidRDefault="008D2DA5" w:rsidP="005F5A33">
            <w:pPr>
              <w:snapToGrid w:val="0"/>
              <w:spacing w:line="360" w:lineRule="auto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201</w:t>
            </w:r>
            <w:r w:rsidR="00860A63">
              <w:rPr>
                <w:b/>
                <w:sz w:val="20"/>
                <w:lang w:val="bg-BG"/>
              </w:rPr>
              <w:t>7</w:t>
            </w:r>
          </w:p>
        </w:tc>
      </w:tr>
      <w:tr w:rsidR="00860A63" w:rsidRPr="00962BC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A63" w:rsidRPr="00962BCB" w:rsidRDefault="00860A63">
            <w:pPr>
              <w:snapToGrid w:val="0"/>
              <w:spacing w:line="360" w:lineRule="auto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Коефициент за обща ликвидност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A63" w:rsidRPr="0035777F" w:rsidRDefault="00860A63" w:rsidP="00962BCB">
            <w:pPr>
              <w:snapToGrid w:val="0"/>
              <w:spacing w:line="360" w:lineRule="auto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1,22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63" w:rsidRPr="0035777F" w:rsidRDefault="00860A63" w:rsidP="00A6375B">
            <w:pPr>
              <w:snapToGrid w:val="0"/>
              <w:spacing w:line="360" w:lineRule="auto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1,17</w:t>
            </w:r>
          </w:p>
        </w:tc>
      </w:tr>
      <w:tr w:rsidR="00860A63" w:rsidRPr="00962BC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A63" w:rsidRPr="00962BCB" w:rsidRDefault="00860A63">
            <w:pPr>
              <w:snapToGrid w:val="0"/>
              <w:spacing w:line="360" w:lineRule="auto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Коефициент за бърза ликвидност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A63" w:rsidRPr="0035777F" w:rsidRDefault="00860A63" w:rsidP="00962BCB">
            <w:pPr>
              <w:snapToGrid w:val="0"/>
              <w:spacing w:line="360" w:lineRule="auto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0,75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63" w:rsidRPr="0035777F" w:rsidRDefault="00860A63" w:rsidP="00A6375B">
            <w:pPr>
              <w:snapToGrid w:val="0"/>
              <w:spacing w:line="360" w:lineRule="auto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0,71</w:t>
            </w:r>
          </w:p>
        </w:tc>
      </w:tr>
      <w:tr w:rsidR="00860A63" w:rsidRPr="00962BCB"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A63" w:rsidRPr="00962BCB" w:rsidRDefault="00860A63">
            <w:pPr>
              <w:snapToGrid w:val="0"/>
              <w:spacing w:line="360" w:lineRule="auto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Коефициент за абсолютна ликвидност</w:t>
            </w:r>
          </w:p>
        </w:tc>
        <w:tc>
          <w:tcPr>
            <w:tcW w:w="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0A63" w:rsidRPr="0035777F" w:rsidRDefault="00860A63" w:rsidP="00962BCB">
            <w:pPr>
              <w:snapToGrid w:val="0"/>
              <w:spacing w:line="360" w:lineRule="auto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0,01</w:t>
            </w:r>
          </w:p>
        </w:tc>
        <w:tc>
          <w:tcPr>
            <w:tcW w:w="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0A63" w:rsidRPr="0035777F" w:rsidRDefault="00860A63" w:rsidP="00A6375B">
            <w:pPr>
              <w:snapToGrid w:val="0"/>
              <w:spacing w:line="360" w:lineRule="auto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0,05</w:t>
            </w:r>
          </w:p>
        </w:tc>
      </w:tr>
    </w:tbl>
    <w:p w:rsidR="008D2DA5" w:rsidRPr="00962BCB" w:rsidRDefault="008D2DA5">
      <w:pPr>
        <w:spacing w:line="360" w:lineRule="auto"/>
        <w:ind w:firstLine="720"/>
        <w:jc w:val="both"/>
      </w:pPr>
    </w:p>
    <w:p w:rsidR="008D2DA5" w:rsidRPr="00975BDD" w:rsidRDefault="008D2DA5">
      <w:pPr>
        <w:spacing w:line="360" w:lineRule="auto"/>
        <w:ind w:firstLine="720"/>
        <w:jc w:val="both"/>
        <w:rPr>
          <w:lang w:val="bg-BG"/>
        </w:rPr>
      </w:pPr>
      <w:r w:rsidRPr="00962BCB">
        <w:rPr>
          <w:b/>
          <w:lang w:val="bg-BG"/>
        </w:rPr>
        <w:t>Коефициентът за обща ликвидност</w:t>
      </w:r>
      <w:r w:rsidRPr="00962BCB">
        <w:rPr>
          <w:lang w:val="bg-BG"/>
        </w:rPr>
        <w:t>, изчислен като съотношение между текущи активи и кр</w:t>
      </w:r>
      <w:r w:rsidR="00975BDD">
        <w:rPr>
          <w:lang w:val="bg-BG"/>
        </w:rPr>
        <w:t xml:space="preserve">аткосрочни пасиви, </w:t>
      </w:r>
      <w:r w:rsidR="004E32E1">
        <w:rPr>
          <w:lang w:val="bg-BG"/>
        </w:rPr>
        <w:t xml:space="preserve">отбелязва </w:t>
      </w:r>
      <w:r w:rsidR="00BE09E1">
        <w:rPr>
          <w:lang w:val="bg-BG"/>
        </w:rPr>
        <w:t xml:space="preserve">увеличение </w:t>
      </w:r>
      <w:r w:rsidRPr="00962BCB">
        <w:rPr>
          <w:lang w:val="bg-BG"/>
        </w:rPr>
        <w:t>спрямо 201</w:t>
      </w:r>
      <w:r w:rsidR="00BE09E1">
        <w:rPr>
          <w:lang w:val="bg-BG"/>
        </w:rPr>
        <w:t>7</w:t>
      </w:r>
      <w:r w:rsidRPr="00962BCB">
        <w:rPr>
          <w:lang w:val="bg-BG"/>
        </w:rPr>
        <w:t xml:space="preserve"> година. Оптималния размер на този показател е над 1, а дружеството отчита стойност на показателя  </w:t>
      </w:r>
      <w:r w:rsidR="00BE09E1">
        <w:rPr>
          <w:lang w:val="bg-BG"/>
        </w:rPr>
        <w:t>1,22</w:t>
      </w:r>
      <w:r w:rsidR="00975BDD">
        <w:rPr>
          <w:lang w:val="bg-BG"/>
        </w:rPr>
        <w:t>.</w:t>
      </w:r>
    </w:p>
    <w:p w:rsidR="008D2DA5" w:rsidRPr="00962BCB" w:rsidRDefault="008D2DA5">
      <w:pPr>
        <w:spacing w:line="360" w:lineRule="auto"/>
        <w:ind w:firstLine="720"/>
        <w:jc w:val="both"/>
        <w:rPr>
          <w:lang w:val="bg-BG"/>
        </w:rPr>
      </w:pPr>
      <w:r w:rsidRPr="00962BCB">
        <w:rPr>
          <w:b/>
          <w:lang w:val="bg-BG"/>
        </w:rPr>
        <w:t xml:space="preserve">Коефициентът за бърза ликвидност, </w:t>
      </w:r>
      <w:r w:rsidRPr="00962BCB">
        <w:rPr>
          <w:lang w:val="bg-BG"/>
        </w:rPr>
        <w:t xml:space="preserve">изчислен като съотношение между сбора от: краткосрочни вземания, краткосрочни инвестиции и парични средства към  краткосрочни задължения  отбелязва </w:t>
      </w:r>
      <w:r w:rsidR="00BE09E1">
        <w:rPr>
          <w:lang w:val="bg-BG"/>
        </w:rPr>
        <w:t>увеличение</w:t>
      </w:r>
      <w:r w:rsidRPr="00962BCB">
        <w:rPr>
          <w:lang w:val="bg-BG"/>
        </w:rPr>
        <w:t xml:space="preserve"> спрямо 201</w:t>
      </w:r>
      <w:r w:rsidR="00BE09E1">
        <w:rPr>
          <w:lang w:val="bg-BG"/>
        </w:rPr>
        <w:t>7</w:t>
      </w:r>
      <w:r w:rsidRPr="00962BCB">
        <w:rPr>
          <w:lang w:val="bg-BG"/>
        </w:rPr>
        <w:t xml:space="preserve"> г</w:t>
      </w:r>
      <w:r w:rsidR="00F56389" w:rsidRPr="00962BCB">
        <w:rPr>
          <w:lang w:val="bg-BG"/>
        </w:rPr>
        <w:t>.</w:t>
      </w:r>
    </w:p>
    <w:p w:rsidR="008D2DA5" w:rsidRPr="00962BCB" w:rsidRDefault="008D2DA5">
      <w:pPr>
        <w:spacing w:line="360" w:lineRule="auto"/>
        <w:ind w:firstLine="720"/>
        <w:jc w:val="both"/>
        <w:rPr>
          <w:lang w:val="bg-BG"/>
        </w:rPr>
      </w:pPr>
      <w:r w:rsidRPr="00962BCB">
        <w:rPr>
          <w:b/>
          <w:lang w:val="bg-BG"/>
        </w:rPr>
        <w:t>Коефициентът за абсолютна ликвидност</w:t>
      </w:r>
      <w:r w:rsidRPr="00962BCB">
        <w:rPr>
          <w:lang w:val="bg-BG"/>
        </w:rPr>
        <w:t xml:space="preserve">  е </w:t>
      </w:r>
      <w:r w:rsidR="00BE09E1">
        <w:rPr>
          <w:lang w:val="bg-BG"/>
        </w:rPr>
        <w:t>0,01</w:t>
      </w:r>
      <w:r w:rsidRPr="00962BCB">
        <w:rPr>
          <w:lang w:val="bg-BG"/>
        </w:rPr>
        <w:t xml:space="preserve"> .</w:t>
      </w:r>
    </w:p>
    <w:p w:rsidR="008D2DA5" w:rsidRPr="00962BCB" w:rsidRDefault="008D2DA5">
      <w:pPr>
        <w:spacing w:line="360" w:lineRule="auto"/>
        <w:ind w:firstLine="720"/>
        <w:jc w:val="both"/>
        <w:rPr>
          <w:lang w:val="bg-BG"/>
        </w:rPr>
      </w:pPr>
      <w:r w:rsidRPr="00962BCB">
        <w:rPr>
          <w:lang w:val="bg-BG"/>
        </w:rPr>
        <w:t>Стойностите на показателите за ликвидност гарантират финансовата стабилност на дружеството.</w:t>
      </w:r>
    </w:p>
    <w:p w:rsidR="008D2DA5" w:rsidRPr="00962BCB" w:rsidRDefault="008D2DA5">
      <w:pPr>
        <w:spacing w:line="360" w:lineRule="auto"/>
        <w:ind w:firstLine="720"/>
        <w:jc w:val="both"/>
        <w:rPr>
          <w:b/>
          <w:u w:val="single"/>
          <w:lang w:val="bg-BG"/>
        </w:rPr>
      </w:pPr>
      <w:r w:rsidRPr="00962BCB">
        <w:rPr>
          <w:b/>
          <w:u w:val="single"/>
          <w:lang w:val="bg-BG"/>
        </w:rPr>
        <w:t>2. Капиталови ресурси</w:t>
      </w:r>
    </w:p>
    <w:p w:rsidR="008D2DA5" w:rsidRPr="00962BCB" w:rsidRDefault="008D2DA5">
      <w:pPr>
        <w:spacing w:line="360" w:lineRule="auto"/>
        <w:ind w:firstLine="720"/>
        <w:jc w:val="both"/>
        <w:rPr>
          <w:lang w:val="bg-BG"/>
        </w:rPr>
      </w:pPr>
      <w:r w:rsidRPr="00962BCB">
        <w:rPr>
          <w:lang w:val="bg-BG"/>
        </w:rPr>
        <w:t xml:space="preserve">Капиталовата структура на дружеството съгласно счетоводния баланс към </w:t>
      </w:r>
      <w:r w:rsidR="00931014" w:rsidRPr="00962BCB">
        <w:rPr>
          <w:lang w:val="bg-BG"/>
        </w:rPr>
        <w:t>31.12.201</w:t>
      </w:r>
      <w:r w:rsidR="00154A1F">
        <w:rPr>
          <w:lang w:val="bg-BG"/>
        </w:rPr>
        <w:t>8</w:t>
      </w:r>
      <w:r w:rsidR="00931014" w:rsidRPr="00962BCB">
        <w:rPr>
          <w:lang w:val="bg-BG"/>
        </w:rPr>
        <w:t xml:space="preserve"> г. и към </w:t>
      </w:r>
      <w:r w:rsidRPr="00962BCB">
        <w:rPr>
          <w:lang w:val="bg-BG"/>
        </w:rPr>
        <w:t>31.12.201</w:t>
      </w:r>
      <w:r w:rsidR="00154A1F">
        <w:rPr>
          <w:lang w:val="bg-BG"/>
        </w:rPr>
        <w:t>7</w:t>
      </w:r>
      <w:r w:rsidRPr="00962BCB">
        <w:rPr>
          <w:lang w:val="bg-BG"/>
        </w:rPr>
        <w:t xml:space="preserve"> г  е както следва :                                     Хил. лева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20"/>
        <w:gridCol w:w="720"/>
        <w:gridCol w:w="1101"/>
        <w:gridCol w:w="1101"/>
        <w:gridCol w:w="40"/>
        <w:gridCol w:w="10"/>
      </w:tblGrid>
      <w:tr w:rsidR="008D2DA5" w:rsidRPr="00962BCB" w:rsidTr="00931014">
        <w:trPr>
          <w:gridAfter w:val="1"/>
          <w:wAfter w:w="10" w:type="dxa"/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A5" w:rsidRPr="00962BCB" w:rsidRDefault="008D2DA5">
            <w:pPr>
              <w:snapToGrid w:val="0"/>
              <w:jc w:val="center"/>
              <w:rPr>
                <w:b/>
                <w:sz w:val="20"/>
                <w:lang w:val="bg-BG"/>
              </w:rPr>
            </w:pPr>
            <w:r w:rsidRPr="00962BCB">
              <w:rPr>
                <w:b/>
                <w:sz w:val="20"/>
                <w:lang w:val="bg-BG"/>
              </w:rPr>
              <w:t>П о к а з а т е л 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8D2DA5" w:rsidRPr="00962BCB" w:rsidRDefault="008D2DA5">
            <w:pPr>
              <w:snapToGrid w:val="0"/>
              <w:jc w:val="center"/>
              <w:rPr>
                <w:b/>
                <w:color w:val="000000"/>
                <w:sz w:val="20"/>
                <w:lang w:val="bg-BG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8D2DA5" w:rsidRPr="00F92287" w:rsidRDefault="00154A1F" w:rsidP="005F5A33"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bg-BG"/>
              </w:rPr>
              <w:t>2018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8D2DA5" w:rsidRPr="00F92287" w:rsidRDefault="00154A1F" w:rsidP="005F5A33">
            <w:pPr>
              <w:snapToGrid w:val="0"/>
              <w:spacing w:line="36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  <w:lang w:val="bg-BG"/>
              </w:rPr>
              <w:t>2017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auto"/>
          </w:tcPr>
          <w:p w:rsidR="008D2DA5" w:rsidRPr="00962BCB" w:rsidRDefault="008D2DA5">
            <w:pPr>
              <w:snapToGrid w:val="0"/>
              <w:rPr>
                <w:b/>
                <w:sz w:val="20"/>
                <w:lang w:val="bg-BG"/>
              </w:rPr>
            </w:pP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b/>
                <w:sz w:val="20"/>
                <w:lang w:val="bg-BG"/>
              </w:rPr>
            </w:pPr>
            <w:r w:rsidRPr="00962BCB">
              <w:rPr>
                <w:b/>
                <w:sz w:val="20"/>
                <w:lang w:val="bg-BG"/>
              </w:rPr>
              <w:t>Собствен капитал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54A1F" w:rsidRPr="00154A1F" w:rsidRDefault="00154A1F" w:rsidP="00A719E8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6604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4A1F" w:rsidRPr="00F92287" w:rsidRDefault="00154A1F" w:rsidP="00A6375B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5720</w:t>
            </w: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Дълготрайни активи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2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A1F" w:rsidRPr="00154A1F" w:rsidRDefault="00154A1F" w:rsidP="00962BC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6768</w:t>
            </w: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A1F" w:rsidRPr="00F92287" w:rsidRDefault="00154A1F" w:rsidP="00A6375B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5927</w:t>
            </w: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Краткотрайни активи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A1F" w:rsidRPr="00154A1F" w:rsidRDefault="00154A1F" w:rsidP="00A719E8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3794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A1F" w:rsidRPr="00F92287" w:rsidRDefault="00154A1F" w:rsidP="00A6375B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3120</w:t>
            </w: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Краткосрочни задължения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A1F" w:rsidRPr="00154A1F" w:rsidRDefault="00154A1F" w:rsidP="00962BC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3100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A1F" w:rsidRPr="00F92287" w:rsidRDefault="00154A1F" w:rsidP="00A6375B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2673</w:t>
            </w: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Нетен оборотен (работен) капитал (3-4)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154A1F" w:rsidRDefault="00154A1F" w:rsidP="00962BC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694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A1F" w:rsidRPr="00F92287" w:rsidRDefault="00154A1F" w:rsidP="00A6375B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447</w:t>
            </w: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b/>
                <w:sz w:val="20"/>
                <w:lang w:val="bg-BG"/>
              </w:rPr>
              <w:t>Пасиви</w:t>
            </w:r>
            <w:r w:rsidRPr="00962BCB">
              <w:rPr>
                <w:sz w:val="20"/>
                <w:lang w:val="bg-BG"/>
              </w:rPr>
              <w:t xml:space="preserve"> (дългосрочни и краткосрочни)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54A1F" w:rsidRPr="00154A1F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3296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54A1F" w:rsidRPr="00F92287" w:rsidRDefault="00154A1F" w:rsidP="00A6375B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3010</w:t>
            </w: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b/>
                <w:sz w:val="20"/>
                <w:lang w:val="bg-BG"/>
              </w:rPr>
            </w:pPr>
            <w:r w:rsidRPr="00962BCB">
              <w:rPr>
                <w:b/>
                <w:sz w:val="20"/>
                <w:lang w:val="bg-BG"/>
              </w:rPr>
              <w:t>Общ капиталов ресурс (1+6)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154A1F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9900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A1F" w:rsidRPr="00F92287" w:rsidRDefault="00154A1F" w:rsidP="00A6375B">
            <w:pPr>
              <w:snapToGrid w:val="0"/>
              <w:jc w:val="right"/>
              <w:rPr>
                <w:sz w:val="20"/>
              </w:rPr>
            </w:pPr>
            <w:r>
              <w:rPr>
                <w:sz w:val="20"/>
              </w:rPr>
              <w:t>8730</w:t>
            </w: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28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Дял на собствения капитал в общия капиталов ресурс (финансова автономност) (1/7)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8</w:t>
            </w:r>
          </w:p>
          <w:p w:rsidR="00154A1F" w:rsidRPr="00962BCB" w:rsidRDefault="00154A1F">
            <w:pPr>
              <w:jc w:val="right"/>
              <w:rPr>
                <w:sz w:val="20"/>
                <w:lang w:val="bg-BG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</w:p>
          <w:p w:rsidR="00154A1F" w:rsidRPr="00154A1F" w:rsidRDefault="00154A1F" w:rsidP="00A719E8">
            <w:pPr>
              <w:jc w:val="right"/>
              <w:rPr>
                <w:sz w:val="20"/>
                <w:lang w:val="bg-BG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bg-BG"/>
              </w:rPr>
              <w:t>,</w:t>
            </w:r>
            <w:r>
              <w:rPr>
                <w:sz w:val="20"/>
              </w:rPr>
              <w:t>6</w:t>
            </w:r>
            <w:r>
              <w:rPr>
                <w:sz w:val="20"/>
                <w:lang w:val="bg-BG"/>
              </w:rPr>
              <w:t>7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A1F" w:rsidRPr="00962BCB" w:rsidRDefault="00154A1F" w:rsidP="00A6375B">
            <w:pPr>
              <w:snapToGrid w:val="0"/>
              <w:jc w:val="right"/>
              <w:rPr>
                <w:sz w:val="20"/>
                <w:lang w:val="bg-BG"/>
              </w:rPr>
            </w:pPr>
          </w:p>
          <w:p w:rsidR="00154A1F" w:rsidRPr="00F92287" w:rsidRDefault="00154A1F" w:rsidP="00A6375B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bg-BG"/>
              </w:rPr>
              <w:t>,</w:t>
            </w:r>
            <w:r>
              <w:rPr>
                <w:sz w:val="20"/>
              </w:rPr>
              <w:t>66</w:t>
            </w: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315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 xml:space="preserve">Дял   на   пасивите   в    общия   капиталов ресурс (6/7)           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</w:p>
          <w:p w:rsidR="00154A1F" w:rsidRPr="00154A1F" w:rsidRDefault="00154A1F" w:rsidP="00A719E8">
            <w:pPr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0,33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A1F" w:rsidRPr="00962BCB" w:rsidRDefault="00154A1F" w:rsidP="00A6375B">
            <w:pPr>
              <w:snapToGrid w:val="0"/>
              <w:jc w:val="right"/>
              <w:rPr>
                <w:sz w:val="20"/>
                <w:lang w:val="bg-BG"/>
              </w:rPr>
            </w:pPr>
          </w:p>
          <w:p w:rsidR="00154A1F" w:rsidRPr="00F92287" w:rsidRDefault="00154A1F" w:rsidP="00A6375B">
            <w:pPr>
              <w:jc w:val="right"/>
              <w:rPr>
                <w:sz w:val="20"/>
              </w:rPr>
            </w:pPr>
            <w:r>
              <w:rPr>
                <w:sz w:val="20"/>
              </w:rPr>
              <w:t>0,34</w:t>
            </w: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 xml:space="preserve">Покриване  на  пасивите  със  собствен капитал (1/6)                                           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10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</w:p>
          <w:p w:rsidR="00154A1F" w:rsidRPr="00154A1F" w:rsidRDefault="00154A1F" w:rsidP="00A719E8">
            <w:pPr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2,00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A1F" w:rsidRPr="00962BCB" w:rsidRDefault="00154A1F" w:rsidP="00A6375B">
            <w:pPr>
              <w:snapToGrid w:val="0"/>
              <w:jc w:val="right"/>
              <w:rPr>
                <w:sz w:val="20"/>
                <w:lang w:val="bg-BG"/>
              </w:rPr>
            </w:pPr>
          </w:p>
          <w:p w:rsidR="00154A1F" w:rsidRPr="00F92287" w:rsidRDefault="00154A1F" w:rsidP="00A6375B">
            <w:pPr>
              <w:jc w:val="right"/>
              <w:rPr>
                <w:sz w:val="20"/>
              </w:rPr>
            </w:pPr>
            <w:r>
              <w:rPr>
                <w:sz w:val="20"/>
              </w:rPr>
              <w:t>1</w:t>
            </w:r>
            <w:r>
              <w:rPr>
                <w:sz w:val="20"/>
                <w:lang w:val="bg-BG"/>
              </w:rPr>
              <w:t>,</w:t>
            </w:r>
            <w:r>
              <w:rPr>
                <w:sz w:val="20"/>
              </w:rPr>
              <w:t>90</w:t>
            </w:r>
          </w:p>
        </w:tc>
      </w:tr>
      <w:tr w:rsidR="00154A1F" w:rsidRPr="00962BCB" w:rsidTr="002B72A0">
        <w:tblPrEx>
          <w:tblCellMar>
            <w:left w:w="70" w:type="dxa"/>
            <w:right w:w="70" w:type="dxa"/>
          </w:tblCellMar>
        </w:tblPrEx>
        <w:trPr>
          <w:trHeight w:val="300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154A1F" w:rsidRPr="00962BCB" w:rsidRDefault="00154A1F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Коефициент на  покриване  на  дълготрайните активи със собствен капитал (1/2)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11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154A1F" w:rsidRPr="00962BCB" w:rsidRDefault="00154A1F">
            <w:pPr>
              <w:snapToGrid w:val="0"/>
              <w:jc w:val="right"/>
              <w:rPr>
                <w:sz w:val="20"/>
                <w:lang w:val="bg-BG"/>
              </w:rPr>
            </w:pPr>
          </w:p>
          <w:p w:rsidR="00154A1F" w:rsidRPr="00154A1F" w:rsidRDefault="00154A1F" w:rsidP="00853150">
            <w:pPr>
              <w:jc w:val="right"/>
              <w:rPr>
                <w:sz w:val="20"/>
                <w:lang w:val="bg-BG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bg-BG"/>
              </w:rPr>
              <w:t>,</w:t>
            </w:r>
            <w:r>
              <w:rPr>
                <w:sz w:val="20"/>
              </w:rPr>
              <w:t>9</w:t>
            </w:r>
            <w:r>
              <w:rPr>
                <w:sz w:val="20"/>
                <w:lang w:val="bg-BG"/>
              </w:rPr>
              <w:t>8</w:t>
            </w:r>
          </w:p>
        </w:tc>
        <w:tc>
          <w:tcPr>
            <w:tcW w:w="11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154A1F" w:rsidRPr="00962BCB" w:rsidRDefault="00154A1F" w:rsidP="00A6375B">
            <w:pPr>
              <w:snapToGrid w:val="0"/>
              <w:jc w:val="right"/>
              <w:rPr>
                <w:sz w:val="20"/>
                <w:lang w:val="bg-BG"/>
              </w:rPr>
            </w:pPr>
          </w:p>
          <w:p w:rsidR="00154A1F" w:rsidRPr="00F92287" w:rsidRDefault="00154A1F" w:rsidP="00A6375B">
            <w:pPr>
              <w:jc w:val="right"/>
              <w:rPr>
                <w:sz w:val="20"/>
              </w:rPr>
            </w:pPr>
            <w:r>
              <w:rPr>
                <w:sz w:val="20"/>
              </w:rPr>
              <w:t>0</w:t>
            </w:r>
            <w:r>
              <w:rPr>
                <w:sz w:val="20"/>
                <w:lang w:val="bg-BG"/>
              </w:rPr>
              <w:t>,</w:t>
            </w:r>
            <w:r>
              <w:rPr>
                <w:sz w:val="20"/>
              </w:rPr>
              <w:t>97</w:t>
            </w:r>
          </w:p>
        </w:tc>
      </w:tr>
    </w:tbl>
    <w:p w:rsidR="008D2DA5" w:rsidRPr="00962BCB" w:rsidRDefault="008D2DA5">
      <w:pPr>
        <w:spacing w:line="360" w:lineRule="auto"/>
        <w:ind w:firstLine="720"/>
        <w:jc w:val="both"/>
      </w:pPr>
    </w:p>
    <w:p w:rsidR="008D2DA5" w:rsidRPr="00962BCB" w:rsidRDefault="008D2DA5">
      <w:pPr>
        <w:spacing w:line="360" w:lineRule="auto"/>
        <w:ind w:firstLine="720"/>
        <w:jc w:val="both"/>
        <w:rPr>
          <w:lang w:val="bg-BG"/>
        </w:rPr>
      </w:pPr>
      <w:r w:rsidRPr="00962BCB">
        <w:rPr>
          <w:lang w:val="bg-BG"/>
        </w:rPr>
        <w:t>През 201</w:t>
      </w:r>
      <w:r w:rsidR="00154A1F">
        <w:rPr>
          <w:lang w:val="bg-BG"/>
        </w:rPr>
        <w:t>8</w:t>
      </w:r>
      <w:r w:rsidRPr="00962BCB">
        <w:rPr>
          <w:lang w:val="bg-BG"/>
        </w:rPr>
        <w:t xml:space="preserve"> г общият капиталов ресурс възлиза на </w:t>
      </w:r>
      <w:r w:rsidR="00154A1F">
        <w:rPr>
          <w:lang w:val="bg-BG"/>
        </w:rPr>
        <w:t>9900</w:t>
      </w:r>
      <w:r w:rsidRPr="00962BCB">
        <w:rPr>
          <w:lang w:val="bg-BG"/>
        </w:rPr>
        <w:t xml:space="preserve"> хил.лв</w:t>
      </w:r>
      <w:r w:rsidR="00853150" w:rsidRPr="00962BCB">
        <w:rPr>
          <w:lang w:val="bg-BG"/>
        </w:rPr>
        <w:t>.,</w:t>
      </w:r>
      <w:r w:rsidR="00527215" w:rsidRPr="00962BCB">
        <w:rPr>
          <w:lang w:val="bg-BG"/>
        </w:rPr>
        <w:t xml:space="preserve"> като  привлеченият капитал е  </w:t>
      </w:r>
      <w:r w:rsidR="009B40CE">
        <w:rPr>
          <w:lang w:val="bg-BG"/>
        </w:rPr>
        <w:t>3</w:t>
      </w:r>
      <w:r w:rsidR="00517119">
        <w:rPr>
          <w:lang w:val="bg-BG"/>
        </w:rPr>
        <w:t>3</w:t>
      </w:r>
      <w:r w:rsidRPr="00962BCB">
        <w:rPr>
          <w:lang w:val="bg-BG"/>
        </w:rPr>
        <w:t xml:space="preserve"> %. В сравнение с предходната година общият капиталов ресурс се е увеличил с </w:t>
      </w:r>
      <w:r w:rsidR="00517119">
        <w:rPr>
          <w:lang w:val="bg-BG"/>
        </w:rPr>
        <w:lastRenderedPageBreak/>
        <w:t>1170</w:t>
      </w:r>
      <w:r w:rsidRPr="00962BCB">
        <w:rPr>
          <w:lang w:val="bg-BG"/>
        </w:rPr>
        <w:t xml:space="preserve">  хил.лв</w:t>
      </w:r>
      <w:r w:rsidR="00853150" w:rsidRPr="00962BCB">
        <w:rPr>
          <w:lang w:val="bg-BG"/>
        </w:rPr>
        <w:t>.</w:t>
      </w:r>
      <w:r w:rsidRPr="00962BCB">
        <w:rPr>
          <w:lang w:val="bg-BG"/>
        </w:rPr>
        <w:t xml:space="preserve"> Факторите оказали влияние върху размера на общия капиталов ресурс са следните:</w:t>
      </w:r>
    </w:p>
    <w:p w:rsidR="008D2DA5" w:rsidRPr="00962BCB" w:rsidRDefault="008D2DA5">
      <w:pPr>
        <w:spacing w:line="360" w:lineRule="auto"/>
        <w:ind w:firstLine="720"/>
        <w:jc w:val="both"/>
        <w:rPr>
          <w:lang w:val="bg-BG"/>
        </w:rPr>
      </w:pPr>
      <w:r w:rsidRPr="00962BCB">
        <w:rPr>
          <w:lang w:val="bg-BG"/>
        </w:rPr>
        <w:t xml:space="preserve">- </w:t>
      </w:r>
      <w:r w:rsidR="00D943B6" w:rsidRPr="00962BCB">
        <w:t xml:space="preserve"> </w:t>
      </w:r>
      <w:r w:rsidRPr="00962BCB">
        <w:rPr>
          <w:lang w:val="bg-BG"/>
        </w:rPr>
        <w:t>увеличение с реализираната печалба за финансовата 201</w:t>
      </w:r>
      <w:r w:rsidR="00517119">
        <w:rPr>
          <w:lang w:val="bg-BG"/>
        </w:rPr>
        <w:t>8</w:t>
      </w:r>
      <w:r w:rsidR="008F6032">
        <w:rPr>
          <w:lang w:val="bg-BG"/>
        </w:rPr>
        <w:t xml:space="preserve"> г. </w:t>
      </w:r>
      <w:r w:rsidR="00DF621D">
        <w:rPr>
          <w:lang w:val="bg-BG"/>
        </w:rPr>
        <w:t>-</w:t>
      </w:r>
      <w:r w:rsidR="00527215" w:rsidRPr="00962BCB">
        <w:rPr>
          <w:lang w:val="bg-BG"/>
        </w:rPr>
        <w:t xml:space="preserve"> </w:t>
      </w:r>
      <w:r w:rsidR="00B13487" w:rsidRPr="00962BCB">
        <w:t>1</w:t>
      </w:r>
      <w:r w:rsidR="00517119">
        <w:rPr>
          <w:lang w:val="bg-BG"/>
        </w:rPr>
        <w:t>957</w:t>
      </w:r>
      <w:r w:rsidRPr="00962BCB">
        <w:rPr>
          <w:lang w:val="bg-BG"/>
        </w:rPr>
        <w:t xml:space="preserve">  хил. лв.;</w:t>
      </w:r>
    </w:p>
    <w:p w:rsidR="008D2DA5" w:rsidRPr="00962BCB" w:rsidRDefault="00D943B6" w:rsidP="00D943B6">
      <w:pPr>
        <w:spacing w:line="360" w:lineRule="auto"/>
        <w:ind w:left="720"/>
        <w:jc w:val="both"/>
        <w:rPr>
          <w:lang w:val="bg-BG"/>
        </w:rPr>
      </w:pPr>
      <w:r w:rsidRPr="00962BCB">
        <w:t xml:space="preserve">- </w:t>
      </w:r>
      <w:r w:rsidR="002F1389" w:rsidRPr="00962BCB">
        <w:rPr>
          <w:lang w:val="bg-BG"/>
        </w:rPr>
        <w:t>увеличение</w:t>
      </w:r>
      <w:r w:rsidR="008D2DA5" w:rsidRPr="00962BCB">
        <w:rPr>
          <w:lang w:val="bg-BG"/>
        </w:rPr>
        <w:t xml:space="preserve"> на задълженията с </w:t>
      </w:r>
      <w:r w:rsidR="00517119">
        <w:rPr>
          <w:lang w:val="bg-BG"/>
        </w:rPr>
        <w:t>286</w:t>
      </w:r>
      <w:r w:rsidR="008D2DA5" w:rsidRPr="00962BCB">
        <w:rPr>
          <w:lang w:val="bg-BG"/>
        </w:rPr>
        <w:t xml:space="preserve">  хил.лв.</w:t>
      </w:r>
      <w:r w:rsidRPr="00962BCB">
        <w:rPr>
          <w:lang w:val="bg-BG"/>
        </w:rPr>
        <w:t>;</w:t>
      </w:r>
    </w:p>
    <w:p w:rsidR="00D943B6" w:rsidRDefault="00D943B6" w:rsidP="00D943B6">
      <w:pPr>
        <w:spacing w:line="360" w:lineRule="auto"/>
        <w:ind w:left="720"/>
        <w:jc w:val="both"/>
        <w:rPr>
          <w:lang w:val="bg-BG"/>
        </w:rPr>
      </w:pPr>
      <w:r w:rsidRPr="00962BCB">
        <w:rPr>
          <w:lang w:val="bg-BG"/>
        </w:rPr>
        <w:t xml:space="preserve">- намаление с дивидентите разпределени на съдружниците - </w:t>
      </w:r>
      <w:r w:rsidR="00517119">
        <w:rPr>
          <w:lang w:val="bg-BG"/>
        </w:rPr>
        <w:t>1073</w:t>
      </w:r>
      <w:r w:rsidRPr="00962BCB">
        <w:rPr>
          <w:lang w:val="bg-BG"/>
        </w:rPr>
        <w:t xml:space="preserve"> хил. лв.</w:t>
      </w:r>
    </w:p>
    <w:p w:rsidR="00A163AC" w:rsidRDefault="00A163AC" w:rsidP="00D943B6">
      <w:pPr>
        <w:spacing w:line="360" w:lineRule="auto"/>
        <w:ind w:left="720"/>
        <w:jc w:val="both"/>
        <w:rPr>
          <w:lang w:val="bg-BG"/>
        </w:rPr>
      </w:pPr>
    </w:p>
    <w:p w:rsidR="00712D3A" w:rsidRDefault="00712D3A" w:rsidP="00D943B6">
      <w:pPr>
        <w:spacing w:line="360" w:lineRule="auto"/>
        <w:ind w:left="720"/>
        <w:jc w:val="both"/>
        <w:rPr>
          <w:lang w:val="bg-BG"/>
        </w:rPr>
      </w:pPr>
      <w:r w:rsidRPr="005D2C88">
        <w:rPr>
          <w:lang w:val="bg-BG"/>
        </w:rPr>
        <w:t>Основна част от привлечения капитал са задълженията към банки</w:t>
      </w:r>
      <w:r w:rsidR="00142324">
        <w:rPr>
          <w:lang w:val="bg-BG"/>
        </w:rPr>
        <w:t xml:space="preserve"> и те са както следва:</w:t>
      </w:r>
      <w:r w:rsidR="00A163AC">
        <w:rPr>
          <w:lang w:val="bg-BG"/>
        </w:rPr>
        <w:t>.</w:t>
      </w:r>
    </w:p>
    <w:tbl>
      <w:tblPr>
        <w:tblW w:w="8919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565"/>
        <w:gridCol w:w="1102"/>
        <w:gridCol w:w="1172"/>
        <w:gridCol w:w="867"/>
        <w:gridCol w:w="949"/>
      </w:tblGrid>
      <w:tr w:rsidR="00712D3A" w:rsidRPr="00712D3A" w:rsidTr="00142324">
        <w:trPr>
          <w:trHeight w:val="300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8740" w:type="dxa"/>
              <w:tblCellMar>
                <w:left w:w="70" w:type="dxa"/>
                <w:right w:w="70" w:type="dxa"/>
              </w:tblCellMar>
              <w:tblLook w:val="04A0"/>
            </w:tblPr>
            <w:tblGrid>
              <w:gridCol w:w="2311"/>
              <w:gridCol w:w="1760"/>
              <w:gridCol w:w="1884"/>
              <w:gridCol w:w="1275"/>
              <w:gridCol w:w="1510"/>
            </w:tblGrid>
            <w:tr w:rsidR="00DC1729" w:rsidRPr="00DC1729" w:rsidTr="00BD2228">
              <w:trPr>
                <w:trHeight w:val="1500"/>
              </w:trPr>
              <w:tc>
                <w:tcPr>
                  <w:tcW w:w="23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Банка/ Вид на кредита</w:t>
                  </w:r>
                </w:p>
              </w:tc>
              <w:tc>
                <w:tcPr>
                  <w:tcW w:w="17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Срок за усвояване</w:t>
                  </w:r>
                </w:p>
              </w:tc>
              <w:tc>
                <w:tcPr>
                  <w:tcW w:w="188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Размер на усвоения кредит/Лимит</w:t>
                  </w: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Краен срок за плащане</w:t>
                  </w:r>
                </w:p>
              </w:tc>
              <w:tc>
                <w:tcPr>
                  <w:tcW w:w="151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51711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Остатък към 31.12.2018</w:t>
                  </w:r>
                  <w:r w:rsidR="00DC1729"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г.</w:t>
                  </w:r>
                </w:p>
              </w:tc>
            </w:tr>
            <w:tr w:rsidR="00DC1729" w:rsidRPr="00DC1729" w:rsidTr="00BD2228">
              <w:trPr>
                <w:trHeight w:val="600"/>
              </w:trPr>
              <w:tc>
                <w:tcPr>
                  <w:tcW w:w="2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SG Експресбанк АД Инвестиционен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29.03.2015г.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400 000 eur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30.06.2021г.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F573B8" w:rsidP="00F573B8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166 666.65</w:t>
                  </w:r>
                  <w:r w:rsidR="00DC1729"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 xml:space="preserve"> eur    </w:t>
                  </w: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325 971.63</w:t>
                  </w:r>
                  <w:r w:rsidR="00DC1729"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 xml:space="preserve"> лв</w:t>
                  </w:r>
                </w:p>
              </w:tc>
            </w:tr>
            <w:tr w:rsidR="00DC1729" w:rsidRPr="00DC1729" w:rsidTr="00BD2228">
              <w:trPr>
                <w:trHeight w:val="600"/>
              </w:trPr>
              <w:tc>
                <w:tcPr>
                  <w:tcW w:w="2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SG Експресбанк АД Овърдрафт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в сила от 25.11.2016г.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FD3E67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лимит                       9</w:t>
                  </w:r>
                  <w:r w:rsidR="00DC1729"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00 000 лв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F573B8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31.05.2019</w:t>
                  </w:r>
                  <w:r w:rsidR="00DC1729"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г.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F573B8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847 714.28</w:t>
                  </w:r>
                  <w:r w:rsidR="00DC1729"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 xml:space="preserve"> лв</w:t>
                  </w:r>
                </w:p>
              </w:tc>
            </w:tr>
            <w:tr w:rsidR="00F573B8" w:rsidRPr="00DC1729" w:rsidTr="00A6375B">
              <w:trPr>
                <w:trHeight w:val="600"/>
              </w:trPr>
              <w:tc>
                <w:tcPr>
                  <w:tcW w:w="2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3B8" w:rsidRDefault="00F573B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SG Експресбанк АД Овърдрафт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3B8" w:rsidRDefault="00F573B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в сила от      15.07.2014г.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3B8" w:rsidRDefault="00F573B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 xml:space="preserve"> лимит                     300 000 eur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F573B8" w:rsidRDefault="00F573B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31.05.2019г.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F573B8" w:rsidRDefault="00F573B8">
                  <w:pPr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</w:rPr>
                    <w:t>148 970.10 eur   291 360.19 лв</w:t>
                  </w:r>
                </w:p>
              </w:tc>
            </w:tr>
            <w:tr w:rsidR="00DC1729" w:rsidRPr="00DC1729" w:rsidTr="00BD2228">
              <w:trPr>
                <w:trHeight w:val="600"/>
              </w:trPr>
              <w:tc>
                <w:tcPr>
                  <w:tcW w:w="23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Default="00DC172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Райфайзен Банк ЕАД</w:t>
                  </w:r>
                </w:p>
                <w:p w:rsidR="00517119" w:rsidRPr="00DC1729" w:rsidRDefault="00517119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Овърдрафт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F573B8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в сила от 02.05.2018</w:t>
                  </w:r>
                  <w:r w:rsidR="00DC1729"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г.</w:t>
                  </w:r>
                </w:p>
              </w:tc>
              <w:tc>
                <w:tcPr>
                  <w:tcW w:w="188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F573B8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лимит                       50</w:t>
                  </w:r>
                  <w:r w:rsidR="00DC1729"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0 000 лв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F573B8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30.04.2020</w:t>
                  </w:r>
                  <w:r w:rsidR="00DC1729"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г.</w:t>
                  </w:r>
                </w:p>
              </w:tc>
              <w:tc>
                <w:tcPr>
                  <w:tcW w:w="151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DC1729" w:rsidRPr="00DC1729" w:rsidRDefault="00F573B8" w:rsidP="00DC1729">
                  <w:pPr>
                    <w:suppressAutoHyphens w:val="0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</w:pPr>
                  <w:r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>214 338.74</w:t>
                  </w:r>
                  <w:r w:rsidR="00DC1729" w:rsidRPr="00DC1729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bg-BG" w:eastAsia="bg-BG"/>
                    </w:rPr>
                    <w:t xml:space="preserve"> лв</w:t>
                  </w:r>
                </w:p>
              </w:tc>
            </w:tr>
          </w:tbl>
          <w:p w:rsidR="00712D3A" w:rsidRPr="00712D3A" w:rsidRDefault="00712D3A" w:rsidP="00712D3A">
            <w:pPr>
              <w:suppressAutoHyphens w:val="0"/>
              <w:rPr>
                <w:color w:val="000000"/>
                <w:lang w:val="bg-BG" w:eastAsia="bg-BG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3A" w:rsidRPr="00712D3A" w:rsidRDefault="00712D3A" w:rsidP="00712D3A">
            <w:pPr>
              <w:suppressAutoHyphens w:val="0"/>
              <w:rPr>
                <w:color w:val="000000"/>
                <w:lang w:val="bg-BG" w:eastAsia="bg-BG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3A" w:rsidRPr="00712D3A" w:rsidRDefault="00712D3A" w:rsidP="00712D3A">
            <w:pPr>
              <w:suppressAutoHyphens w:val="0"/>
              <w:rPr>
                <w:color w:val="000000"/>
                <w:lang w:val="bg-BG" w:eastAsia="bg-BG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3A" w:rsidRPr="00712D3A" w:rsidRDefault="00712D3A" w:rsidP="00712D3A">
            <w:pPr>
              <w:suppressAutoHyphens w:val="0"/>
              <w:rPr>
                <w:color w:val="000000"/>
                <w:lang w:val="bg-BG" w:eastAsia="bg-BG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12D3A" w:rsidRPr="00712D3A" w:rsidRDefault="00712D3A" w:rsidP="00712D3A">
            <w:pPr>
              <w:suppressAutoHyphens w:val="0"/>
              <w:rPr>
                <w:color w:val="000000"/>
                <w:lang w:val="bg-BG" w:eastAsia="bg-BG"/>
              </w:rPr>
            </w:pPr>
          </w:p>
        </w:tc>
      </w:tr>
    </w:tbl>
    <w:p w:rsidR="008D2DA5" w:rsidRDefault="008D2DA5">
      <w:pPr>
        <w:spacing w:line="360" w:lineRule="auto"/>
        <w:ind w:firstLine="720"/>
        <w:jc w:val="both"/>
        <w:rPr>
          <w:lang w:val="bg-BG"/>
        </w:rPr>
      </w:pPr>
    </w:p>
    <w:p w:rsidR="00A163AC" w:rsidRPr="00A163AC" w:rsidRDefault="00A163AC">
      <w:pPr>
        <w:spacing w:line="360" w:lineRule="auto"/>
        <w:ind w:firstLine="720"/>
        <w:jc w:val="both"/>
        <w:rPr>
          <w:b/>
          <w:u w:val="single"/>
          <w:lang w:val="bg-BG"/>
        </w:rPr>
      </w:pPr>
      <w:r w:rsidRPr="00A163AC">
        <w:rPr>
          <w:b/>
          <w:u w:val="single"/>
          <w:lang w:val="bg-BG"/>
        </w:rPr>
        <w:t>3. Свързани лица</w:t>
      </w:r>
    </w:p>
    <w:p w:rsidR="00712D3A" w:rsidRDefault="00613DDC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Дружеството </w:t>
      </w:r>
      <w:r>
        <w:t>и</w:t>
      </w:r>
      <w:r w:rsidR="00A163AC">
        <w:rPr>
          <w:lang w:val="bg-BG"/>
        </w:rPr>
        <w:t>ма сделки и разчети със свързани лица.</w:t>
      </w:r>
      <w:r>
        <w:rPr>
          <w:lang w:val="bg-BG"/>
        </w:rPr>
        <w:t xml:space="preserve"> Предоставя за ползване на „ЕКО ЕНЕРДЖИ- СЛИВЕН” ЕООД офис помещение, намиращо се на адрес: гр. Сливен,бул „Тракия” 63 срещу наемна цена от 200 лв с ДДС месечно. </w:t>
      </w:r>
    </w:p>
    <w:p w:rsidR="00613DDC" w:rsidRDefault="00613DDC">
      <w:pPr>
        <w:spacing w:line="360" w:lineRule="auto"/>
        <w:ind w:firstLine="720"/>
        <w:jc w:val="both"/>
        <w:rPr>
          <w:lang w:val="bg-BG"/>
        </w:rPr>
      </w:pPr>
    </w:p>
    <w:p w:rsidR="008D2DA5" w:rsidRDefault="008D2DA5">
      <w:pPr>
        <w:spacing w:line="360" w:lineRule="auto"/>
        <w:ind w:firstLine="720"/>
        <w:jc w:val="both"/>
        <w:rPr>
          <w:b/>
          <w:sz w:val="28"/>
          <w:lang w:val="bg-BG"/>
        </w:rPr>
      </w:pPr>
      <w:r>
        <w:rPr>
          <w:b/>
          <w:sz w:val="28"/>
          <w:lang w:val="bg-BG"/>
        </w:rPr>
        <w:t>ІІ. Резултати от дейността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335"/>
        <w:gridCol w:w="900"/>
        <w:gridCol w:w="1101"/>
        <w:gridCol w:w="1151"/>
      </w:tblGrid>
      <w:tr w:rsidR="008D2DA5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D2DA5" w:rsidRDefault="008D2DA5">
            <w:pPr>
              <w:snapToGrid w:val="0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По к а з а т е л 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A5" w:rsidRDefault="008D2DA5">
            <w:pPr>
              <w:snapToGrid w:val="0"/>
              <w:jc w:val="center"/>
              <w:rPr>
                <w:b/>
                <w:color w:val="000000"/>
                <w:sz w:val="20"/>
                <w:lang w:val="bg-BG"/>
              </w:rPr>
            </w:pP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D2DA5" w:rsidRPr="008F6032" w:rsidRDefault="008D2DA5" w:rsidP="005F5A33">
            <w:pPr>
              <w:snapToGrid w:val="0"/>
              <w:spacing w:line="360" w:lineRule="auto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201</w:t>
            </w:r>
            <w:r w:rsidR="00786FE0">
              <w:rPr>
                <w:b/>
                <w:sz w:val="20"/>
                <w:lang w:val="bg-BG"/>
              </w:rPr>
              <w:t>8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D2DA5" w:rsidRPr="008F6032" w:rsidRDefault="00613DDC" w:rsidP="005F5A33">
            <w:pPr>
              <w:snapToGrid w:val="0"/>
              <w:spacing w:line="360" w:lineRule="auto"/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201</w:t>
            </w:r>
            <w:r w:rsidR="00C4553A">
              <w:rPr>
                <w:b/>
                <w:sz w:val="20"/>
                <w:lang w:val="bg-BG"/>
              </w:rPr>
              <w:t>7</w:t>
            </w:r>
          </w:p>
        </w:tc>
      </w:tr>
      <w:tr w:rsidR="00C4553A" w:rsidRPr="00962BCB" w:rsidTr="002B72A0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4553A" w:rsidRPr="00962BCB" w:rsidRDefault="00C4553A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Приходи от обичайната дейност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C4553A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1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8F6032" w:rsidRDefault="00786FE0" w:rsidP="00CC69BF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21251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53A" w:rsidRPr="008F6032" w:rsidRDefault="00C4553A" w:rsidP="00A6375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14501</w:t>
            </w:r>
          </w:p>
        </w:tc>
      </w:tr>
      <w:tr w:rsidR="00C4553A" w:rsidRPr="00962BCB" w:rsidTr="002B72A0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4553A" w:rsidRPr="00962BCB" w:rsidRDefault="00C4553A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Разходи за обичайната дейност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C4553A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2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786FE0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19076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53A" w:rsidRPr="00962BCB" w:rsidRDefault="00C4553A" w:rsidP="00A6375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12534</w:t>
            </w:r>
          </w:p>
        </w:tc>
      </w:tr>
      <w:tr w:rsidR="00C4553A" w:rsidRPr="00962BCB" w:rsidTr="002B72A0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4553A" w:rsidRPr="00962BCB" w:rsidRDefault="00C4553A" w:rsidP="004E32E1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b/>
                <w:sz w:val="20"/>
                <w:lang w:val="bg-BG"/>
              </w:rPr>
              <w:t>Печалба</w:t>
            </w:r>
            <w:r>
              <w:rPr>
                <w:b/>
                <w:sz w:val="20"/>
                <w:lang w:val="bg-BG"/>
              </w:rPr>
              <w:t xml:space="preserve"> о</w:t>
            </w:r>
            <w:r w:rsidRPr="00962BCB">
              <w:rPr>
                <w:b/>
                <w:sz w:val="20"/>
                <w:lang w:val="bg-BG"/>
              </w:rPr>
              <w:t xml:space="preserve">т обичайната дейност    </w:t>
            </w:r>
            <w:r w:rsidRPr="00962BCB">
              <w:rPr>
                <w:sz w:val="20"/>
                <w:lang w:val="bg-BG"/>
              </w:rPr>
              <w:t xml:space="preserve"> (1-2)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C4553A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3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8F6032" w:rsidRDefault="00786FE0" w:rsidP="004A382C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2175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53A" w:rsidRPr="008F6032" w:rsidRDefault="00C4553A" w:rsidP="00A6375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1967</w:t>
            </w:r>
          </w:p>
        </w:tc>
      </w:tr>
      <w:tr w:rsidR="00C4553A" w:rsidRPr="00962BCB" w:rsidTr="002B72A0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4553A" w:rsidRPr="00962BCB" w:rsidRDefault="00C4553A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b/>
                <w:sz w:val="20"/>
                <w:lang w:val="bg-BG"/>
              </w:rPr>
              <w:t>Балансова печалба</w:t>
            </w:r>
            <w:r w:rsidRPr="00962BCB">
              <w:rPr>
                <w:sz w:val="20"/>
                <w:lang w:val="bg-BG"/>
              </w:rPr>
              <w:t xml:space="preserve">  /след данъчно облагане/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C4553A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4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8F6032" w:rsidRDefault="00786FE0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1957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53A" w:rsidRPr="008F6032" w:rsidRDefault="00C4553A" w:rsidP="00A6375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1772</w:t>
            </w:r>
          </w:p>
        </w:tc>
      </w:tr>
      <w:tr w:rsidR="00C4553A" w:rsidRPr="00962BCB" w:rsidTr="002B72A0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4553A" w:rsidRPr="00962BCB" w:rsidRDefault="00C4553A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Нетен размер на приходите от продажби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C4553A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5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786FE0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18662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53A" w:rsidRPr="00962BCB" w:rsidRDefault="00C4553A" w:rsidP="00A6375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12445</w:t>
            </w:r>
          </w:p>
        </w:tc>
      </w:tr>
      <w:tr w:rsidR="00C4553A" w:rsidRPr="00962BCB" w:rsidTr="002B72A0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4553A" w:rsidRPr="00962BCB" w:rsidRDefault="00C4553A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Рентабилност на база р-ди за дейността  (3/2)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C4553A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6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786FE0" w:rsidP="004A382C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11,40%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53A" w:rsidRPr="00962BCB" w:rsidRDefault="00C4553A" w:rsidP="00A6375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15,69%</w:t>
            </w:r>
          </w:p>
        </w:tc>
      </w:tr>
      <w:tr w:rsidR="00C4553A" w:rsidRPr="00962BCB" w:rsidTr="002B72A0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4553A" w:rsidRPr="00962BCB" w:rsidRDefault="00C4553A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Рентабилност от дейността                  (3/5)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C4553A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7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786FE0" w:rsidP="004A382C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11,65%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53A" w:rsidRPr="00962BCB" w:rsidRDefault="00C4553A" w:rsidP="00A6375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15,81%</w:t>
            </w:r>
          </w:p>
        </w:tc>
      </w:tr>
      <w:tr w:rsidR="00C4553A" w:rsidRPr="00962BCB" w:rsidTr="002B72A0">
        <w:trPr>
          <w:trHeight w:val="255"/>
        </w:trPr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C4553A" w:rsidRPr="00962BCB" w:rsidRDefault="00C4553A">
            <w:pPr>
              <w:snapToGrid w:val="0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Чиста рентабилност                               (4/5)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C4553A">
            <w:pPr>
              <w:snapToGrid w:val="0"/>
              <w:jc w:val="right"/>
              <w:rPr>
                <w:sz w:val="20"/>
                <w:lang w:val="bg-BG"/>
              </w:rPr>
            </w:pPr>
            <w:r w:rsidRPr="00962BCB">
              <w:rPr>
                <w:sz w:val="20"/>
                <w:lang w:val="bg-BG"/>
              </w:rPr>
              <w:t>9</w:t>
            </w:r>
          </w:p>
        </w:tc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C4553A" w:rsidRPr="00962BCB" w:rsidRDefault="00786FE0" w:rsidP="00CC69BF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10,49%</w:t>
            </w:r>
          </w:p>
        </w:tc>
        <w:tc>
          <w:tcPr>
            <w:tcW w:w="1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553A" w:rsidRPr="00962BCB" w:rsidRDefault="00C4553A" w:rsidP="00A6375B">
            <w:pPr>
              <w:snapToGrid w:val="0"/>
              <w:jc w:val="right"/>
              <w:rPr>
                <w:sz w:val="20"/>
                <w:lang w:val="bg-BG"/>
              </w:rPr>
            </w:pPr>
            <w:r>
              <w:rPr>
                <w:sz w:val="20"/>
                <w:lang w:val="bg-BG"/>
              </w:rPr>
              <w:t>14,24%</w:t>
            </w:r>
          </w:p>
        </w:tc>
      </w:tr>
    </w:tbl>
    <w:p w:rsidR="008D2DA5" w:rsidRPr="00962BCB" w:rsidRDefault="008D2DA5">
      <w:pPr>
        <w:spacing w:line="360" w:lineRule="auto"/>
        <w:ind w:firstLine="720"/>
        <w:jc w:val="both"/>
      </w:pPr>
    </w:p>
    <w:p w:rsidR="004E32E1" w:rsidRDefault="008D2DA5" w:rsidP="00D16229">
      <w:pPr>
        <w:spacing w:line="360" w:lineRule="auto"/>
        <w:ind w:firstLine="720"/>
        <w:jc w:val="both"/>
        <w:rPr>
          <w:lang w:val="bg-BG"/>
        </w:rPr>
      </w:pPr>
      <w:r w:rsidRPr="00962BCB">
        <w:rPr>
          <w:lang w:val="bg-BG"/>
        </w:rPr>
        <w:t>Сумата на  нетните приходи от продажби през 201</w:t>
      </w:r>
      <w:r w:rsidR="00786FE0">
        <w:rPr>
          <w:lang w:val="bg-BG"/>
        </w:rPr>
        <w:t>8</w:t>
      </w:r>
      <w:r w:rsidRPr="00962BCB">
        <w:rPr>
          <w:lang w:val="bg-BG"/>
        </w:rPr>
        <w:t xml:space="preserve"> година е в размер на </w:t>
      </w:r>
      <w:r w:rsidR="00786FE0">
        <w:rPr>
          <w:lang w:val="bg-BG"/>
        </w:rPr>
        <w:t>18662 хил. лв., а през 2017</w:t>
      </w:r>
      <w:r w:rsidRPr="00962BCB">
        <w:rPr>
          <w:lang w:val="bg-BG"/>
        </w:rPr>
        <w:t xml:space="preserve"> година е </w:t>
      </w:r>
      <w:r w:rsidR="00786FE0">
        <w:rPr>
          <w:lang w:val="bg-BG"/>
        </w:rPr>
        <w:t>12445</w:t>
      </w:r>
      <w:r w:rsidRPr="00962BCB">
        <w:rPr>
          <w:lang w:val="bg-BG"/>
        </w:rPr>
        <w:t xml:space="preserve"> хил. лв., като увеличението е в размер на </w:t>
      </w:r>
      <w:r w:rsidR="00786FE0">
        <w:rPr>
          <w:lang w:val="bg-BG"/>
        </w:rPr>
        <w:t>6217</w:t>
      </w:r>
      <w:r w:rsidRPr="00962BCB">
        <w:rPr>
          <w:lang w:val="bg-BG"/>
        </w:rPr>
        <w:t xml:space="preserve"> хил. лв. </w:t>
      </w:r>
    </w:p>
    <w:p w:rsidR="008D2DA5" w:rsidRPr="00962BCB" w:rsidRDefault="00940E5C" w:rsidP="004E32E1">
      <w:pPr>
        <w:spacing w:line="360" w:lineRule="auto"/>
        <w:ind w:firstLine="720"/>
        <w:jc w:val="both"/>
        <w:rPr>
          <w:lang w:val="bg-BG"/>
        </w:rPr>
      </w:pPr>
      <w:r w:rsidRPr="00962BCB">
        <w:rPr>
          <w:lang w:val="bg-BG"/>
        </w:rPr>
        <w:t>Балансовата печалба за</w:t>
      </w:r>
      <w:r w:rsidR="008D2DA5" w:rsidRPr="00962BCB">
        <w:rPr>
          <w:lang w:val="bg-BG"/>
        </w:rPr>
        <w:t xml:space="preserve"> 201</w:t>
      </w:r>
      <w:r w:rsidR="00786FE0">
        <w:rPr>
          <w:lang w:val="bg-BG"/>
        </w:rPr>
        <w:t>8</w:t>
      </w:r>
      <w:r w:rsidR="008D2DA5" w:rsidRPr="00962BCB">
        <w:rPr>
          <w:lang w:val="bg-BG"/>
        </w:rPr>
        <w:t xml:space="preserve"> г. е 1</w:t>
      </w:r>
      <w:r w:rsidR="00786FE0">
        <w:rPr>
          <w:lang w:val="bg-BG"/>
        </w:rPr>
        <w:t>957</w:t>
      </w:r>
      <w:r w:rsidR="008D2DA5" w:rsidRPr="00962BCB">
        <w:rPr>
          <w:lang w:val="bg-BG"/>
        </w:rPr>
        <w:t xml:space="preserve"> хил. лв.,  спрямо реализираната през 201</w:t>
      </w:r>
      <w:r w:rsidR="00786FE0">
        <w:rPr>
          <w:lang w:val="bg-BG"/>
        </w:rPr>
        <w:t>7</w:t>
      </w:r>
      <w:r w:rsidR="008D2DA5" w:rsidRPr="00962BCB">
        <w:rPr>
          <w:lang w:val="bg-BG"/>
        </w:rPr>
        <w:t xml:space="preserve">  г. печалба от </w:t>
      </w:r>
      <w:r w:rsidR="00786FE0">
        <w:rPr>
          <w:lang w:val="bg-BG"/>
        </w:rPr>
        <w:t>1772</w:t>
      </w:r>
      <w:r w:rsidR="008D2DA5" w:rsidRPr="00962BCB">
        <w:rPr>
          <w:lang w:val="bg-BG"/>
        </w:rPr>
        <w:t xml:space="preserve"> хил. лв. </w:t>
      </w:r>
    </w:p>
    <w:p w:rsidR="008D2DA5" w:rsidRPr="00962BCB" w:rsidRDefault="008D2DA5">
      <w:pPr>
        <w:spacing w:line="360" w:lineRule="auto"/>
        <w:ind w:firstLine="720"/>
        <w:jc w:val="both"/>
        <w:rPr>
          <w:lang w:val="bg-BG"/>
        </w:rPr>
      </w:pPr>
      <w:r w:rsidRPr="00962BCB">
        <w:rPr>
          <w:lang w:val="bg-BG"/>
        </w:rPr>
        <w:lastRenderedPageBreak/>
        <w:t>Печалбата, реализирана от дружеството през двете години предопределя и високото ниво на показателите за рентабилност.</w:t>
      </w:r>
    </w:p>
    <w:p w:rsidR="008D2DA5" w:rsidRPr="00962BCB" w:rsidRDefault="008D2DA5">
      <w:pPr>
        <w:spacing w:line="360" w:lineRule="auto"/>
        <w:ind w:firstLine="720"/>
        <w:jc w:val="both"/>
        <w:rPr>
          <w:lang w:val="bg-BG"/>
        </w:rPr>
      </w:pPr>
    </w:p>
    <w:p w:rsidR="008D2DA5" w:rsidRPr="00962BCB" w:rsidRDefault="008D2DA5">
      <w:pPr>
        <w:spacing w:line="360" w:lineRule="auto"/>
        <w:ind w:firstLine="720"/>
        <w:jc w:val="both"/>
        <w:rPr>
          <w:b/>
          <w:sz w:val="28"/>
          <w:lang w:val="bg-BG"/>
        </w:rPr>
      </w:pPr>
      <w:r w:rsidRPr="00962BCB">
        <w:rPr>
          <w:b/>
          <w:sz w:val="28"/>
          <w:lang w:val="bg-BG"/>
        </w:rPr>
        <w:t>ІІІ. Рискове пред дружеството</w:t>
      </w:r>
    </w:p>
    <w:p w:rsidR="008D2DA5" w:rsidRDefault="008D2DA5">
      <w:pPr>
        <w:spacing w:line="360" w:lineRule="auto"/>
        <w:ind w:firstLine="720"/>
        <w:jc w:val="both"/>
        <w:rPr>
          <w:b/>
          <w:u w:val="single"/>
          <w:lang w:val="bg-BG"/>
        </w:rPr>
      </w:pPr>
      <w:r w:rsidRPr="00962BCB">
        <w:rPr>
          <w:b/>
          <w:u w:val="single"/>
          <w:lang w:val="bg-BG"/>
        </w:rPr>
        <w:t>Валутен риск</w:t>
      </w:r>
    </w:p>
    <w:p w:rsidR="008D2DA5" w:rsidRPr="005F03F6" w:rsidRDefault="008D2DA5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Валутният риск е свързан с възможността приходите от дейността и разходите за дейността да бъдат повлияни от промените на валутния курс на лева към други валути. Тъй като СД „Начеви-90-С-ие” реализира продукцията си в лева и в евро,</w:t>
      </w:r>
      <w:r w:rsidR="00A53D6C">
        <w:rPr>
          <w:lang w:val="bg-BG"/>
        </w:rPr>
        <w:t xml:space="preserve"> </w:t>
      </w:r>
      <w:r>
        <w:rPr>
          <w:lang w:val="bg-BG"/>
        </w:rPr>
        <w:t xml:space="preserve">осъществява доставките си в лева и долари, като цяло не съществува валутен риск по отношение на постъпленията . </w:t>
      </w:r>
      <w:r w:rsidRPr="005F03F6">
        <w:rPr>
          <w:lang w:val="bg-BG"/>
        </w:rPr>
        <w:t xml:space="preserve">По отношение на разходите за намаляване на риска от променливия курс на долара управителите прибягват до договаряне на </w:t>
      </w:r>
      <w:r w:rsidRPr="005F03F6">
        <w:rPr>
          <w:rStyle w:val="Strong"/>
          <w:lang w:val="bg-BG"/>
        </w:rPr>
        <w:t xml:space="preserve">Форуърд курс </w:t>
      </w:r>
      <w:r w:rsidRPr="005F03F6">
        <w:rPr>
          <w:lang w:val="bg-BG"/>
        </w:rPr>
        <w:t>(</w:t>
      </w:r>
      <w:r w:rsidRPr="005F03F6">
        <w:rPr>
          <w:rStyle w:val="Emphasis"/>
          <w:lang w:val="bg-BG"/>
        </w:rPr>
        <w:t>Forward rate</w:t>
      </w:r>
      <w:r w:rsidRPr="005F03F6">
        <w:rPr>
          <w:rStyle w:val="Strong"/>
          <w:lang w:val="bg-BG"/>
        </w:rPr>
        <w:t>).</w:t>
      </w:r>
      <w:r w:rsidRPr="005F03F6">
        <w:rPr>
          <w:lang w:val="bg-BG"/>
        </w:rPr>
        <w:t xml:space="preserve"> Това е договорената цена по контракт, който ще се осъществи след определено време.</w:t>
      </w:r>
    </w:p>
    <w:p w:rsidR="008D2DA5" w:rsidRDefault="008D2DA5">
      <w:pPr>
        <w:spacing w:line="360" w:lineRule="auto"/>
        <w:ind w:firstLine="720"/>
        <w:jc w:val="both"/>
        <w:rPr>
          <w:b/>
          <w:u w:val="single"/>
          <w:lang w:val="bg-BG"/>
        </w:rPr>
      </w:pPr>
      <w:r w:rsidRPr="005F03F6">
        <w:rPr>
          <w:b/>
          <w:u w:val="single"/>
          <w:lang w:val="bg-BG"/>
        </w:rPr>
        <w:t>Финансо</w:t>
      </w:r>
      <w:r>
        <w:rPr>
          <w:b/>
          <w:u w:val="single"/>
          <w:lang w:val="bg-BG"/>
        </w:rPr>
        <w:t>в риск</w:t>
      </w:r>
    </w:p>
    <w:p w:rsidR="008D2DA5" w:rsidRDefault="008D2DA5">
      <w:pPr>
        <w:spacing w:line="360" w:lineRule="auto"/>
        <w:ind w:firstLine="720"/>
        <w:jc w:val="both"/>
      </w:pPr>
      <w:r>
        <w:rPr>
          <w:lang w:val="bg-BG"/>
        </w:rPr>
        <w:t>Финансовият риск се изразява в несигурност за инвеститорите в случаите, когато фирмата използва привлечени средства. Тъй като СД „Начеви-90-С-ие”  ползва заемен капитал, финансовият риск съществува.</w:t>
      </w:r>
    </w:p>
    <w:p w:rsidR="00D16229" w:rsidRPr="00D16229" w:rsidRDefault="00D16229">
      <w:pPr>
        <w:spacing w:line="360" w:lineRule="auto"/>
        <w:ind w:firstLine="720"/>
        <w:jc w:val="both"/>
      </w:pPr>
    </w:p>
    <w:p w:rsidR="000E606B" w:rsidRDefault="000E606B" w:rsidP="000E606B">
      <w:pPr>
        <w:spacing w:line="360" w:lineRule="auto"/>
        <w:ind w:firstLine="720"/>
        <w:jc w:val="both"/>
        <w:rPr>
          <w:b/>
          <w:sz w:val="28"/>
          <w:szCs w:val="28"/>
          <w:lang w:val="bg-BG"/>
        </w:rPr>
      </w:pPr>
      <w:r w:rsidRPr="000A4839">
        <w:rPr>
          <w:b/>
          <w:sz w:val="28"/>
          <w:szCs w:val="28"/>
          <w:lang w:val="bg-BG"/>
        </w:rPr>
        <w:t xml:space="preserve">ІV. </w:t>
      </w:r>
      <w:r w:rsidR="009D24D5">
        <w:rPr>
          <w:b/>
          <w:sz w:val="28"/>
          <w:szCs w:val="28"/>
          <w:lang w:val="bg-BG"/>
        </w:rPr>
        <w:t>Действия в областта на научно-</w:t>
      </w:r>
      <w:r>
        <w:rPr>
          <w:b/>
          <w:sz w:val="28"/>
          <w:szCs w:val="28"/>
          <w:lang w:val="bg-BG"/>
        </w:rPr>
        <w:t>изследователската и развойна дейност</w:t>
      </w:r>
    </w:p>
    <w:p w:rsidR="000E606B" w:rsidRDefault="00786FE0" w:rsidP="00050248">
      <w:pPr>
        <w:spacing w:line="360" w:lineRule="auto"/>
        <w:ind w:right="-1" w:firstLine="720"/>
        <w:jc w:val="both"/>
        <w:rPr>
          <w:lang w:val="bg-BG"/>
        </w:rPr>
      </w:pPr>
      <w:r>
        <w:rPr>
          <w:lang w:val="bg-BG"/>
        </w:rPr>
        <w:t>Дружеството през 2018</w:t>
      </w:r>
      <w:r w:rsidR="00AE2A25">
        <w:rPr>
          <w:lang w:val="bg-BG"/>
        </w:rPr>
        <w:t xml:space="preserve"> г.</w:t>
      </w:r>
      <w:r w:rsidR="000E606B">
        <w:rPr>
          <w:lang w:val="bg-BG"/>
        </w:rPr>
        <w:t xml:space="preserve"> е извършило действия в областта на научно</w:t>
      </w:r>
      <w:r w:rsidR="009D24D5">
        <w:rPr>
          <w:lang w:val="bg-BG"/>
        </w:rPr>
        <w:t>-</w:t>
      </w:r>
      <w:r w:rsidR="000E606B">
        <w:rPr>
          <w:lang w:val="bg-BG"/>
        </w:rPr>
        <w:t>изследователската и развойна дейност</w:t>
      </w:r>
      <w:r w:rsidR="00050248">
        <w:rPr>
          <w:lang w:val="bg-BG"/>
        </w:rPr>
        <w:t>.</w:t>
      </w:r>
    </w:p>
    <w:p w:rsidR="00050248" w:rsidRPr="00050248" w:rsidRDefault="00786FE0" w:rsidP="00AC5806">
      <w:pPr>
        <w:pStyle w:val="--"/>
        <w:widowControl/>
        <w:spacing w:line="360" w:lineRule="auto"/>
        <w:ind w:firstLine="72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През </w:t>
      </w:r>
      <w:r w:rsidR="00050248" w:rsidRPr="00050248">
        <w:rPr>
          <w:sz w:val="24"/>
          <w:szCs w:val="24"/>
          <w:lang w:val="bg-BG"/>
        </w:rPr>
        <w:t xml:space="preserve"> 2017</w:t>
      </w:r>
      <w:r w:rsidR="00AC7553">
        <w:rPr>
          <w:sz w:val="24"/>
          <w:szCs w:val="24"/>
          <w:lang w:val="bg-BG"/>
        </w:rPr>
        <w:t xml:space="preserve"> </w:t>
      </w:r>
      <w:r w:rsidR="00050248" w:rsidRPr="00050248">
        <w:rPr>
          <w:sz w:val="24"/>
          <w:szCs w:val="24"/>
          <w:lang w:val="bg-BG"/>
        </w:rPr>
        <w:t xml:space="preserve">г. </w:t>
      </w:r>
      <w:r w:rsidR="00050248" w:rsidRPr="00050248">
        <w:rPr>
          <w:sz w:val="24"/>
          <w:szCs w:val="24"/>
          <w:lang w:val="ru-RU"/>
        </w:rPr>
        <w:t>СД "</w:t>
      </w:r>
      <w:r w:rsidR="00050248" w:rsidRPr="00050248">
        <w:rPr>
          <w:sz w:val="24"/>
          <w:szCs w:val="24"/>
          <w:lang w:val="bg-BG"/>
        </w:rPr>
        <w:t>НАЧЕВИ-90</w:t>
      </w:r>
      <w:r w:rsidR="00050248" w:rsidRPr="00050248">
        <w:rPr>
          <w:sz w:val="24"/>
          <w:szCs w:val="24"/>
          <w:lang w:val="ru-RU"/>
        </w:rPr>
        <w:t>-С-</w:t>
      </w:r>
      <w:r w:rsidR="00050248" w:rsidRPr="00050248">
        <w:rPr>
          <w:sz w:val="24"/>
          <w:szCs w:val="24"/>
          <w:lang w:val="bg-BG"/>
        </w:rPr>
        <w:t>ИЕ”</w:t>
      </w:r>
      <w:r w:rsidR="00050248" w:rsidRPr="00050248">
        <w:rPr>
          <w:sz w:val="24"/>
          <w:szCs w:val="24"/>
          <w:lang w:val="en-US"/>
        </w:rPr>
        <w:t xml:space="preserve"> </w:t>
      </w:r>
      <w:r w:rsidR="00050248" w:rsidRPr="00050248">
        <w:rPr>
          <w:sz w:val="24"/>
          <w:szCs w:val="24"/>
          <w:lang w:val="bg-BG"/>
        </w:rPr>
        <w:t xml:space="preserve"> сключва Д</w:t>
      </w:r>
      <w:r w:rsidR="00AC7553">
        <w:rPr>
          <w:sz w:val="24"/>
          <w:szCs w:val="24"/>
          <w:lang w:val="bg-BG"/>
        </w:rPr>
        <w:t>оговор за безвъзмездна финансова помощ</w:t>
      </w:r>
      <w:r w:rsidR="00050248" w:rsidRPr="00050248">
        <w:rPr>
          <w:sz w:val="24"/>
          <w:szCs w:val="24"/>
          <w:lang w:val="bg-BG"/>
        </w:rPr>
        <w:t xml:space="preserve"> №</w:t>
      </w:r>
      <w:r w:rsidR="00AC7553">
        <w:rPr>
          <w:sz w:val="24"/>
          <w:szCs w:val="24"/>
          <w:lang w:val="bg-BG"/>
        </w:rPr>
        <w:t xml:space="preserve"> </w:t>
      </w:r>
      <w:r w:rsidR="00050248" w:rsidRPr="00050248">
        <w:rPr>
          <w:sz w:val="24"/>
          <w:szCs w:val="24"/>
          <w:lang w:val="en-US"/>
        </w:rPr>
        <w:t>BG16RFOP002-1.001-0061-C01</w:t>
      </w:r>
      <w:r w:rsidR="00050248" w:rsidRPr="00050248">
        <w:rPr>
          <w:sz w:val="24"/>
          <w:szCs w:val="24"/>
          <w:lang w:val="bg-BG"/>
        </w:rPr>
        <w:t xml:space="preserve"> с Министерство на Икономиката по Оперативна програма „Иновации и Конкурентноспособност” 2014-2020./съфинансиран с Европейски Съюз/.</w:t>
      </w:r>
    </w:p>
    <w:p w:rsidR="00050248" w:rsidRPr="00050248" w:rsidRDefault="00050248" w:rsidP="00AC5806">
      <w:pPr>
        <w:pStyle w:val="--"/>
        <w:widowControl/>
        <w:spacing w:line="360" w:lineRule="auto"/>
        <w:ind w:firstLine="720"/>
        <w:jc w:val="both"/>
        <w:rPr>
          <w:sz w:val="24"/>
          <w:szCs w:val="24"/>
          <w:lang w:val="en-US"/>
        </w:rPr>
      </w:pPr>
      <w:r w:rsidRPr="00050248">
        <w:rPr>
          <w:sz w:val="24"/>
          <w:szCs w:val="24"/>
          <w:lang w:val="en-US"/>
        </w:rPr>
        <w:t xml:space="preserve">Одобреният проект е за повишаване на иновационната дейност на </w:t>
      </w:r>
      <w:r w:rsidRPr="00050248">
        <w:rPr>
          <w:sz w:val="24"/>
          <w:szCs w:val="24"/>
          <w:lang w:val="ru-RU"/>
        </w:rPr>
        <w:t>СД "</w:t>
      </w:r>
      <w:r w:rsidRPr="00050248">
        <w:rPr>
          <w:sz w:val="24"/>
          <w:szCs w:val="24"/>
          <w:lang w:val="bg-BG"/>
        </w:rPr>
        <w:t>НАЧЕВИ-90</w:t>
      </w:r>
      <w:r w:rsidRPr="00050248">
        <w:rPr>
          <w:sz w:val="24"/>
          <w:szCs w:val="24"/>
          <w:lang w:val="ru-RU"/>
        </w:rPr>
        <w:t>-С-</w:t>
      </w:r>
      <w:r w:rsidRPr="00050248">
        <w:rPr>
          <w:sz w:val="24"/>
          <w:szCs w:val="24"/>
          <w:lang w:val="bg-BG"/>
        </w:rPr>
        <w:t>ИЕ в областта на мехатрониката, чрез внедряване в серийно производство и пазарна реализация на полезен модел „умен диван”.</w:t>
      </w:r>
    </w:p>
    <w:p w:rsidR="00050248" w:rsidRPr="00050248" w:rsidRDefault="00050248" w:rsidP="000E606B">
      <w:pPr>
        <w:spacing w:line="360" w:lineRule="auto"/>
        <w:ind w:right="-1" w:firstLine="720"/>
        <w:jc w:val="both"/>
      </w:pPr>
    </w:p>
    <w:p w:rsidR="008D2DA5" w:rsidRDefault="008D2DA5">
      <w:pPr>
        <w:spacing w:line="360" w:lineRule="auto"/>
        <w:ind w:firstLine="720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V. Бъдещо развитие</w:t>
      </w:r>
    </w:p>
    <w:p w:rsidR="008D2DA5" w:rsidRDefault="008D2DA5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>Ръководството счита, че и през следващите години дружеството успешно ще осъществява дейността по основния си предмет – производство на тапицирани мебели и активна енергия.</w:t>
      </w:r>
    </w:p>
    <w:p w:rsidR="00050248" w:rsidRDefault="00050248">
      <w:pPr>
        <w:spacing w:line="360" w:lineRule="auto"/>
        <w:ind w:firstLine="720"/>
        <w:jc w:val="both"/>
        <w:rPr>
          <w:b/>
          <w:sz w:val="28"/>
          <w:szCs w:val="28"/>
          <w:lang w:val="bg-BG"/>
        </w:rPr>
      </w:pPr>
    </w:p>
    <w:p w:rsidR="00050248" w:rsidRDefault="00050248">
      <w:pPr>
        <w:spacing w:line="360" w:lineRule="auto"/>
        <w:ind w:firstLine="720"/>
        <w:jc w:val="both"/>
        <w:rPr>
          <w:b/>
          <w:sz w:val="28"/>
          <w:szCs w:val="28"/>
          <w:lang w:val="bg-BG"/>
        </w:rPr>
      </w:pPr>
    </w:p>
    <w:p w:rsidR="008D2DA5" w:rsidRDefault="008D2DA5">
      <w:pPr>
        <w:spacing w:line="360" w:lineRule="auto"/>
        <w:ind w:firstLine="720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lastRenderedPageBreak/>
        <w:t>V</w:t>
      </w:r>
      <w:r w:rsidR="000E606B">
        <w:rPr>
          <w:b/>
          <w:sz w:val="28"/>
          <w:szCs w:val="28"/>
          <w:lang w:val="bg-BG"/>
        </w:rPr>
        <w:t>І</w:t>
      </w:r>
      <w:r>
        <w:rPr>
          <w:b/>
          <w:sz w:val="28"/>
          <w:szCs w:val="28"/>
          <w:lang w:val="bg-BG"/>
        </w:rPr>
        <w:t>. Важни събития настъпили след годишното приключване</w:t>
      </w:r>
    </w:p>
    <w:p w:rsidR="008D2DA5" w:rsidRPr="005F03F6" w:rsidRDefault="008D2DA5">
      <w:pPr>
        <w:spacing w:line="360" w:lineRule="auto"/>
        <w:ind w:firstLine="720"/>
        <w:jc w:val="both"/>
        <w:rPr>
          <w:lang w:val="bg-BG"/>
        </w:rPr>
      </w:pPr>
      <w:r w:rsidRPr="005F03F6">
        <w:rPr>
          <w:lang w:val="bg-BG"/>
        </w:rPr>
        <w:t>Към настоящият момент на ръководството на дружеството не са известни други събития, които биха оказали съществено влияние върху финансовото състояние на дружеството.</w:t>
      </w:r>
    </w:p>
    <w:p w:rsidR="00173337" w:rsidRDefault="00173337">
      <w:pPr>
        <w:spacing w:line="360" w:lineRule="auto"/>
        <w:ind w:firstLine="720"/>
        <w:jc w:val="both"/>
        <w:rPr>
          <w:b/>
          <w:sz w:val="28"/>
          <w:szCs w:val="28"/>
          <w:lang w:val="bg-BG"/>
        </w:rPr>
      </w:pPr>
    </w:p>
    <w:p w:rsidR="008D2DA5" w:rsidRDefault="00976870">
      <w:pPr>
        <w:spacing w:line="360" w:lineRule="auto"/>
        <w:ind w:firstLine="720"/>
        <w:jc w:val="both"/>
        <w:rPr>
          <w:b/>
          <w:sz w:val="28"/>
          <w:szCs w:val="28"/>
          <w:lang w:val="bg-BG"/>
        </w:rPr>
      </w:pPr>
      <w:r>
        <w:rPr>
          <w:b/>
          <w:sz w:val="28"/>
          <w:szCs w:val="28"/>
          <w:lang w:val="bg-BG"/>
        </w:rPr>
        <w:t>VІІ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  <w:lang w:val="bg-BG"/>
        </w:rPr>
        <w:t>Други въпроси</w:t>
      </w:r>
    </w:p>
    <w:p w:rsidR="00173337" w:rsidRDefault="00AC7553">
      <w:pPr>
        <w:spacing w:line="360" w:lineRule="auto"/>
        <w:ind w:firstLine="720"/>
        <w:jc w:val="both"/>
        <w:rPr>
          <w:lang w:val="bg-BG"/>
        </w:rPr>
      </w:pPr>
      <w:r>
        <w:rPr>
          <w:lang w:val="bg-BG"/>
        </w:rPr>
        <w:t xml:space="preserve">Управителите </w:t>
      </w:r>
      <w:r w:rsidR="00FB1292">
        <w:rPr>
          <w:lang w:val="bg-BG"/>
        </w:rPr>
        <w:t xml:space="preserve"> получават възнаграждения</w:t>
      </w:r>
      <w:r w:rsidR="001603A5">
        <w:rPr>
          <w:lang w:val="bg-BG"/>
        </w:rPr>
        <w:t xml:space="preserve"> по договори за управление и контрол</w:t>
      </w:r>
      <w:r w:rsidR="00FB1292">
        <w:rPr>
          <w:lang w:val="bg-BG"/>
        </w:rPr>
        <w:t>. П</w:t>
      </w:r>
      <w:r>
        <w:rPr>
          <w:lang w:val="bg-BG"/>
        </w:rPr>
        <w:t xml:space="preserve">олучават </w:t>
      </w:r>
      <w:r w:rsidR="001603A5">
        <w:rPr>
          <w:lang w:val="bg-BG"/>
        </w:rPr>
        <w:t>и</w:t>
      </w:r>
      <w:r w:rsidR="00FB1292">
        <w:rPr>
          <w:lang w:val="bg-BG"/>
        </w:rPr>
        <w:t xml:space="preserve"> дивиденти.</w:t>
      </w:r>
    </w:p>
    <w:p w:rsidR="00173337" w:rsidRDefault="00173337">
      <w:pPr>
        <w:spacing w:line="360" w:lineRule="auto"/>
        <w:ind w:firstLine="720"/>
        <w:jc w:val="both"/>
        <w:rPr>
          <w:lang w:val="bg-BG"/>
        </w:rPr>
      </w:pPr>
    </w:p>
    <w:p w:rsidR="008D2DA5" w:rsidRDefault="00520ADB">
      <w:pPr>
        <w:spacing w:line="360" w:lineRule="auto"/>
        <w:ind w:firstLine="720"/>
        <w:jc w:val="both"/>
        <w:rPr>
          <w:lang w:val="bg-BG"/>
        </w:rPr>
      </w:pPr>
      <w:r w:rsidRPr="00D16229">
        <w:rPr>
          <w:lang w:val="bg-BG"/>
        </w:rPr>
        <w:t xml:space="preserve">Дата: </w:t>
      </w:r>
      <w:r w:rsidR="00D16229" w:rsidRPr="00D16229">
        <w:t>11</w:t>
      </w:r>
      <w:r w:rsidRPr="00D16229">
        <w:rPr>
          <w:lang w:val="bg-BG"/>
        </w:rPr>
        <w:t>.0</w:t>
      </w:r>
      <w:r w:rsidR="005C6111" w:rsidRPr="00D16229">
        <w:rPr>
          <w:lang w:val="bg-BG"/>
        </w:rPr>
        <w:t>3</w:t>
      </w:r>
      <w:r w:rsidR="008D2DA5" w:rsidRPr="00D16229">
        <w:rPr>
          <w:lang w:val="bg-BG"/>
        </w:rPr>
        <w:t>.201</w:t>
      </w:r>
      <w:r w:rsidR="00D16229" w:rsidRPr="00D16229">
        <w:t>9</w:t>
      </w:r>
      <w:r w:rsidR="008D2DA5" w:rsidRPr="00D16229">
        <w:rPr>
          <w:lang w:val="bg-BG"/>
        </w:rPr>
        <w:t xml:space="preserve"> г.</w:t>
      </w:r>
      <w:r w:rsidR="008D2DA5">
        <w:rPr>
          <w:lang w:val="bg-BG"/>
        </w:rPr>
        <w:t xml:space="preserve">                                                    Управител:…………………….</w:t>
      </w:r>
    </w:p>
    <w:p w:rsidR="008D2DA5" w:rsidRDefault="008D2DA5">
      <w:pPr>
        <w:spacing w:line="360" w:lineRule="auto"/>
        <w:ind w:firstLine="720"/>
        <w:jc w:val="both"/>
      </w:pPr>
      <w:r>
        <w:rPr>
          <w:lang w:val="bg-BG"/>
        </w:rPr>
        <w:t xml:space="preserve">                                                                                                        /</w:t>
      </w:r>
      <w:r w:rsidR="003D7E3E">
        <w:rPr>
          <w:lang w:val="bg-BG"/>
        </w:rPr>
        <w:t>Иван</w:t>
      </w:r>
      <w:r>
        <w:rPr>
          <w:lang w:val="bg-BG"/>
        </w:rPr>
        <w:t xml:space="preserve"> Начев/</w:t>
      </w:r>
    </w:p>
    <w:sectPr w:rsidR="008D2DA5" w:rsidSect="00B1054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35" w:right="924" w:bottom="764" w:left="1412" w:header="259" w:footer="708" w:gutter="0"/>
      <w:pgNumType w:start="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7D3" w:rsidRDefault="006A57D3">
      <w:r>
        <w:separator/>
      </w:r>
    </w:p>
  </w:endnote>
  <w:endnote w:type="continuationSeparator" w:id="0">
    <w:p w:rsidR="006A57D3" w:rsidRDefault="006A57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">
    <w:charset w:val="02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A5" w:rsidRDefault="008D2DA5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54D" w:rsidRPr="00B1054D" w:rsidRDefault="00B1054D">
    <w:pPr>
      <w:pStyle w:val="Footer"/>
      <w:jc w:val="right"/>
      <w:rPr>
        <w:sz w:val="16"/>
        <w:szCs w:val="16"/>
      </w:rPr>
    </w:pPr>
    <w:r w:rsidRPr="00B1054D">
      <w:rPr>
        <w:sz w:val="16"/>
        <w:szCs w:val="16"/>
      </w:rPr>
      <w:fldChar w:fldCharType="begin"/>
    </w:r>
    <w:r w:rsidRPr="00B1054D">
      <w:rPr>
        <w:sz w:val="16"/>
        <w:szCs w:val="16"/>
      </w:rPr>
      <w:instrText xml:space="preserve"> PAGE   \* MERGEFORMAT </w:instrText>
    </w:r>
    <w:r w:rsidRPr="00B1054D">
      <w:rPr>
        <w:sz w:val="16"/>
        <w:szCs w:val="16"/>
      </w:rPr>
      <w:fldChar w:fldCharType="separate"/>
    </w:r>
    <w:r w:rsidR="00F71D93">
      <w:rPr>
        <w:noProof/>
        <w:sz w:val="16"/>
        <w:szCs w:val="16"/>
      </w:rPr>
      <w:t>5</w:t>
    </w:r>
    <w:r w:rsidRPr="00B1054D">
      <w:rPr>
        <w:sz w:val="16"/>
        <w:szCs w:val="16"/>
      </w:rPr>
      <w:fldChar w:fldCharType="end"/>
    </w:r>
  </w:p>
  <w:p w:rsidR="008D2DA5" w:rsidRDefault="008D2DA5">
    <w:pPr>
      <w:pStyle w:val="Footer"/>
      <w:tabs>
        <w:tab w:val="clear" w:pos="4703"/>
        <w:tab w:val="clear" w:pos="9406"/>
        <w:tab w:val="left" w:pos="12960"/>
      </w:tabs>
      <w:jc w:val="right"/>
      <w:rPr>
        <w:lang w:val="bg-BG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A5" w:rsidRDefault="008D2DA5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7D3" w:rsidRDefault="006A57D3">
      <w:r>
        <w:separator/>
      </w:r>
    </w:p>
  </w:footnote>
  <w:footnote w:type="continuationSeparator" w:id="0">
    <w:p w:rsidR="006A57D3" w:rsidRDefault="006A57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054D" w:rsidRDefault="00B1054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A5" w:rsidRDefault="008D2DA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D2DA5" w:rsidRDefault="008D2DA5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486C"/>
    <w:rsid w:val="00007894"/>
    <w:rsid w:val="00014A02"/>
    <w:rsid w:val="00050248"/>
    <w:rsid w:val="000B79F6"/>
    <w:rsid w:val="000E606B"/>
    <w:rsid w:val="00125A2B"/>
    <w:rsid w:val="001263C2"/>
    <w:rsid w:val="00142324"/>
    <w:rsid w:val="00154A1F"/>
    <w:rsid w:val="001603A5"/>
    <w:rsid w:val="001704CD"/>
    <w:rsid w:val="00173337"/>
    <w:rsid w:val="00181EFF"/>
    <w:rsid w:val="001B29DE"/>
    <w:rsid w:val="001B4362"/>
    <w:rsid w:val="001D486C"/>
    <w:rsid w:val="001E5CE9"/>
    <w:rsid w:val="00202B26"/>
    <w:rsid w:val="00260E68"/>
    <w:rsid w:val="00261162"/>
    <w:rsid w:val="00294108"/>
    <w:rsid w:val="002B6362"/>
    <w:rsid w:val="002B72A0"/>
    <w:rsid w:val="002D6FE1"/>
    <w:rsid w:val="002F1389"/>
    <w:rsid w:val="0035777F"/>
    <w:rsid w:val="00363CAA"/>
    <w:rsid w:val="003717B5"/>
    <w:rsid w:val="003D7E3E"/>
    <w:rsid w:val="003E248C"/>
    <w:rsid w:val="0047765A"/>
    <w:rsid w:val="0048363E"/>
    <w:rsid w:val="004A382C"/>
    <w:rsid w:val="004B4857"/>
    <w:rsid w:val="004E32E1"/>
    <w:rsid w:val="00515229"/>
    <w:rsid w:val="00517119"/>
    <w:rsid w:val="00520ADB"/>
    <w:rsid w:val="00526647"/>
    <w:rsid w:val="00527215"/>
    <w:rsid w:val="0058675C"/>
    <w:rsid w:val="005953FE"/>
    <w:rsid w:val="005C6111"/>
    <w:rsid w:val="005E119F"/>
    <w:rsid w:val="005F03F6"/>
    <w:rsid w:val="005F5A33"/>
    <w:rsid w:val="00613DDC"/>
    <w:rsid w:val="00616A23"/>
    <w:rsid w:val="006273FA"/>
    <w:rsid w:val="00666C7F"/>
    <w:rsid w:val="006A57D3"/>
    <w:rsid w:val="006C1276"/>
    <w:rsid w:val="006D0B3C"/>
    <w:rsid w:val="006D4AC8"/>
    <w:rsid w:val="00712D3A"/>
    <w:rsid w:val="00724C8A"/>
    <w:rsid w:val="0074748B"/>
    <w:rsid w:val="00786FE0"/>
    <w:rsid w:val="007D0D7F"/>
    <w:rsid w:val="00853150"/>
    <w:rsid w:val="00860A63"/>
    <w:rsid w:val="008840D8"/>
    <w:rsid w:val="00885C22"/>
    <w:rsid w:val="008D2DA5"/>
    <w:rsid w:val="008D5CE2"/>
    <w:rsid w:val="008F6032"/>
    <w:rsid w:val="00921D9B"/>
    <w:rsid w:val="0092392A"/>
    <w:rsid w:val="00931014"/>
    <w:rsid w:val="00932B17"/>
    <w:rsid w:val="00940E5C"/>
    <w:rsid w:val="00962BCB"/>
    <w:rsid w:val="00963E68"/>
    <w:rsid w:val="00975BDD"/>
    <w:rsid w:val="00976870"/>
    <w:rsid w:val="0098080B"/>
    <w:rsid w:val="009B40CE"/>
    <w:rsid w:val="009D24D5"/>
    <w:rsid w:val="00A163AC"/>
    <w:rsid w:val="00A4075E"/>
    <w:rsid w:val="00A53D6C"/>
    <w:rsid w:val="00A575C9"/>
    <w:rsid w:val="00A6375B"/>
    <w:rsid w:val="00A719E8"/>
    <w:rsid w:val="00AC5806"/>
    <w:rsid w:val="00AC7553"/>
    <w:rsid w:val="00AE2A25"/>
    <w:rsid w:val="00B1054D"/>
    <w:rsid w:val="00B13487"/>
    <w:rsid w:val="00B32EB5"/>
    <w:rsid w:val="00B568E4"/>
    <w:rsid w:val="00B82F61"/>
    <w:rsid w:val="00BA34EF"/>
    <w:rsid w:val="00BD2228"/>
    <w:rsid w:val="00BE09E1"/>
    <w:rsid w:val="00C3210F"/>
    <w:rsid w:val="00C4553A"/>
    <w:rsid w:val="00C5230C"/>
    <w:rsid w:val="00C9422A"/>
    <w:rsid w:val="00CB7A3E"/>
    <w:rsid w:val="00CC69BF"/>
    <w:rsid w:val="00CD2C90"/>
    <w:rsid w:val="00D01340"/>
    <w:rsid w:val="00D037B2"/>
    <w:rsid w:val="00D10CB5"/>
    <w:rsid w:val="00D16229"/>
    <w:rsid w:val="00D21006"/>
    <w:rsid w:val="00D22DDC"/>
    <w:rsid w:val="00D55371"/>
    <w:rsid w:val="00D86248"/>
    <w:rsid w:val="00D943B6"/>
    <w:rsid w:val="00DC1729"/>
    <w:rsid w:val="00DF621D"/>
    <w:rsid w:val="00E01682"/>
    <w:rsid w:val="00E255B7"/>
    <w:rsid w:val="00E56C14"/>
    <w:rsid w:val="00EC2111"/>
    <w:rsid w:val="00EC7CE0"/>
    <w:rsid w:val="00F56389"/>
    <w:rsid w:val="00F573B8"/>
    <w:rsid w:val="00F71D93"/>
    <w:rsid w:val="00F92287"/>
    <w:rsid w:val="00FB1292"/>
    <w:rsid w:val="00FD3E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val="en-US"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b/>
      <w:smallCaps/>
      <w:sz w:val="60"/>
      <w:szCs w:val="60"/>
      <w:lang w:val="bg-BG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</w:pPr>
    <w:rPr>
      <w:b/>
      <w:bCs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center"/>
      <w:outlineLvl w:val="4"/>
    </w:pPr>
    <w:rPr>
      <w:b/>
      <w:bCs/>
      <w:sz w:val="20"/>
      <w:lang w:val="bg-BG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right"/>
      <w:outlineLvl w:val="5"/>
    </w:pPr>
    <w:rPr>
      <w:b/>
      <w:smallCaps/>
      <w:sz w:val="28"/>
      <w:szCs w:val="28"/>
      <w:u w:val="single"/>
      <w:lang w:val="bg-BG"/>
    </w:rPr>
  </w:style>
  <w:style w:type="paragraph" w:styleId="Heading7">
    <w:name w:val="heading 7"/>
    <w:basedOn w:val="Normal"/>
    <w:next w:val="Normal"/>
    <w:qFormat/>
    <w:pPr>
      <w:keepNext/>
      <w:numPr>
        <w:ilvl w:val="6"/>
        <w:numId w:val="1"/>
      </w:numPr>
      <w:jc w:val="center"/>
      <w:outlineLvl w:val="6"/>
    </w:pPr>
    <w:rPr>
      <w:b/>
      <w:sz w:val="18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2">
    <w:name w:val="Шрифт на абзаца по подразбиране2"/>
  </w:style>
  <w:style w:type="character" w:customStyle="1" w:styleId="WW-Absatz-Standardschriftart1">
    <w:name w:val="WW-Absatz-Standardschriftart1"/>
  </w:style>
  <w:style w:type="character" w:customStyle="1" w:styleId="WW8Num1z0">
    <w:name w:val="WW8Num1z0"/>
    <w:rPr>
      <w:rFonts w:ascii="Wingdings" w:hAnsi="Wingdings"/>
    </w:rPr>
  </w:style>
  <w:style w:type="character" w:customStyle="1" w:styleId="WW8Num1z1">
    <w:name w:val="WW8Num1z1"/>
    <w:rPr>
      <w:rFonts w:ascii="Courier New" w:hAnsi="Courier New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/>
    </w:rPr>
  </w:style>
  <w:style w:type="character" w:customStyle="1" w:styleId="WW8Num10z0">
    <w:name w:val="WW8Num10z0"/>
    <w:rPr>
      <w:rFonts w:ascii="Symbol" w:hAnsi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/>
    </w:rPr>
  </w:style>
  <w:style w:type="character" w:customStyle="1" w:styleId="WW8Num12z0">
    <w:name w:val="WW8Num12z0"/>
    <w:rPr>
      <w:rFonts w:ascii="Wingdings" w:hAnsi="Wingdings"/>
    </w:rPr>
  </w:style>
  <w:style w:type="character" w:customStyle="1" w:styleId="WW8Num12z1">
    <w:name w:val="WW8Num12z1"/>
    <w:rPr>
      <w:rFonts w:ascii="Courier New" w:hAnsi="Courier New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3z0">
    <w:name w:val="WW8Num13z0"/>
    <w:rPr>
      <w:rFonts w:ascii="Times New Roman" w:eastAsia="Times New Roman" w:hAnsi="Times New Roman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4z0">
    <w:name w:val="WW8Num14z0"/>
    <w:rPr>
      <w:rFonts w:ascii="Symbol" w:hAnsi="Symbol"/>
      <w:color w:val="auto"/>
    </w:rPr>
  </w:style>
  <w:style w:type="character" w:customStyle="1" w:styleId="WW8Num14z1">
    <w:name w:val="WW8Num14z1"/>
    <w:rPr>
      <w:rFonts w:ascii="Courier New" w:hAnsi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0">
    <w:name w:val="WW8Num15z0"/>
    <w:rPr>
      <w:rFonts w:ascii="Symbol" w:hAnsi="Symbol"/>
      <w:color w:val="auto"/>
    </w:rPr>
  </w:style>
  <w:style w:type="character" w:customStyle="1" w:styleId="WW8Num15z1">
    <w:name w:val="WW8Num15z1"/>
    <w:rPr>
      <w:rFonts w:ascii="Courier New" w:hAnsi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8z0">
    <w:name w:val="WW8Num18z0"/>
    <w:rPr>
      <w:rFonts w:ascii="Times New Roman" w:eastAsia="Times New Roman" w:hAnsi="Times New Roman" w:cs="Times New Roman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1">
    <w:name w:val="Шрифт на абзаца по подразбиране1"/>
  </w:style>
  <w:style w:type="character" w:styleId="PageNumber">
    <w:name w:val="page number"/>
    <w:basedOn w:val="1"/>
  </w:style>
  <w:style w:type="character" w:customStyle="1" w:styleId="a">
    <w:name w:val="Водачи"/>
    <w:rPr>
      <w:rFonts w:ascii="OpenSymbol" w:eastAsia="OpenSymbol" w:hAnsi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customStyle="1" w:styleId="20">
    <w:name w:val="Заглавие2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paragraph" w:styleId="List">
    <w:name w:val="List"/>
    <w:basedOn w:val="BodyText"/>
    <w:rPr>
      <w:rFonts w:cs="Tahoma"/>
    </w:rPr>
  </w:style>
  <w:style w:type="paragraph" w:customStyle="1" w:styleId="21">
    <w:name w:val="Надпис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a0">
    <w:name w:val="Указател"/>
    <w:basedOn w:val="Normal"/>
    <w:pPr>
      <w:suppressLineNumbers/>
    </w:pPr>
    <w:rPr>
      <w:rFonts w:cs="Tahoma"/>
    </w:rPr>
  </w:style>
  <w:style w:type="paragraph" w:customStyle="1" w:styleId="10">
    <w:name w:val="Заглавие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11">
    <w:name w:val="Надпис1"/>
    <w:basedOn w:val="Normal"/>
    <w:pPr>
      <w:suppressLineNumbers/>
      <w:spacing w:before="120" w:after="120"/>
    </w:pPr>
    <w:rPr>
      <w:rFonts w:cs="Tahoma"/>
      <w:i/>
      <w:iCs/>
    </w:rPr>
  </w:style>
  <w:style w:type="paragraph" w:styleId="Header">
    <w:name w:val="header"/>
    <w:basedOn w:val="Normal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703"/>
        <w:tab w:val="right" w:pos="9406"/>
      </w:tabs>
    </w:pPr>
  </w:style>
  <w:style w:type="paragraph" w:customStyle="1" w:styleId="12">
    <w:name w:val="Списък на фигурите1"/>
    <w:basedOn w:val="Normal"/>
    <w:pPr>
      <w:jc w:val="both"/>
    </w:pPr>
    <w:rPr>
      <w:sz w:val="20"/>
      <w:szCs w:val="20"/>
      <w:lang w:val="en-GB"/>
    </w:rPr>
  </w:style>
  <w:style w:type="paragraph" w:customStyle="1" w:styleId="xl26">
    <w:name w:val="xl26"/>
    <w:basedOn w:val="Normal"/>
    <w:pPr>
      <w:spacing w:before="100" w:after="100"/>
      <w:jc w:val="right"/>
      <w:textAlignment w:val="top"/>
    </w:pPr>
    <w:rPr>
      <w:lang w:val="en-GB"/>
    </w:rPr>
  </w:style>
  <w:style w:type="paragraph" w:customStyle="1" w:styleId="210">
    <w:name w:val="Основен текст 21"/>
    <w:basedOn w:val="Normal"/>
    <w:pPr>
      <w:spacing w:after="120" w:line="480" w:lineRule="auto"/>
    </w:pPr>
  </w:style>
  <w:style w:type="paragraph" w:customStyle="1" w:styleId="xl29">
    <w:name w:val="xl29"/>
    <w:basedOn w:val="Normal"/>
    <w:pPr>
      <w:pBdr>
        <w:left w:val="single" w:sz="4" w:space="0" w:color="000000"/>
        <w:bottom w:val="single" w:sz="4" w:space="0" w:color="000000"/>
        <w:right w:val="single" w:sz="4" w:space="0" w:color="000000"/>
      </w:pBdr>
      <w:autoSpaceDE w:val="0"/>
      <w:spacing w:before="100" w:after="100"/>
    </w:pPr>
    <w:rPr>
      <w:lang w:val="en-GB"/>
    </w:rPr>
  </w:style>
  <w:style w:type="paragraph" w:customStyle="1" w:styleId="Head1">
    <w:name w:val="Head1"/>
    <w:basedOn w:val="BodyText"/>
    <w:pPr>
      <w:autoSpaceDE w:val="0"/>
      <w:jc w:val="left"/>
    </w:pPr>
    <w:rPr>
      <w:rFonts w:ascii="Timok" w:hAnsi="Timok"/>
      <w:b/>
      <w:bCs/>
      <w:smallCaps/>
      <w:szCs w:val="24"/>
      <w:lang w:val="en-GB"/>
    </w:rPr>
  </w:style>
  <w:style w:type="paragraph" w:styleId="BodyTextIndent">
    <w:name w:val="Body Text Indent"/>
    <w:basedOn w:val="Normal"/>
    <w:pPr>
      <w:spacing w:after="120"/>
      <w:ind w:left="283"/>
    </w:pPr>
  </w:style>
  <w:style w:type="paragraph" w:customStyle="1" w:styleId="31">
    <w:name w:val="Основен текст 31"/>
    <w:basedOn w:val="Normal"/>
    <w:pPr>
      <w:jc w:val="center"/>
    </w:pPr>
    <w:rPr>
      <w:b/>
      <w:bCs/>
      <w:sz w:val="20"/>
      <w:lang w:val="bg-BG"/>
    </w:rPr>
  </w:style>
  <w:style w:type="paragraph" w:customStyle="1" w:styleId="13">
    <w:name w:val="Текст на коментар1"/>
    <w:basedOn w:val="Normal"/>
    <w:rPr>
      <w:sz w:val="20"/>
      <w:szCs w:val="20"/>
      <w:lang w:val="bg-BG"/>
    </w:rPr>
  </w:style>
  <w:style w:type="paragraph" w:customStyle="1" w:styleId="wfxRecipient">
    <w:name w:val="wfxRecipient"/>
    <w:basedOn w:val="Normal"/>
    <w:pPr>
      <w:spacing w:line="240" w:lineRule="atLeast"/>
      <w:jc w:val="both"/>
    </w:pPr>
    <w:rPr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-">
    <w:name w:val="Таблица - съдържание"/>
    <w:basedOn w:val="Normal"/>
    <w:pPr>
      <w:suppressLineNumbers/>
    </w:pPr>
  </w:style>
  <w:style w:type="paragraph" w:customStyle="1" w:styleId="-0">
    <w:name w:val="Таблица - заглавие"/>
    <w:basedOn w:val="-"/>
    <w:pPr>
      <w:jc w:val="center"/>
    </w:pPr>
    <w:rPr>
      <w:b/>
      <w:bCs/>
    </w:rPr>
  </w:style>
  <w:style w:type="paragraph" w:customStyle="1" w:styleId="-1">
    <w:name w:val="Рамка - съдържание"/>
    <w:basedOn w:val="BodyText"/>
  </w:style>
  <w:style w:type="character" w:customStyle="1" w:styleId="FooterChar">
    <w:name w:val="Footer Char"/>
    <w:basedOn w:val="DefaultParagraphFont"/>
    <w:link w:val="Footer"/>
    <w:uiPriority w:val="99"/>
    <w:rsid w:val="00B1054D"/>
    <w:rPr>
      <w:sz w:val="24"/>
      <w:szCs w:val="24"/>
      <w:lang w:val="en-US" w:eastAsia="ar-SA"/>
    </w:rPr>
  </w:style>
  <w:style w:type="paragraph" w:customStyle="1" w:styleId="--">
    <w:name w:val="--&gt;"/>
    <w:rsid w:val="00050248"/>
    <w:pPr>
      <w:widowControl w:val="0"/>
      <w:suppressAutoHyphens/>
    </w:pPr>
    <w:rPr>
      <w:rFonts w:eastAsia="Arial"/>
      <w:lang w:val="en-GB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1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9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2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33BB820-C16B-434E-844C-5BF7147FDB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1249</Words>
  <Characters>7124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БЕЛЕЖКИ КЪМ ФИНАНСОВИТЕ ОТЧЕТИ</vt:lpstr>
      <vt:lpstr>БЕЛЕЖКИ КЪМ ФИНАНСОВИТЕ ОТЧЕТИ</vt:lpstr>
    </vt:vector>
  </TitlesOfParts>
  <Company/>
  <LinksUpToDate>false</LinksUpToDate>
  <CharactersWithSpaces>8357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БЕЛЕЖКИ КЪМ ФИНАНСОВИТЕ ОТЧЕТИ</dc:title>
  <dc:creator>BDO Bulgaria Ltd</dc:creator>
  <cp:lastModifiedBy>mariya</cp:lastModifiedBy>
  <cp:revision>2</cp:revision>
  <cp:lastPrinted>2018-03-16T09:09:00Z</cp:lastPrinted>
  <dcterms:created xsi:type="dcterms:W3CDTF">2019-03-26T15:20:00Z</dcterms:created>
  <dcterms:modified xsi:type="dcterms:W3CDTF">2019-03-26T15:20:00Z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-1088407661</vt:i4>
  </property>
  <property fmtid="{D5CDD505-2E9C-101B-9397-08002B2CF9AE}" pid="3" name="_AuthorEmail">
    <vt:lpwstr>bdo@datacom.bg</vt:lpwstr>
  </property>
  <property fmtid="{D5CDD505-2E9C-101B-9397-08002B2CF9AE}" pid="4" name="_AuthorEmailDisplayName">
    <vt:lpwstr>BDO AKERO Ltd.</vt:lpwstr>
  </property>
  <property fmtid="{D5CDD505-2E9C-101B-9397-08002B2CF9AE}" pid="5" name="_EmailSubject">
    <vt:lpwstr>Report Xpeqt</vt:lpwstr>
  </property>
  <property fmtid="{D5CDD505-2E9C-101B-9397-08002B2CF9AE}" pid="6" name="_ReviewingToolsShownOnce">
    <vt:lpwstr/>
  </property>
</Properties>
</file>