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719" w:rsidRPr="00A51DA3" w:rsidRDefault="00E21D93" w:rsidP="00915F74">
      <w:pPr>
        <w:rPr>
          <w:sz w:val="40"/>
          <w:szCs w:val="40"/>
        </w:rPr>
      </w:pPr>
      <w:r>
        <w:rPr>
          <w:sz w:val="40"/>
          <w:szCs w:val="40"/>
        </w:rPr>
        <w:t xml:space="preserve">Междинен съкратен </w:t>
      </w:r>
      <w:r w:rsidR="00985719" w:rsidRPr="00A51DA3">
        <w:rPr>
          <w:sz w:val="40"/>
          <w:szCs w:val="40"/>
        </w:rPr>
        <w:t>Отчет за финансовото състояние</w:t>
      </w:r>
    </w:p>
    <w:p w:rsidR="00985719" w:rsidRDefault="00985719" w:rsidP="00915F74">
      <w:pPr>
        <w:rPr>
          <w:b/>
          <w:bCs/>
          <w:sz w:val="48"/>
          <w:szCs w:val="48"/>
        </w:rPr>
      </w:pPr>
    </w:p>
    <w:p w:rsidR="00E21D93" w:rsidRDefault="00E21D93" w:rsidP="00915F74">
      <w:pPr>
        <w:rPr>
          <w:b/>
          <w:bCs/>
          <w:sz w:val="48"/>
          <w:szCs w:val="48"/>
        </w:rPr>
      </w:pPr>
    </w:p>
    <w:tbl>
      <w:tblPr>
        <w:tblW w:w="9853" w:type="dxa"/>
        <w:tblInd w:w="-106" w:type="dxa"/>
        <w:tblLayout w:type="fixed"/>
        <w:tblLook w:val="00A0"/>
      </w:tblPr>
      <w:tblGrid>
        <w:gridCol w:w="4042"/>
        <w:gridCol w:w="1418"/>
        <w:gridCol w:w="1558"/>
        <w:gridCol w:w="1417"/>
        <w:gridCol w:w="1418"/>
      </w:tblGrid>
      <w:tr w:rsidR="008E325F" w:rsidRPr="00A51DA3" w:rsidTr="00D624D6">
        <w:trPr>
          <w:trHeight w:val="181"/>
        </w:trPr>
        <w:tc>
          <w:tcPr>
            <w:tcW w:w="4042" w:type="dxa"/>
            <w:shd w:val="clear" w:color="auto" w:fill="FFFFFF"/>
            <w:vAlign w:val="bottom"/>
          </w:tcPr>
          <w:p w:rsidR="008E325F" w:rsidRPr="00A51DA3" w:rsidRDefault="008E325F" w:rsidP="006E0EE2">
            <w:pPr>
              <w:autoSpaceDE w:val="0"/>
              <w:autoSpaceDN w:val="0"/>
              <w:adjustRightInd w:val="0"/>
              <w:rPr>
                <w:b/>
                <w:bCs/>
              </w:rPr>
            </w:pPr>
            <w:r w:rsidRPr="00A51DA3">
              <w:rPr>
                <w:b/>
                <w:bCs/>
              </w:rPr>
              <w:t>Активи</w:t>
            </w:r>
          </w:p>
        </w:tc>
        <w:tc>
          <w:tcPr>
            <w:tcW w:w="1418" w:type="dxa"/>
            <w:shd w:val="clear" w:color="auto" w:fill="FFFFFF"/>
            <w:vAlign w:val="bottom"/>
          </w:tcPr>
          <w:p w:rsidR="008E325F" w:rsidRPr="00A51DA3" w:rsidRDefault="008E325F" w:rsidP="006E0EE2">
            <w:pPr>
              <w:autoSpaceDE w:val="0"/>
              <w:autoSpaceDN w:val="0"/>
              <w:adjustRightInd w:val="0"/>
              <w:jc w:val="right"/>
              <w:rPr>
                <w:b/>
                <w:bCs/>
              </w:rPr>
            </w:pPr>
          </w:p>
        </w:tc>
        <w:tc>
          <w:tcPr>
            <w:tcW w:w="1558" w:type="dxa"/>
            <w:shd w:val="clear" w:color="auto" w:fill="FFFFFF"/>
            <w:vAlign w:val="bottom"/>
          </w:tcPr>
          <w:p w:rsidR="008E325F" w:rsidRPr="00A51DA3" w:rsidRDefault="008E325F" w:rsidP="00D624D6">
            <w:pPr>
              <w:autoSpaceDE w:val="0"/>
              <w:autoSpaceDN w:val="0"/>
              <w:adjustRightInd w:val="0"/>
              <w:jc w:val="right"/>
              <w:rPr>
                <w:b/>
                <w:bCs/>
              </w:rPr>
            </w:pPr>
            <w:r w:rsidRPr="00A51DA3">
              <w:rPr>
                <w:b/>
                <w:bCs/>
              </w:rPr>
              <w:t>3</w:t>
            </w:r>
            <w:r w:rsidR="00CC60A2">
              <w:rPr>
                <w:b/>
                <w:bCs/>
              </w:rPr>
              <w:t>0</w:t>
            </w:r>
            <w:r w:rsidRPr="00A51DA3">
              <w:rPr>
                <w:b/>
                <w:bCs/>
              </w:rPr>
              <w:t xml:space="preserve"> </w:t>
            </w:r>
            <w:r w:rsidR="00D624D6">
              <w:rPr>
                <w:b/>
                <w:bCs/>
              </w:rPr>
              <w:t>септември</w:t>
            </w:r>
          </w:p>
        </w:tc>
        <w:tc>
          <w:tcPr>
            <w:tcW w:w="1417" w:type="dxa"/>
            <w:shd w:val="clear" w:color="auto" w:fill="FFFFFF"/>
            <w:vAlign w:val="bottom"/>
          </w:tcPr>
          <w:p w:rsidR="008E325F" w:rsidRPr="00A51DA3" w:rsidRDefault="008E325F" w:rsidP="006E0EE2">
            <w:pPr>
              <w:autoSpaceDE w:val="0"/>
              <w:autoSpaceDN w:val="0"/>
              <w:adjustRightInd w:val="0"/>
              <w:jc w:val="right"/>
              <w:rPr>
                <w:b/>
                <w:bCs/>
              </w:rPr>
            </w:pPr>
            <w:r w:rsidRPr="00A51DA3">
              <w:rPr>
                <w:b/>
                <w:bCs/>
              </w:rPr>
              <w:t>31 декември</w:t>
            </w:r>
          </w:p>
        </w:tc>
        <w:tc>
          <w:tcPr>
            <w:tcW w:w="1418" w:type="dxa"/>
            <w:shd w:val="clear" w:color="auto" w:fill="FFFFFF"/>
            <w:vAlign w:val="bottom"/>
          </w:tcPr>
          <w:p w:rsidR="008E325F" w:rsidRPr="00A51DA3" w:rsidRDefault="008E325F" w:rsidP="006E0EE2">
            <w:pPr>
              <w:autoSpaceDE w:val="0"/>
              <w:autoSpaceDN w:val="0"/>
              <w:adjustRightInd w:val="0"/>
              <w:jc w:val="right"/>
              <w:rPr>
                <w:b/>
                <w:bCs/>
              </w:rPr>
            </w:pPr>
            <w:r w:rsidRPr="00A51DA3">
              <w:rPr>
                <w:b/>
                <w:bCs/>
              </w:rPr>
              <w:t>1 януари</w:t>
            </w:r>
          </w:p>
        </w:tc>
      </w:tr>
      <w:tr w:rsidR="008E325F" w:rsidRPr="00A51DA3" w:rsidTr="00D624D6">
        <w:trPr>
          <w:trHeight w:val="181"/>
        </w:trPr>
        <w:tc>
          <w:tcPr>
            <w:tcW w:w="4042" w:type="dxa"/>
            <w:shd w:val="clear" w:color="auto" w:fill="FFFFFF"/>
            <w:vAlign w:val="bottom"/>
          </w:tcPr>
          <w:p w:rsidR="008E325F" w:rsidRPr="00A51DA3" w:rsidRDefault="008E325F" w:rsidP="006E0EE2">
            <w:pPr>
              <w:autoSpaceDE w:val="0"/>
              <w:autoSpaceDN w:val="0"/>
              <w:adjustRightInd w:val="0"/>
              <w:rPr>
                <w:b/>
                <w:bCs/>
              </w:rPr>
            </w:pPr>
          </w:p>
        </w:tc>
        <w:tc>
          <w:tcPr>
            <w:tcW w:w="1418" w:type="dxa"/>
            <w:shd w:val="clear" w:color="auto" w:fill="FFFFFF"/>
            <w:vAlign w:val="bottom"/>
          </w:tcPr>
          <w:p w:rsidR="008E325F" w:rsidRPr="00A51DA3" w:rsidRDefault="008E325F" w:rsidP="006E0EE2">
            <w:pPr>
              <w:autoSpaceDE w:val="0"/>
              <w:autoSpaceDN w:val="0"/>
              <w:adjustRightInd w:val="0"/>
              <w:jc w:val="right"/>
              <w:rPr>
                <w:b/>
                <w:bCs/>
              </w:rPr>
            </w:pPr>
          </w:p>
        </w:tc>
        <w:tc>
          <w:tcPr>
            <w:tcW w:w="1558" w:type="dxa"/>
            <w:shd w:val="clear" w:color="auto" w:fill="FFFFFF"/>
            <w:vAlign w:val="bottom"/>
          </w:tcPr>
          <w:p w:rsidR="008E325F" w:rsidRPr="00E85CCE" w:rsidRDefault="008E325F" w:rsidP="00CC60A2">
            <w:pPr>
              <w:autoSpaceDE w:val="0"/>
              <w:autoSpaceDN w:val="0"/>
              <w:adjustRightInd w:val="0"/>
              <w:jc w:val="right"/>
              <w:rPr>
                <w:b/>
                <w:bCs/>
                <w:lang w:val="en-US"/>
              </w:rPr>
            </w:pPr>
            <w:r w:rsidRPr="00A51DA3">
              <w:rPr>
                <w:b/>
                <w:bCs/>
              </w:rPr>
              <w:t>201</w:t>
            </w:r>
            <w:r w:rsidR="00CC60A2">
              <w:rPr>
                <w:b/>
                <w:bCs/>
              </w:rPr>
              <w:t>6</w:t>
            </w:r>
          </w:p>
        </w:tc>
        <w:tc>
          <w:tcPr>
            <w:tcW w:w="1417" w:type="dxa"/>
            <w:shd w:val="clear" w:color="auto" w:fill="FFFFFF"/>
            <w:vAlign w:val="bottom"/>
          </w:tcPr>
          <w:p w:rsidR="008E325F" w:rsidRPr="00E85CCE" w:rsidRDefault="008E325F" w:rsidP="00454095">
            <w:pPr>
              <w:autoSpaceDE w:val="0"/>
              <w:autoSpaceDN w:val="0"/>
              <w:adjustRightInd w:val="0"/>
              <w:jc w:val="right"/>
              <w:rPr>
                <w:b/>
                <w:bCs/>
                <w:lang w:val="en-US"/>
              </w:rPr>
            </w:pPr>
            <w:r w:rsidRPr="00A51DA3">
              <w:rPr>
                <w:b/>
                <w:bCs/>
              </w:rPr>
              <w:t>201</w:t>
            </w:r>
            <w:r w:rsidR="00454095">
              <w:rPr>
                <w:b/>
                <w:bCs/>
              </w:rPr>
              <w:t>5</w:t>
            </w:r>
          </w:p>
        </w:tc>
        <w:tc>
          <w:tcPr>
            <w:tcW w:w="1418" w:type="dxa"/>
            <w:shd w:val="clear" w:color="auto" w:fill="FFFFFF"/>
            <w:vAlign w:val="bottom"/>
          </w:tcPr>
          <w:p w:rsidR="008E325F" w:rsidRPr="00E85CCE" w:rsidRDefault="008E325F" w:rsidP="00454095">
            <w:pPr>
              <w:autoSpaceDE w:val="0"/>
              <w:autoSpaceDN w:val="0"/>
              <w:adjustRightInd w:val="0"/>
              <w:jc w:val="right"/>
              <w:rPr>
                <w:b/>
                <w:bCs/>
                <w:lang w:val="en-US"/>
              </w:rPr>
            </w:pPr>
            <w:r w:rsidRPr="00A51DA3">
              <w:rPr>
                <w:b/>
                <w:bCs/>
              </w:rPr>
              <w:t>201</w:t>
            </w:r>
            <w:r w:rsidR="00454095">
              <w:rPr>
                <w:b/>
                <w:bCs/>
              </w:rPr>
              <w:t>5</w:t>
            </w:r>
          </w:p>
        </w:tc>
      </w:tr>
      <w:tr w:rsidR="008E325F" w:rsidRPr="00A51DA3" w:rsidTr="00D624D6">
        <w:trPr>
          <w:trHeight w:val="181"/>
        </w:trPr>
        <w:tc>
          <w:tcPr>
            <w:tcW w:w="4042" w:type="dxa"/>
            <w:shd w:val="clear" w:color="auto" w:fill="FFFFFF"/>
            <w:vAlign w:val="bottom"/>
          </w:tcPr>
          <w:p w:rsidR="008E325F" w:rsidRPr="00A51DA3" w:rsidRDefault="008E325F" w:rsidP="006E0EE2">
            <w:pPr>
              <w:autoSpaceDE w:val="0"/>
              <w:autoSpaceDN w:val="0"/>
              <w:adjustRightInd w:val="0"/>
              <w:rPr>
                <w:b/>
                <w:bCs/>
              </w:rPr>
            </w:pPr>
          </w:p>
        </w:tc>
        <w:tc>
          <w:tcPr>
            <w:tcW w:w="1418" w:type="dxa"/>
            <w:shd w:val="clear" w:color="auto" w:fill="FFFFFF"/>
            <w:vAlign w:val="bottom"/>
          </w:tcPr>
          <w:p w:rsidR="008E325F" w:rsidRPr="00A51DA3" w:rsidRDefault="008E325F" w:rsidP="006E0EE2">
            <w:pPr>
              <w:autoSpaceDE w:val="0"/>
              <w:autoSpaceDN w:val="0"/>
              <w:adjustRightInd w:val="0"/>
              <w:jc w:val="right"/>
              <w:rPr>
                <w:b/>
                <w:bCs/>
              </w:rPr>
            </w:pPr>
          </w:p>
        </w:tc>
        <w:tc>
          <w:tcPr>
            <w:tcW w:w="1558" w:type="dxa"/>
            <w:shd w:val="clear" w:color="auto" w:fill="FFFFFF"/>
            <w:vAlign w:val="bottom"/>
          </w:tcPr>
          <w:p w:rsidR="008E325F" w:rsidRPr="00A51DA3" w:rsidRDefault="008E325F" w:rsidP="006E0EE2">
            <w:pPr>
              <w:autoSpaceDE w:val="0"/>
              <w:autoSpaceDN w:val="0"/>
              <w:adjustRightInd w:val="0"/>
              <w:jc w:val="right"/>
              <w:rPr>
                <w:b/>
                <w:bCs/>
              </w:rPr>
            </w:pPr>
            <w:r w:rsidRPr="00A51DA3">
              <w:rPr>
                <w:b/>
                <w:bCs/>
              </w:rPr>
              <w:t>‘000 лв.</w:t>
            </w:r>
          </w:p>
        </w:tc>
        <w:tc>
          <w:tcPr>
            <w:tcW w:w="1417" w:type="dxa"/>
            <w:shd w:val="clear" w:color="auto" w:fill="FFFFFF"/>
            <w:vAlign w:val="bottom"/>
          </w:tcPr>
          <w:p w:rsidR="008E325F" w:rsidRPr="00A51DA3" w:rsidRDefault="008E325F" w:rsidP="006E0EE2">
            <w:pPr>
              <w:autoSpaceDE w:val="0"/>
              <w:autoSpaceDN w:val="0"/>
              <w:adjustRightInd w:val="0"/>
              <w:jc w:val="right"/>
              <w:rPr>
                <w:b/>
                <w:bCs/>
              </w:rPr>
            </w:pPr>
            <w:r w:rsidRPr="00A51DA3">
              <w:rPr>
                <w:b/>
                <w:bCs/>
              </w:rPr>
              <w:t>‘000 лв.</w:t>
            </w:r>
          </w:p>
        </w:tc>
        <w:tc>
          <w:tcPr>
            <w:tcW w:w="1418" w:type="dxa"/>
            <w:shd w:val="clear" w:color="auto" w:fill="FFFFFF"/>
            <w:vAlign w:val="bottom"/>
          </w:tcPr>
          <w:p w:rsidR="008E325F" w:rsidRPr="00A51DA3" w:rsidRDefault="008E325F" w:rsidP="006E0EE2">
            <w:pPr>
              <w:autoSpaceDE w:val="0"/>
              <w:autoSpaceDN w:val="0"/>
              <w:adjustRightInd w:val="0"/>
              <w:jc w:val="right"/>
              <w:rPr>
                <w:b/>
                <w:bCs/>
              </w:rPr>
            </w:pPr>
            <w:r w:rsidRPr="00A51DA3">
              <w:rPr>
                <w:b/>
                <w:bCs/>
              </w:rPr>
              <w:t>‘000 лв.</w:t>
            </w:r>
          </w:p>
        </w:tc>
      </w:tr>
      <w:tr w:rsidR="008E325F" w:rsidRPr="00A51DA3" w:rsidTr="00D624D6">
        <w:trPr>
          <w:trHeight w:val="181"/>
        </w:trPr>
        <w:tc>
          <w:tcPr>
            <w:tcW w:w="4042" w:type="dxa"/>
            <w:shd w:val="clear" w:color="auto" w:fill="FFFFFF"/>
            <w:vAlign w:val="bottom"/>
          </w:tcPr>
          <w:p w:rsidR="008E325F" w:rsidRPr="00A51DA3" w:rsidRDefault="008E325F" w:rsidP="006E0EE2">
            <w:pPr>
              <w:autoSpaceDE w:val="0"/>
              <w:autoSpaceDN w:val="0"/>
              <w:adjustRightInd w:val="0"/>
              <w:rPr>
                <w:b/>
                <w:bCs/>
              </w:rPr>
            </w:pPr>
          </w:p>
        </w:tc>
        <w:tc>
          <w:tcPr>
            <w:tcW w:w="1418" w:type="dxa"/>
            <w:shd w:val="clear" w:color="auto" w:fill="FFFFFF"/>
            <w:vAlign w:val="bottom"/>
          </w:tcPr>
          <w:p w:rsidR="008E325F" w:rsidRPr="00A51DA3" w:rsidRDefault="008E325F" w:rsidP="006E0EE2">
            <w:pPr>
              <w:autoSpaceDE w:val="0"/>
              <w:autoSpaceDN w:val="0"/>
              <w:adjustRightInd w:val="0"/>
              <w:jc w:val="right"/>
              <w:rPr>
                <w:b/>
                <w:bCs/>
              </w:rPr>
            </w:pPr>
          </w:p>
        </w:tc>
        <w:tc>
          <w:tcPr>
            <w:tcW w:w="1558" w:type="dxa"/>
            <w:shd w:val="clear" w:color="auto" w:fill="FFFFFF"/>
            <w:vAlign w:val="bottom"/>
          </w:tcPr>
          <w:p w:rsidR="008E325F" w:rsidRPr="00A51DA3" w:rsidRDefault="008E325F" w:rsidP="006E0EE2">
            <w:pPr>
              <w:autoSpaceDE w:val="0"/>
              <w:autoSpaceDN w:val="0"/>
              <w:adjustRightInd w:val="0"/>
              <w:jc w:val="right"/>
              <w:rPr>
                <w:b/>
                <w:bCs/>
              </w:rPr>
            </w:pPr>
          </w:p>
        </w:tc>
        <w:tc>
          <w:tcPr>
            <w:tcW w:w="1417" w:type="dxa"/>
            <w:shd w:val="clear" w:color="auto" w:fill="FFFFFF"/>
            <w:vAlign w:val="bottom"/>
          </w:tcPr>
          <w:p w:rsidR="008E325F" w:rsidRPr="00A51DA3" w:rsidRDefault="008E325F" w:rsidP="008E325F">
            <w:pPr>
              <w:autoSpaceDE w:val="0"/>
              <w:autoSpaceDN w:val="0"/>
              <w:adjustRightInd w:val="0"/>
              <w:ind w:left="-108" w:right="-108"/>
              <w:jc w:val="right"/>
            </w:pPr>
          </w:p>
        </w:tc>
        <w:tc>
          <w:tcPr>
            <w:tcW w:w="1418" w:type="dxa"/>
            <w:shd w:val="clear" w:color="auto" w:fill="FFFFFF"/>
            <w:vAlign w:val="bottom"/>
          </w:tcPr>
          <w:p w:rsidR="008E325F" w:rsidRPr="00A51DA3" w:rsidRDefault="008E325F" w:rsidP="008E325F">
            <w:pPr>
              <w:autoSpaceDE w:val="0"/>
              <w:autoSpaceDN w:val="0"/>
              <w:adjustRightInd w:val="0"/>
              <w:ind w:left="-108" w:right="-108"/>
              <w:jc w:val="right"/>
            </w:pPr>
          </w:p>
        </w:tc>
      </w:tr>
      <w:tr w:rsidR="00985719" w:rsidRPr="00A51DA3" w:rsidTr="00D624D6">
        <w:trPr>
          <w:trHeight w:val="181"/>
        </w:trPr>
        <w:tc>
          <w:tcPr>
            <w:tcW w:w="4042" w:type="dxa"/>
            <w:shd w:val="clear" w:color="auto" w:fill="FFFFFF"/>
            <w:vAlign w:val="bottom"/>
          </w:tcPr>
          <w:p w:rsidR="00985719" w:rsidRPr="00A51DA3" w:rsidRDefault="00985719" w:rsidP="00A87EEC">
            <w:pPr>
              <w:autoSpaceDE w:val="0"/>
              <w:autoSpaceDN w:val="0"/>
              <w:adjustRightInd w:val="0"/>
              <w:rPr>
                <w:color w:val="000000"/>
              </w:rPr>
            </w:pPr>
            <w:r w:rsidRPr="00A51DA3">
              <w:rPr>
                <w:b/>
                <w:bCs/>
                <w:color w:val="000000"/>
              </w:rPr>
              <w:t>Нетекущи активи</w:t>
            </w:r>
          </w:p>
        </w:tc>
        <w:tc>
          <w:tcPr>
            <w:tcW w:w="1418" w:type="dxa"/>
            <w:shd w:val="clear" w:color="auto" w:fill="FFFFFF"/>
            <w:vAlign w:val="bottom"/>
          </w:tcPr>
          <w:p w:rsidR="00985719" w:rsidRPr="00A51DA3" w:rsidRDefault="00985719" w:rsidP="00A87EEC">
            <w:pPr>
              <w:autoSpaceDE w:val="0"/>
              <w:autoSpaceDN w:val="0"/>
              <w:adjustRightInd w:val="0"/>
              <w:jc w:val="right"/>
            </w:pPr>
          </w:p>
        </w:tc>
        <w:tc>
          <w:tcPr>
            <w:tcW w:w="1558" w:type="dxa"/>
            <w:shd w:val="clear" w:color="auto" w:fill="FFFFFF"/>
            <w:vAlign w:val="bottom"/>
          </w:tcPr>
          <w:p w:rsidR="00985719" w:rsidRPr="00A51DA3" w:rsidRDefault="00985719" w:rsidP="00A87EEC">
            <w:pPr>
              <w:autoSpaceDE w:val="0"/>
              <w:autoSpaceDN w:val="0"/>
              <w:adjustRightInd w:val="0"/>
              <w:jc w:val="right"/>
              <w:rPr>
                <w:color w:val="000000"/>
              </w:rPr>
            </w:pPr>
          </w:p>
        </w:tc>
        <w:tc>
          <w:tcPr>
            <w:tcW w:w="1417" w:type="dxa"/>
            <w:shd w:val="clear" w:color="auto" w:fill="FFFFFF"/>
            <w:vAlign w:val="bottom"/>
          </w:tcPr>
          <w:p w:rsidR="00985719" w:rsidRPr="00A51DA3" w:rsidRDefault="00985719" w:rsidP="00A87EEC">
            <w:pPr>
              <w:autoSpaceDE w:val="0"/>
              <w:autoSpaceDN w:val="0"/>
              <w:adjustRightInd w:val="0"/>
              <w:jc w:val="right"/>
              <w:rPr>
                <w:color w:val="000000"/>
              </w:rPr>
            </w:pPr>
          </w:p>
        </w:tc>
        <w:tc>
          <w:tcPr>
            <w:tcW w:w="1418" w:type="dxa"/>
            <w:shd w:val="clear" w:color="auto" w:fill="FFFFFF"/>
            <w:vAlign w:val="bottom"/>
          </w:tcPr>
          <w:p w:rsidR="00985719" w:rsidRPr="00A51DA3" w:rsidRDefault="00985719" w:rsidP="00A87EEC">
            <w:pPr>
              <w:autoSpaceDE w:val="0"/>
              <w:autoSpaceDN w:val="0"/>
              <w:adjustRightInd w:val="0"/>
              <w:jc w:val="right"/>
              <w:rPr>
                <w:color w:val="000000"/>
              </w:rPr>
            </w:pPr>
          </w:p>
        </w:tc>
      </w:tr>
      <w:tr w:rsidR="00454095" w:rsidRPr="00A51DA3" w:rsidTr="00D624D6">
        <w:trPr>
          <w:trHeight w:val="181"/>
        </w:trPr>
        <w:tc>
          <w:tcPr>
            <w:tcW w:w="4042" w:type="dxa"/>
            <w:shd w:val="clear" w:color="auto" w:fill="FFFFFF"/>
            <w:vAlign w:val="bottom"/>
          </w:tcPr>
          <w:p w:rsidR="00454095" w:rsidRPr="00A51DA3" w:rsidRDefault="00454095" w:rsidP="00A87EEC">
            <w:pPr>
              <w:autoSpaceDE w:val="0"/>
              <w:autoSpaceDN w:val="0"/>
              <w:adjustRightInd w:val="0"/>
              <w:rPr>
                <w:color w:val="000000"/>
              </w:rPr>
            </w:pPr>
            <w:r w:rsidRPr="00A51DA3">
              <w:rPr>
                <w:color w:val="000000"/>
              </w:rPr>
              <w:t>Нематериални активи</w:t>
            </w:r>
          </w:p>
        </w:tc>
        <w:tc>
          <w:tcPr>
            <w:tcW w:w="1418" w:type="dxa"/>
            <w:shd w:val="clear" w:color="auto" w:fill="FFFFFF"/>
            <w:vAlign w:val="bottom"/>
          </w:tcPr>
          <w:p w:rsidR="00454095" w:rsidRPr="00A51DA3" w:rsidRDefault="00454095" w:rsidP="00DF55ED">
            <w:pPr>
              <w:autoSpaceDE w:val="0"/>
              <w:autoSpaceDN w:val="0"/>
              <w:adjustRightInd w:val="0"/>
              <w:jc w:val="right"/>
              <w:rPr>
                <w:color w:val="000000"/>
              </w:rPr>
            </w:pPr>
          </w:p>
        </w:tc>
        <w:tc>
          <w:tcPr>
            <w:tcW w:w="1558" w:type="dxa"/>
            <w:shd w:val="clear" w:color="auto" w:fill="FFFFFF"/>
            <w:vAlign w:val="bottom"/>
          </w:tcPr>
          <w:p w:rsidR="00454095" w:rsidRPr="0037452D" w:rsidRDefault="003731A5" w:rsidP="00285B81">
            <w:pPr>
              <w:jc w:val="right"/>
            </w:pPr>
            <w:r>
              <w:t>24</w:t>
            </w:r>
          </w:p>
        </w:tc>
        <w:tc>
          <w:tcPr>
            <w:tcW w:w="1417" w:type="dxa"/>
            <w:shd w:val="clear" w:color="auto" w:fill="FFFFFF"/>
            <w:vAlign w:val="bottom"/>
          </w:tcPr>
          <w:p w:rsidR="00454095" w:rsidRPr="0037452D" w:rsidRDefault="00454095" w:rsidP="00454095">
            <w:pPr>
              <w:jc w:val="right"/>
            </w:pPr>
            <w:r>
              <w:t>30</w:t>
            </w:r>
          </w:p>
        </w:tc>
        <w:tc>
          <w:tcPr>
            <w:tcW w:w="1418" w:type="dxa"/>
            <w:shd w:val="clear" w:color="auto" w:fill="FFFFFF"/>
            <w:vAlign w:val="bottom"/>
          </w:tcPr>
          <w:p w:rsidR="00454095" w:rsidRPr="0037452D" w:rsidRDefault="00454095" w:rsidP="00454095">
            <w:pPr>
              <w:jc w:val="right"/>
            </w:pPr>
            <w:r>
              <w:t>42</w:t>
            </w:r>
          </w:p>
        </w:tc>
      </w:tr>
      <w:tr w:rsidR="00454095" w:rsidRPr="00A51DA3" w:rsidTr="00D624D6">
        <w:trPr>
          <w:trHeight w:val="181"/>
        </w:trPr>
        <w:tc>
          <w:tcPr>
            <w:tcW w:w="4042" w:type="dxa"/>
            <w:shd w:val="clear" w:color="auto" w:fill="FFFFFF"/>
            <w:vAlign w:val="bottom"/>
          </w:tcPr>
          <w:p w:rsidR="00454095" w:rsidRPr="00A51DA3" w:rsidRDefault="00454095" w:rsidP="00A87EEC">
            <w:pPr>
              <w:autoSpaceDE w:val="0"/>
              <w:autoSpaceDN w:val="0"/>
              <w:adjustRightInd w:val="0"/>
            </w:pPr>
            <w:r w:rsidRPr="00A51DA3">
              <w:t xml:space="preserve">Имоти, машини и съоръжения  </w:t>
            </w:r>
          </w:p>
        </w:tc>
        <w:tc>
          <w:tcPr>
            <w:tcW w:w="1418" w:type="dxa"/>
            <w:shd w:val="clear" w:color="auto" w:fill="FFFFFF"/>
            <w:vAlign w:val="bottom"/>
          </w:tcPr>
          <w:p w:rsidR="00454095" w:rsidRPr="00A51DA3" w:rsidRDefault="00454095" w:rsidP="00DF55ED">
            <w:pPr>
              <w:autoSpaceDE w:val="0"/>
              <w:autoSpaceDN w:val="0"/>
              <w:adjustRightInd w:val="0"/>
              <w:jc w:val="right"/>
            </w:pPr>
          </w:p>
        </w:tc>
        <w:tc>
          <w:tcPr>
            <w:tcW w:w="1558" w:type="dxa"/>
            <w:shd w:val="clear" w:color="auto" w:fill="FFFFFF"/>
            <w:vAlign w:val="bottom"/>
          </w:tcPr>
          <w:p w:rsidR="00454095" w:rsidRPr="0037452D" w:rsidRDefault="003731A5" w:rsidP="00285B81">
            <w:pPr>
              <w:jc w:val="right"/>
            </w:pPr>
            <w:r>
              <w:t>24 662</w:t>
            </w:r>
          </w:p>
        </w:tc>
        <w:tc>
          <w:tcPr>
            <w:tcW w:w="1417" w:type="dxa"/>
            <w:shd w:val="clear" w:color="auto" w:fill="FFFFFF"/>
            <w:vAlign w:val="bottom"/>
          </w:tcPr>
          <w:p w:rsidR="00454095" w:rsidRPr="0037452D" w:rsidRDefault="00454095" w:rsidP="003731A5">
            <w:pPr>
              <w:jc w:val="right"/>
            </w:pPr>
            <w:r>
              <w:t>26 1</w:t>
            </w:r>
            <w:r w:rsidR="003731A5">
              <w:t>59</w:t>
            </w:r>
          </w:p>
        </w:tc>
        <w:tc>
          <w:tcPr>
            <w:tcW w:w="1418" w:type="dxa"/>
            <w:shd w:val="clear" w:color="auto" w:fill="FFFFFF"/>
            <w:vAlign w:val="bottom"/>
          </w:tcPr>
          <w:p w:rsidR="00454095" w:rsidRPr="0037452D" w:rsidRDefault="00454095" w:rsidP="00454095">
            <w:pPr>
              <w:jc w:val="right"/>
            </w:pPr>
            <w:r>
              <w:t>30 020</w:t>
            </w:r>
          </w:p>
        </w:tc>
      </w:tr>
      <w:tr w:rsidR="00454095" w:rsidRPr="00A51DA3" w:rsidTr="00D624D6">
        <w:trPr>
          <w:trHeight w:val="181"/>
        </w:trPr>
        <w:tc>
          <w:tcPr>
            <w:tcW w:w="4042" w:type="dxa"/>
            <w:shd w:val="clear" w:color="auto" w:fill="FFFFFF"/>
            <w:vAlign w:val="bottom"/>
          </w:tcPr>
          <w:p w:rsidR="00454095" w:rsidRPr="00A51DA3" w:rsidRDefault="00454095" w:rsidP="00A87EEC">
            <w:pPr>
              <w:autoSpaceDE w:val="0"/>
              <w:autoSpaceDN w:val="0"/>
              <w:adjustRightInd w:val="0"/>
            </w:pPr>
            <w:r w:rsidRPr="00A51DA3">
              <w:t>Инвестиции в дъщерни предприятия</w:t>
            </w:r>
          </w:p>
        </w:tc>
        <w:tc>
          <w:tcPr>
            <w:tcW w:w="1418" w:type="dxa"/>
            <w:shd w:val="clear" w:color="auto" w:fill="FFFFFF"/>
            <w:vAlign w:val="bottom"/>
          </w:tcPr>
          <w:p w:rsidR="00454095" w:rsidRPr="00A51DA3" w:rsidRDefault="00454095" w:rsidP="00DF55ED">
            <w:pPr>
              <w:autoSpaceDE w:val="0"/>
              <w:autoSpaceDN w:val="0"/>
              <w:adjustRightInd w:val="0"/>
              <w:jc w:val="right"/>
              <w:rPr>
                <w:color w:val="000000"/>
              </w:rPr>
            </w:pPr>
          </w:p>
        </w:tc>
        <w:tc>
          <w:tcPr>
            <w:tcW w:w="1558" w:type="dxa"/>
            <w:shd w:val="clear" w:color="auto" w:fill="FFFFFF"/>
            <w:vAlign w:val="bottom"/>
          </w:tcPr>
          <w:p w:rsidR="00454095" w:rsidRPr="0037452D" w:rsidRDefault="003731A5" w:rsidP="00285B81">
            <w:pPr>
              <w:jc w:val="right"/>
            </w:pPr>
            <w:r>
              <w:t>159 654</w:t>
            </w:r>
          </w:p>
        </w:tc>
        <w:tc>
          <w:tcPr>
            <w:tcW w:w="1417" w:type="dxa"/>
            <w:shd w:val="clear" w:color="auto" w:fill="FFFFFF"/>
            <w:vAlign w:val="bottom"/>
          </w:tcPr>
          <w:p w:rsidR="00454095" w:rsidRPr="0037452D" w:rsidRDefault="00454095" w:rsidP="00454095">
            <w:pPr>
              <w:jc w:val="right"/>
            </w:pPr>
            <w:r>
              <w:t>53 168</w:t>
            </w:r>
          </w:p>
        </w:tc>
        <w:tc>
          <w:tcPr>
            <w:tcW w:w="1418" w:type="dxa"/>
            <w:shd w:val="clear" w:color="auto" w:fill="FFFFFF"/>
            <w:vAlign w:val="bottom"/>
          </w:tcPr>
          <w:p w:rsidR="00454095" w:rsidRPr="0037452D" w:rsidRDefault="00454095" w:rsidP="00454095">
            <w:pPr>
              <w:jc w:val="right"/>
            </w:pPr>
            <w:r>
              <w:t>55 714</w:t>
            </w:r>
          </w:p>
        </w:tc>
      </w:tr>
      <w:tr w:rsidR="00454095" w:rsidRPr="00A51DA3" w:rsidTr="00D624D6">
        <w:trPr>
          <w:trHeight w:val="181"/>
        </w:trPr>
        <w:tc>
          <w:tcPr>
            <w:tcW w:w="4042" w:type="dxa"/>
            <w:shd w:val="clear" w:color="auto" w:fill="FFFFFF"/>
            <w:vAlign w:val="bottom"/>
          </w:tcPr>
          <w:p w:rsidR="00454095" w:rsidRPr="00A51DA3" w:rsidRDefault="00454095" w:rsidP="00A87EEC">
            <w:pPr>
              <w:autoSpaceDE w:val="0"/>
              <w:autoSpaceDN w:val="0"/>
              <w:adjustRightInd w:val="0"/>
              <w:rPr>
                <w:color w:val="000000"/>
              </w:rPr>
            </w:pPr>
            <w:r w:rsidRPr="00A51DA3">
              <w:rPr>
                <w:color w:val="000000"/>
              </w:rPr>
              <w:t>Инвестиции в асоциирани предприятия</w:t>
            </w:r>
          </w:p>
        </w:tc>
        <w:tc>
          <w:tcPr>
            <w:tcW w:w="1418" w:type="dxa"/>
            <w:shd w:val="clear" w:color="auto" w:fill="FFFFFF"/>
            <w:vAlign w:val="bottom"/>
          </w:tcPr>
          <w:p w:rsidR="00454095" w:rsidRPr="00A51DA3" w:rsidRDefault="00454095" w:rsidP="00DF55ED">
            <w:pPr>
              <w:autoSpaceDE w:val="0"/>
              <w:autoSpaceDN w:val="0"/>
              <w:adjustRightInd w:val="0"/>
              <w:jc w:val="right"/>
              <w:rPr>
                <w:color w:val="000000"/>
              </w:rPr>
            </w:pPr>
          </w:p>
        </w:tc>
        <w:tc>
          <w:tcPr>
            <w:tcW w:w="1558" w:type="dxa"/>
            <w:shd w:val="clear" w:color="auto" w:fill="FFFFFF"/>
            <w:vAlign w:val="bottom"/>
          </w:tcPr>
          <w:p w:rsidR="00454095" w:rsidRPr="0037452D" w:rsidRDefault="003731A5" w:rsidP="00285B81">
            <w:pPr>
              <w:jc w:val="right"/>
            </w:pPr>
            <w:r>
              <w:t>125</w:t>
            </w:r>
          </w:p>
        </w:tc>
        <w:tc>
          <w:tcPr>
            <w:tcW w:w="1417" w:type="dxa"/>
            <w:shd w:val="clear" w:color="auto" w:fill="FFFFFF"/>
            <w:vAlign w:val="bottom"/>
          </w:tcPr>
          <w:p w:rsidR="00454095" w:rsidRPr="0037452D" w:rsidRDefault="00454095" w:rsidP="00454095">
            <w:pPr>
              <w:jc w:val="right"/>
            </w:pPr>
            <w:r>
              <w:t>125</w:t>
            </w:r>
          </w:p>
        </w:tc>
        <w:tc>
          <w:tcPr>
            <w:tcW w:w="1418" w:type="dxa"/>
            <w:shd w:val="clear" w:color="auto" w:fill="FFFFFF"/>
            <w:vAlign w:val="bottom"/>
          </w:tcPr>
          <w:p w:rsidR="00454095" w:rsidRPr="0037452D" w:rsidRDefault="00454095" w:rsidP="00454095">
            <w:pPr>
              <w:jc w:val="right"/>
            </w:pPr>
            <w:r>
              <w:t>125</w:t>
            </w:r>
          </w:p>
        </w:tc>
      </w:tr>
      <w:tr w:rsidR="00454095" w:rsidRPr="00A51DA3" w:rsidTr="00D624D6">
        <w:trPr>
          <w:trHeight w:val="181"/>
        </w:trPr>
        <w:tc>
          <w:tcPr>
            <w:tcW w:w="4042" w:type="dxa"/>
            <w:shd w:val="clear" w:color="auto" w:fill="FFFFFF"/>
            <w:vAlign w:val="bottom"/>
          </w:tcPr>
          <w:p w:rsidR="00454095" w:rsidRPr="00A51DA3" w:rsidRDefault="00454095" w:rsidP="00A87EEC">
            <w:pPr>
              <w:autoSpaceDE w:val="0"/>
              <w:autoSpaceDN w:val="0"/>
              <w:adjustRightInd w:val="0"/>
              <w:rPr>
                <w:color w:val="000000"/>
              </w:rPr>
            </w:pPr>
            <w:r w:rsidRPr="00A51DA3">
              <w:rPr>
                <w:color w:val="000000"/>
              </w:rPr>
              <w:t>Дългосрочни финансови активи</w:t>
            </w:r>
          </w:p>
        </w:tc>
        <w:tc>
          <w:tcPr>
            <w:tcW w:w="1418" w:type="dxa"/>
            <w:shd w:val="clear" w:color="auto" w:fill="FFFFFF"/>
            <w:vAlign w:val="bottom"/>
          </w:tcPr>
          <w:p w:rsidR="00454095" w:rsidRPr="00F651A8" w:rsidRDefault="00454095" w:rsidP="00DF55ED">
            <w:pPr>
              <w:autoSpaceDE w:val="0"/>
              <w:autoSpaceDN w:val="0"/>
              <w:adjustRightInd w:val="0"/>
              <w:jc w:val="right"/>
              <w:rPr>
                <w:color w:val="000000"/>
                <w:lang w:val="en-US"/>
              </w:rPr>
            </w:pPr>
          </w:p>
        </w:tc>
        <w:tc>
          <w:tcPr>
            <w:tcW w:w="1558" w:type="dxa"/>
            <w:shd w:val="clear" w:color="auto" w:fill="FFFFFF"/>
            <w:vAlign w:val="bottom"/>
          </w:tcPr>
          <w:p w:rsidR="00454095" w:rsidRPr="0037452D" w:rsidRDefault="003731A5" w:rsidP="00285B81">
            <w:pPr>
              <w:jc w:val="right"/>
            </w:pPr>
            <w:r>
              <w:t>2 831</w:t>
            </w:r>
          </w:p>
        </w:tc>
        <w:tc>
          <w:tcPr>
            <w:tcW w:w="1417" w:type="dxa"/>
            <w:shd w:val="clear" w:color="auto" w:fill="FFFFFF"/>
            <w:vAlign w:val="bottom"/>
          </w:tcPr>
          <w:p w:rsidR="00454095" w:rsidRPr="0037452D" w:rsidRDefault="00454095" w:rsidP="00454095">
            <w:pPr>
              <w:jc w:val="right"/>
            </w:pPr>
            <w:r>
              <w:t>2 831</w:t>
            </w:r>
          </w:p>
        </w:tc>
        <w:tc>
          <w:tcPr>
            <w:tcW w:w="1418" w:type="dxa"/>
            <w:shd w:val="clear" w:color="auto" w:fill="FFFFFF"/>
            <w:vAlign w:val="bottom"/>
          </w:tcPr>
          <w:p w:rsidR="00454095" w:rsidRPr="0037452D" w:rsidRDefault="00454095" w:rsidP="00454095">
            <w:pPr>
              <w:jc w:val="right"/>
            </w:pPr>
            <w:r>
              <w:t>2 831</w:t>
            </w:r>
          </w:p>
        </w:tc>
      </w:tr>
      <w:tr w:rsidR="00454095" w:rsidRPr="00A51DA3" w:rsidTr="00D624D6">
        <w:trPr>
          <w:trHeight w:val="181"/>
        </w:trPr>
        <w:tc>
          <w:tcPr>
            <w:tcW w:w="4042" w:type="dxa"/>
            <w:shd w:val="clear" w:color="auto" w:fill="FFFFFF"/>
            <w:vAlign w:val="bottom"/>
          </w:tcPr>
          <w:p w:rsidR="00454095" w:rsidRPr="00A51DA3" w:rsidRDefault="00454095" w:rsidP="00A87EEC">
            <w:pPr>
              <w:autoSpaceDE w:val="0"/>
              <w:autoSpaceDN w:val="0"/>
              <w:adjustRightInd w:val="0"/>
              <w:rPr>
                <w:color w:val="000000"/>
              </w:rPr>
            </w:pPr>
            <w:r w:rsidRPr="00A51DA3">
              <w:rPr>
                <w:color w:val="000000"/>
              </w:rPr>
              <w:t>Дългосрочни вземания от свързани лица</w:t>
            </w:r>
          </w:p>
        </w:tc>
        <w:tc>
          <w:tcPr>
            <w:tcW w:w="1418" w:type="dxa"/>
            <w:shd w:val="clear" w:color="auto" w:fill="FFFFFF"/>
            <w:vAlign w:val="bottom"/>
          </w:tcPr>
          <w:p w:rsidR="00454095" w:rsidRPr="00A51DA3" w:rsidRDefault="00454095" w:rsidP="00DF55ED">
            <w:pPr>
              <w:autoSpaceDE w:val="0"/>
              <w:autoSpaceDN w:val="0"/>
              <w:adjustRightInd w:val="0"/>
              <w:jc w:val="right"/>
              <w:rPr>
                <w:color w:val="000000"/>
              </w:rPr>
            </w:pPr>
          </w:p>
        </w:tc>
        <w:tc>
          <w:tcPr>
            <w:tcW w:w="1558" w:type="dxa"/>
            <w:shd w:val="clear" w:color="auto" w:fill="FFFFFF"/>
            <w:vAlign w:val="bottom"/>
          </w:tcPr>
          <w:p w:rsidR="00454095" w:rsidRPr="0037452D" w:rsidRDefault="003731A5" w:rsidP="00285B81">
            <w:pPr>
              <w:jc w:val="right"/>
            </w:pPr>
            <w:r>
              <w:t>65 512</w:t>
            </w:r>
          </w:p>
        </w:tc>
        <w:tc>
          <w:tcPr>
            <w:tcW w:w="1417" w:type="dxa"/>
            <w:shd w:val="clear" w:color="auto" w:fill="FFFFFF"/>
            <w:vAlign w:val="bottom"/>
          </w:tcPr>
          <w:p w:rsidR="00454095" w:rsidRPr="0037452D" w:rsidRDefault="00454095" w:rsidP="00454095">
            <w:pPr>
              <w:jc w:val="right"/>
            </w:pPr>
            <w:r>
              <w:t>65 512</w:t>
            </w:r>
          </w:p>
        </w:tc>
        <w:tc>
          <w:tcPr>
            <w:tcW w:w="1418" w:type="dxa"/>
            <w:shd w:val="clear" w:color="auto" w:fill="FFFFFF"/>
            <w:vAlign w:val="bottom"/>
          </w:tcPr>
          <w:p w:rsidR="00454095" w:rsidRPr="0037452D" w:rsidRDefault="00454095" w:rsidP="00454095">
            <w:pPr>
              <w:jc w:val="right"/>
            </w:pPr>
            <w:r>
              <w:t>91 591</w:t>
            </w:r>
          </w:p>
        </w:tc>
      </w:tr>
      <w:tr w:rsidR="00454095" w:rsidRPr="00A51DA3" w:rsidTr="00D624D6">
        <w:trPr>
          <w:trHeight w:val="181"/>
        </w:trPr>
        <w:tc>
          <w:tcPr>
            <w:tcW w:w="4042" w:type="dxa"/>
            <w:shd w:val="clear" w:color="auto" w:fill="FFFFFF"/>
            <w:vAlign w:val="bottom"/>
          </w:tcPr>
          <w:p w:rsidR="00454095" w:rsidRPr="00A51DA3" w:rsidRDefault="00454095" w:rsidP="00A87EEC">
            <w:pPr>
              <w:autoSpaceDE w:val="0"/>
              <w:autoSpaceDN w:val="0"/>
              <w:adjustRightInd w:val="0"/>
            </w:pPr>
            <w:r w:rsidRPr="00A51DA3">
              <w:t>Отсрочени данъчни активи</w:t>
            </w:r>
          </w:p>
        </w:tc>
        <w:tc>
          <w:tcPr>
            <w:tcW w:w="1418" w:type="dxa"/>
            <w:shd w:val="clear" w:color="auto" w:fill="FFFFFF"/>
            <w:vAlign w:val="bottom"/>
          </w:tcPr>
          <w:p w:rsidR="00454095" w:rsidRPr="00A51DA3" w:rsidRDefault="00454095" w:rsidP="00DF55ED">
            <w:pPr>
              <w:autoSpaceDE w:val="0"/>
              <w:autoSpaceDN w:val="0"/>
              <w:adjustRightInd w:val="0"/>
              <w:jc w:val="right"/>
            </w:pPr>
          </w:p>
        </w:tc>
        <w:tc>
          <w:tcPr>
            <w:tcW w:w="1558" w:type="dxa"/>
            <w:tcBorders>
              <w:top w:val="nil"/>
              <w:left w:val="nil"/>
              <w:right w:val="nil"/>
            </w:tcBorders>
            <w:shd w:val="clear" w:color="auto" w:fill="FFFFFF"/>
            <w:vAlign w:val="bottom"/>
          </w:tcPr>
          <w:p w:rsidR="00454095" w:rsidRPr="0037452D" w:rsidRDefault="003731A5" w:rsidP="00285B81">
            <w:pPr>
              <w:jc w:val="right"/>
            </w:pPr>
            <w:r>
              <w:t>4 618</w:t>
            </w:r>
          </w:p>
        </w:tc>
        <w:tc>
          <w:tcPr>
            <w:tcW w:w="1417" w:type="dxa"/>
            <w:tcBorders>
              <w:top w:val="nil"/>
              <w:left w:val="nil"/>
              <w:right w:val="nil"/>
            </w:tcBorders>
            <w:shd w:val="clear" w:color="auto" w:fill="FFFFFF"/>
            <w:vAlign w:val="bottom"/>
          </w:tcPr>
          <w:p w:rsidR="00454095" w:rsidRPr="0037452D" w:rsidRDefault="00454095" w:rsidP="00454095">
            <w:pPr>
              <w:jc w:val="right"/>
            </w:pPr>
            <w:r>
              <w:t>4 618</w:t>
            </w:r>
          </w:p>
        </w:tc>
        <w:tc>
          <w:tcPr>
            <w:tcW w:w="1418" w:type="dxa"/>
            <w:tcBorders>
              <w:top w:val="nil"/>
              <w:left w:val="nil"/>
              <w:right w:val="nil"/>
            </w:tcBorders>
            <w:shd w:val="clear" w:color="auto" w:fill="FFFFFF"/>
            <w:vAlign w:val="bottom"/>
          </w:tcPr>
          <w:p w:rsidR="00454095" w:rsidRPr="0037452D" w:rsidRDefault="00454095" w:rsidP="00454095">
            <w:pPr>
              <w:jc w:val="right"/>
            </w:pPr>
            <w:r>
              <w:t>3 960</w:t>
            </w:r>
          </w:p>
        </w:tc>
      </w:tr>
      <w:tr w:rsidR="00454095" w:rsidRPr="00A51DA3" w:rsidTr="00D624D6">
        <w:trPr>
          <w:trHeight w:val="181"/>
        </w:trPr>
        <w:tc>
          <w:tcPr>
            <w:tcW w:w="4042" w:type="dxa"/>
            <w:shd w:val="clear" w:color="auto" w:fill="FFFFFF"/>
            <w:vAlign w:val="bottom"/>
          </w:tcPr>
          <w:p w:rsidR="00454095" w:rsidRPr="00A51DA3" w:rsidRDefault="00454095" w:rsidP="00A87EEC">
            <w:pPr>
              <w:autoSpaceDE w:val="0"/>
              <w:autoSpaceDN w:val="0"/>
              <w:adjustRightInd w:val="0"/>
              <w:rPr>
                <w:b/>
                <w:bCs/>
              </w:rPr>
            </w:pPr>
            <w:r w:rsidRPr="00A51DA3">
              <w:rPr>
                <w:color w:val="000000"/>
              </w:rPr>
              <w:t>Нетекущи активи</w:t>
            </w:r>
          </w:p>
        </w:tc>
        <w:tc>
          <w:tcPr>
            <w:tcW w:w="1418" w:type="dxa"/>
            <w:shd w:val="clear" w:color="auto" w:fill="FFFFFF"/>
            <w:vAlign w:val="bottom"/>
          </w:tcPr>
          <w:p w:rsidR="00454095" w:rsidRPr="00A51DA3" w:rsidRDefault="00454095" w:rsidP="00DF55ED">
            <w:pPr>
              <w:autoSpaceDE w:val="0"/>
              <w:autoSpaceDN w:val="0"/>
              <w:adjustRightInd w:val="0"/>
              <w:jc w:val="right"/>
            </w:pPr>
          </w:p>
        </w:tc>
        <w:tc>
          <w:tcPr>
            <w:tcW w:w="1558" w:type="dxa"/>
            <w:tcBorders>
              <w:top w:val="single" w:sz="4" w:space="0" w:color="auto"/>
              <w:left w:val="nil"/>
              <w:bottom w:val="single" w:sz="4" w:space="0" w:color="auto"/>
              <w:right w:val="nil"/>
            </w:tcBorders>
            <w:shd w:val="clear" w:color="auto" w:fill="FFFFFF"/>
            <w:vAlign w:val="bottom"/>
          </w:tcPr>
          <w:p w:rsidR="00454095" w:rsidRPr="0037452D" w:rsidRDefault="003731A5" w:rsidP="00285B81">
            <w:pPr>
              <w:jc w:val="right"/>
              <w:rPr>
                <w:b/>
              </w:rPr>
            </w:pPr>
            <w:r>
              <w:rPr>
                <w:b/>
              </w:rPr>
              <w:t>257 426</w:t>
            </w:r>
          </w:p>
        </w:tc>
        <w:tc>
          <w:tcPr>
            <w:tcW w:w="1417" w:type="dxa"/>
            <w:tcBorders>
              <w:top w:val="single" w:sz="4" w:space="0" w:color="auto"/>
              <w:left w:val="nil"/>
              <w:bottom w:val="single" w:sz="4" w:space="0" w:color="auto"/>
              <w:right w:val="nil"/>
            </w:tcBorders>
            <w:shd w:val="clear" w:color="auto" w:fill="FFFFFF"/>
            <w:vAlign w:val="bottom"/>
          </w:tcPr>
          <w:p w:rsidR="00454095" w:rsidRPr="0037452D" w:rsidRDefault="00454095" w:rsidP="003731A5">
            <w:pPr>
              <w:jc w:val="right"/>
              <w:rPr>
                <w:b/>
              </w:rPr>
            </w:pPr>
            <w:r>
              <w:rPr>
                <w:b/>
              </w:rPr>
              <w:t>152 44</w:t>
            </w:r>
            <w:r w:rsidR="003731A5">
              <w:rPr>
                <w:b/>
              </w:rPr>
              <w:t>3</w:t>
            </w:r>
          </w:p>
        </w:tc>
        <w:tc>
          <w:tcPr>
            <w:tcW w:w="1418" w:type="dxa"/>
            <w:tcBorders>
              <w:top w:val="single" w:sz="4" w:space="0" w:color="auto"/>
              <w:left w:val="nil"/>
              <w:bottom w:val="single" w:sz="4" w:space="0" w:color="auto"/>
              <w:right w:val="nil"/>
            </w:tcBorders>
            <w:shd w:val="clear" w:color="auto" w:fill="FFFFFF"/>
            <w:vAlign w:val="bottom"/>
          </w:tcPr>
          <w:p w:rsidR="00454095" w:rsidRPr="0037452D" w:rsidRDefault="00454095" w:rsidP="00454095">
            <w:pPr>
              <w:jc w:val="right"/>
              <w:rPr>
                <w:b/>
              </w:rPr>
            </w:pPr>
            <w:r>
              <w:rPr>
                <w:b/>
              </w:rPr>
              <w:t>184 283</w:t>
            </w:r>
          </w:p>
        </w:tc>
      </w:tr>
      <w:tr w:rsidR="00985719" w:rsidRPr="00A51DA3" w:rsidTr="00D624D6">
        <w:trPr>
          <w:trHeight w:val="181"/>
        </w:trPr>
        <w:tc>
          <w:tcPr>
            <w:tcW w:w="4042" w:type="dxa"/>
            <w:shd w:val="clear" w:color="auto" w:fill="FFFFFF"/>
            <w:vAlign w:val="bottom"/>
          </w:tcPr>
          <w:p w:rsidR="00985719" w:rsidRPr="00A51DA3" w:rsidRDefault="00985719" w:rsidP="00A87EEC">
            <w:pPr>
              <w:autoSpaceDE w:val="0"/>
              <w:autoSpaceDN w:val="0"/>
              <w:adjustRightInd w:val="0"/>
            </w:pPr>
          </w:p>
        </w:tc>
        <w:tc>
          <w:tcPr>
            <w:tcW w:w="1418" w:type="dxa"/>
            <w:shd w:val="clear" w:color="auto" w:fill="FFFFFF"/>
            <w:vAlign w:val="bottom"/>
          </w:tcPr>
          <w:p w:rsidR="00985719" w:rsidRPr="00A51DA3" w:rsidRDefault="00985719" w:rsidP="00DF55ED">
            <w:pPr>
              <w:autoSpaceDE w:val="0"/>
              <w:autoSpaceDN w:val="0"/>
              <w:adjustRightInd w:val="0"/>
              <w:jc w:val="right"/>
            </w:pPr>
          </w:p>
        </w:tc>
        <w:tc>
          <w:tcPr>
            <w:tcW w:w="1558" w:type="dxa"/>
            <w:tcBorders>
              <w:top w:val="single" w:sz="4" w:space="0" w:color="auto"/>
              <w:left w:val="nil"/>
              <w:bottom w:val="nil"/>
              <w:right w:val="nil"/>
            </w:tcBorders>
            <w:shd w:val="clear" w:color="auto" w:fill="FFFFFF"/>
            <w:vAlign w:val="bottom"/>
          </w:tcPr>
          <w:p w:rsidR="00985719" w:rsidRPr="00A51DA3" w:rsidRDefault="00985719" w:rsidP="00DF55ED">
            <w:pPr>
              <w:autoSpaceDE w:val="0"/>
              <w:autoSpaceDN w:val="0"/>
              <w:adjustRightInd w:val="0"/>
              <w:jc w:val="right"/>
              <w:rPr>
                <w:b/>
                <w:bCs/>
              </w:rPr>
            </w:pPr>
          </w:p>
        </w:tc>
        <w:tc>
          <w:tcPr>
            <w:tcW w:w="1417" w:type="dxa"/>
            <w:tcBorders>
              <w:top w:val="single" w:sz="4" w:space="0" w:color="auto"/>
              <w:left w:val="nil"/>
              <w:bottom w:val="nil"/>
              <w:right w:val="nil"/>
            </w:tcBorders>
            <w:shd w:val="clear" w:color="auto" w:fill="FFFFFF"/>
            <w:vAlign w:val="bottom"/>
          </w:tcPr>
          <w:p w:rsidR="00985719" w:rsidRPr="00A51DA3" w:rsidRDefault="00985719" w:rsidP="00DF55ED">
            <w:pPr>
              <w:autoSpaceDE w:val="0"/>
              <w:autoSpaceDN w:val="0"/>
              <w:adjustRightInd w:val="0"/>
              <w:jc w:val="right"/>
              <w:rPr>
                <w:b/>
                <w:bCs/>
              </w:rPr>
            </w:pPr>
          </w:p>
        </w:tc>
        <w:tc>
          <w:tcPr>
            <w:tcW w:w="1418" w:type="dxa"/>
            <w:tcBorders>
              <w:top w:val="single" w:sz="4" w:space="0" w:color="auto"/>
              <w:left w:val="nil"/>
              <w:bottom w:val="nil"/>
              <w:right w:val="nil"/>
            </w:tcBorders>
            <w:shd w:val="clear" w:color="auto" w:fill="FFFFFF"/>
            <w:vAlign w:val="bottom"/>
          </w:tcPr>
          <w:p w:rsidR="00985719" w:rsidRPr="00A51DA3" w:rsidRDefault="00985719" w:rsidP="00DF55ED">
            <w:pPr>
              <w:autoSpaceDE w:val="0"/>
              <w:autoSpaceDN w:val="0"/>
              <w:adjustRightInd w:val="0"/>
              <w:jc w:val="right"/>
              <w:rPr>
                <w:b/>
                <w:bCs/>
              </w:rPr>
            </w:pPr>
          </w:p>
        </w:tc>
      </w:tr>
      <w:tr w:rsidR="00985719" w:rsidRPr="00A51DA3" w:rsidTr="00D624D6">
        <w:trPr>
          <w:trHeight w:val="181"/>
        </w:trPr>
        <w:tc>
          <w:tcPr>
            <w:tcW w:w="4042" w:type="dxa"/>
            <w:shd w:val="clear" w:color="auto" w:fill="FFFFFF"/>
            <w:vAlign w:val="bottom"/>
          </w:tcPr>
          <w:p w:rsidR="00985719" w:rsidRPr="00A51DA3" w:rsidRDefault="00985719" w:rsidP="00A87EEC">
            <w:pPr>
              <w:autoSpaceDE w:val="0"/>
              <w:autoSpaceDN w:val="0"/>
              <w:adjustRightInd w:val="0"/>
              <w:rPr>
                <w:color w:val="000000"/>
              </w:rPr>
            </w:pPr>
            <w:r w:rsidRPr="00A51DA3">
              <w:rPr>
                <w:b/>
                <w:bCs/>
                <w:color w:val="000000"/>
              </w:rPr>
              <w:t>Текущи активи</w:t>
            </w:r>
          </w:p>
        </w:tc>
        <w:tc>
          <w:tcPr>
            <w:tcW w:w="1418" w:type="dxa"/>
            <w:shd w:val="clear" w:color="auto" w:fill="FFFFFF"/>
            <w:vAlign w:val="bottom"/>
          </w:tcPr>
          <w:p w:rsidR="00985719" w:rsidRPr="00A51DA3" w:rsidRDefault="00985719" w:rsidP="00DF55ED">
            <w:pPr>
              <w:autoSpaceDE w:val="0"/>
              <w:autoSpaceDN w:val="0"/>
              <w:adjustRightInd w:val="0"/>
              <w:jc w:val="right"/>
            </w:pPr>
          </w:p>
        </w:tc>
        <w:tc>
          <w:tcPr>
            <w:tcW w:w="1558" w:type="dxa"/>
            <w:shd w:val="clear" w:color="auto" w:fill="FFFFFF"/>
            <w:vAlign w:val="bottom"/>
          </w:tcPr>
          <w:p w:rsidR="00985719" w:rsidRPr="00A51DA3" w:rsidRDefault="00985719" w:rsidP="00DF55ED">
            <w:pPr>
              <w:autoSpaceDE w:val="0"/>
              <w:autoSpaceDN w:val="0"/>
              <w:adjustRightInd w:val="0"/>
              <w:jc w:val="right"/>
              <w:rPr>
                <w:color w:val="000000"/>
              </w:rPr>
            </w:pPr>
          </w:p>
        </w:tc>
        <w:tc>
          <w:tcPr>
            <w:tcW w:w="1417" w:type="dxa"/>
            <w:shd w:val="clear" w:color="auto" w:fill="FFFFFF"/>
            <w:vAlign w:val="bottom"/>
          </w:tcPr>
          <w:p w:rsidR="00985719" w:rsidRPr="00A51DA3" w:rsidRDefault="00985719" w:rsidP="00DF55ED">
            <w:pPr>
              <w:autoSpaceDE w:val="0"/>
              <w:autoSpaceDN w:val="0"/>
              <w:adjustRightInd w:val="0"/>
              <w:jc w:val="right"/>
              <w:rPr>
                <w:color w:val="000000"/>
              </w:rPr>
            </w:pPr>
          </w:p>
        </w:tc>
        <w:tc>
          <w:tcPr>
            <w:tcW w:w="1418" w:type="dxa"/>
            <w:shd w:val="clear" w:color="auto" w:fill="FFFFFF"/>
            <w:vAlign w:val="bottom"/>
          </w:tcPr>
          <w:p w:rsidR="00985719" w:rsidRPr="00A51DA3" w:rsidRDefault="00985719" w:rsidP="00DF55ED">
            <w:pPr>
              <w:autoSpaceDE w:val="0"/>
              <w:autoSpaceDN w:val="0"/>
              <w:adjustRightInd w:val="0"/>
              <w:jc w:val="right"/>
              <w:rPr>
                <w:color w:val="000000"/>
              </w:rPr>
            </w:pPr>
          </w:p>
        </w:tc>
      </w:tr>
      <w:tr w:rsidR="00454095" w:rsidRPr="00A51DA3" w:rsidTr="00D624D6">
        <w:trPr>
          <w:trHeight w:val="181"/>
        </w:trPr>
        <w:tc>
          <w:tcPr>
            <w:tcW w:w="4042" w:type="dxa"/>
            <w:shd w:val="clear" w:color="auto" w:fill="FFFFFF"/>
            <w:vAlign w:val="bottom"/>
          </w:tcPr>
          <w:p w:rsidR="00454095" w:rsidRPr="00A51DA3" w:rsidRDefault="00454095" w:rsidP="00A87EEC">
            <w:pPr>
              <w:autoSpaceDE w:val="0"/>
              <w:autoSpaceDN w:val="0"/>
              <w:adjustRightInd w:val="0"/>
              <w:rPr>
                <w:color w:val="000000"/>
              </w:rPr>
            </w:pPr>
            <w:r w:rsidRPr="00A51DA3">
              <w:rPr>
                <w:color w:val="000000"/>
              </w:rPr>
              <w:t>Материални запаси</w:t>
            </w:r>
          </w:p>
        </w:tc>
        <w:tc>
          <w:tcPr>
            <w:tcW w:w="1418" w:type="dxa"/>
            <w:shd w:val="clear" w:color="auto" w:fill="FFFFFF"/>
            <w:vAlign w:val="bottom"/>
          </w:tcPr>
          <w:p w:rsidR="00454095" w:rsidRPr="00A51DA3" w:rsidRDefault="00454095" w:rsidP="00DF55ED">
            <w:pPr>
              <w:autoSpaceDE w:val="0"/>
              <w:autoSpaceDN w:val="0"/>
              <w:adjustRightInd w:val="0"/>
              <w:jc w:val="right"/>
              <w:rPr>
                <w:color w:val="000000"/>
              </w:rPr>
            </w:pPr>
          </w:p>
        </w:tc>
        <w:tc>
          <w:tcPr>
            <w:tcW w:w="1558" w:type="dxa"/>
            <w:shd w:val="clear" w:color="auto" w:fill="FFFFFF"/>
            <w:vAlign w:val="bottom"/>
          </w:tcPr>
          <w:p w:rsidR="00454095" w:rsidRPr="0037452D" w:rsidRDefault="003731A5" w:rsidP="00285B81">
            <w:pPr>
              <w:jc w:val="right"/>
            </w:pPr>
            <w:r>
              <w:t>6 132</w:t>
            </w:r>
          </w:p>
        </w:tc>
        <w:tc>
          <w:tcPr>
            <w:tcW w:w="1417" w:type="dxa"/>
            <w:shd w:val="clear" w:color="auto" w:fill="FFFFFF"/>
            <w:vAlign w:val="bottom"/>
          </w:tcPr>
          <w:p w:rsidR="00454095" w:rsidRPr="0037452D" w:rsidRDefault="00454095" w:rsidP="00454095">
            <w:pPr>
              <w:jc w:val="right"/>
            </w:pPr>
            <w:r>
              <w:t>6 196</w:t>
            </w:r>
          </w:p>
        </w:tc>
        <w:tc>
          <w:tcPr>
            <w:tcW w:w="1418" w:type="dxa"/>
            <w:shd w:val="clear" w:color="auto" w:fill="FFFFFF"/>
            <w:vAlign w:val="bottom"/>
          </w:tcPr>
          <w:p w:rsidR="00454095" w:rsidRPr="0037452D" w:rsidRDefault="00454095" w:rsidP="00454095">
            <w:pPr>
              <w:jc w:val="right"/>
            </w:pPr>
            <w:r>
              <w:t>6 331</w:t>
            </w:r>
          </w:p>
        </w:tc>
      </w:tr>
      <w:tr w:rsidR="00454095" w:rsidRPr="00A51DA3" w:rsidTr="00D624D6">
        <w:trPr>
          <w:trHeight w:val="181"/>
        </w:trPr>
        <w:tc>
          <w:tcPr>
            <w:tcW w:w="4042" w:type="dxa"/>
            <w:shd w:val="clear" w:color="auto" w:fill="FFFFFF"/>
            <w:vAlign w:val="bottom"/>
          </w:tcPr>
          <w:p w:rsidR="00454095" w:rsidRPr="00A51DA3" w:rsidRDefault="00454095" w:rsidP="008F5288">
            <w:pPr>
              <w:autoSpaceDE w:val="0"/>
              <w:autoSpaceDN w:val="0"/>
              <w:adjustRightInd w:val="0"/>
              <w:rPr>
                <w:color w:val="000000"/>
              </w:rPr>
            </w:pPr>
            <w:r w:rsidRPr="00A51DA3">
              <w:rPr>
                <w:color w:val="000000"/>
              </w:rPr>
              <w:t xml:space="preserve">Краткосрочни финансови активи </w:t>
            </w:r>
          </w:p>
        </w:tc>
        <w:tc>
          <w:tcPr>
            <w:tcW w:w="1418" w:type="dxa"/>
            <w:shd w:val="clear" w:color="auto" w:fill="FFFFFF"/>
            <w:vAlign w:val="bottom"/>
          </w:tcPr>
          <w:p w:rsidR="00454095" w:rsidRPr="00A51DA3" w:rsidRDefault="00454095" w:rsidP="00DF55ED">
            <w:pPr>
              <w:autoSpaceDE w:val="0"/>
              <w:autoSpaceDN w:val="0"/>
              <w:adjustRightInd w:val="0"/>
              <w:jc w:val="right"/>
              <w:rPr>
                <w:color w:val="000000"/>
              </w:rPr>
            </w:pPr>
          </w:p>
        </w:tc>
        <w:tc>
          <w:tcPr>
            <w:tcW w:w="1558" w:type="dxa"/>
            <w:shd w:val="clear" w:color="auto" w:fill="FFFFFF"/>
            <w:vAlign w:val="bottom"/>
          </w:tcPr>
          <w:p w:rsidR="00454095" w:rsidRPr="0037452D" w:rsidRDefault="003731A5" w:rsidP="00285B81">
            <w:pPr>
              <w:jc w:val="right"/>
            </w:pPr>
            <w:r>
              <w:t>2 589</w:t>
            </w:r>
          </w:p>
        </w:tc>
        <w:tc>
          <w:tcPr>
            <w:tcW w:w="1417" w:type="dxa"/>
            <w:shd w:val="clear" w:color="auto" w:fill="FFFFFF"/>
            <w:vAlign w:val="bottom"/>
          </w:tcPr>
          <w:p w:rsidR="00454095" w:rsidRPr="0037452D" w:rsidRDefault="00454095" w:rsidP="00454095">
            <w:pPr>
              <w:jc w:val="right"/>
            </w:pPr>
            <w:r>
              <w:t>2 589</w:t>
            </w:r>
          </w:p>
        </w:tc>
        <w:tc>
          <w:tcPr>
            <w:tcW w:w="1418" w:type="dxa"/>
            <w:shd w:val="clear" w:color="auto" w:fill="FFFFFF"/>
            <w:vAlign w:val="bottom"/>
          </w:tcPr>
          <w:p w:rsidR="00454095" w:rsidRPr="0037452D" w:rsidRDefault="00454095" w:rsidP="00454095">
            <w:pPr>
              <w:jc w:val="right"/>
            </w:pPr>
            <w:r>
              <w:t>2 589</w:t>
            </w:r>
          </w:p>
        </w:tc>
      </w:tr>
      <w:tr w:rsidR="00454095" w:rsidRPr="00A51DA3" w:rsidTr="00D624D6">
        <w:trPr>
          <w:trHeight w:val="181"/>
        </w:trPr>
        <w:tc>
          <w:tcPr>
            <w:tcW w:w="4042" w:type="dxa"/>
            <w:shd w:val="clear" w:color="auto" w:fill="FFFFFF"/>
            <w:vAlign w:val="bottom"/>
          </w:tcPr>
          <w:p w:rsidR="00454095" w:rsidRPr="00A51DA3" w:rsidRDefault="00454095" w:rsidP="00A87EEC">
            <w:pPr>
              <w:autoSpaceDE w:val="0"/>
              <w:autoSpaceDN w:val="0"/>
              <w:adjustRightInd w:val="0"/>
              <w:rPr>
                <w:color w:val="000000"/>
              </w:rPr>
            </w:pPr>
            <w:r w:rsidRPr="00A51DA3">
              <w:rPr>
                <w:color w:val="000000"/>
              </w:rPr>
              <w:t>Търговски вземания</w:t>
            </w:r>
          </w:p>
        </w:tc>
        <w:tc>
          <w:tcPr>
            <w:tcW w:w="1418" w:type="dxa"/>
            <w:shd w:val="clear" w:color="auto" w:fill="FFFFFF"/>
            <w:vAlign w:val="bottom"/>
          </w:tcPr>
          <w:p w:rsidR="00454095" w:rsidRPr="00A51DA3" w:rsidRDefault="00454095" w:rsidP="00DF55ED">
            <w:pPr>
              <w:autoSpaceDE w:val="0"/>
              <w:autoSpaceDN w:val="0"/>
              <w:adjustRightInd w:val="0"/>
              <w:jc w:val="right"/>
              <w:rPr>
                <w:color w:val="000000"/>
              </w:rPr>
            </w:pPr>
          </w:p>
        </w:tc>
        <w:tc>
          <w:tcPr>
            <w:tcW w:w="1558" w:type="dxa"/>
            <w:shd w:val="clear" w:color="auto" w:fill="FFFFFF"/>
            <w:vAlign w:val="bottom"/>
          </w:tcPr>
          <w:p w:rsidR="00454095" w:rsidRPr="0037452D" w:rsidRDefault="003731A5" w:rsidP="00285B81">
            <w:pPr>
              <w:jc w:val="right"/>
            </w:pPr>
            <w:r>
              <w:t>12 827</w:t>
            </w:r>
          </w:p>
        </w:tc>
        <w:tc>
          <w:tcPr>
            <w:tcW w:w="1417" w:type="dxa"/>
            <w:shd w:val="clear" w:color="auto" w:fill="FFFFFF"/>
            <w:vAlign w:val="bottom"/>
          </w:tcPr>
          <w:p w:rsidR="00454095" w:rsidRPr="0037452D" w:rsidRDefault="00454095" w:rsidP="00454095">
            <w:pPr>
              <w:jc w:val="right"/>
            </w:pPr>
            <w:r>
              <w:t>14 751</w:t>
            </w:r>
          </w:p>
        </w:tc>
        <w:tc>
          <w:tcPr>
            <w:tcW w:w="1418" w:type="dxa"/>
            <w:shd w:val="clear" w:color="auto" w:fill="FFFFFF"/>
            <w:vAlign w:val="bottom"/>
          </w:tcPr>
          <w:p w:rsidR="00454095" w:rsidRPr="0037452D" w:rsidRDefault="00454095" w:rsidP="00454095">
            <w:pPr>
              <w:jc w:val="right"/>
            </w:pPr>
            <w:r>
              <w:t>14 090</w:t>
            </w:r>
          </w:p>
        </w:tc>
      </w:tr>
      <w:tr w:rsidR="00454095" w:rsidRPr="00A51DA3" w:rsidTr="00D624D6">
        <w:trPr>
          <w:trHeight w:val="181"/>
        </w:trPr>
        <w:tc>
          <w:tcPr>
            <w:tcW w:w="4042" w:type="dxa"/>
            <w:shd w:val="clear" w:color="auto" w:fill="FFFFFF"/>
            <w:vAlign w:val="bottom"/>
          </w:tcPr>
          <w:p w:rsidR="00454095" w:rsidRPr="00A51DA3" w:rsidRDefault="00454095" w:rsidP="00A87EEC">
            <w:pPr>
              <w:autoSpaceDE w:val="0"/>
              <w:autoSpaceDN w:val="0"/>
              <w:adjustRightInd w:val="0"/>
              <w:rPr>
                <w:color w:val="000000"/>
              </w:rPr>
            </w:pPr>
            <w:r w:rsidRPr="00A51DA3">
              <w:rPr>
                <w:color w:val="000000"/>
              </w:rPr>
              <w:t>Вземания от свързани лица</w:t>
            </w:r>
          </w:p>
        </w:tc>
        <w:tc>
          <w:tcPr>
            <w:tcW w:w="1418" w:type="dxa"/>
            <w:shd w:val="clear" w:color="auto" w:fill="FFFFFF"/>
            <w:vAlign w:val="bottom"/>
          </w:tcPr>
          <w:p w:rsidR="00454095" w:rsidRPr="00A51DA3" w:rsidRDefault="00454095" w:rsidP="00DF55ED">
            <w:pPr>
              <w:autoSpaceDE w:val="0"/>
              <w:autoSpaceDN w:val="0"/>
              <w:adjustRightInd w:val="0"/>
              <w:jc w:val="right"/>
              <w:rPr>
                <w:color w:val="000000"/>
              </w:rPr>
            </w:pPr>
          </w:p>
        </w:tc>
        <w:tc>
          <w:tcPr>
            <w:tcW w:w="1558" w:type="dxa"/>
            <w:shd w:val="clear" w:color="auto" w:fill="FFFFFF"/>
            <w:vAlign w:val="bottom"/>
          </w:tcPr>
          <w:p w:rsidR="00454095" w:rsidRPr="0037452D" w:rsidRDefault="003731A5" w:rsidP="00285B81">
            <w:pPr>
              <w:jc w:val="right"/>
            </w:pPr>
            <w:r>
              <w:t>38 989</w:t>
            </w:r>
          </w:p>
        </w:tc>
        <w:tc>
          <w:tcPr>
            <w:tcW w:w="1417" w:type="dxa"/>
            <w:shd w:val="clear" w:color="auto" w:fill="FFFFFF"/>
            <w:vAlign w:val="bottom"/>
          </w:tcPr>
          <w:p w:rsidR="00454095" w:rsidRPr="0037452D" w:rsidRDefault="00454095" w:rsidP="00454095">
            <w:pPr>
              <w:jc w:val="right"/>
            </w:pPr>
            <w:r>
              <w:t>89 826</w:t>
            </w:r>
          </w:p>
        </w:tc>
        <w:tc>
          <w:tcPr>
            <w:tcW w:w="1418" w:type="dxa"/>
            <w:shd w:val="clear" w:color="auto" w:fill="FFFFFF"/>
            <w:vAlign w:val="bottom"/>
          </w:tcPr>
          <w:p w:rsidR="00454095" w:rsidRPr="0037452D" w:rsidRDefault="00454095" w:rsidP="00454095">
            <w:pPr>
              <w:jc w:val="right"/>
            </w:pPr>
            <w:r>
              <w:t>120 958</w:t>
            </w:r>
          </w:p>
        </w:tc>
      </w:tr>
      <w:tr w:rsidR="00454095" w:rsidRPr="00A51DA3" w:rsidTr="00D624D6">
        <w:trPr>
          <w:trHeight w:val="181"/>
        </w:trPr>
        <w:tc>
          <w:tcPr>
            <w:tcW w:w="4042" w:type="dxa"/>
            <w:shd w:val="clear" w:color="auto" w:fill="FFFFFF"/>
            <w:vAlign w:val="bottom"/>
          </w:tcPr>
          <w:p w:rsidR="00454095" w:rsidRPr="0076225F" w:rsidRDefault="00454095" w:rsidP="00510CF3">
            <w:pPr>
              <w:autoSpaceDE w:val="0"/>
              <w:autoSpaceDN w:val="0"/>
              <w:adjustRightInd w:val="0"/>
              <w:rPr>
                <w:color w:val="000000"/>
              </w:rPr>
            </w:pPr>
            <w:r>
              <w:rPr>
                <w:color w:val="000000"/>
              </w:rPr>
              <w:t>Данъчни вземания</w:t>
            </w:r>
          </w:p>
        </w:tc>
        <w:tc>
          <w:tcPr>
            <w:tcW w:w="1418" w:type="dxa"/>
            <w:shd w:val="clear" w:color="auto" w:fill="FFFFFF"/>
            <w:vAlign w:val="bottom"/>
          </w:tcPr>
          <w:p w:rsidR="00454095" w:rsidRPr="00A51DA3" w:rsidRDefault="00454095" w:rsidP="00DF55ED">
            <w:pPr>
              <w:autoSpaceDE w:val="0"/>
              <w:autoSpaceDN w:val="0"/>
              <w:adjustRightInd w:val="0"/>
              <w:jc w:val="right"/>
            </w:pPr>
          </w:p>
        </w:tc>
        <w:tc>
          <w:tcPr>
            <w:tcW w:w="1558" w:type="dxa"/>
            <w:tcBorders>
              <w:top w:val="nil"/>
              <w:left w:val="nil"/>
              <w:right w:val="nil"/>
            </w:tcBorders>
            <w:shd w:val="clear" w:color="auto" w:fill="FFFFFF"/>
            <w:vAlign w:val="bottom"/>
          </w:tcPr>
          <w:p w:rsidR="00454095" w:rsidRPr="00A51DA3" w:rsidRDefault="003731A5" w:rsidP="00285B81">
            <w:pPr>
              <w:jc w:val="right"/>
            </w:pPr>
            <w:r>
              <w:t>-</w:t>
            </w:r>
          </w:p>
        </w:tc>
        <w:tc>
          <w:tcPr>
            <w:tcW w:w="1417" w:type="dxa"/>
            <w:tcBorders>
              <w:top w:val="nil"/>
              <w:left w:val="nil"/>
              <w:right w:val="nil"/>
            </w:tcBorders>
            <w:shd w:val="clear" w:color="auto" w:fill="FFFFFF"/>
            <w:vAlign w:val="bottom"/>
          </w:tcPr>
          <w:p w:rsidR="00454095" w:rsidRPr="00A51DA3" w:rsidRDefault="00454095" w:rsidP="00454095">
            <w:pPr>
              <w:jc w:val="right"/>
            </w:pPr>
            <w:r>
              <w:t>-</w:t>
            </w:r>
          </w:p>
        </w:tc>
        <w:tc>
          <w:tcPr>
            <w:tcW w:w="1418" w:type="dxa"/>
            <w:tcBorders>
              <w:top w:val="nil"/>
              <w:left w:val="nil"/>
              <w:right w:val="nil"/>
            </w:tcBorders>
            <w:shd w:val="clear" w:color="auto" w:fill="FFFFFF"/>
            <w:vAlign w:val="bottom"/>
          </w:tcPr>
          <w:p w:rsidR="00454095" w:rsidRPr="00A51DA3" w:rsidRDefault="00454095" w:rsidP="00454095">
            <w:pPr>
              <w:jc w:val="right"/>
            </w:pPr>
            <w:r>
              <w:t>183</w:t>
            </w:r>
          </w:p>
        </w:tc>
      </w:tr>
      <w:tr w:rsidR="00454095" w:rsidRPr="00A51DA3" w:rsidTr="00D624D6">
        <w:trPr>
          <w:trHeight w:val="181"/>
        </w:trPr>
        <w:tc>
          <w:tcPr>
            <w:tcW w:w="4042" w:type="dxa"/>
            <w:shd w:val="clear" w:color="auto" w:fill="FFFFFF"/>
            <w:vAlign w:val="bottom"/>
          </w:tcPr>
          <w:p w:rsidR="00454095" w:rsidRPr="00A51DA3" w:rsidRDefault="00454095" w:rsidP="00CA10D4">
            <w:pPr>
              <w:autoSpaceDE w:val="0"/>
              <w:autoSpaceDN w:val="0"/>
              <w:adjustRightInd w:val="0"/>
              <w:rPr>
                <w:color w:val="000000"/>
              </w:rPr>
            </w:pPr>
            <w:r w:rsidRPr="00A51DA3">
              <w:rPr>
                <w:color w:val="000000"/>
              </w:rPr>
              <w:t xml:space="preserve">Вземания </w:t>
            </w:r>
            <w:r>
              <w:rPr>
                <w:color w:val="000000"/>
              </w:rPr>
              <w:t>за</w:t>
            </w:r>
            <w:r w:rsidRPr="00A51DA3">
              <w:rPr>
                <w:color w:val="000000"/>
              </w:rPr>
              <w:t xml:space="preserve"> данъци върху дохода</w:t>
            </w:r>
          </w:p>
        </w:tc>
        <w:tc>
          <w:tcPr>
            <w:tcW w:w="1418" w:type="dxa"/>
            <w:shd w:val="clear" w:color="auto" w:fill="FFFFFF"/>
            <w:vAlign w:val="bottom"/>
          </w:tcPr>
          <w:p w:rsidR="00454095" w:rsidRPr="00A51DA3" w:rsidRDefault="00454095" w:rsidP="00DF55ED">
            <w:pPr>
              <w:autoSpaceDE w:val="0"/>
              <w:autoSpaceDN w:val="0"/>
              <w:adjustRightInd w:val="0"/>
              <w:jc w:val="right"/>
            </w:pPr>
          </w:p>
        </w:tc>
        <w:tc>
          <w:tcPr>
            <w:tcW w:w="1558" w:type="dxa"/>
            <w:tcBorders>
              <w:top w:val="nil"/>
              <w:left w:val="nil"/>
              <w:right w:val="nil"/>
            </w:tcBorders>
            <w:shd w:val="clear" w:color="auto" w:fill="FFFFFF"/>
            <w:vAlign w:val="bottom"/>
          </w:tcPr>
          <w:p w:rsidR="00454095" w:rsidRPr="00A51DA3" w:rsidRDefault="003731A5" w:rsidP="00285B81">
            <w:pPr>
              <w:jc w:val="right"/>
            </w:pPr>
            <w:r>
              <w:t>-</w:t>
            </w:r>
          </w:p>
        </w:tc>
        <w:tc>
          <w:tcPr>
            <w:tcW w:w="1417" w:type="dxa"/>
            <w:tcBorders>
              <w:top w:val="nil"/>
              <w:left w:val="nil"/>
              <w:right w:val="nil"/>
            </w:tcBorders>
            <w:shd w:val="clear" w:color="auto" w:fill="FFFFFF"/>
            <w:vAlign w:val="bottom"/>
          </w:tcPr>
          <w:p w:rsidR="00454095" w:rsidRPr="00A51DA3" w:rsidRDefault="00454095" w:rsidP="00454095">
            <w:pPr>
              <w:jc w:val="right"/>
            </w:pPr>
            <w:r>
              <w:t>-</w:t>
            </w:r>
          </w:p>
        </w:tc>
        <w:tc>
          <w:tcPr>
            <w:tcW w:w="1418" w:type="dxa"/>
            <w:tcBorders>
              <w:top w:val="nil"/>
              <w:left w:val="nil"/>
              <w:right w:val="nil"/>
            </w:tcBorders>
            <w:shd w:val="clear" w:color="auto" w:fill="FFFFFF"/>
            <w:vAlign w:val="bottom"/>
          </w:tcPr>
          <w:p w:rsidR="00454095" w:rsidRPr="00A51DA3" w:rsidRDefault="00454095" w:rsidP="00454095">
            <w:pPr>
              <w:jc w:val="right"/>
            </w:pPr>
            <w:r>
              <w:t>65</w:t>
            </w:r>
          </w:p>
        </w:tc>
      </w:tr>
      <w:tr w:rsidR="00454095" w:rsidRPr="00A51DA3" w:rsidTr="00D624D6">
        <w:trPr>
          <w:trHeight w:val="181"/>
        </w:trPr>
        <w:tc>
          <w:tcPr>
            <w:tcW w:w="4042" w:type="dxa"/>
            <w:shd w:val="clear" w:color="auto" w:fill="FFFFFF"/>
            <w:vAlign w:val="bottom"/>
          </w:tcPr>
          <w:p w:rsidR="00454095" w:rsidRPr="00A51DA3" w:rsidRDefault="00454095" w:rsidP="00A87EEC">
            <w:pPr>
              <w:autoSpaceDE w:val="0"/>
              <w:autoSpaceDN w:val="0"/>
              <w:adjustRightInd w:val="0"/>
              <w:rPr>
                <w:color w:val="000000"/>
              </w:rPr>
            </w:pPr>
            <w:r w:rsidRPr="00A51DA3">
              <w:rPr>
                <w:color w:val="000000"/>
              </w:rPr>
              <w:t>Други вземания</w:t>
            </w:r>
          </w:p>
        </w:tc>
        <w:tc>
          <w:tcPr>
            <w:tcW w:w="1418" w:type="dxa"/>
            <w:shd w:val="clear" w:color="auto" w:fill="FFFFFF"/>
            <w:vAlign w:val="bottom"/>
          </w:tcPr>
          <w:p w:rsidR="00454095" w:rsidRPr="00A51DA3" w:rsidRDefault="00454095" w:rsidP="003605EB">
            <w:pPr>
              <w:autoSpaceDE w:val="0"/>
              <w:autoSpaceDN w:val="0"/>
              <w:adjustRightInd w:val="0"/>
              <w:jc w:val="right"/>
              <w:rPr>
                <w:color w:val="000000"/>
              </w:rPr>
            </w:pPr>
          </w:p>
        </w:tc>
        <w:tc>
          <w:tcPr>
            <w:tcW w:w="1558" w:type="dxa"/>
            <w:tcBorders>
              <w:top w:val="nil"/>
              <w:left w:val="nil"/>
              <w:right w:val="nil"/>
            </w:tcBorders>
            <w:shd w:val="clear" w:color="auto" w:fill="FFFFFF"/>
            <w:vAlign w:val="bottom"/>
          </w:tcPr>
          <w:p w:rsidR="00454095" w:rsidRPr="00A51DA3" w:rsidRDefault="003731A5" w:rsidP="00285B81">
            <w:pPr>
              <w:jc w:val="right"/>
            </w:pPr>
            <w:r>
              <w:t>43 486</w:t>
            </w:r>
          </w:p>
        </w:tc>
        <w:tc>
          <w:tcPr>
            <w:tcW w:w="1417" w:type="dxa"/>
            <w:tcBorders>
              <w:top w:val="nil"/>
              <w:left w:val="nil"/>
              <w:right w:val="nil"/>
            </w:tcBorders>
            <w:shd w:val="clear" w:color="auto" w:fill="FFFFFF"/>
            <w:vAlign w:val="bottom"/>
          </w:tcPr>
          <w:p w:rsidR="00454095" w:rsidRPr="00A51DA3" w:rsidRDefault="00454095" w:rsidP="00454095">
            <w:pPr>
              <w:jc w:val="right"/>
            </w:pPr>
            <w:r>
              <w:t>43 609</w:t>
            </w:r>
          </w:p>
        </w:tc>
        <w:tc>
          <w:tcPr>
            <w:tcW w:w="1418" w:type="dxa"/>
            <w:tcBorders>
              <w:top w:val="nil"/>
              <w:left w:val="nil"/>
              <w:right w:val="nil"/>
            </w:tcBorders>
            <w:shd w:val="clear" w:color="auto" w:fill="FFFFFF"/>
            <w:vAlign w:val="bottom"/>
          </w:tcPr>
          <w:p w:rsidR="00454095" w:rsidRPr="00A51DA3" w:rsidRDefault="00454095" w:rsidP="00454095">
            <w:pPr>
              <w:jc w:val="right"/>
            </w:pPr>
            <w:r>
              <w:t>48 233</w:t>
            </w:r>
          </w:p>
        </w:tc>
      </w:tr>
      <w:tr w:rsidR="00454095" w:rsidRPr="00A51DA3" w:rsidTr="00D624D6">
        <w:trPr>
          <w:trHeight w:val="181"/>
        </w:trPr>
        <w:tc>
          <w:tcPr>
            <w:tcW w:w="4042" w:type="dxa"/>
            <w:shd w:val="clear" w:color="auto" w:fill="FFFFFF"/>
            <w:vAlign w:val="bottom"/>
          </w:tcPr>
          <w:p w:rsidR="00454095" w:rsidRPr="00A51DA3" w:rsidRDefault="00454095" w:rsidP="00A87EEC">
            <w:pPr>
              <w:autoSpaceDE w:val="0"/>
              <w:autoSpaceDN w:val="0"/>
              <w:adjustRightInd w:val="0"/>
              <w:rPr>
                <w:color w:val="000000"/>
              </w:rPr>
            </w:pPr>
            <w:r w:rsidRPr="00A51DA3">
              <w:rPr>
                <w:color w:val="000000"/>
              </w:rPr>
              <w:t>Пари и парични еквиваленти</w:t>
            </w:r>
          </w:p>
        </w:tc>
        <w:tc>
          <w:tcPr>
            <w:tcW w:w="1418" w:type="dxa"/>
            <w:shd w:val="clear" w:color="auto" w:fill="FFFFFF"/>
            <w:vAlign w:val="bottom"/>
          </w:tcPr>
          <w:p w:rsidR="00454095" w:rsidRPr="00A51DA3" w:rsidRDefault="00454095" w:rsidP="00DF55ED">
            <w:pPr>
              <w:autoSpaceDE w:val="0"/>
              <w:autoSpaceDN w:val="0"/>
              <w:adjustRightInd w:val="0"/>
              <w:jc w:val="right"/>
              <w:rPr>
                <w:color w:val="000000"/>
              </w:rPr>
            </w:pPr>
          </w:p>
        </w:tc>
        <w:tc>
          <w:tcPr>
            <w:tcW w:w="1558" w:type="dxa"/>
            <w:tcBorders>
              <w:left w:val="nil"/>
              <w:bottom w:val="single" w:sz="4" w:space="0" w:color="auto"/>
              <w:right w:val="nil"/>
            </w:tcBorders>
            <w:shd w:val="clear" w:color="auto" w:fill="FFFFFF"/>
            <w:vAlign w:val="bottom"/>
          </w:tcPr>
          <w:p w:rsidR="00454095" w:rsidRPr="00A51DA3" w:rsidRDefault="003731A5" w:rsidP="00285B81">
            <w:pPr>
              <w:jc w:val="right"/>
            </w:pPr>
            <w:r>
              <w:t>1 260</w:t>
            </w:r>
          </w:p>
        </w:tc>
        <w:tc>
          <w:tcPr>
            <w:tcW w:w="1417" w:type="dxa"/>
            <w:tcBorders>
              <w:left w:val="nil"/>
              <w:bottom w:val="single" w:sz="4" w:space="0" w:color="auto"/>
              <w:right w:val="nil"/>
            </w:tcBorders>
            <w:shd w:val="clear" w:color="auto" w:fill="FFFFFF"/>
            <w:vAlign w:val="bottom"/>
          </w:tcPr>
          <w:p w:rsidR="00454095" w:rsidRPr="00A51DA3" w:rsidRDefault="00454095" w:rsidP="00454095">
            <w:pPr>
              <w:jc w:val="right"/>
            </w:pPr>
            <w:r>
              <w:t>1 241</w:t>
            </w:r>
          </w:p>
        </w:tc>
        <w:tc>
          <w:tcPr>
            <w:tcW w:w="1418" w:type="dxa"/>
            <w:tcBorders>
              <w:left w:val="nil"/>
              <w:bottom w:val="single" w:sz="4" w:space="0" w:color="auto"/>
              <w:right w:val="nil"/>
            </w:tcBorders>
            <w:shd w:val="clear" w:color="auto" w:fill="FFFFFF"/>
            <w:vAlign w:val="bottom"/>
          </w:tcPr>
          <w:p w:rsidR="00454095" w:rsidRPr="00A51DA3" w:rsidRDefault="00454095" w:rsidP="00454095">
            <w:pPr>
              <w:jc w:val="right"/>
            </w:pPr>
            <w:r>
              <w:t>401</w:t>
            </w:r>
          </w:p>
        </w:tc>
      </w:tr>
      <w:tr w:rsidR="00454095" w:rsidRPr="00A51DA3" w:rsidTr="00D624D6">
        <w:trPr>
          <w:trHeight w:val="181"/>
        </w:trPr>
        <w:tc>
          <w:tcPr>
            <w:tcW w:w="4042" w:type="dxa"/>
            <w:shd w:val="clear" w:color="auto" w:fill="FFFFFF"/>
            <w:vAlign w:val="bottom"/>
          </w:tcPr>
          <w:p w:rsidR="00454095" w:rsidRPr="00A51DA3" w:rsidRDefault="00454095" w:rsidP="00A87EEC">
            <w:pPr>
              <w:autoSpaceDE w:val="0"/>
              <w:autoSpaceDN w:val="0"/>
              <w:adjustRightInd w:val="0"/>
              <w:rPr>
                <w:color w:val="000000"/>
              </w:rPr>
            </w:pPr>
            <w:r w:rsidRPr="00A51DA3">
              <w:rPr>
                <w:color w:val="000000"/>
              </w:rPr>
              <w:t>Текущи активи</w:t>
            </w:r>
          </w:p>
        </w:tc>
        <w:tc>
          <w:tcPr>
            <w:tcW w:w="1418" w:type="dxa"/>
            <w:shd w:val="clear" w:color="auto" w:fill="FFFFFF"/>
            <w:vAlign w:val="bottom"/>
          </w:tcPr>
          <w:p w:rsidR="00454095" w:rsidRPr="00A51DA3" w:rsidRDefault="00454095" w:rsidP="00DF55ED">
            <w:pPr>
              <w:autoSpaceDE w:val="0"/>
              <w:autoSpaceDN w:val="0"/>
              <w:adjustRightInd w:val="0"/>
              <w:jc w:val="right"/>
              <w:rPr>
                <w:color w:val="000000"/>
              </w:rPr>
            </w:pPr>
          </w:p>
        </w:tc>
        <w:tc>
          <w:tcPr>
            <w:tcW w:w="1558" w:type="dxa"/>
            <w:tcBorders>
              <w:top w:val="single" w:sz="4" w:space="0" w:color="auto"/>
              <w:left w:val="nil"/>
              <w:bottom w:val="single" w:sz="4" w:space="0" w:color="auto"/>
              <w:right w:val="nil"/>
            </w:tcBorders>
            <w:shd w:val="clear" w:color="auto" w:fill="FFFFFF"/>
            <w:vAlign w:val="bottom"/>
          </w:tcPr>
          <w:p w:rsidR="00454095" w:rsidRPr="00A51DA3" w:rsidRDefault="003731A5" w:rsidP="00285B81">
            <w:pPr>
              <w:jc w:val="right"/>
              <w:rPr>
                <w:b/>
              </w:rPr>
            </w:pPr>
            <w:r>
              <w:rPr>
                <w:b/>
              </w:rPr>
              <w:t>105 283</w:t>
            </w:r>
          </w:p>
        </w:tc>
        <w:tc>
          <w:tcPr>
            <w:tcW w:w="1417" w:type="dxa"/>
            <w:tcBorders>
              <w:top w:val="single" w:sz="4" w:space="0" w:color="auto"/>
              <w:left w:val="nil"/>
              <w:bottom w:val="single" w:sz="4" w:space="0" w:color="auto"/>
              <w:right w:val="nil"/>
            </w:tcBorders>
            <w:shd w:val="clear" w:color="auto" w:fill="FFFFFF"/>
            <w:vAlign w:val="bottom"/>
          </w:tcPr>
          <w:p w:rsidR="00454095" w:rsidRPr="00A51DA3" w:rsidRDefault="00454095" w:rsidP="00454095">
            <w:pPr>
              <w:jc w:val="right"/>
              <w:rPr>
                <w:b/>
              </w:rPr>
            </w:pPr>
            <w:r>
              <w:rPr>
                <w:b/>
              </w:rPr>
              <w:t>158 212</w:t>
            </w:r>
          </w:p>
        </w:tc>
        <w:tc>
          <w:tcPr>
            <w:tcW w:w="1418" w:type="dxa"/>
            <w:tcBorders>
              <w:top w:val="single" w:sz="4" w:space="0" w:color="auto"/>
              <w:left w:val="nil"/>
              <w:bottom w:val="single" w:sz="4" w:space="0" w:color="auto"/>
              <w:right w:val="nil"/>
            </w:tcBorders>
            <w:shd w:val="clear" w:color="auto" w:fill="FFFFFF"/>
            <w:vAlign w:val="bottom"/>
          </w:tcPr>
          <w:p w:rsidR="00454095" w:rsidRPr="00A51DA3" w:rsidRDefault="00454095" w:rsidP="00454095">
            <w:pPr>
              <w:jc w:val="right"/>
              <w:rPr>
                <w:b/>
              </w:rPr>
            </w:pPr>
            <w:r>
              <w:rPr>
                <w:b/>
              </w:rPr>
              <w:t>192 850</w:t>
            </w:r>
          </w:p>
        </w:tc>
      </w:tr>
      <w:tr w:rsidR="00985719" w:rsidRPr="00A51DA3" w:rsidTr="00D624D6">
        <w:trPr>
          <w:trHeight w:val="181"/>
        </w:trPr>
        <w:tc>
          <w:tcPr>
            <w:tcW w:w="4042" w:type="dxa"/>
            <w:shd w:val="clear" w:color="auto" w:fill="FFFFFF"/>
            <w:vAlign w:val="bottom"/>
          </w:tcPr>
          <w:p w:rsidR="00985719" w:rsidRPr="00A51DA3" w:rsidRDefault="00985719" w:rsidP="00A87EEC">
            <w:pPr>
              <w:autoSpaceDE w:val="0"/>
              <w:autoSpaceDN w:val="0"/>
              <w:adjustRightInd w:val="0"/>
              <w:rPr>
                <w:color w:val="000000"/>
              </w:rPr>
            </w:pPr>
          </w:p>
        </w:tc>
        <w:tc>
          <w:tcPr>
            <w:tcW w:w="1418" w:type="dxa"/>
            <w:shd w:val="clear" w:color="auto" w:fill="FFFFFF"/>
            <w:vAlign w:val="bottom"/>
          </w:tcPr>
          <w:p w:rsidR="00985719" w:rsidRPr="00A51DA3" w:rsidRDefault="00985719" w:rsidP="00DF55ED">
            <w:pPr>
              <w:autoSpaceDE w:val="0"/>
              <w:autoSpaceDN w:val="0"/>
              <w:adjustRightInd w:val="0"/>
              <w:jc w:val="right"/>
              <w:rPr>
                <w:color w:val="000000"/>
              </w:rPr>
            </w:pPr>
          </w:p>
        </w:tc>
        <w:tc>
          <w:tcPr>
            <w:tcW w:w="1558" w:type="dxa"/>
            <w:tcBorders>
              <w:top w:val="single" w:sz="4" w:space="0" w:color="auto"/>
              <w:left w:val="nil"/>
              <w:bottom w:val="nil"/>
              <w:right w:val="nil"/>
            </w:tcBorders>
            <w:shd w:val="clear" w:color="auto" w:fill="FFFFFF"/>
            <w:vAlign w:val="bottom"/>
          </w:tcPr>
          <w:p w:rsidR="00985719" w:rsidRPr="00A51DA3" w:rsidRDefault="00985719" w:rsidP="00285B81">
            <w:pPr>
              <w:autoSpaceDE w:val="0"/>
              <w:autoSpaceDN w:val="0"/>
              <w:adjustRightInd w:val="0"/>
              <w:jc w:val="right"/>
              <w:rPr>
                <w:color w:val="000000"/>
              </w:rPr>
            </w:pPr>
          </w:p>
        </w:tc>
        <w:tc>
          <w:tcPr>
            <w:tcW w:w="1417" w:type="dxa"/>
            <w:tcBorders>
              <w:top w:val="single" w:sz="4" w:space="0" w:color="auto"/>
              <w:left w:val="nil"/>
              <w:bottom w:val="nil"/>
              <w:right w:val="nil"/>
            </w:tcBorders>
            <w:shd w:val="clear" w:color="auto" w:fill="FFFFFF"/>
            <w:vAlign w:val="bottom"/>
          </w:tcPr>
          <w:p w:rsidR="00985719" w:rsidRPr="00A51DA3" w:rsidRDefault="00985719" w:rsidP="00DF55ED">
            <w:pPr>
              <w:autoSpaceDE w:val="0"/>
              <w:autoSpaceDN w:val="0"/>
              <w:adjustRightInd w:val="0"/>
              <w:jc w:val="right"/>
              <w:rPr>
                <w:color w:val="000000"/>
              </w:rPr>
            </w:pPr>
          </w:p>
        </w:tc>
        <w:tc>
          <w:tcPr>
            <w:tcW w:w="1418" w:type="dxa"/>
            <w:tcBorders>
              <w:top w:val="single" w:sz="4" w:space="0" w:color="auto"/>
              <w:left w:val="nil"/>
              <w:bottom w:val="nil"/>
              <w:right w:val="nil"/>
            </w:tcBorders>
            <w:shd w:val="clear" w:color="auto" w:fill="FFFFFF"/>
            <w:vAlign w:val="bottom"/>
          </w:tcPr>
          <w:p w:rsidR="00985719" w:rsidRPr="00A51DA3" w:rsidRDefault="00985719" w:rsidP="00DF55ED">
            <w:pPr>
              <w:autoSpaceDE w:val="0"/>
              <w:autoSpaceDN w:val="0"/>
              <w:adjustRightInd w:val="0"/>
              <w:jc w:val="right"/>
              <w:rPr>
                <w:color w:val="000000"/>
              </w:rPr>
            </w:pPr>
          </w:p>
        </w:tc>
      </w:tr>
      <w:tr w:rsidR="00454095" w:rsidRPr="00A51DA3" w:rsidTr="00D624D6">
        <w:trPr>
          <w:trHeight w:val="181"/>
        </w:trPr>
        <w:tc>
          <w:tcPr>
            <w:tcW w:w="4042" w:type="dxa"/>
            <w:shd w:val="clear" w:color="auto" w:fill="FFFFFF"/>
            <w:vAlign w:val="bottom"/>
          </w:tcPr>
          <w:p w:rsidR="00454095" w:rsidRPr="00A51DA3" w:rsidRDefault="00454095" w:rsidP="008F7FB8">
            <w:pPr>
              <w:autoSpaceDE w:val="0"/>
              <w:autoSpaceDN w:val="0"/>
              <w:adjustRightInd w:val="0"/>
            </w:pPr>
            <w:r w:rsidRPr="00A51DA3">
              <w:t>Активи, класифицирани като държани за продажба</w:t>
            </w:r>
          </w:p>
        </w:tc>
        <w:tc>
          <w:tcPr>
            <w:tcW w:w="1418" w:type="dxa"/>
            <w:shd w:val="clear" w:color="auto" w:fill="FFFFFF"/>
            <w:vAlign w:val="bottom"/>
          </w:tcPr>
          <w:p w:rsidR="00454095" w:rsidRPr="00A51DA3" w:rsidRDefault="00454095" w:rsidP="00DF55ED">
            <w:pPr>
              <w:autoSpaceDE w:val="0"/>
              <w:autoSpaceDN w:val="0"/>
              <w:adjustRightInd w:val="0"/>
              <w:jc w:val="right"/>
            </w:pPr>
          </w:p>
        </w:tc>
        <w:tc>
          <w:tcPr>
            <w:tcW w:w="1558" w:type="dxa"/>
            <w:shd w:val="clear" w:color="auto" w:fill="FFFFFF"/>
            <w:vAlign w:val="bottom"/>
          </w:tcPr>
          <w:p w:rsidR="00454095" w:rsidRPr="00A51DA3" w:rsidRDefault="003731A5" w:rsidP="00285B81">
            <w:pPr>
              <w:jc w:val="right"/>
            </w:pPr>
            <w:r>
              <w:t>9 206</w:t>
            </w:r>
          </w:p>
        </w:tc>
        <w:tc>
          <w:tcPr>
            <w:tcW w:w="1417" w:type="dxa"/>
            <w:shd w:val="clear" w:color="auto" w:fill="FFFFFF"/>
            <w:vAlign w:val="bottom"/>
          </w:tcPr>
          <w:p w:rsidR="00454095" w:rsidRPr="00A51DA3" w:rsidRDefault="00454095" w:rsidP="00454095">
            <w:pPr>
              <w:jc w:val="right"/>
            </w:pPr>
            <w:r>
              <w:t>116 096</w:t>
            </w:r>
          </w:p>
        </w:tc>
        <w:tc>
          <w:tcPr>
            <w:tcW w:w="1418" w:type="dxa"/>
            <w:shd w:val="clear" w:color="auto" w:fill="FFFFFF"/>
            <w:vAlign w:val="bottom"/>
          </w:tcPr>
          <w:p w:rsidR="00454095" w:rsidRPr="00A51DA3" w:rsidRDefault="00454095" w:rsidP="00454095">
            <w:pPr>
              <w:autoSpaceDE w:val="0"/>
              <w:autoSpaceDN w:val="0"/>
              <w:adjustRightInd w:val="0"/>
              <w:jc w:val="right"/>
            </w:pPr>
            <w:r>
              <w:t>117 370</w:t>
            </w:r>
          </w:p>
        </w:tc>
      </w:tr>
      <w:tr w:rsidR="00454095" w:rsidRPr="00A51DA3" w:rsidTr="00D624D6">
        <w:trPr>
          <w:trHeight w:val="181"/>
        </w:trPr>
        <w:tc>
          <w:tcPr>
            <w:tcW w:w="4042" w:type="dxa"/>
            <w:shd w:val="clear" w:color="auto" w:fill="FFFFFF"/>
            <w:vAlign w:val="bottom"/>
          </w:tcPr>
          <w:p w:rsidR="00454095" w:rsidRPr="00A51DA3" w:rsidRDefault="00454095" w:rsidP="00A87EEC">
            <w:pPr>
              <w:autoSpaceDE w:val="0"/>
              <w:autoSpaceDN w:val="0"/>
              <w:adjustRightInd w:val="0"/>
              <w:rPr>
                <w:color w:val="000000"/>
              </w:rPr>
            </w:pPr>
          </w:p>
        </w:tc>
        <w:tc>
          <w:tcPr>
            <w:tcW w:w="1418" w:type="dxa"/>
            <w:shd w:val="clear" w:color="auto" w:fill="FFFFFF"/>
            <w:vAlign w:val="bottom"/>
          </w:tcPr>
          <w:p w:rsidR="00454095" w:rsidRPr="00A51DA3" w:rsidRDefault="00454095" w:rsidP="00DF55ED">
            <w:pPr>
              <w:autoSpaceDE w:val="0"/>
              <w:autoSpaceDN w:val="0"/>
              <w:adjustRightInd w:val="0"/>
              <w:jc w:val="right"/>
              <w:rPr>
                <w:color w:val="000000"/>
              </w:rPr>
            </w:pPr>
          </w:p>
        </w:tc>
        <w:tc>
          <w:tcPr>
            <w:tcW w:w="1558" w:type="dxa"/>
            <w:shd w:val="clear" w:color="auto" w:fill="FFFFFF"/>
            <w:vAlign w:val="bottom"/>
          </w:tcPr>
          <w:p w:rsidR="00454095" w:rsidRPr="00A51DA3" w:rsidRDefault="00454095" w:rsidP="00285B81">
            <w:pPr>
              <w:jc w:val="right"/>
            </w:pPr>
          </w:p>
        </w:tc>
        <w:tc>
          <w:tcPr>
            <w:tcW w:w="1417" w:type="dxa"/>
            <w:shd w:val="clear" w:color="auto" w:fill="FFFFFF"/>
            <w:vAlign w:val="bottom"/>
          </w:tcPr>
          <w:p w:rsidR="00454095" w:rsidRPr="00A51DA3" w:rsidRDefault="00454095" w:rsidP="00454095">
            <w:pPr>
              <w:jc w:val="right"/>
            </w:pPr>
          </w:p>
        </w:tc>
        <w:tc>
          <w:tcPr>
            <w:tcW w:w="1418" w:type="dxa"/>
            <w:shd w:val="clear" w:color="auto" w:fill="FFFFFF"/>
            <w:vAlign w:val="bottom"/>
          </w:tcPr>
          <w:p w:rsidR="00454095" w:rsidRPr="00A51DA3" w:rsidRDefault="00454095" w:rsidP="00454095">
            <w:pPr>
              <w:autoSpaceDE w:val="0"/>
              <w:autoSpaceDN w:val="0"/>
              <w:adjustRightInd w:val="0"/>
              <w:jc w:val="right"/>
              <w:rPr>
                <w:color w:val="000000"/>
              </w:rPr>
            </w:pPr>
          </w:p>
        </w:tc>
      </w:tr>
      <w:tr w:rsidR="00454095" w:rsidRPr="00A51DA3" w:rsidTr="00D624D6">
        <w:trPr>
          <w:trHeight w:val="181"/>
        </w:trPr>
        <w:tc>
          <w:tcPr>
            <w:tcW w:w="4042" w:type="dxa"/>
            <w:shd w:val="clear" w:color="auto" w:fill="FFFFFF"/>
            <w:vAlign w:val="bottom"/>
          </w:tcPr>
          <w:p w:rsidR="00454095" w:rsidRPr="00A51DA3" w:rsidRDefault="00454095" w:rsidP="00A87EEC">
            <w:pPr>
              <w:pStyle w:val="BodyText2"/>
              <w:spacing w:after="0" w:line="240" w:lineRule="auto"/>
              <w:rPr>
                <w:b/>
                <w:bCs/>
              </w:rPr>
            </w:pPr>
            <w:r w:rsidRPr="00A51DA3">
              <w:rPr>
                <w:b/>
                <w:bCs/>
              </w:rPr>
              <w:t>Общо активи</w:t>
            </w:r>
          </w:p>
        </w:tc>
        <w:tc>
          <w:tcPr>
            <w:tcW w:w="1418" w:type="dxa"/>
            <w:shd w:val="clear" w:color="auto" w:fill="FFFFFF"/>
            <w:vAlign w:val="bottom"/>
          </w:tcPr>
          <w:p w:rsidR="00454095" w:rsidRPr="00A51DA3" w:rsidRDefault="00454095" w:rsidP="00DF55ED">
            <w:pPr>
              <w:pStyle w:val="BodyText2"/>
              <w:spacing w:after="0" w:line="240" w:lineRule="auto"/>
              <w:jc w:val="right"/>
              <w:rPr>
                <w:u w:val="double"/>
              </w:rPr>
            </w:pPr>
          </w:p>
        </w:tc>
        <w:tc>
          <w:tcPr>
            <w:tcW w:w="1558" w:type="dxa"/>
            <w:tcBorders>
              <w:top w:val="single" w:sz="4" w:space="0" w:color="auto"/>
              <w:left w:val="nil"/>
              <w:bottom w:val="double" w:sz="4" w:space="0" w:color="auto"/>
              <w:right w:val="nil"/>
            </w:tcBorders>
            <w:shd w:val="clear" w:color="auto" w:fill="FFFFFF"/>
            <w:vAlign w:val="bottom"/>
          </w:tcPr>
          <w:p w:rsidR="00454095" w:rsidRPr="00A51DA3" w:rsidRDefault="003731A5" w:rsidP="00285B81">
            <w:pPr>
              <w:jc w:val="right"/>
              <w:rPr>
                <w:b/>
              </w:rPr>
            </w:pPr>
            <w:r>
              <w:rPr>
                <w:b/>
              </w:rPr>
              <w:t>371 915</w:t>
            </w:r>
          </w:p>
        </w:tc>
        <w:tc>
          <w:tcPr>
            <w:tcW w:w="1417" w:type="dxa"/>
            <w:tcBorders>
              <w:top w:val="single" w:sz="4" w:space="0" w:color="auto"/>
              <w:left w:val="nil"/>
              <w:bottom w:val="double" w:sz="4" w:space="0" w:color="auto"/>
              <w:right w:val="nil"/>
            </w:tcBorders>
            <w:shd w:val="clear" w:color="auto" w:fill="FFFFFF"/>
            <w:vAlign w:val="bottom"/>
          </w:tcPr>
          <w:p w:rsidR="00454095" w:rsidRPr="00A51DA3" w:rsidRDefault="003731A5" w:rsidP="00454095">
            <w:pPr>
              <w:jc w:val="right"/>
              <w:rPr>
                <w:b/>
              </w:rPr>
            </w:pPr>
            <w:r>
              <w:rPr>
                <w:b/>
              </w:rPr>
              <w:t>426 751</w:t>
            </w:r>
          </w:p>
        </w:tc>
        <w:tc>
          <w:tcPr>
            <w:tcW w:w="1418" w:type="dxa"/>
            <w:tcBorders>
              <w:top w:val="single" w:sz="4" w:space="0" w:color="auto"/>
              <w:left w:val="nil"/>
              <w:bottom w:val="double" w:sz="4" w:space="0" w:color="auto"/>
              <w:right w:val="nil"/>
            </w:tcBorders>
            <w:shd w:val="clear" w:color="auto" w:fill="FFFFFF"/>
            <w:vAlign w:val="bottom"/>
          </w:tcPr>
          <w:p w:rsidR="00454095" w:rsidRPr="00A51DA3" w:rsidRDefault="00454095" w:rsidP="00454095">
            <w:pPr>
              <w:pStyle w:val="BodyText2"/>
              <w:spacing w:after="0" w:line="240" w:lineRule="auto"/>
              <w:jc w:val="right"/>
              <w:rPr>
                <w:b/>
                <w:bCs/>
              </w:rPr>
            </w:pPr>
            <w:r>
              <w:rPr>
                <w:b/>
                <w:bCs/>
              </w:rPr>
              <w:t>494 503</w:t>
            </w:r>
          </w:p>
        </w:tc>
      </w:tr>
    </w:tbl>
    <w:p w:rsidR="00985719" w:rsidRDefault="00985719" w:rsidP="003B5867"/>
    <w:p w:rsidR="00E21D93" w:rsidRDefault="00E21D93" w:rsidP="003B5867"/>
    <w:p w:rsidR="00E21D93" w:rsidRDefault="00E21D93" w:rsidP="003B5867"/>
    <w:p w:rsidR="00E21D93" w:rsidRPr="00A51DA3" w:rsidRDefault="00E21D93" w:rsidP="003B5867"/>
    <w:p w:rsidR="00985719" w:rsidRPr="00A51DA3" w:rsidRDefault="00985719" w:rsidP="003B5867"/>
    <w:tbl>
      <w:tblPr>
        <w:tblW w:w="9468" w:type="dxa"/>
        <w:tblInd w:w="-106" w:type="dxa"/>
        <w:tblLook w:val="0000"/>
      </w:tblPr>
      <w:tblGrid>
        <w:gridCol w:w="4288"/>
        <w:gridCol w:w="5180"/>
      </w:tblGrid>
      <w:tr w:rsidR="00985719" w:rsidRPr="00A51DA3">
        <w:trPr>
          <w:trHeight w:val="113"/>
        </w:trPr>
        <w:tc>
          <w:tcPr>
            <w:tcW w:w="4288" w:type="dxa"/>
          </w:tcPr>
          <w:p w:rsidR="00985719" w:rsidRPr="00A51DA3" w:rsidRDefault="00985719" w:rsidP="005122E5">
            <w:pPr>
              <w:autoSpaceDE w:val="0"/>
              <w:autoSpaceDN w:val="0"/>
              <w:adjustRightInd w:val="0"/>
              <w:rPr>
                <w:b/>
                <w:bCs/>
                <w:sz w:val="24"/>
                <w:szCs w:val="24"/>
              </w:rPr>
            </w:pPr>
            <w:r w:rsidRPr="00A51DA3">
              <w:rPr>
                <w:b/>
                <w:bCs/>
                <w:sz w:val="24"/>
                <w:szCs w:val="24"/>
              </w:rPr>
              <w:t>Съставил: ____________________</w:t>
            </w:r>
          </w:p>
          <w:p w:rsidR="00985719" w:rsidRPr="00A51DA3" w:rsidRDefault="00985719" w:rsidP="00A16FF2">
            <w:pPr>
              <w:autoSpaceDE w:val="0"/>
              <w:autoSpaceDN w:val="0"/>
              <w:adjustRightInd w:val="0"/>
              <w:rPr>
                <w:b/>
                <w:bCs/>
                <w:sz w:val="24"/>
                <w:szCs w:val="24"/>
              </w:rPr>
            </w:pPr>
            <w:r w:rsidRPr="00A51DA3">
              <w:rPr>
                <w:b/>
                <w:bCs/>
                <w:sz w:val="24"/>
                <w:szCs w:val="24"/>
              </w:rPr>
              <w:t xml:space="preserve">                    /Димитър Михайлов/</w:t>
            </w:r>
          </w:p>
          <w:p w:rsidR="00985719" w:rsidRPr="00A51DA3" w:rsidRDefault="00985719" w:rsidP="005122E5">
            <w:pPr>
              <w:autoSpaceDE w:val="0"/>
              <w:autoSpaceDN w:val="0"/>
              <w:adjustRightInd w:val="0"/>
              <w:rPr>
                <w:b/>
                <w:bCs/>
                <w:sz w:val="24"/>
                <w:szCs w:val="24"/>
              </w:rPr>
            </w:pPr>
          </w:p>
        </w:tc>
        <w:tc>
          <w:tcPr>
            <w:tcW w:w="5180" w:type="dxa"/>
          </w:tcPr>
          <w:p w:rsidR="00985719" w:rsidRPr="00A51DA3" w:rsidRDefault="00985719" w:rsidP="005122E5">
            <w:pPr>
              <w:autoSpaceDE w:val="0"/>
              <w:autoSpaceDN w:val="0"/>
              <w:adjustRightInd w:val="0"/>
              <w:rPr>
                <w:b/>
                <w:bCs/>
                <w:sz w:val="24"/>
                <w:szCs w:val="24"/>
              </w:rPr>
            </w:pPr>
            <w:r w:rsidRPr="00A51DA3">
              <w:rPr>
                <w:b/>
                <w:bCs/>
                <w:sz w:val="24"/>
                <w:szCs w:val="24"/>
              </w:rPr>
              <w:t>Изпълнителен директор: __________________</w:t>
            </w:r>
          </w:p>
          <w:p w:rsidR="00985719" w:rsidRPr="00A51DA3" w:rsidRDefault="00985719" w:rsidP="00A211F2">
            <w:pPr>
              <w:autoSpaceDE w:val="0"/>
              <w:autoSpaceDN w:val="0"/>
              <w:adjustRightInd w:val="0"/>
              <w:rPr>
                <w:b/>
                <w:bCs/>
                <w:sz w:val="24"/>
                <w:szCs w:val="24"/>
              </w:rPr>
            </w:pPr>
            <w:r w:rsidRPr="00A51DA3">
              <w:rPr>
                <w:b/>
                <w:bCs/>
                <w:sz w:val="24"/>
                <w:szCs w:val="24"/>
              </w:rPr>
              <w:t xml:space="preserve">                                     /</w:t>
            </w:r>
            <w:r w:rsidR="00A211F2">
              <w:rPr>
                <w:b/>
                <w:bCs/>
                <w:sz w:val="24"/>
                <w:szCs w:val="24"/>
              </w:rPr>
              <w:t>Владимир Владимиров</w:t>
            </w:r>
            <w:r w:rsidRPr="00A51DA3">
              <w:rPr>
                <w:b/>
                <w:bCs/>
                <w:sz w:val="24"/>
                <w:szCs w:val="24"/>
              </w:rPr>
              <w:t>/</w:t>
            </w:r>
          </w:p>
        </w:tc>
      </w:tr>
      <w:tr w:rsidR="00985719" w:rsidRPr="00A51DA3">
        <w:trPr>
          <w:trHeight w:val="113"/>
        </w:trPr>
        <w:tc>
          <w:tcPr>
            <w:tcW w:w="4288" w:type="dxa"/>
          </w:tcPr>
          <w:p w:rsidR="00985719" w:rsidRPr="00A51DA3" w:rsidRDefault="00985719" w:rsidP="00E21D93">
            <w:pPr>
              <w:autoSpaceDE w:val="0"/>
              <w:autoSpaceDN w:val="0"/>
              <w:adjustRightInd w:val="0"/>
              <w:rPr>
                <w:b/>
                <w:bCs/>
                <w:sz w:val="24"/>
                <w:szCs w:val="24"/>
              </w:rPr>
            </w:pPr>
          </w:p>
        </w:tc>
        <w:tc>
          <w:tcPr>
            <w:tcW w:w="5180" w:type="dxa"/>
          </w:tcPr>
          <w:p w:rsidR="00985719" w:rsidRPr="00A51DA3" w:rsidRDefault="00985719" w:rsidP="005122E5">
            <w:pPr>
              <w:autoSpaceDE w:val="0"/>
              <w:autoSpaceDN w:val="0"/>
              <w:adjustRightInd w:val="0"/>
              <w:rPr>
                <w:b/>
                <w:bCs/>
                <w:sz w:val="24"/>
                <w:szCs w:val="24"/>
              </w:rPr>
            </w:pPr>
          </w:p>
        </w:tc>
      </w:tr>
      <w:tr w:rsidR="00985719" w:rsidRPr="00A51DA3">
        <w:trPr>
          <w:trHeight w:val="282"/>
        </w:trPr>
        <w:tc>
          <w:tcPr>
            <w:tcW w:w="9468" w:type="dxa"/>
            <w:gridSpan w:val="2"/>
          </w:tcPr>
          <w:p w:rsidR="00985719" w:rsidRPr="00A51DA3" w:rsidRDefault="00985719" w:rsidP="00C67033">
            <w:pPr>
              <w:autoSpaceDE w:val="0"/>
              <w:autoSpaceDN w:val="0"/>
              <w:adjustRightInd w:val="0"/>
              <w:rPr>
                <w:b/>
                <w:bCs/>
                <w:sz w:val="24"/>
                <w:szCs w:val="24"/>
              </w:rPr>
            </w:pPr>
          </w:p>
        </w:tc>
      </w:tr>
      <w:tr w:rsidR="003605EB" w:rsidRPr="0034710D" w:rsidTr="0034710D">
        <w:trPr>
          <w:trHeight w:val="282"/>
        </w:trPr>
        <w:tc>
          <w:tcPr>
            <w:tcW w:w="9468" w:type="dxa"/>
            <w:gridSpan w:val="2"/>
          </w:tcPr>
          <w:p w:rsidR="003605EB" w:rsidRPr="00027ABA" w:rsidRDefault="003605EB" w:rsidP="003605EB">
            <w:pPr>
              <w:autoSpaceDE w:val="0"/>
              <w:autoSpaceDN w:val="0"/>
              <w:adjustRightInd w:val="0"/>
              <w:rPr>
                <w:b/>
                <w:bCs/>
                <w:sz w:val="24"/>
                <w:szCs w:val="24"/>
              </w:rPr>
            </w:pPr>
          </w:p>
        </w:tc>
      </w:tr>
      <w:tr w:rsidR="003605EB" w:rsidRPr="0034710D" w:rsidTr="0034710D">
        <w:trPr>
          <w:trHeight w:val="282"/>
        </w:trPr>
        <w:tc>
          <w:tcPr>
            <w:tcW w:w="9468" w:type="dxa"/>
            <w:gridSpan w:val="2"/>
            <w:shd w:val="clear" w:color="auto" w:fill="auto"/>
          </w:tcPr>
          <w:p w:rsidR="003605EB" w:rsidRPr="00027ABA" w:rsidRDefault="003605EB" w:rsidP="003605EB">
            <w:pPr>
              <w:autoSpaceDE w:val="0"/>
              <w:autoSpaceDN w:val="0"/>
              <w:adjustRightInd w:val="0"/>
              <w:rPr>
                <w:b/>
                <w:bCs/>
                <w:sz w:val="24"/>
                <w:szCs w:val="24"/>
              </w:rPr>
            </w:pPr>
          </w:p>
        </w:tc>
      </w:tr>
      <w:tr w:rsidR="003605EB" w:rsidRPr="0034710D" w:rsidTr="0034710D">
        <w:trPr>
          <w:trHeight w:val="282"/>
        </w:trPr>
        <w:tc>
          <w:tcPr>
            <w:tcW w:w="9468" w:type="dxa"/>
            <w:gridSpan w:val="2"/>
            <w:shd w:val="clear" w:color="auto" w:fill="auto"/>
          </w:tcPr>
          <w:p w:rsidR="003605EB" w:rsidRPr="00E81498" w:rsidRDefault="003605EB" w:rsidP="003605EB">
            <w:pPr>
              <w:autoSpaceDE w:val="0"/>
              <w:autoSpaceDN w:val="0"/>
              <w:adjustRightInd w:val="0"/>
              <w:rPr>
                <w:b/>
                <w:bCs/>
                <w:sz w:val="24"/>
                <w:szCs w:val="24"/>
              </w:rPr>
            </w:pPr>
          </w:p>
        </w:tc>
      </w:tr>
      <w:tr w:rsidR="003605EB" w:rsidRPr="0034710D" w:rsidTr="0034710D">
        <w:trPr>
          <w:trHeight w:val="282"/>
        </w:trPr>
        <w:tc>
          <w:tcPr>
            <w:tcW w:w="9468" w:type="dxa"/>
            <w:gridSpan w:val="2"/>
            <w:shd w:val="clear" w:color="auto" w:fill="auto"/>
          </w:tcPr>
          <w:p w:rsidR="003605EB" w:rsidRDefault="003605EB" w:rsidP="003605EB"/>
        </w:tc>
      </w:tr>
    </w:tbl>
    <w:p w:rsidR="00985719" w:rsidRPr="00A51DA3" w:rsidRDefault="00985719" w:rsidP="003B5867"/>
    <w:p w:rsidR="00985719" w:rsidRPr="00A51DA3" w:rsidRDefault="00985719" w:rsidP="003B5867"/>
    <w:p w:rsidR="00985719" w:rsidRPr="00A51DA3" w:rsidRDefault="00985719" w:rsidP="003B5867"/>
    <w:p w:rsidR="00985719" w:rsidRPr="00A51DA3" w:rsidRDefault="00985719" w:rsidP="003B5867"/>
    <w:p w:rsidR="00985719" w:rsidRPr="00A51DA3" w:rsidRDefault="00985719" w:rsidP="003B5867"/>
    <w:p w:rsidR="00985719" w:rsidRPr="00E55913" w:rsidRDefault="00985719" w:rsidP="003B5867">
      <w:pPr>
        <w:rPr>
          <w:highlight w:val="cyan"/>
        </w:rPr>
      </w:pPr>
    </w:p>
    <w:p w:rsidR="002C6667" w:rsidRPr="00A51DA3" w:rsidRDefault="00E21D93" w:rsidP="002C6667">
      <w:pPr>
        <w:rPr>
          <w:sz w:val="40"/>
        </w:rPr>
      </w:pPr>
      <w:r>
        <w:rPr>
          <w:sz w:val="40"/>
        </w:rPr>
        <w:t>Междинен съкратен О</w:t>
      </w:r>
      <w:r w:rsidR="002C6667" w:rsidRPr="00A51DA3">
        <w:rPr>
          <w:sz w:val="40"/>
        </w:rPr>
        <w:t xml:space="preserve">тчет за финансовото състояние </w:t>
      </w:r>
    </w:p>
    <w:p w:rsidR="002C6667" w:rsidRDefault="002C6667" w:rsidP="002C6667">
      <w:pPr>
        <w:spacing w:after="120"/>
        <w:rPr>
          <w:sz w:val="40"/>
        </w:rPr>
      </w:pPr>
      <w:r w:rsidRPr="00A51DA3">
        <w:rPr>
          <w:sz w:val="40"/>
        </w:rPr>
        <w:t xml:space="preserve"> (продължение)</w:t>
      </w:r>
    </w:p>
    <w:p w:rsidR="00E21D93" w:rsidRPr="00A51DA3" w:rsidRDefault="00E21D93" w:rsidP="002C6667">
      <w:pPr>
        <w:spacing w:after="120"/>
        <w:rPr>
          <w:sz w:val="40"/>
        </w:rPr>
      </w:pPr>
    </w:p>
    <w:p w:rsidR="002C6667" w:rsidRPr="00A51DA3" w:rsidRDefault="002C6667" w:rsidP="002C6667"/>
    <w:tbl>
      <w:tblPr>
        <w:tblW w:w="9853" w:type="dxa"/>
        <w:tblInd w:w="-106" w:type="dxa"/>
        <w:tblLayout w:type="fixed"/>
        <w:tblLook w:val="00A0"/>
      </w:tblPr>
      <w:tblGrid>
        <w:gridCol w:w="4042"/>
        <w:gridCol w:w="177"/>
        <w:gridCol w:w="1253"/>
        <w:gridCol w:w="1546"/>
        <w:gridCol w:w="1417"/>
        <w:gridCol w:w="1418"/>
      </w:tblGrid>
      <w:tr w:rsidR="008E325F" w:rsidRPr="00A51DA3" w:rsidTr="00D624D6">
        <w:trPr>
          <w:trHeight w:val="181"/>
        </w:trPr>
        <w:tc>
          <w:tcPr>
            <w:tcW w:w="4042" w:type="dxa"/>
            <w:shd w:val="clear" w:color="auto" w:fill="FFFFFF"/>
          </w:tcPr>
          <w:p w:rsidR="008E325F" w:rsidRPr="00A51DA3" w:rsidRDefault="008E325F" w:rsidP="006E0EE2">
            <w:pPr>
              <w:autoSpaceDE w:val="0"/>
              <w:autoSpaceDN w:val="0"/>
              <w:adjustRightInd w:val="0"/>
              <w:rPr>
                <w:b/>
                <w:bCs/>
              </w:rPr>
            </w:pPr>
            <w:r w:rsidRPr="00A51DA3">
              <w:rPr>
                <w:b/>
                <w:bCs/>
              </w:rPr>
              <w:t>Собствен капитал и пасиви</w:t>
            </w:r>
          </w:p>
        </w:tc>
        <w:tc>
          <w:tcPr>
            <w:tcW w:w="1430" w:type="dxa"/>
            <w:gridSpan w:val="2"/>
            <w:shd w:val="clear" w:color="auto" w:fill="FFFFFF"/>
            <w:vAlign w:val="bottom"/>
          </w:tcPr>
          <w:p w:rsidR="008E325F" w:rsidRPr="00A51DA3" w:rsidRDefault="008E325F" w:rsidP="006E0EE2">
            <w:pPr>
              <w:autoSpaceDE w:val="0"/>
              <w:autoSpaceDN w:val="0"/>
              <w:adjustRightInd w:val="0"/>
              <w:jc w:val="right"/>
              <w:rPr>
                <w:b/>
                <w:bCs/>
              </w:rPr>
            </w:pPr>
          </w:p>
        </w:tc>
        <w:tc>
          <w:tcPr>
            <w:tcW w:w="1546" w:type="dxa"/>
            <w:shd w:val="clear" w:color="auto" w:fill="FFFFFF"/>
            <w:vAlign w:val="bottom"/>
          </w:tcPr>
          <w:p w:rsidR="008E325F" w:rsidRPr="00A51DA3" w:rsidRDefault="008E325F" w:rsidP="00D624D6">
            <w:pPr>
              <w:autoSpaceDE w:val="0"/>
              <w:autoSpaceDN w:val="0"/>
              <w:adjustRightInd w:val="0"/>
              <w:jc w:val="right"/>
              <w:rPr>
                <w:b/>
                <w:bCs/>
              </w:rPr>
            </w:pPr>
            <w:r w:rsidRPr="00A51DA3">
              <w:rPr>
                <w:b/>
                <w:bCs/>
              </w:rPr>
              <w:t>3</w:t>
            </w:r>
            <w:r w:rsidR="00CC60A2">
              <w:rPr>
                <w:b/>
                <w:bCs/>
              </w:rPr>
              <w:t xml:space="preserve">0 </w:t>
            </w:r>
            <w:r w:rsidR="00D624D6">
              <w:rPr>
                <w:b/>
                <w:bCs/>
              </w:rPr>
              <w:t>септември</w:t>
            </w:r>
          </w:p>
        </w:tc>
        <w:tc>
          <w:tcPr>
            <w:tcW w:w="1417" w:type="dxa"/>
            <w:shd w:val="clear" w:color="auto" w:fill="FFFFFF"/>
            <w:vAlign w:val="bottom"/>
          </w:tcPr>
          <w:p w:rsidR="008E325F" w:rsidRPr="00A51DA3" w:rsidRDefault="008E325F" w:rsidP="006E0EE2">
            <w:pPr>
              <w:autoSpaceDE w:val="0"/>
              <w:autoSpaceDN w:val="0"/>
              <w:adjustRightInd w:val="0"/>
              <w:jc w:val="right"/>
              <w:rPr>
                <w:b/>
                <w:bCs/>
              </w:rPr>
            </w:pPr>
            <w:r w:rsidRPr="00A51DA3">
              <w:rPr>
                <w:b/>
                <w:bCs/>
              </w:rPr>
              <w:t>31 декември</w:t>
            </w:r>
          </w:p>
        </w:tc>
        <w:tc>
          <w:tcPr>
            <w:tcW w:w="1418" w:type="dxa"/>
            <w:shd w:val="clear" w:color="auto" w:fill="FFFFFF"/>
            <w:vAlign w:val="bottom"/>
          </w:tcPr>
          <w:p w:rsidR="008E325F" w:rsidRPr="00A51DA3" w:rsidRDefault="008E325F" w:rsidP="006E0EE2">
            <w:pPr>
              <w:autoSpaceDE w:val="0"/>
              <w:autoSpaceDN w:val="0"/>
              <w:adjustRightInd w:val="0"/>
              <w:jc w:val="right"/>
              <w:rPr>
                <w:b/>
                <w:bCs/>
              </w:rPr>
            </w:pPr>
            <w:r w:rsidRPr="00A51DA3">
              <w:rPr>
                <w:b/>
                <w:bCs/>
              </w:rPr>
              <w:t>1 януари</w:t>
            </w:r>
          </w:p>
        </w:tc>
      </w:tr>
      <w:tr w:rsidR="008E325F" w:rsidRPr="00A51DA3" w:rsidTr="00D624D6">
        <w:trPr>
          <w:trHeight w:val="181"/>
        </w:trPr>
        <w:tc>
          <w:tcPr>
            <w:tcW w:w="4042" w:type="dxa"/>
            <w:shd w:val="clear" w:color="auto" w:fill="FFFFFF"/>
          </w:tcPr>
          <w:p w:rsidR="008E325F" w:rsidRPr="00A51DA3" w:rsidRDefault="008E325F" w:rsidP="006E0EE2">
            <w:pPr>
              <w:autoSpaceDE w:val="0"/>
              <w:autoSpaceDN w:val="0"/>
              <w:adjustRightInd w:val="0"/>
              <w:rPr>
                <w:b/>
                <w:bCs/>
              </w:rPr>
            </w:pPr>
          </w:p>
        </w:tc>
        <w:tc>
          <w:tcPr>
            <w:tcW w:w="1430" w:type="dxa"/>
            <w:gridSpan w:val="2"/>
            <w:shd w:val="clear" w:color="auto" w:fill="FFFFFF"/>
            <w:vAlign w:val="bottom"/>
          </w:tcPr>
          <w:p w:rsidR="008E325F" w:rsidRPr="00A51DA3" w:rsidRDefault="008E325F" w:rsidP="006E0EE2">
            <w:pPr>
              <w:autoSpaceDE w:val="0"/>
              <w:autoSpaceDN w:val="0"/>
              <w:adjustRightInd w:val="0"/>
              <w:jc w:val="right"/>
              <w:rPr>
                <w:b/>
                <w:bCs/>
              </w:rPr>
            </w:pPr>
          </w:p>
        </w:tc>
        <w:tc>
          <w:tcPr>
            <w:tcW w:w="1546" w:type="dxa"/>
            <w:shd w:val="clear" w:color="auto" w:fill="FFFFFF"/>
            <w:vAlign w:val="bottom"/>
          </w:tcPr>
          <w:p w:rsidR="008E325F" w:rsidRPr="00E21D93" w:rsidRDefault="008E325F" w:rsidP="00CC60A2">
            <w:pPr>
              <w:autoSpaceDE w:val="0"/>
              <w:autoSpaceDN w:val="0"/>
              <w:adjustRightInd w:val="0"/>
              <w:jc w:val="right"/>
              <w:rPr>
                <w:b/>
                <w:bCs/>
              </w:rPr>
            </w:pPr>
            <w:r w:rsidRPr="00A51DA3">
              <w:rPr>
                <w:b/>
                <w:bCs/>
              </w:rPr>
              <w:t>201</w:t>
            </w:r>
            <w:r w:rsidR="00CC60A2">
              <w:rPr>
                <w:b/>
                <w:bCs/>
              </w:rPr>
              <w:t>6</w:t>
            </w:r>
          </w:p>
        </w:tc>
        <w:tc>
          <w:tcPr>
            <w:tcW w:w="1417" w:type="dxa"/>
            <w:shd w:val="clear" w:color="auto" w:fill="FFFFFF"/>
            <w:vAlign w:val="bottom"/>
          </w:tcPr>
          <w:p w:rsidR="008E325F" w:rsidRPr="00E21D93" w:rsidRDefault="008E325F" w:rsidP="00454095">
            <w:pPr>
              <w:autoSpaceDE w:val="0"/>
              <w:autoSpaceDN w:val="0"/>
              <w:adjustRightInd w:val="0"/>
              <w:jc w:val="right"/>
              <w:rPr>
                <w:b/>
                <w:bCs/>
              </w:rPr>
            </w:pPr>
            <w:r w:rsidRPr="00A51DA3">
              <w:rPr>
                <w:b/>
                <w:bCs/>
              </w:rPr>
              <w:t>201</w:t>
            </w:r>
            <w:r w:rsidR="00454095">
              <w:rPr>
                <w:b/>
                <w:bCs/>
              </w:rPr>
              <w:t>5</w:t>
            </w:r>
          </w:p>
        </w:tc>
        <w:tc>
          <w:tcPr>
            <w:tcW w:w="1418" w:type="dxa"/>
            <w:shd w:val="clear" w:color="auto" w:fill="FFFFFF"/>
            <w:vAlign w:val="bottom"/>
          </w:tcPr>
          <w:p w:rsidR="008E325F" w:rsidRPr="00E21D93" w:rsidRDefault="008E325F" w:rsidP="00454095">
            <w:pPr>
              <w:autoSpaceDE w:val="0"/>
              <w:autoSpaceDN w:val="0"/>
              <w:adjustRightInd w:val="0"/>
              <w:jc w:val="right"/>
              <w:rPr>
                <w:b/>
                <w:bCs/>
              </w:rPr>
            </w:pPr>
            <w:r w:rsidRPr="00A51DA3">
              <w:rPr>
                <w:b/>
                <w:bCs/>
              </w:rPr>
              <w:t>201</w:t>
            </w:r>
            <w:r w:rsidR="00454095">
              <w:rPr>
                <w:b/>
                <w:bCs/>
              </w:rPr>
              <w:t>5</w:t>
            </w:r>
          </w:p>
        </w:tc>
      </w:tr>
      <w:tr w:rsidR="008E325F" w:rsidRPr="00A51DA3" w:rsidTr="00D624D6">
        <w:trPr>
          <w:trHeight w:val="181"/>
        </w:trPr>
        <w:tc>
          <w:tcPr>
            <w:tcW w:w="4042" w:type="dxa"/>
            <w:shd w:val="clear" w:color="auto" w:fill="FFFFFF"/>
          </w:tcPr>
          <w:p w:rsidR="008E325F" w:rsidRPr="00A51DA3" w:rsidRDefault="008E325F" w:rsidP="006E0EE2">
            <w:pPr>
              <w:autoSpaceDE w:val="0"/>
              <w:autoSpaceDN w:val="0"/>
              <w:adjustRightInd w:val="0"/>
              <w:rPr>
                <w:b/>
                <w:bCs/>
              </w:rPr>
            </w:pPr>
          </w:p>
        </w:tc>
        <w:tc>
          <w:tcPr>
            <w:tcW w:w="1430" w:type="dxa"/>
            <w:gridSpan w:val="2"/>
            <w:shd w:val="clear" w:color="auto" w:fill="FFFFFF"/>
            <w:vAlign w:val="bottom"/>
          </w:tcPr>
          <w:p w:rsidR="008E325F" w:rsidRPr="00A51DA3" w:rsidRDefault="008E325F" w:rsidP="006E0EE2">
            <w:pPr>
              <w:autoSpaceDE w:val="0"/>
              <w:autoSpaceDN w:val="0"/>
              <w:adjustRightInd w:val="0"/>
              <w:jc w:val="right"/>
              <w:rPr>
                <w:b/>
                <w:bCs/>
              </w:rPr>
            </w:pPr>
          </w:p>
        </w:tc>
        <w:tc>
          <w:tcPr>
            <w:tcW w:w="1546" w:type="dxa"/>
            <w:shd w:val="clear" w:color="auto" w:fill="FFFFFF"/>
            <w:vAlign w:val="bottom"/>
          </w:tcPr>
          <w:p w:rsidR="008E325F" w:rsidRPr="00A51DA3" w:rsidRDefault="008E325F" w:rsidP="006E0EE2">
            <w:pPr>
              <w:autoSpaceDE w:val="0"/>
              <w:autoSpaceDN w:val="0"/>
              <w:adjustRightInd w:val="0"/>
              <w:jc w:val="right"/>
              <w:rPr>
                <w:b/>
                <w:bCs/>
              </w:rPr>
            </w:pPr>
            <w:r w:rsidRPr="00A51DA3">
              <w:rPr>
                <w:b/>
                <w:bCs/>
              </w:rPr>
              <w:t>‘000 лв.</w:t>
            </w:r>
          </w:p>
        </w:tc>
        <w:tc>
          <w:tcPr>
            <w:tcW w:w="1417" w:type="dxa"/>
            <w:shd w:val="clear" w:color="auto" w:fill="FFFFFF"/>
            <w:vAlign w:val="bottom"/>
          </w:tcPr>
          <w:p w:rsidR="008E325F" w:rsidRPr="00A51DA3" w:rsidRDefault="008E325F" w:rsidP="006E0EE2">
            <w:pPr>
              <w:autoSpaceDE w:val="0"/>
              <w:autoSpaceDN w:val="0"/>
              <w:adjustRightInd w:val="0"/>
              <w:jc w:val="right"/>
              <w:rPr>
                <w:b/>
                <w:bCs/>
              </w:rPr>
            </w:pPr>
            <w:r w:rsidRPr="00A51DA3">
              <w:rPr>
                <w:b/>
                <w:bCs/>
              </w:rPr>
              <w:t>‘000 лв.</w:t>
            </w:r>
          </w:p>
        </w:tc>
        <w:tc>
          <w:tcPr>
            <w:tcW w:w="1418" w:type="dxa"/>
            <w:shd w:val="clear" w:color="auto" w:fill="FFFFFF"/>
            <w:vAlign w:val="bottom"/>
          </w:tcPr>
          <w:p w:rsidR="008E325F" w:rsidRPr="00A51DA3" w:rsidRDefault="008E325F" w:rsidP="006E0EE2">
            <w:pPr>
              <w:autoSpaceDE w:val="0"/>
              <w:autoSpaceDN w:val="0"/>
              <w:adjustRightInd w:val="0"/>
              <w:jc w:val="right"/>
              <w:rPr>
                <w:b/>
                <w:bCs/>
              </w:rPr>
            </w:pPr>
            <w:r w:rsidRPr="00A51DA3">
              <w:rPr>
                <w:b/>
                <w:bCs/>
              </w:rPr>
              <w:t>‘000 лв.</w:t>
            </w:r>
          </w:p>
        </w:tc>
      </w:tr>
      <w:tr w:rsidR="008E325F" w:rsidRPr="00A51DA3" w:rsidTr="00D624D6">
        <w:trPr>
          <w:trHeight w:val="181"/>
        </w:trPr>
        <w:tc>
          <w:tcPr>
            <w:tcW w:w="4042" w:type="dxa"/>
            <w:shd w:val="clear" w:color="auto" w:fill="FFFFFF"/>
            <w:vAlign w:val="bottom"/>
          </w:tcPr>
          <w:p w:rsidR="008E325F" w:rsidRPr="00A51DA3" w:rsidRDefault="008E325F" w:rsidP="006E0EE2">
            <w:pPr>
              <w:autoSpaceDE w:val="0"/>
              <w:autoSpaceDN w:val="0"/>
              <w:adjustRightInd w:val="0"/>
              <w:rPr>
                <w:b/>
              </w:rPr>
            </w:pPr>
          </w:p>
        </w:tc>
        <w:tc>
          <w:tcPr>
            <w:tcW w:w="1430" w:type="dxa"/>
            <w:gridSpan w:val="2"/>
            <w:shd w:val="clear" w:color="auto" w:fill="FFFFFF"/>
            <w:vAlign w:val="bottom"/>
          </w:tcPr>
          <w:p w:rsidR="008E325F" w:rsidRPr="00A51DA3" w:rsidRDefault="008E325F" w:rsidP="006E0EE2">
            <w:pPr>
              <w:autoSpaceDE w:val="0"/>
              <w:autoSpaceDN w:val="0"/>
              <w:adjustRightInd w:val="0"/>
              <w:jc w:val="right"/>
            </w:pPr>
          </w:p>
        </w:tc>
        <w:tc>
          <w:tcPr>
            <w:tcW w:w="1546" w:type="dxa"/>
            <w:shd w:val="clear" w:color="auto" w:fill="FFFFFF"/>
            <w:vAlign w:val="bottom"/>
          </w:tcPr>
          <w:p w:rsidR="008E325F" w:rsidRPr="00A51DA3" w:rsidRDefault="008E325F" w:rsidP="006E0EE2">
            <w:pPr>
              <w:autoSpaceDE w:val="0"/>
              <w:autoSpaceDN w:val="0"/>
              <w:adjustRightInd w:val="0"/>
              <w:jc w:val="right"/>
              <w:rPr>
                <w:color w:val="000000"/>
              </w:rPr>
            </w:pPr>
          </w:p>
        </w:tc>
        <w:tc>
          <w:tcPr>
            <w:tcW w:w="1417" w:type="dxa"/>
            <w:shd w:val="clear" w:color="auto" w:fill="FFFFFF"/>
            <w:vAlign w:val="bottom"/>
          </w:tcPr>
          <w:p w:rsidR="008E325F" w:rsidRPr="00A51DA3" w:rsidRDefault="008E325F" w:rsidP="002C6667">
            <w:pPr>
              <w:autoSpaceDE w:val="0"/>
              <w:autoSpaceDN w:val="0"/>
              <w:adjustRightInd w:val="0"/>
              <w:ind w:left="-108" w:right="-108"/>
              <w:jc w:val="center"/>
            </w:pPr>
          </w:p>
        </w:tc>
        <w:tc>
          <w:tcPr>
            <w:tcW w:w="1418" w:type="dxa"/>
            <w:shd w:val="clear" w:color="auto" w:fill="FFFFFF"/>
            <w:vAlign w:val="bottom"/>
          </w:tcPr>
          <w:p w:rsidR="008E325F" w:rsidRPr="00A51DA3" w:rsidRDefault="008E325F" w:rsidP="002C6667">
            <w:pPr>
              <w:autoSpaceDE w:val="0"/>
              <w:autoSpaceDN w:val="0"/>
              <w:adjustRightInd w:val="0"/>
              <w:ind w:left="-108" w:right="-108"/>
              <w:jc w:val="center"/>
            </w:pPr>
          </w:p>
        </w:tc>
      </w:tr>
      <w:tr w:rsidR="008E325F" w:rsidRPr="00A51DA3" w:rsidTr="00D624D6">
        <w:trPr>
          <w:trHeight w:val="181"/>
        </w:trPr>
        <w:tc>
          <w:tcPr>
            <w:tcW w:w="4042" w:type="dxa"/>
            <w:shd w:val="clear" w:color="auto" w:fill="FFFFFF"/>
            <w:vAlign w:val="bottom"/>
          </w:tcPr>
          <w:p w:rsidR="008E325F" w:rsidRPr="00A51DA3" w:rsidRDefault="008E325F" w:rsidP="00A87EEC">
            <w:pPr>
              <w:autoSpaceDE w:val="0"/>
              <w:autoSpaceDN w:val="0"/>
              <w:adjustRightInd w:val="0"/>
              <w:rPr>
                <w:b/>
                <w:bCs/>
              </w:rPr>
            </w:pPr>
            <w:r w:rsidRPr="00A51DA3">
              <w:rPr>
                <w:b/>
                <w:bCs/>
              </w:rPr>
              <w:t>Собствен капитал</w:t>
            </w:r>
          </w:p>
        </w:tc>
        <w:tc>
          <w:tcPr>
            <w:tcW w:w="1430" w:type="dxa"/>
            <w:gridSpan w:val="2"/>
            <w:shd w:val="clear" w:color="auto" w:fill="FFFFFF"/>
            <w:vAlign w:val="bottom"/>
          </w:tcPr>
          <w:p w:rsidR="008E325F" w:rsidRPr="00A51DA3" w:rsidRDefault="008E325F" w:rsidP="00A87EEC">
            <w:pPr>
              <w:autoSpaceDE w:val="0"/>
              <w:autoSpaceDN w:val="0"/>
              <w:adjustRightInd w:val="0"/>
              <w:jc w:val="right"/>
            </w:pPr>
          </w:p>
        </w:tc>
        <w:tc>
          <w:tcPr>
            <w:tcW w:w="1546" w:type="dxa"/>
            <w:shd w:val="clear" w:color="auto" w:fill="FFFFFF"/>
            <w:vAlign w:val="bottom"/>
          </w:tcPr>
          <w:p w:rsidR="008E325F" w:rsidRPr="00A51DA3" w:rsidRDefault="008E325F" w:rsidP="00A87EEC">
            <w:pPr>
              <w:autoSpaceDE w:val="0"/>
              <w:autoSpaceDN w:val="0"/>
              <w:adjustRightInd w:val="0"/>
              <w:jc w:val="right"/>
              <w:rPr>
                <w:color w:val="000000"/>
              </w:rPr>
            </w:pPr>
          </w:p>
        </w:tc>
        <w:tc>
          <w:tcPr>
            <w:tcW w:w="1417" w:type="dxa"/>
            <w:shd w:val="clear" w:color="auto" w:fill="FFFFFF"/>
            <w:vAlign w:val="bottom"/>
          </w:tcPr>
          <w:p w:rsidR="008E325F" w:rsidRPr="00A51DA3" w:rsidRDefault="008E325F" w:rsidP="00A87EEC">
            <w:pPr>
              <w:autoSpaceDE w:val="0"/>
              <w:autoSpaceDN w:val="0"/>
              <w:adjustRightInd w:val="0"/>
              <w:jc w:val="right"/>
              <w:rPr>
                <w:color w:val="000000"/>
              </w:rPr>
            </w:pPr>
          </w:p>
        </w:tc>
        <w:tc>
          <w:tcPr>
            <w:tcW w:w="1418" w:type="dxa"/>
            <w:shd w:val="clear" w:color="auto" w:fill="FFFFFF"/>
            <w:vAlign w:val="bottom"/>
          </w:tcPr>
          <w:p w:rsidR="008E325F" w:rsidRPr="00A51DA3" w:rsidRDefault="008E325F" w:rsidP="00A87EEC">
            <w:pPr>
              <w:autoSpaceDE w:val="0"/>
              <w:autoSpaceDN w:val="0"/>
              <w:adjustRightInd w:val="0"/>
              <w:jc w:val="right"/>
              <w:rPr>
                <w:color w:val="000000"/>
              </w:rPr>
            </w:pPr>
          </w:p>
        </w:tc>
      </w:tr>
      <w:tr w:rsidR="00454095" w:rsidRPr="00A51DA3" w:rsidTr="00D624D6">
        <w:trPr>
          <w:trHeight w:val="181"/>
        </w:trPr>
        <w:tc>
          <w:tcPr>
            <w:tcW w:w="4042" w:type="dxa"/>
            <w:shd w:val="clear" w:color="auto" w:fill="FFFFFF"/>
            <w:vAlign w:val="bottom"/>
          </w:tcPr>
          <w:p w:rsidR="00454095" w:rsidRPr="00A51DA3" w:rsidRDefault="00454095" w:rsidP="00A87EEC">
            <w:pPr>
              <w:autoSpaceDE w:val="0"/>
              <w:autoSpaceDN w:val="0"/>
              <w:adjustRightInd w:val="0"/>
            </w:pPr>
            <w:r w:rsidRPr="00A51DA3">
              <w:t>Акционерен капитал</w:t>
            </w:r>
          </w:p>
        </w:tc>
        <w:tc>
          <w:tcPr>
            <w:tcW w:w="1430" w:type="dxa"/>
            <w:gridSpan w:val="2"/>
            <w:shd w:val="clear" w:color="auto" w:fill="FFFFFF"/>
            <w:vAlign w:val="bottom"/>
          </w:tcPr>
          <w:p w:rsidR="00454095" w:rsidRPr="00A51DA3" w:rsidRDefault="00454095" w:rsidP="00A87EEC">
            <w:pPr>
              <w:autoSpaceDE w:val="0"/>
              <w:autoSpaceDN w:val="0"/>
              <w:adjustRightInd w:val="0"/>
              <w:jc w:val="right"/>
              <w:rPr>
                <w:color w:val="000000"/>
              </w:rPr>
            </w:pPr>
          </w:p>
        </w:tc>
        <w:tc>
          <w:tcPr>
            <w:tcW w:w="1546" w:type="dxa"/>
            <w:shd w:val="clear" w:color="auto" w:fill="FFFFFF"/>
            <w:vAlign w:val="bottom"/>
          </w:tcPr>
          <w:p w:rsidR="00454095" w:rsidRPr="00343C90" w:rsidRDefault="003731A5" w:rsidP="00DC1D42">
            <w:pPr>
              <w:autoSpaceDE w:val="0"/>
              <w:autoSpaceDN w:val="0"/>
              <w:adjustRightInd w:val="0"/>
              <w:jc w:val="right"/>
              <w:rPr>
                <w:color w:val="000000"/>
              </w:rPr>
            </w:pPr>
            <w:r>
              <w:rPr>
                <w:color w:val="000000"/>
              </w:rPr>
              <w:t>28 950</w:t>
            </w:r>
          </w:p>
        </w:tc>
        <w:tc>
          <w:tcPr>
            <w:tcW w:w="1417" w:type="dxa"/>
            <w:shd w:val="clear" w:color="auto" w:fill="FFFFFF"/>
            <w:vAlign w:val="bottom"/>
          </w:tcPr>
          <w:p w:rsidR="00454095" w:rsidRPr="00343C90" w:rsidRDefault="00454095" w:rsidP="00454095">
            <w:pPr>
              <w:autoSpaceDE w:val="0"/>
              <w:autoSpaceDN w:val="0"/>
              <w:adjustRightInd w:val="0"/>
              <w:jc w:val="right"/>
              <w:rPr>
                <w:color w:val="000000"/>
              </w:rPr>
            </w:pPr>
            <w:r>
              <w:rPr>
                <w:color w:val="000000"/>
              </w:rPr>
              <w:t>28 950</w:t>
            </w:r>
          </w:p>
        </w:tc>
        <w:tc>
          <w:tcPr>
            <w:tcW w:w="1418" w:type="dxa"/>
            <w:shd w:val="clear" w:color="auto" w:fill="FFFFFF"/>
            <w:vAlign w:val="bottom"/>
          </w:tcPr>
          <w:p w:rsidR="00454095" w:rsidRPr="00343C90" w:rsidRDefault="00454095" w:rsidP="00454095">
            <w:pPr>
              <w:jc w:val="right"/>
            </w:pPr>
            <w:r>
              <w:t>28 950</w:t>
            </w:r>
          </w:p>
        </w:tc>
      </w:tr>
      <w:tr w:rsidR="00454095" w:rsidRPr="00A51DA3" w:rsidTr="00D624D6">
        <w:trPr>
          <w:trHeight w:val="181"/>
        </w:trPr>
        <w:tc>
          <w:tcPr>
            <w:tcW w:w="4042" w:type="dxa"/>
            <w:shd w:val="clear" w:color="auto" w:fill="FFFFFF"/>
            <w:vAlign w:val="bottom"/>
          </w:tcPr>
          <w:p w:rsidR="00454095" w:rsidRPr="00A51DA3" w:rsidRDefault="00454095" w:rsidP="00A87EEC">
            <w:pPr>
              <w:autoSpaceDE w:val="0"/>
              <w:autoSpaceDN w:val="0"/>
              <w:adjustRightInd w:val="0"/>
            </w:pPr>
            <w:r w:rsidRPr="00A51DA3">
              <w:t>Преоценъчен резерв</w:t>
            </w:r>
          </w:p>
        </w:tc>
        <w:tc>
          <w:tcPr>
            <w:tcW w:w="1430" w:type="dxa"/>
            <w:gridSpan w:val="2"/>
            <w:shd w:val="clear" w:color="auto" w:fill="FFFFFF"/>
            <w:vAlign w:val="bottom"/>
          </w:tcPr>
          <w:p w:rsidR="00454095" w:rsidRPr="00A51DA3" w:rsidRDefault="00454095" w:rsidP="001E2B58">
            <w:pPr>
              <w:autoSpaceDE w:val="0"/>
              <w:autoSpaceDN w:val="0"/>
              <w:adjustRightInd w:val="0"/>
              <w:jc w:val="right"/>
              <w:rPr>
                <w:color w:val="000000"/>
              </w:rPr>
            </w:pPr>
          </w:p>
        </w:tc>
        <w:tc>
          <w:tcPr>
            <w:tcW w:w="1546" w:type="dxa"/>
            <w:shd w:val="clear" w:color="auto" w:fill="FFFFFF"/>
            <w:vAlign w:val="bottom"/>
          </w:tcPr>
          <w:p w:rsidR="00454095" w:rsidRPr="00343C90" w:rsidRDefault="003731A5" w:rsidP="00DC1D42">
            <w:pPr>
              <w:autoSpaceDE w:val="0"/>
              <w:autoSpaceDN w:val="0"/>
              <w:adjustRightInd w:val="0"/>
              <w:jc w:val="right"/>
              <w:rPr>
                <w:color w:val="000000"/>
              </w:rPr>
            </w:pPr>
            <w:r>
              <w:rPr>
                <w:color w:val="000000"/>
              </w:rPr>
              <w:t>12 236</w:t>
            </w:r>
          </w:p>
        </w:tc>
        <w:tc>
          <w:tcPr>
            <w:tcW w:w="1417" w:type="dxa"/>
            <w:shd w:val="clear" w:color="auto" w:fill="FFFFFF"/>
            <w:vAlign w:val="bottom"/>
          </w:tcPr>
          <w:p w:rsidR="00454095" w:rsidRPr="00343C90" w:rsidRDefault="00454095" w:rsidP="003731A5">
            <w:pPr>
              <w:autoSpaceDE w:val="0"/>
              <w:autoSpaceDN w:val="0"/>
              <w:adjustRightInd w:val="0"/>
              <w:jc w:val="right"/>
              <w:rPr>
                <w:color w:val="000000"/>
              </w:rPr>
            </w:pPr>
            <w:r>
              <w:rPr>
                <w:color w:val="000000"/>
              </w:rPr>
              <w:t xml:space="preserve">12 </w:t>
            </w:r>
            <w:r w:rsidR="003731A5">
              <w:rPr>
                <w:color w:val="000000"/>
              </w:rPr>
              <w:t>858</w:t>
            </w:r>
          </w:p>
        </w:tc>
        <w:tc>
          <w:tcPr>
            <w:tcW w:w="1418" w:type="dxa"/>
            <w:shd w:val="clear" w:color="auto" w:fill="FFFFFF"/>
            <w:vAlign w:val="bottom"/>
          </w:tcPr>
          <w:p w:rsidR="00454095" w:rsidRPr="00343C90" w:rsidRDefault="00454095" w:rsidP="003731A5">
            <w:pPr>
              <w:jc w:val="right"/>
            </w:pPr>
            <w:r>
              <w:t>15 5</w:t>
            </w:r>
            <w:r w:rsidR="003731A5">
              <w:t>71</w:t>
            </w:r>
          </w:p>
        </w:tc>
      </w:tr>
      <w:tr w:rsidR="00454095" w:rsidRPr="00A51DA3" w:rsidTr="00D624D6">
        <w:trPr>
          <w:trHeight w:val="181"/>
        </w:trPr>
        <w:tc>
          <w:tcPr>
            <w:tcW w:w="4042" w:type="dxa"/>
            <w:shd w:val="clear" w:color="auto" w:fill="FFFFFF"/>
            <w:vAlign w:val="bottom"/>
          </w:tcPr>
          <w:p w:rsidR="00454095" w:rsidRPr="00A51DA3" w:rsidRDefault="00454095" w:rsidP="00A87EEC">
            <w:pPr>
              <w:autoSpaceDE w:val="0"/>
              <w:autoSpaceDN w:val="0"/>
              <w:adjustRightInd w:val="0"/>
            </w:pPr>
            <w:r w:rsidRPr="00A51DA3">
              <w:t>Други резерви</w:t>
            </w:r>
          </w:p>
        </w:tc>
        <w:tc>
          <w:tcPr>
            <w:tcW w:w="1430" w:type="dxa"/>
            <w:gridSpan w:val="2"/>
            <w:shd w:val="clear" w:color="auto" w:fill="FFFFFF"/>
            <w:vAlign w:val="bottom"/>
          </w:tcPr>
          <w:p w:rsidR="00454095" w:rsidRPr="00A51DA3" w:rsidRDefault="00454095" w:rsidP="00823C73">
            <w:pPr>
              <w:autoSpaceDE w:val="0"/>
              <w:autoSpaceDN w:val="0"/>
              <w:adjustRightInd w:val="0"/>
              <w:jc w:val="right"/>
              <w:rPr>
                <w:color w:val="000000"/>
              </w:rPr>
            </w:pPr>
          </w:p>
        </w:tc>
        <w:tc>
          <w:tcPr>
            <w:tcW w:w="1546" w:type="dxa"/>
            <w:shd w:val="clear" w:color="auto" w:fill="FFFFFF"/>
            <w:vAlign w:val="bottom"/>
          </w:tcPr>
          <w:p w:rsidR="00454095" w:rsidRPr="00343C90" w:rsidRDefault="003731A5" w:rsidP="00DC1D42">
            <w:pPr>
              <w:autoSpaceDE w:val="0"/>
              <w:autoSpaceDN w:val="0"/>
              <w:adjustRightInd w:val="0"/>
              <w:jc w:val="right"/>
              <w:rPr>
                <w:color w:val="000000"/>
              </w:rPr>
            </w:pPr>
            <w:r>
              <w:rPr>
                <w:color w:val="000000"/>
              </w:rPr>
              <w:t>138 351</w:t>
            </w:r>
          </w:p>
        </w:tc>
        <w:tc>
          <w:tcPr>
            <w:tcW w:w="1417" w:type="dxa"/>
            <w:shd w:val="clear" w:color="auto" w:fill="FFFFFF"/>
            <w:vAlign w:val="bottom"/>
          </w:tcPr>
          <w:p w:rsidR="00454095" w:rsidRPr="00343C90" w:rsidRDefault="00454095" w:rsidP="00454095">
            <w:pPr>
              <w:autoSpaceDE w:val="0"/>
              <w:autoSpaceDN w:val="0"/>
              <w:adjustRightInd w:val="0"/>
              <w:jc w:val="right"/>
              <w:rPr>
                <w:color w:val="000000"/>
              </w:rPr>
            </w:pPr>
            <w:r>
              <w:rPr>
                <w:color w:val="000000"/>
              </w:rPr>
              <w:t>138 351</w:t>
            </w:r>
          </w:p>
        </w:tc>
        <w:tc>
          <w:tcPr>
            <w:tcW w:w="1418" w:type="dxa"/>
            <w:shd w:val="clear" w:color="auto" w:fill="FFFFFF"/>
            <w:vAlign w:val="bottom"/>
          </w:tcPr>
          <w:p w:rsidR="00454095" w:rsidRPr="00343C90" w:rsidRDefault="00454095" w:rsidP="00454095">
            <w:pPr>
              <w:jc w:val="right"/>
            </w:pPr>
            <w:r>
              <w:t>138 351</w:t>
            </w:r>
          </w:p>
        </w:tc>
      </w:tr>
      <w:tr w:rsidR="00454095" w:rsidRPr="00A51DA3" w:rsidTr="00D624D6">
        <w:trPr>
          <w:trHeight w:val="181"/>
        </w:trPr>
        <w:tc>
          <w:tcPr>
            <w:tcW w:w="4042" w:type="dxa"/>
            <w:shd w:val="clear" w:color="auto" w:fill="FFFFFF"/>
            <w:vAlign w:val="bottom"/>
          </w:tcPr>
          <w:p w:rsidR="00454095" w:rsidRPr="00A51DA3" w:rsidRDefault="00454095" w:rsidP="00A87EEC">
            <w:pPr>
              <w:autoSpaceDE w:val="0"/>
              <w:autoSpaceDN w:val="0"/>
              <w:adjustRightInd w:val="0"/>
            </w:pPr>
            <w:r w:rsidRPr="00A51DA3">
              <w:t>Натрупана загуба</w:t>
            </w:r>
          </w:p>
        </w:tc>
        <w:tc>
          <w:tcPr>
            <w:tcW w:w="1430" w:type="dxa"/>
            <w:gridSpan w:val="2"/>
            <w:shd w:val="clear" w:color="auto" w:fill="FFFFFF"/>
            <w:vAlign w:val="bottom"/>
          </w:tcPr>
          <w:p w:rsidR="00454095" w:rsidRPr="00A51DA3" w:rsidRDefault="00454095" w:rsidP="00A87EEC">
            <w:pPr>
              <w:autoSpaceDE w:val="0"/>
              <w:autoSpaceDN w:val="0"/>
              <w:adjustRightInd w:val="0"/>
              <w:jc w:val="right"/>
              <w:rPr>
                <w:color w:val="000000"/>
              </w:rPr>
            </w:pPr>
          </w:p>
        </w:tc>
        <w:tc>
          <w:tcPr>
            <w:tcW w:w="1546" w:type="dxa"/>
            <w:tcBorders>
              <w:bottom w:val="single" w:sz="4" w:space="0" w:color="auto"/>
            </w:tcBorders>
            <w:shd w:val="clear" w:color="auto" w:fill="FFFFFF"/>
            <w:vAlign w:val="bottom"/>
          </w:tcPr>
          <w:p w:rsidR="00454095" w:rsidRPr="00343C90" w:rsidRDefault="003731A5" w:rsidP="00333E4B">
            <w:pPr>
              <w:autoSpaceDE w:val="0"/>
              <w:autoSpaceDN w:val="0"/>
              <w:adjustRightInd w:val="0"/>
              <w:jc w:val="right"/>
              <w:rPr>
                <w:color w:val="000000"/>
              </w:rPr>
            </w:pPr>
            <w:r>
              <w:rPr>
                <w:color w:val="000000"/>
              </w:rPr>
              <w:t>(135 185)</w:t>
            </w:r>
          </w:p>
        </w:tc>
        <w:tc>
          <w:tcPr>
            <w:tcW w:w="1417" w:type="dxa"/>
            <w:tcBorders>
              <w:bottom w:val="single" w:sz="4" w:space="0" w:color="auto"/>
            </w:tcBorders>
            <w:shd w:val="clear" w:color="auto" w:fill="FFFFFF"/>
            <w:vAlign w:val="bottom"/>
          </w:tcPr>
          <w:p w:rsidR="00454095" w:rsidRPr="00343C90" w:rsidRDefault="00454095" w:rsidP="003731A5">
            <w:pPr>
              <w:autoSpaceDE w:val="0"/>
              <w:autoSpaceDN w:val="0"/>
              <w:adjustRightInd w:val="0"/>
              <w:jc w:val="right"/>
              <w:rPr>
                <w:color w:val="000000"/>
              </w:rPr>
            </w:pPr>
            <w:r>
              <w:rPr>
                <w:color w:val="000000"/>
              </w:rPr>
              <w:t>(128 6</w:t>
            </w:r>
            <w:r w:rsidR="003731A5">
              <w:rPr>
                <w:color w:val="000000"/>
              </w:rPr>
              <w:t>63</w:t>
            </w:r>
            <w:r>
              <w:rPr>
                <w:color w:val="000000"/>
              </w:rPr>
              <w:t>)</w:t>
            </w:r>
          </w:p>
        </w:tc>
        <w:tc>
          <w:tcPr>
            <w:tcW w:w="1418" w:type="dxa"/>
            <w:tcBorders>
              <w:bottom w:val="single" w:sz="4" w:space="0" w:color="auto"/>
            </w:tcBorders>
            <w:shd w:val="clear" w:color="auto" w:fill="FFFFFF"/>
            <w:vAlign w:val="bottom"/>
          </w:tcPr>
          <w:p w:rsidR="00454095" w:rsidRPr="00343C90" w:rsidRDefault="00454095" w:rsidP="003731A5">
            <w:pPr>
              <w:jc w:val="right"/>
            </w:pPr>
            <w:r>
              <w:t>(126 4</w:t>
            </w:r>
            <w:r w:rsidR="003731A5">
              <w:t>82</w:t>
            </w:r>
            <w:r>
              <w:t>)</w:t>
            </w:r>
          </w:p>
        </w:tc>
      </w:tr>
      <w:tr w:rsidR="00454095" w:rsidRPr="00A51DA3" w:rsidTr="00D624D6">
        <w:trPr>
          <w:trHeight w:val="181"/>
        </w:trPr>
        <w:tc>
          <w:tcPr>
            <w:tcW w:w="4042" w:type="dxa"/>
            <w:shd w:val="clear" w:color="auto" w:fill="FFFFFF"/>
          </w:tcPr>
          <w:p w:rsidR="00454095" w:rsidRPr="00A51DA3" w:rsidRDefault="00454095" w:rsidP="00A87EEC">
            <w:pPr>
              <w:autoSpaceDE w:val="0"/>
              <w:autoSpaceDN w:val="0"/>
              <w:adjustRightInd w:val="0"/>
              <w:rPr>
                <w:b/>
                <w:bCs/>
              </w:rPr>
            </w:pPr>
            <w:r w:rsidRPr="00A51DA3">
              <w:rPr>
                <w:b/>
                <w:bCs/>
              </w:rPr>
              <w:t>Общо собствен капитал</w:t>
            </w:r>
          </w:p>
        </w:tc>
        <w:tc>
          <w:tcPr>
            <w:tcW w:w="1430" w:type="dxa"/>
            <w:gridSpan w:val="2"/>
            <w:shd w:val="clear" w:color="auto" w:fill="FFFFFF"/>
            <w:vAlign w:val="bottom"/>
          </w:tcPr>
          <w:p w:rsidR="00454095" w:rsidRPr="00A51DA3" w:rsidRDefault="00454095" w:rsidP="00A87EEC">
            <w:pPr>
              <w:autoSpaceDE w:val="0"/>
              <w:autoSpaceDN w:val="0"/>
              <w:adjustRightInd w:val="0"/>
              <w:jc w:val="right"/>
            </w:pPr>
          </w:p>
        </w:tc>
        <w:tc>
          <w:tcPr>
            <w:tcW w:w="1546" w:type="dxa"/>
            <w:tcBorders>
              <w:top w:val="single" w:sz="4" w:space="0" w:color="auto"/>
              <w:left w:val="nil"/>
              <w:bottom w:val="single" w:sz="4" w:space="0" w:color="auto"/>
              <w:right w:val="nil"/>
            </w:tcBorders>
            <w:shd w:val="clear" w:color="auto" w:fill="FFFFFF"/>
            <w:vAlign w:val="bottom"/>
          </w:tcPr>
          <w:p w:rsidR="00454095" w:rsidRPr="00343C90" w:rsidRDefault="003731A5" w:rsidP="00333E4B">
            <w:pPr>
              <w:autoSpaceDE w:val="0"/>
              <w:autoSpaceDN w:val="0"/>
              <w:adjustRightInd w:val="0"/>
              <w:jc w:val="right"/>
              <w:rPr>
                <w:b/>
                <w:bCs/>
              </w:rPr>
            </w:pPr>
            <w:r>
              <w:rPr>
                <w:b/>
                <w:bCs/>
              </w:rPr>
              <w:t>44 352</w:t>
            </w:r>
          </w:p>
        </w:tc>
        <w:tc>
          <w:tcPr>
            <w:tcW w:w="1417" w:type="dxa"/>
            <w:tcBorders>
              <w:top w:val="single" w:sz="4" w:space="0" w:color="auto"/>
              <w:left w:val="nil"/>
              <w:bottom w:val="single" w:sz="4" w:space="0" w:color="auto"/>
              <w:right w:val="nil"/>
            </w:tcBorders>
            <w:shd w:val="clear" w:color="auto" w:fill="FFFFFF"/>
            <w:vAlign w:val="bottom"/>
          </w:tcPr>
          <w:p w:rsidR="00454095" w:rsidRPr="00343C90" w:rsidRDefault="00454095" w:rsidP="003731A5">
            <w:pPr>
              <w:autoSpaceDE w:val="0"/>
              <w:autoSpaceDN w:val="0"/>
              <w:adjustRightInd w:val="0"/>
              <w:jc w:val="right"/>
              <w:rPr>
                <w:b/>
                <w:bCs/>
              </w:rPr>
            </w:pPr>
            <w:r>
              <w:rPr>
                <w:b/>
                <w:bCs/>
              </w:rPr>
              <w:t xml:space="preserve">51 </w:t>
            </w:r>
            <w:r w:rsidR="00762232">
              <w:rPr>
                <w:b/>
                <w:bCs/>
              </w:rPr>
              <w:t>49</w:t>
            </w:r>
            <w:r w:rsidR="003731A5">
              <w:rPr>
                <w:b/>
                <w:bCs/>
              </w:rPr>
              <w:t>6</w:t>
            </w:r>
          </w:p>
        </w:tc>
        <w:tc>
          <w:tcPr>
            <w:tcW w:w="1418" w:type="dxa"/>
            <w:tcBorders>
              <w:top w:val="single" w:sz="4" w:space="0" w:color="auto"/>
              <w:left w:val="nil"/>
              <w:bottom w:val="single" w:sz="4" w:space="0" w:color="auto"/>
              <w:right w:val="nil"/>
            </w:tcBorders>
            <w:shd w:val="clear" w:color="auto" w:fill="FFFFFF"/>
            <w:vAlign w:val="bottom"/>
          </w:tcPr>
          <w:p w:rsidR="00454095" w:rsidRPr="00343C90" w:rsidRDefault="00454095" w:rsidP="00762232">
            <w:pPr>
              <w:jc w:val="right"/>
              <w:rPr>
                <w:b/>
              </w:rPr>
            </w:pPr>
            <w:r>
              <w:rPr>
                <w:b/>
              </w:rPr>
              <w:t>56 39</w:t>
            </w:r>
            <w:r w:rsidR="00762232">
              <w:rPr>
                <w:b/>
              </w:rPr>
              <w:t>0</w:t>
            </w:r>
          </w:p>
        </w:tc>
      </w:tr>
      <w:tr w:rsidR="00985719" w:rsidRPr="00A51DA3" w:rsidTr="00D624D6">
        <w:trPr>
          <w:trHeight w:val="181"/>
        </w:trPr>
        <w:tc>
          <w:tcPr>
            <w:tcW w:w="4042" w:type="dxa"/>
            <w:shd w:val="clear" w:color="auto" w:fill="FFFFFF"/>
          </w:tcPr>
          <w:p w:rsidR="00985719" w:rsidRPr="00A51DA3" w:rsidRDefault="00985719" w:rsidP="00A87EEC">
            <w:pPr>
              <w:autoSpaceDE w:val="0"/>
              <w:autoSpaceDN w:val="0"/>
              <w:adjustRightInd w:val="0"/>
            </w:pPr>
          </w:p>
        </w:tc>
        <w:tc>
          <w:tcPr>
            <w:tcW w:w="1430" w:type="dxa"/>
            <w:gridSpan w:val="2"/>
            <w:shd w:val="clear" w:color="auto" w:fill="FFFFFF"/>
            <w:vAlign w:val="bottom"/>
          </w:tcPr>
          <w:p w:rsidR="00985719" w:rsidRPr="00A51DA3" w:rsidRDefault="00985719" w:rsidP="00A87EEC">
            <w:pPr>
              <w:autoSpaceDE w:val="0"/>
              <w:autoSpaceDN w:val="0"/>
              <w:adjustRightInd w:val="0"/>
              <w:jc w:val="right"/>
            </w:pPr>
          </w:p>
        </w:tc>
        <w:tc>
          <w:tcPr>
            <w:tcW w:w="1546" w:type="dxa"/>
            <w:tcBorders>
              <w:top w:val="single" w:sz="4" w:space="0" w:color="auto"/>
              <w:left w:val="nil"/>
              <w:bottom w:val="nil"/>
              <w:right w:val="nil"/>
            </w:tcBorders>
            <w:shd w:val="clear" w:color="auto" w:fill="FFFFFF"/>
            <w:vAlign w:val="bottom"/>
          </w:tcPr>
          <w:p w:rsidR="00985719" w:rsidRPr="00A51DA3" w:rsidRDefault="00985719" w:rsidP="00A87EEC">
            <w:pPr>
              <w:autoSpaceDE w:val="0"/>
              <w:autoSpaceDN w:val="0"/>
              <w:adjustRightInd w:val="0"/>
              <w:jc w:val="right"/>
              <w:rPr>
                <w:b/>
                <w:bCs/>
              </w:rPr>
            </w:pPr>
          </w:p>
        </w:tc>
        <w:tc>
          <w:tcPr>
            <w:tcW w:w="1417" w:type="dxa"/>
            <w:tcBorders>
              <w:top w:val="single" w:sz="4" w:space="0" w:color="auto"/>
              <w:left w:val="nil"/>
              <w:bottom w:val="nil"/>
              <w:right w:val="nil"/>
            </w:tcBorders>
            <w:shd w:val="clear" w:color="auto" w:fill="FFFFFF"/>
            <w:vAlign w:val="bottom"/>
          </w:tcPr>
          <w:p w:rsidR="00985719" w:rsidRPr="00A51DA3" w:rsidRDefault="00985719" w:rsidP="00A87EEC">
            <w:pPr>
              <w:autoSpaceDE w:val="0"/>
              <w:autoSpaceDN w:val="0"/>
              <w:adjustRightInd w:val="0"/>
              <w:jc w:val="right"/>
              <w:rPr>
                <w:b/>
                <w:bCs/>
              </w:rPr>
            </w:pPr>
          </w:p>
        </w:tc>
        <w:tc>
          <w:tcPr>
            <w:tcW w:w="1418" w:type="dxa"/>
            <w:tcBorders>
              <w:top w:val="single" w:sz="4" w:space="0" w:color="auto"/>
              <w:left w:val="nil"/>
              <w:bottom w:val="nil"/>
              <w:right w:val="nil"/>
            </w:tcBorders>
            <w:shd w:val="clear" w:color="auto" w:fill="FFFFFF"/>
            <w:vAlign w:val="bottom"/>
          </w:tcPr>
          <w:p w:rsidR="00985719" w:rsidRPr="00A51DA3" w:rsidRDefault="00985719" w:rsidP="00A87EEC">
            <w:pPr>
              <w:autoSpaceDE w:val="0"/>
              <w:autoSpaceDN w:val="0"/>
              <w:adjustRightInd w:val="0"/>
              <w:jc w:val="right"/>
              <w:rPr>
                <w:b/>
                <w:bCs/>
              </w:rPr>
            </w:pPr>
          </w:p>
        </w:tc>
      </w:tr>
      <w:tr w:rsidR="00985719" w:rsidRPr="00A51DA3" w:rsidTr="00D624D6">
        <w:trPr>
          <w:trHeight w:val="181"/>
        </w:trPr>
        <w:tc>
          <w:tcPr>
            <w:tcW w:w="4042" w:type="dxa"/>
            <w:shd w:val="clear" w:color="auto" w:fill="FFFFFF"/>
            <w:vAlign w:val="bottom"/>
          </w:tcPr>
          <w:p w:rsidR="00985719" w:rsidRPr="00A51DA3" w:rsidRDefault="00985719" w:rsidP="00A87EEC">
            <w:pPr>
              <w:autoSpaceDE w:val="0"/>
              <w:autoSpaceDN w:val="0"/>
              <w:adjustRightInd w:val="0"/>
              <w:rPr>
                <w:b/>
                <w:bCs/>
                <w:color w:val="000000"/>
              </w:rPr>
            </w:pPr>
            <w:r w:rsidRPr="00A51DA3">
              <w:rPr>
                <w:b/>
                <w:bCs/>
                <w:color w:val="000000"/>
              </w:rPr>
              <w:t>Пасиви</w:t>
            </w:r>
          </w:p>
        </w:tc>
        <w:tc>
          <w:tcPr>
            <w:tcW w:w="1430" w:type="dxa"/>
            <w:gridSpan w:val="2"/>
            <w:shd w:val="clear" w:color="auto" w:fill="FFFFFF"/>
            <w:vAlign w:val="bottom"/>
          </w:tcPr>
          <w:p w:rsidR="00985719" w:rsidRPr="00A51DA3" w:rsidRDefault="00985719" w:rsidP="00A87EEC">
            <w:pPr>
              <w:autoSpaceDE w:val="0"/>
              <w:autoSpaceDN w:val="0"/>
              <w:adjustRightInd w:val="0"/>
              <w:jc w:val="right"/>
              <w:rPr>
                <w:color w:val="000000"/>
              </w:rPr>
            </w:pPr>
          </w:p>
        </w:tc>
        <w:tc>
          <w:tcPr>
            <w:tcW w:w="1546" w:type="dxa"/>
            <w:shd w:val="clear" w:color="auto" w:fill="FFFFFF"/>
            <w:vAlign w:val="bottom"/>
          </w:tcPr>
          <w:p w:rsidR="00985719" w:rsidRPr="00A51DA3" w:rsidRDefault="00985719" w:rsidP="00A87EEC">
            <w:pPr>
              <w:autoSpaceDE w:val="0"/>
              <w:autoSpaceDN w:val="0"/>
              <w:adjustRightInd w:val="0"/>
              <w:jc w:val="right"/>
              <w:rPr>
                <w:color w:val="000000"/>
              </w:rPr>
            </w:pPr>
          </w:p>
        </w:tc>
        <w:tc>
          <w:tcPr>
            <w:tcW w:w="1417" w:type="dxa"/>
            <w:shd w:val="clear" w:color="auto" w:fill="FFFFFF"/>
            <w:vAlign w:val="bottom"/>
          </w:tcPr>
          <w:p w:rsidR="00985719" w:rsidRPr="00A51DA3" w:rsidRDefault="00985719" w:rsidP="00A87EEC">
            <w:pPr>
              <w:autoSpaceDE w:val="0"/>
              <w:autoSpaceDN w:val="0"/>
              <w:adjustRightInd w:val="0"/>
              <w:jc w:val="right"/>
              <w:rPr>
                <w:color w:val="000000"/>
              </w:rPr>
            </w:pPr>
          </w:p>
        </w:tc>
        <w:tc>
          <w:tcPr>
            <w:tcW w:w="1418" w:type="dxa"/>
            <w:shd w:val="clear" w:color="auto" w:fill="FFFFFF"/>
            <w:vAlign w:val="bottom"/>
          </w:tcPr>
          <w:p w:rsidR="00985719" w:rsidRPr="00A51DA3" w:rsidRDefault="00985719" w:rsidP="00A87EEC">
            <w:pPr>
              <w:autoSpaceDE w:val="0"/>
              <w:autoSpaceDN w:val="0"/>
              <w:adjustRightInd w:val="0"/>
              <w:jc w:val="right"/>
              <w:rPr>
                <w:color w:val="000000"/>
              </w:rPr>
            </w:pPr>
          </w:p>
        </w:tc>
      </w:tr>
      <w:tr w:rsidR="00985719" w:rsidRPr="00A51DA3" w:rsidTr="00D624D6">
        <w:trPr>
          <w:trHeight w:val="181"/>
        </w:trPr>
        <w:tc>
          <w:tcPr>
            <w:tcW w:w="4042" w:type="dxa"/>
            <w:shd w:val="clear" w:color="auto" w:fill="FFFFFF"/>
            <w:vAlign w:val="bottom"/>
          </w:tcPr>
          <w:p w:rsidR="00985719" w:rsidRPr="00A51DA3" w:rsidRDefault="00985719" w:rsidP="00A87EEC">
            <w:pPr>
              <w:autoSpaceDE w:val="0"/>
              <w:autoSpaceDN w:val="0"/>
              <w:adjustRightInd w:val="0"/>
              <w:rPr>
                <w:b/>
                <w:bCs/>
                <w:color w:val="000000"/>
              </w:rPr>
            </w:pPr>
            <w:r w:rsidRPr="00A51DA3">
              <w:rPr>
                <w:b/>
                <w:bCs/>
                <w:color w:val="000000"/>
              </w:rPr>
              <w:t>Нетекущи пасиви</w:t>
            </w:r>
          </w:p>
        </w:tc>
        <w:tc>
          <w:tcPr>
            <w:tcW w:w="1430" w:type="dxa"/>
            <w:gridSpan w:val="2"/>
            <w:shd w:val="clear" w:color="auto" w:fill="FFFFFF"/>
            <w:vAlign w:val="bottom"/>
          </w:tcPr>
          <w:p w:rsidR="00985719" w:rsidRPr="00A51DA3" w:rsidRDefault="00985719" w:rsidP="00A87EEC">
            <w:pPr>
              <w:autoSpaceDE w:val="0"/>
              <w:autoSpaceDN w:val="0"/>
              <w:adjustRightInd w:val="0"/>
              <w:jc w:val="right"/>
              <w:rPr>
                <w:color w:val="000000"/>
              </w:rPr>
            </w:pPr>
          </w:p>
        </w:tc>
        <w:tc>
          <w:tcPr>
            <w:tcW w:w="1546" w:type="dxa"/>
            <w:shd w:val="clear" w:color="auto" w:fill="FFFFFF"/>
            <w:vAlign w:val="bottom"/>
          </w:tcPr>
          <w:p w:rsidR="00985719" w:rsidRPr="00A51DA3" w:rsidRDefault="00985719" w:rsidP="00A87EEC">
            <w:pPr>
              <w:autoSpaceDE w:val="0"/>
              <w:autoSpaceDN w:val="0"/>
              <w:adjustRightInd w:val="0"/>
              <w:jc w:val="right"/>
              <w:rPr>
                <w:color w:val="000000"/>
              </w:rPr>
            </w:pPr>
          </w:p>
        </w:tc>
        <w:tc>
          <w:tcPr>
            <w:tcW w:w="1417" w:type="dxa"/>
            <w:shd w:val="clear" w:color="auto" w:fill="FFFFFF"/>
            <w:vAlign w:val="bottom"/>
          </w:tcPr>
          <w:p w:rsidR="00985719" w:rsidRPr="00A51DA3" w:rsidRDefault="00985719" w:rsidP="00A87EEC">
            <w:pPr>
              <w:autoSpaceDE w:val="0"/>
              <w:autoSpaceDN w:val="0"/>
              <w:adjustRightInd w:val="0"/>
              <w:jc w:val="right"/>
              <w:rPr>
                <w:color w:val="000000"/>
              </w:rPr>
            </w:pPr>
          </w:p>
        </w:tc>
        <w:tc>
          <w:tcPr>
            <w:tcW w:w="1418" w:type="dxa"/>
            <w:shd w:val="clear" w:color="auto" w:fill="FFFFFF"/>
            <w:vAlign w:val="bottom"/>
          </w:tcPr>
          <w:p w:rsidR="00985719" w:rsidRPr="00A51DA3" w:rsidRDefault="00985719" w:rsidP="00A87EEC">
            <w:pPr>
              <w:autoSpaceDE w:val="0"/>
              <w:autoSpaceDN w:val="0"/>
              <w:adjustRightInd w:val="0"/>
              <w:jc w:val="right"/>
              <w:rPr>
                <w:color w:val="000000"/>
              </w:rPr>
            </w:pPr>
          </w:p>
        </w:tc>
      </w:tr>
      <w:tr w:rsidR="00454095" w:rsidRPr="00A51DA3" w:rsidTr="00D624D6">
        <w:trPr>
          <w:trHeight w:val="181"/>
        </w:trPr>
        <w:tc>
          <w:tcPr>
            <w:tcW w:w="4042" w:type="dxa"/>
            <w:shd w:val="clear" w:color="auto" w:fill="FFFFFF"/>
            <w:vAlign w:val="bottom"/>
          </w:tcPr>
          <w:p w:rsidR="00454095" w:rsidRPr="00A51DA3" w:rsidRDefault="00454095" w:rsidP="00A87EEC">
            <w:pPr>
              <w:autoSpaceDE w:val="0"/>
              <w:autoSpaceDN w:val="0"/>
              <w:adjustRightInd w:val="0"/>
              <w:rPr>
                <w:color w:val="000000"/>
              </w:rPr>
            </w:pPr>
            <w:r w:rsidRPr="00A51DA3">
              <w:rPr>
                <w:color w:val="000000"/>
              </w:rPr>
              <w:t>Пенсионни и други задължения към персонала</w:t>
            </w:r>
          </w:p>
        </w:tc>
        <w:tc>
          <w:tcPr>
            <w:tcW w:w="1430" w:type="dxa"/>
            <w:gridSpan w:val="2"/>
            <w:shd w:val="clear" w:color="auto" w:fill="FFFFFF"/>
            <w:vAlign w:val="bottom"/>
          </w:tcPr>
          <w:p w:rsidR="00454095" w:rsidRPr="00A51DA3" w:rsidRDefault="00454095" w:rsidP="00A87EEC">
            <w:pPr>
              <w:autoSpaceDE w:val="0"/>
              <w:autoSpaceDN w:val="0"/>
              <w:adjustRightInd w:val="0"/>
              <w:jc w:val="right"/>
              <w:rPr>
                <w:color w:val="000000"/>
              </w:rPr>
            </w:pPr>
          </w:p>
        </w:tc>
        <w:tc>
          <w:tcPr>
            <w:tcW w:w="1546" w:type="dxa"/>
            <w:shd w:val="clear" w:color="auto" w:fill="FFFFFF"/>
            <w:vAlign w:val="bottom"/>
          </w:tcPr>
          <w:p w:rsidR="00454095" w:rsidRPr="00343C90" w:rsidRDefault="005532A6" w:rsidP="00DC1D42">
            <w:pPr>
              <w:autoSpaceDE w:val="0"/>
              <w:autoSpaceDN w:val="0"/>
              <w:adjustRightInd w:val="0"/>
              <w:jc w:val="right"/>
              <w:rPr>
                <w:color w:val="000000"/>
              </w:rPr>
            </w:pPr>
            <w:r>
              <w:rPr>
                <w:color w:val="000000"/>
              </w:rPr>
              <w:t>44</w:t>
            </w:r>
          </w:p>
        </w:tc>
        <w:tc>
          <w:tcPr>
            <w:tcW w:w="1417" w:type="dxa"/>
            <w:shd w:val="clear" w:color="auto" w:fill="FFFFFF"/>
            <w:vAlign w:val="bottom"/>
          </w:tcPr>
          <w:p w:rsidR="00454095" w:rsidRPr="00343C90" w:rsidRDefault="00454095" w:rsidP="00454095">
            <w:pPr>
              <w:autoSpaceDE w:val="0"/>
              <w:autoSpaceDN w:val="0"/>
              <w:adjustRightInd w:val="0"/>
              <w:jc w:val="right"/>
              <w:rPr>
                <w:color w:val="000000"/>
              </w:rPr>
            </w:pPr>
            <w:r>
              <w:rPr>
                <w:color w:val="000000"/>
              </w:rPr>
              <w:t>44</w:t>
            </w:r>
          </w:p>
        </w:tc>
        <w:tc>
          <w:tcPr>
            <w:tcW w:w="1418" w:type="dxa"/>
            <w:shd w:val="clear" w:color="auto" w:fill="FFFFFF"/>
            <w:vAlign w:val="bottom"/>
          </w:tcPr>
          <w:p w:rsidR="00454095" w:rsidRPr="00343C90" w:rsidRDefault="00454095" w:rsidP="00454095">
            <w:pPr>
              <w:autoSpaceDE w:val="0"/>
              <w:autoSpaceDN w:val="0"/>
              <w:adjustRightInd w:val="0"/>
              <w:jc w:val="right"/>
              <w:rPr>
                <w:color w:val="000000"/>
              </w:rPr>
            </w:pPr>
            <w:r>
              <w:rPr>
                <w:color w:val="000000"/>
              </w:rPr>
              <w:t>81</w:t>
            </w:r>
          </w:p>
        </w:tc>
      </w:tr>
      <w:tr w:rsidR="00454095" w:rsidRPr="00A51DA3" w:rsidTr="00D624D6">
        <w:trPr>
          <w:trHeight w:val="181"/>
        </w:trPr>
        <w:tc>
          <w:tcPr>
            <w:tcW w:w="4042" w:type="dxa"/>
            <w:shd w:val="clear" w:color="auto" w:fill="FFFFFF"/>
            <w:vAlign w:val="bottom"/>
          </w:tcPr>
          <w:p w:rsidR="00454095" w:rsidRPr="00A51DA3" w:rsidRDefault="00454095" w:rsidP="00A87EEC">
            <w:pPr>
              <w:autoSpaceDE w:val="0"/>
              <w:autoSpaceDN w:val="0"/>
              <w:adjustRightInd w:val="0"/>
            </w:pPr>
            <w:r w:rsidRPr="00A51DA3">
              <w:t>Дългосрочни заеми</w:t>
            </w:r>
          </w:p>
        </w:tc>
        <w:tc>
          <w:tcPr>
            <w:tcW w:w="1430" w:type="dxa"/>
            <w:gridSpan w:val="2"/>
            <w:shd w:val="clear" w:color="auto" w:fill="FFFFFF"/>
            <w:vAlign w:val="bottom"/>
          </w:tcPr>
          <w:p w:rsidR="00454095" w:rsidRPr="00A51DA3" w:rsidRDefault="00454095" w:rsidP="00A87EEC">
            <w:pPr>
              <w:tabs>
                <w:tab w:val="left" w:pos="1209"/>
              </w:tabs>
              <w:autoSpaceDE w:val="0"/>
              <w:autoSpaceDN w:val="0"/>
              <w:adjustRightInd w:val="0"/>
              <w:jc w:val="right"/>
            </w:pPr>
          </w:p>
        </w:tc>
        <w:tc>
          <w:tcPr>
            <w:tcW w:w="1546" w:type="dxa"/>
            <w:shd w:val="clear" w:color="auto" w:fill="FFFFFF"/>
          </w:tcPr>
          <w:p w:rsidR="00454095" w:rsidRPr="00343C90" w:rsidRDefault="005532A6" w:rsidP="00DC1D42">
            <w:pPr>
              <w:autoSpaceDE w:val="0"/>
              <w:autoSpaceDN w:val="0"/>
              <w:adjustRightInd w:val="0"/>
              <w:jc w:val="right"/>
            </w:pPr>
            <w:r>
              <w:t>52 325</w:t>
            </w:r>
          </w:p>
        </w:tc>
        <w:tc>
          <w:tcPr>
            <w:tcW w:w="1417" w:type="dxa"/>
            <w:shd w:val="clear" w:color="auto" w:fill="FFFFFF"/>
          </w:tcPr>
          <w:p w:rsidR="00454095" w:rsidRPr="00343C90" w:rsidRDefault="00454095" w:rsidP="00454095">
            <w:pPr>
              <w:autoSpaceDE w:val="0"/>
              <w:autoSpaceDN w:val="0"/>
              <w:adjustRightInd w:val="0"/>
              <w:jc w:val="right"/>
            </w:pPr>
            <w:r>
              <w:t>24 135</w:t>
            </w:r>
          </w:p>
        </w:tc>
        <w:tc>
          <w:tcPr>
            <w:tcW w:w="1418" w:type="dxa"/>
            <w:shd w:val="clear" w:color="auto" w:fill="FFFFFF"/>
          </w:tcPr>
          <w:p w:rsidR="00454095" w:rsidRPr="00343C90" w:rsidRDefault="00454095" w:rsidP="00454095">
            <w:pPr>
              <w:autoSpaceDE w:val="0"/>
              <w:autoSpaceDN w:val="0"/>
              <w:adjustRightInd w:val="0"/>
              <w:jc w:val="right"/>
            </w:pPr>
            <w:r>
              <w:t>48 270</w:t>
            </w:r>
          </w:p>
        </w:tc>
      </w:tr>
      <w:tr w:rsidR="00454095" w:rsidRPr="00A51DA3" w:rsidTr="00D624D6">
        <w:trPr>
          <w:trHeight w:val="181"/>
        </w:trPr>
        <w:tc>
          <w:tcPr>
            <w:tcW w:w="4042" w:type="dxa"/>
            <w:shd w:val="clear" w:color="auto" w:fill="FFFFFF"/>
            <w:vAlign w:val="bottom"/>
          </w:tcPr>
          <w:p w:rsidR="00454095" w:rsidRPr="00A51DA3" w:rsidRDefault="00454095" w:rsidP="00A87EEC">
            <w:pPr>
              <w:autoSpaceDE w:val="0"/>
              <w:autoSpaceDN w:val="0"/>
              <w:adjustRightInd w:val="0"/>
              <w:rPr>
                <w:color w:val="000000"/>
              </w:rPr>
            </w:pPr>
            <w:r w:rsidRPr="00A51DA3">
              <w:rPr>
                <w:color w:val="000000"/>
              </w:rPr>
              <w:t>Задължения по финансов лизинг</w:t>
            </w:r>
          </w:p>
        </w:tc>
        <w:tc>
          <w:tcPr>
            <w:tcW w:w="1430" w:type="dxa"/>
            <w:gridSpan w:val="2"/>
            <w:shd w:val="clear" w:color="auto" w:fill="FFFFFF"/>
            <w:vAlign w:val="bottom"/>
          </w:tcPr>
          <w:p w:rsidR="00454095" w:rsidRPr="00A51DA3" w:rsidRDefault="00454095" w:rsidP="00A87EEC">
            <w:pPr>
              <w:tabs>
                <w:tab w:val="left" w:pos="1209"/>
              </w:tabs>
              <w:autoSpaceDE w:val="0"/>
              <w:autoSpaceDN w:val="0"/>
              <w:adjustRightInd w:val="0"/>
              <w:jc w:val="right"/>
            </w:pPr>
          </w:p>
        </w:tc>
        <w:tc>
          <w:tcPr>
            <w:tcW w:w="1546" w:type="dxa"/>
            <w:shd w:val="clear" w:color="auto" w:fill="FFFFFF"/>
          </w:tcPr>
          <w:p w:rsidR="00454095" w:rsidRPr="00343C90" w:rsidRDefault="005532A6" w:rsidP="00DC1D42">
            <w:pPr>
              <w:autoSpaceDE w:val="0"/>
              <w:autoSpaceDN w:val="0"/>
              <w:adjustRightInd w:val="0"/>
              <w:jc w:val="right"/>
              <w:rPr>
                <w:color w:val="000000"/>
              </w:rPr>
            </w:pPr>
            <w:r>
              <w:rPr>
                <w:color w:val="000000"/>
              </w:rPr>
              <w:t>41 377</w:t>
            </w:r>
          </w:p>
        </w:tc>
        <w:tc>
          <w:tcPr>
            <w:tcW w:w="1417" w:type="dxa"/>
            <w:shd w:val="clear" w:color="auto" w:fill="FFFFFF"/>
          </w:tcPr>
          <w:p w:rsidR="00454095" w:rsidRPr="00343C90" w:rsidRDefault="00454095" w:rsidP="00454095">
            <w:pPr>
              <w:autoSpaceDE w:val="0"/>
              <w:autoSpaceDN w:val="0"/>
              <w:adjustRightInd w:val="0"/>
              <w:jc w:val="right"/>
              <w:rPr>
                <w:color w:val="000000"/>
              </w:rPr>
            </w:pPr>
            <w:r>
              <w:rPr>
                <w:color w:val="000000"/>
              </w:rPr>
              <w:t>41 377</w:t>
            </w:r>
          </w:p>
        </w:tc>
        <w:tc>
          <w:tcPr>
            <w:tcW w:w="1418" w:type="dxa"/>
            <w:shd w:val="clear" w:color="auto" w:fill="FFFFFF"/>
          </w:tcPr>
          <w:p w:rsidR="00454095" w:rsidRPr="00343C90" w:rsidRDefault="00454095" w:rsidP="00454095">
            <w:pPr>
              <w:autoSpaceDE w:val="0"/>
              <w:autoSpaceDN w:val="0"/>
              <w:adjustRightInd w:val="0"/>
              <w:jc w:val="right"/>
              <w:rPr>
                <w:color w:val="000000"/>
              </w:rPr>
            </w:pPr>
            <w:r>
              <w:rPr>
                <w:color w:val="000000"/>
              </w:rPr>
              <w:t>43 322</w:t>
            </w:r>
          </w:p>
        </w:tc>
      </w:tr>
      <w:tr w:rsidR="00454095" w:rsidRPr="00A51DA3" w:rsidTr="00D624D6">
        <w:trPr>
          <w:trHeight w:val="181"/>
        </w:trPr>
        <w:tc>
          <w:tcPr>
            <w:tcW w:w="4042" w:type="dxa"/>
            <w:shd w:val="clear" w:color="auto" w:fill="FFFFFF"/>
            <w:vAlign w:val="bottom"/>
          </w:tcPr>
          <w:p w:rsidR="00454095" w:rsidRPr="00A51DA3" w:rsidRDefault="00454095" w:rsidP="00A87EEC">
            <w:pPr>
              <w:autoSpaceDE w:val="0"/>
              <w:autoSpaceDN w:val="0"/>
              <w:adjustRightInd w:val="0"/>
            </w:pPr>
            <w:r w:rsidRPr="00A51DA3">
              <w:t>Финансиране</w:t>
            </w:r>
          </w:p>
        </w:tc>
        <w:tc>
          <w:tcPr>
            <w:tcW w:w="1430" w:type="dxa"/>
            <w:gridSpan w:val="2"/>
            <w:shd w:val="clear" w:color="auto" w:fill="FFFFFF"/>
            <w:vAlign w:val="bottom"/>
          </w:tcPr>
          <w:p w:rsidR="00454095" w:rsidRPr="00A51DA3" w:rsidRDefault="00454095" w:rsidP="001E2B58">
            <w:pPr>
              <w:autoSpaceDE w:val="0"/>
              <w:autoSpaceDN w:val="0"/>
              <w:adjustRightInd w:val="0"/>
              <w:jc w:val="right"/>
            </w:pPr>
          </w:p>
        </w:tc>
        <w:tc>
          <w:tcPr>
            <w:tcW w:w="1546" w:type="dxa"/>
            <w:shd w:val="clear" w:color="auto" w:fill="FFFFFF"/>
          </w:tcPr>
          <w:p w:rsidR="00454095" w:rsidRPr="00343C90" w:rsidRDefault="005532A6" w:rsidP="00DC1D42">
            <w:pPr>
              <w:autoSpaceDE w:val="0"/>
              <w:autoSpaceDN w:val="0"/>
              <w:adjustRightInd w:val="0"/>
              <w:jc w:val="right"/>
              <w:rPr>
                <w:color w:val="000000"/>
              </w:rPr>
            </w:pPr>
            <w:r>
              <w:rPr>
                <w:color w:val="000000"/>
              </w:rPr>
              <w:t>593</w:t>
            </w:r>
          </w:p>
        </w:tc>
        <w:tc>
          <w:tcPr>
            <w:tcW w:w="1417" w:type="dxa"/>
            <w:shd w:val="clear" w:color="auto" w:fill="FFFFFF"/>
          </w:tcPr>
          <w:p w:rsidR="00454095" w:rsidRPr="00343C90" w:rsidRDefault="00454095" w:rsidP="00454095">
            <w:pPr>
              <w:autoSpaceDE w:val="0"/>
              <w:autoSpaceDN w:val="0"/>
              <w:adjustRightInd w:val="0"/>
              <w:jc w:val="right"/>
              <w:rPr>
                <w:color w:val="000000"/>
              </w:rPr>
            </w:pPr>
            <w:r>
              <w:rPr>
                <w:color w:val="000000"/>
              </w:rPr>
              <w:t>631</w:t>
            </w:r>
          </w:p>
        </w:tc>
        <w:tc>
          <w:tcPr>
            <w:tcW w:w="1418" w:type="dxa"/>
            <w:shd w:val="clear" w:color="auto" w:fill="FFFFFF"/>
          </w:tcPr>
          <w:p w:rsidR="00454095" w:rsidRPr="00343C90" w:rsidRDefault="00454095" w:rsidP="00454095">
            <w:pPr>
              <w:autoSpaceDE w:val="0"/>
              <w:autoSpaceDN w:val="0"/>
              <w:adjustRightInd w:val="0"/>
              <w:jc w:val="right"/>
              <w:rPr>
                <w:color w:val="000000"/>
              </w:rPr>
            </w:pPr>
            <w:r>
              <w:rPr>
                <w:color w:val="000000"/>
              </w:rPr>
              <w:t>687</w:t>
            </w:r>
          </w:p>
        </w:tc>
      </w:tr>
      <w:tr w:rsidR="00454095" w:rsidRPr="00A51DA3" w:rsidTr="00D624D6">
        <w:trPr>
          <w:trHeight w:val="181"/>
        </w:trPr>
        <w:tc>
          <w:tcPr>
            <w:tcW w:w="4042" w:type="dxa"/>
            <w:shd w:val="clear" w:color="auto" w:fill="FFFFFF"/>
            <w:vAlign w:val="bottom"/>
          </w:tcPr>
          <w:p w:rsidR="00454095" w:rsidRPr="00A51DA3" w:rsidRDefault="00454095" w:rsidP="00A87EEC">
            <w:pPr>
              <w:autoSpaceDE w:val="0"/>
              <w:autoSpaceDN w:val="0"/>
              <w:adjustRightInd w:val="0"/>
              <w:rPr>
                <w:color w:val="000000"/>
              </w:rPr>
            </w:pPr>
            <w:r w:rsidRPr="00A51DA3">
              <w:rPr>
                <w:color w:val="000000"/>
              </w:rPr>
              <w:t>Нетекущи пасиви</w:t>
            </w:r>
          </w:p>
        </w:tc>
        <w:tc>
          <w:tcPr>
            <w:tcW w:w="1430" w:type="dxa"/>
            <w:gridSpan w:val="2"/>
            <w:shd w:val="clear" w:color="auto" w:fill="FFFFFF"/>
            <w:vAlign w:val="bottom"/>
          </w:tcPr>
          <w:p w:rsidR="00454095" w:rsidRPr="00A51DA3" w:rsidRDefault="00454095" w:rsidP="00A87EEC">
            <w:pPr>
              <w:autoSpaceDE w:val="0"/>
              <w:autoSpaceDN w:val="0"/>
              <w:adjustRightInd w:val="0"/>
              <w:jc w:val="right"/>
              <w:rPr>
                <w:color w:val="000000"/>
              </w:rPr>
            </w:pPr>
          </w:p>
        </w:tc>
        <w:tc>
          <w:tcPr>
            <w:tcW w:w="1546" w:type="dxa"/>
            <w:tcBorders>
              <w:top w:val="single" w:sz="4" w:space="0" w:color="auto"/>
              <w:left w:val="nil"/>
              <w:bottom w:val="single" w:sz="4" w:space="0" w:color="auto"/>
              <w:right w:val="nil"/>
            </w:tcBorders>
            <w:shd w:val="clear" w:color="auto" w:fill="FFFFFF"/>
          </w:tcPr>
          <w:p w:rsidR="00454095" w:rsidRPr="00343C90" w:rsidRDefault="005532A6" w:rsidP="00DC1D42">
            <w:pPr>
              <w:autoSpaceDE w:val="0"/>
              <w:autoSpaceDN w:val="0"/>
              <w:adjustRightInd w:val="0"/>
              <w:jc w:val="right"/>
              <w:rPr>
                <w:b/>
                <w:color w:val="000000"/>
              </w:rPr>
            </w:pPr>
            <w:r>
              <w:rPr>
                <w:b/>
                <w:color w:val="000000"/>
              </w:rPr>
              <w:t>94 339</w:t>
            </w:r>
          </w:p>
        </w:tc>
        <w:tc>
          <w:tcPr>
            <w:tcW w:w="1417" w:type="dxa"/>
            <w:tcBorders>
              <w:top w:val="single" w:sz="4" w:space="0" w:color="auto"/>
              <w:left w:val="nil"/>
              <w:bottom w:val="single" w:sz="4" w:space="0" w:color="auto"/>
              <w:right w:val="nil"/>
            </w:tcBorders>
            <w:shd w:val="clear" w:color="auto" w:fill="FFFFFF"/>
          </w:tcPr>
          <w:p w:rsidR="00454095" w:rsidRPr="00343C90" w:rsidRDefault="00454095" w:rsidP="00454095">
            <w:pPr>
              <w:autoSpaceDE w:val="0"/>
              <w:autoSpaceDN w:val="0"/>
              <w:adjustRightInd w:val="0"/>
              <w:jc w:val="right"/>
              <w:rPr>
                <w:b/>
                <w:color w:val="000000"/>
              </w:rPr>
            </w:pPr>
            <w:r>
              <w:rPr>
                <w:b/>
                <w:color w:val="000000"/>
              </w:rPr>
              <w:t>66 187</w:t>
            </w:r>
          </w:p>
        </w:tc>
        <w:tc>
          <w:tcPr>
            <w:tcW w:w="1418" w:type="dxa"/>
            <w:tcBorders>
              <w:top w:val="single" w:sz="4" w:space="0" w:color="auto"/>
              <w:left w:val="nil"/>
              <w:bottom w:val="single" w:sz="4" w:space="0" w:color="auto"/>
              <w:right w:val="nil"/>
            </w:tcBorders>
            <w:shd w:val="clear" w:color="auto" w:fill="FFFFFF"/>
          </w:tcPr>
          <w:p w:rsidR="00454095" w:rsidRPr="00343C90" w:rsidRDefault="00454095" w:rsidP="00454095">
            <w:pPr>
              <w:autoSpaceDE w:val="0"/>
              <w:autoSpaceDN w:val="0"/>
              <w:adjustRightInd w:val="0"/>
              <w:jc w:val="right"/>
              <w:rPr>
                <w:b/>
                <w:color w:val="000000"/>
              </w:rPr>
            </w:pPr>
            <w:r>
              <w:rPr>
                <w:b/>
                <w:color w:val="000000"/>
              </w:rPr>
              <w:t>92 360</w:t>
            </w:r>
          </w:p>
        </w:tc>
      </w:tr>
      <w:tr w:rsidR="00985719" w:rsidRPr="00A51DA3" w:rsidTr="00D624D6">
        <w:trPr>
          <w:trHeight w:val="181"/>
        </w:trPr>
        <w:tc>
          <w:tcPr>
            <w:tcW w:w="4042" w:type="dxa"/>
            <w:shd w:val="clear" w:color="auto" w:fill="FFFFFF"/>
          </w:tcPr>
          <w:p w:rsidR="00985719" w:rsidRPr="00A51DA3" w:rsidRDefault="00985719" w:rsidP="00A87EEC">
            <w:pPr>
              <w:autoSpaceDE w:val="0"/>
              <w:autoSpaceDN w:val="0"/>
              <w:adjustRightInd w:val="0"/>
            </w:pPr>
          </w:p>
        </w:tc>
        <w:tc>
          <w:tcPr>
            <w:tcW w:w="1430" w:type="dxa"/>
            <w:gridSpan w:val="2"/>
            <w:shd w:val="clear" w:color="auto" w:fill="FFFFFF"/>
            <w:vAlign w:val="bottom"/>
          </w:tcPr>
          <w:p w:rsidR="00985719" w:rsidRPr="00A51DA3" w:rsidRDefault="00985719" w:rsidP="00A87EEC">
            <w:pPr>
              <w:autoSpaceDE w:val="0"/>
              <w:autoSpaceDN w:val="0"/>
              <w:adjustRightInd w:val="0"/>
              <w:jc w:val="right"/>
            </w:pPr>
          </w:p>
        </w:tc>
        <w:tc>
          <w:tcPr>
            <w:tcW w:w="1546" w:type="dxa"/>
            <w:tcBorders>
              <w:top w:val="single" w:sz="4" w:space="0" w:color="auto"/>
              <w:left w:val="nil"/>
              <w:bottom w:val="nil"/>
              <w:right w:val="nil"/>
            </w:tcBorders>
            <w:shd w:val="clear" w:color="auto" w:fill="FFFFFF"/>
            <w:vAlign w:val="bottom"/>
          </w:tcPr>
          <w:p w:rsidR="00985719" w:rsidRPr="00A51DA3" w:rsidRDefault="00985719" w:rsidP="00A87EEC">
            <w:pPr>
              <w:autoSpaceDE w:val="0"/>
              <w:autoSpaceDN w:val="0"/>
              <w:adjustRightInd w:val="0"/>
              <w:jc w:val="right"/>
              <w:rPr>
                <w:b/>
                <w:bCs/>
              </w:rPr>
            </w:pPr>
          </w:p>
        </w:tc>
        <w:tc>
          <w:tcPr>
            <w:tcW w:w="1417" w:type="dxa"/>
            <w:tcBorders>
              <w:top w:val="single" w:sz="4" w:space="0" w:color="auto"/>
              <w:left w:val="nil"/>
              <w:bottom w:val="nil"/>
              <w:right w:val="nil"/>
            </w:tcBorders>
            <w:shd w:val="clear" w:color="auto" w:fill="FFFFFF"/>
            <w:vAlign w:val="bottom"/>
          </w:tcPr>
          <w:p w:rsidR="00985719" w:rsidRPr="00A51DA3" w:rsidRDefault="00985719" w:rsidP="00A87EEC">
            <w:pPr>
              <w:autoSpaceDE w:val="0"/>
              <w:autoSpaceDN w:val="0"/>
              <w:adjustRightInd w:val="0"/>
              <w:jc w:val="right"/>
              <w:rPr>
                <w:b/>
                <w:bCs/>
              </w:rPr>
            </w:pPr>
          </w:p>
        </w:tc>
        <w:tc>
          <w:tcPr>
            <w:tcW w:w="1418" w:type="dxa"/>
            <w:tcBorders>
              <w:top w:val="single" w:sz="4" w:space="0" w:color="auto"/>
              <w:left w:val="nil"/>
              <w:bottom w:val="nil"/>
              <w:right w:val="nil"/>
            </w:tcBorders>
            <w:shd w:val="clear" w:color="auto" w:fill="FFFFFF"/>
            <w:vAlign w:val="bottom"/>
          </w:tcPr>
          <w:p w:rsidR="00985719" w:rsidRPr="00A51DA3" w:rsidRDefault="00985719" w:rsidP="00A87EEC">
            <w:pPr>
              <w:autoSpaceDE w:val="0"/>
              <w:autoSpaceDN w:val="0"/>
              <w:adjustRightInd w:val="0"/>
              <w:jc w:val="right"/>
              <w:rPr>
                <w:b/>
                <w:bCs/>
              </w:rPr>
            </w:pPr>
          </w:p>
        </w:tc>
      </w:tr>
      <w:tr w:rsidR="00985719" w:rsidRPr="00A51DA3" w:rsidTr="00D624D6">
        <w:trPr>
          <w:trHeight w:val="181"/>
        </w:trPr>
        <w:tc>
          <w:tcPr>
            <w:tcW w:w="4042" w:type="dxa"/>
            <w:shd w:val="clear" w:color="auto" w:fill="FFFFFF"/>
            <w:vAlign w:val="bottom"/>
          </w:tcPr>
          <w:p w:rsidR="00985719" w:rsidRPr="00A51DA3" w:rsidRDefault="00985719" w:rsidP="00A87EEC">
            <w:pPr>
              <w:autoSpaceDE w:val="0"/>
              <w:autoSpaceDN w:val="0"/>
              <w:adjustRightInd w:val="0"/>
              <w:rPr>
                <w:b/>
                <w:bCs/>
                <w:color w:val="000000"/>
              </w:rPr>
            </w:pPr>
            <w:r w:rsidRPr="00A51DA3">
              <w:rPr>
                <w:b/>
                <w:bCs/>
                <w:color w:val="000000"/>
              </w:rPr>
              <w:t>Текущи пасиви</w:t>
            </w:r>
          </w:p>
        </w:tc>
        <w:tc>
          <w:tcPr>
            <w:tcW w:w="1430" w:type="dxa"/>
            <w:gridSpan w:val="2"/>
            <w:shd w:val="clear" w:color="auto" w:fill="FFFFFF"/>
            <w:vAlign w:val="bottom"/>
          </w:tcPr>
          <w:p w:rsidR="00985719" w:rsidRPr="00A51DA3" w:rsidRDefault="00985719" w:rsidP="00A87EEC">
            <w:pPr>
              <w:autoSpaceDE w:val="0"/>
              <w:autoSpaceDN w:val="0"/>
              <w:adjustRightInd w:val="0"/>
              <w:jc w:val="right"/>
              <w:rPr>
                <w:color w:val="000000"/>
              </w:rPr>
            </w:pPr>
          </w:p>
        </w:tc>
        <w:tc>
          <w:tcPr>
            <w:tcW w:w="1546" w:type="dxa"/>
            <w:shd w:val="clear" w:color="auto" w:fill="FFFFFF"/>
            <w:vAlign w:val="bottom"/>
          </w:tcPr>
          <w:p w:rsidR="00985719" w:rsidRPr="00A51DA3" w:rsidRDefault="00985719" w:rsidP="00A87EEC">
            <w:pPr>
              <w:autoSpaceDE w:val="0"/>
              <w:autoSpaceDN w:val="0"/>
              <w:adjustRightInd w:val="0"/>
              <w:jc w:val="right"/>
              <w:rPr>
                <w:color w:val="000000"/>
              </w:rPr>
            </w:pPr>
          </w:p>
        </w:tc>
        <w:tc>
          <w:tcPr>
            <w:tcW w:w="1417" w:type="dxa"/>
            <w:shd w:val="clear" w:color="auto" w:fill="FFFFFF"/>
            <w:vAlign w:val="bottom"/>
          </w:tcPr>
          <w:p w:rsidR="00985719" w:rsidRPr="00A51DA3" w:rsidRDefault="00985719" w:rsidP="00A87EEC">
            <w:pPr>
              <w:autoSpaceDE w:val="0"/>
              <w:autoSpaceDN w:val="0"/>
              <w:adjustRightInd w:val="0"/>
              <w:jc w:val="right"/>
              <w:rPr>
                <w:color w:val="000000"/>
              </w:rPr>
            </w:pPr>
          </w:p>
        </w:tc>
        <w:tc>
          <w:tcPr>
            <w:tcW w:w="1418" w:type="dxa"/>
            <w:shd w:val="clear" w:color="auto" w:fill="FFFFFF"/>
            <w:vAlign w:val="bottom"/>
          </w:tcPr>
          <w:p w:rsidR="00985719" w:rsidRPr="00A51DA3" w:rsidRDefault="00985719" w:rsidP="00A87EEC">
            <w:pPr>
              <w:autoSpaceDE w:val="0"/>
              <w:autoSpaceDN w:val="0"/>
              <w:adjustRightInd w:val="0"/>
              <w:jc w:val="right"/>
              <w:rPr>
                <w:color w:val="000000"/>
              </w:rPr>
            </w:pPr>
          </w:p>
        </w:tc>
      </w:tr>
      <w:tr w:rsidR="00454095" w:rsidRPr="00A51DA3" w:rsidTr="00D624D6">
        <w:trPr>
          <w:trHeight w:val="181"/>
        </w:trPr>
        <w:tc>
          <w:tcPr>
            <w:tcW w:w="4042" w:type="dxa"/>
            <w:shd w:val="clear" w:color="auto" w:fill="FFFFFF"/>
            <w:vAlign w:val="bottom"/>
          </w:tcPr>
          <w:p w:rsidR="00454095" w:rsidRPr="00A51DA3" w:rsidRDefault="00454095" w:rsidP="00A87EEC">
            <w:pPr>
              <w:autoSpaceDE w:val="0"/>
              <w:autoSpaceDN w:val="0"/>
              <w:adjustRightInd w:val="0"/>
              <w:rPr>
                <w:color w:val="000000"/>
              </w:rPr>
            </w:pPr>
            <w:r w:rsidRPr="00A51DA3">
              <w:rPr>
                <w:color w:val="000000"/>
              </w:rPr>
              <w:t>Провизии</w:t>
            </w:r>
          </w:p>
        </w:tc>
        <w:tc>
          <w:tcPr>
            <w:tcW w:w="1430" w:type="dxa"/>
            <w:gridSpan w:val="2"/>
            <w:shd w:val="clear" w:color="auto" w:fill="FFFFFF"/>
            <w:vAlign w:val="bottom"/>
          </w:tcPr>
          <w:p w:rsidR="00454095" w:rsidRPr="00A51DA3" w:rsidRDefault="00454095" w:rsidP="00A87EEC">
            <w:pPr>
              <w:autoSpaceDE w:val="0"/>
              <w:autoSpaceDN w:val="0"/>
              <w:adjustRightInd w:val="0"/>
              <w:jc w:val="right"/>
              <w:rPr>
                <w:color w:val="000000"/>
              </w:rPr>
            </w:pPr>
          </w:p>
        </w:tc>
        <w:tc>
          <w:tcPr>
            <w:tcW w:w="1546" w:type="dxa"/>
            <w:shd w:val="clear" w:color="auto" w:fill="FFFFFF"/>
            <w:vAlign w:val="bottom"/>
          </w:tcPr>
          <w:p w:rsidR="00454095" w:rsidRPr="00343C90" w:rsidRDefault="005532A6" w:rsidP="0021161C">
            <w:pPr>
              <w:autoSpaceDE w:val="0"/>
              <w:autoSpaceDN w:val="0"/>
              <w:adjustRightInd w:val="0"/>
              <w:jc w:val="right"/>
              <w:rPr>
                <w:color w:val="000000"/>
              </w:rPr>
            </w:pPr>
            <w:r>
              <w:rPr>
                <w:color w:val="000000"/>
              </w:rPr>
              <w:t>81</w:t>
            </w:r>
          </w:p>
        </w:tc>
        <w:tc>
          <w:tcPr>
            <w:tcW w:w="1417" w:type="dxa"/>
            <w:shd w:val="clear" w:color="auto" w:fill="FFFFFF"/>
            <w:vAlign w:val="bottom"/>
          </w:tcPr>
          <w:p w:rsidR="00454095" w:rsidRPr="00343C90" w:rsidRDefault="00454095" w:rsidP="00454095">
            <w:pPr>
              <w:autoSpaceDE w:val="0"/>
              <w:autoSpaceDN w:val="0"/>
              <w:adjustRightInd w:val="0"/>
              <w:jc w:val="right"/>
              <w:rPr>
                <w:color w:val="000000"/>
              </w:rPr>
            </w:pPr>
            <w:r>
              <w:rPr>
                <w:color w:val="000000"/>
              </w:rPr>
              <w:t>81</w:t>
            </w:r>
          </w:p>
        </w:tc>
        <w:tc>
          <w:tcPr>
            <w:tcW w:w="1418" w:type="dxa"/>
            <w:shd w:val="clear" w:color="auto" w:fill="FFFFFF"/>
            <w:vAlign w:val="bottom"/>
          </w:tcPr>
          <w:p w:rsidR="00454095" w:rsidRPr="00343C90" w:rsidRDefault="00454095" w:rsidP="00454095">
            <w:pPr>
              <w:autoSpaceDE w:val="0"/>
              <w:autoSpaceDN w:val="0"/>
              <w:adjustRightInd w:val="0"/>
              <w:jc w:val="right"/>
              <w:rPr>
                <w:color w:val="000000"/>
              </w:rPr>
            </w:pPr>
            <w:r>
              <w:rPr>
                <w:color w:val="000000"/>
              </w:rPr>
              <w:t>43</w:t>
            </w:r>
          </w:p>
        </w:tc>
      </w:tr>
      <w:tr w:rsidR="00454095" w:rsidRPr="00A51DA3" w:rsidTr="00D624D6">
        <w:trPr>
          <w:trHeight w:val="181"/>
        </w:trPr>
        <w:tc>
          <w:tcPr>
            <w:tcW w:w="4042" w:type="dxa"/>
            <w:shd w:val="clear" w:color="auto" w:fill="FFFFFF"/>
            <w:vAlign w:val="bottom"/>
          </w:tcPr>
          <w:p w:rsidR="00454095" w:rsidRPr="00A51DA3" w:rsidRDefault="00454095" w:rsidP="00A87EEC">
            <w:pPr>
              <w:autoSpaceDE w:val="0"/>
              <w:autoSpaceDN w:val="0"/>
              <w:adjustRightInd w:val="0"/>
              <w:rPr>
                <w:color w:val="000000"/>
              </w:rPr>
            </w:pPr>
            <w:r w:rsidRPr="00A51DA3">
              <w:rPr>
                <w:color w:val="000000"/>
              </w:rPr>
              <w:t>Пенсионни и други задължения към персонала</w:t>
            </w:r>
          </w:p>
        </w:tc>
        <w:tc>
          <w:tcPr>
            <w:tcW w:w="1430" w:type="dxa"/>
            <w:gridSpan w:val="2"/>
            <w:shd w:val="clear" w:color="auto" w:fill="FFFFFF"/>
            <w:vAlign w:val="bottom"/>
          </w:tcPr>
          <w:p w:rsidR="00454095" w:rsidRPr="00A51DA3" w:rsidRDefault="00454095" w:rsidP="00A87EEC">
            <w:pPr>
              <w:autoSpaceDE w:val="0"/>
              <w:autoSpaceDN w:val="0"/>
              <w:adjustRightInd w:val="0"/>
              <w:jc w:val="right"/>
              <w:rPr>
                <w:color w:val="000000"/>
              </w:rPr>
            </w:pPr>
          </w:p>
        </w:tc>
        <w:tc>
          <w:tcPr>
            <w:tcW w:w="1546" w:type="dxa"/>
            <w:shd w:val="clear" w:color="auto" w:fill="FFFFFF"/>
            <w:vAlign w:val="bottom"/>
          </w:tcPr>
          <w:p w:rsidR="00454095" w:rsidRPr="00343C90" w:rsidRDefault="005532A6" w:rsidP="00DC1D42">
            <w:pPr>
              <w:autoSpaceDE w:val="0"/>
              <w:autoSpaceDN w:val="0"/>
              <w:adjustRightInd w:val="0"/>
              <w:jc w:val="right"/>
              <w:rPr>
                <w:color w:val="000000"/>
              </w:rPr>
            </w:pPr>
            <w:r>
              <w:rPr>
                <w:color w:val="000000"/>
              </w:rPr>
              <w:t>358</w:t>
            </w:r>
          </w:p>
        </w:tc>
        <w:tc>
          <w:tcPr>
            <w:tcW w:w="1417" w:type="dxa"/>
            <w:shd w:val="clear" w:color="auto" w:fill="FFFFFF"/>
            <w:vAlign w:val="bottom"/>
          </w:tcPr>
          <w:p w:rsidR="00454095" w:rsidRPr="00343C90" w:rsidRDefault="00454095" w:rsidP="00454095">
            <w:pPr>
              <w:autoSpaceDE w:val="0"/>
              <w:autoSpaceDN w:val="0"/>
              <w:adjustRightInd w:val="0"/>
              <w:jc w:val="right"/>
              <w:rPr>
                <w:color w:val="000000"/>
              </w:rPr>
            </w:pPr>
            <w:r>
              <w:rPr>
                <w:color w:val="000000"/>
              </w:rPr>
              <w:t>342</w:t>
            </w:r>
          </w:p>
        </w:tc>
        <w:tc>
          <w:tcPr>
            <w:tcW w:w="1418" w:type="dxa"/>
            <w:shd w:val="clear" w:color="auto" w:fill="FFFFFF"/>
            <w:vAlign w:val="bottom"/>
          </w:tcPr>
          <w:p w:rsidR="00454095" w:rsidRPr="00343C90" w:rsidRDefault="00454095" w:rsidP="00454095">
            <w:pPr>
              <w:autoSpaceDE w:val="0"/>
              <w:autoSpaceDN w:val="0"/>
              <w:adjustRightInd w:val="0"/>
              <w:jc w:val="right"/>
              <w:rPr>
                <w:color w:val="000000"/>
              </w:rPr>
            </w:pPr>
            <w:r>
              <w:rPr>
                <w:color w:val="000000"/>
              </w:rPr>
              <w:t>462</w:t>
            </w:r>
          </w:p>
        </w:tc>
      </w:tr>
      <w:tr w:rsidR="00454095" w:rsidRPr="00A51DA3" w:rsidTr="00D624D6">
        <w:trPr>
          <w:trHeight w:val="181"/>
        </w:trPr>
        <w:tc>
          <w:tcPr>
            <w:tcW w:w="4042" w:type="dxa"/>
            <w:shd w:val="clear" w:color="auto" w:fill="FFFFFF"/>
            <w:vAlign w:val="bottom"/>
          </w:tcPr>
          <w:p w:rsidR="00454095" w:rsidRPr="00A51DA3" w:rsidRDefault="00454095" w:rsidP="00A87EEC">
            <w:pPr>
              <w:autoSpaceDE w:val="0"/>
              <w:autoSpaceDN w:val="0"/>
              <w:adjustRightInd w:val="0"/>
            </w:pPr>
            <w:r w:rsidRPr="00A51DA3">
              <w:t>Краткосрочни заеми</w:t>
            </w:r>
          </w:p>
        </w:tc>
        <w:tc>
          <w:tcPr>
            <w:tcW w:w="1430" w:type="dxa"/>
            <w:gridSpan w:val="2"/>
            <w:shd w:val="clear" w:color="auto" w:fill="FFFFFF"/>
            <w:vAlign w:val="bottom"/>
          </w:tcPr>
          <w:p w:rsidR="00454095" w:rsidRPr="00A51DA3" w:rsidRDefault="00454095" w:rsidP="00A87EEC">
            <w:pPr>
              <w:tabs>
                <w:tab w:val="left" w:pos="1182"/>
              </w:tabs>
              <w:autoSpaceDE w:val="0"/>
              <w:autoSpaceDN w:val="0"/>
              <w:adjustRightInd w:val="0"/>
              <w:jc w:val="right"/>
            </w:pPr>
          </w:p>
        </w:tc>
        <w:tc>
          <w:tcPr>
            <w:tcW w:w="1546" w:type="dxa"/>
            <w:shd w:val="clear" w:color="auto" w:fill="FFFFFF"/>
            <w:vAlign w:val="bottom"/>
          </w:tcPr>
          <w:p w:rsidR="00454095" w:rsidRPr="00343C90" w:rsidRDefault="005532A6" w:rsidP="005D5495">
            <w:pPr>
              <w:autoSpaceDE w:val="0"/>
              <w:autoSpaceDN w:val="0"/>
              <w:adjustRightInd w:val="0"/>
              <w:jc w:val="right"/>
            </w:pPr>
            <w:r>
              <w:t>151 308</w:t>
            </w:r>
          </w:p>
        </w:tc>
        <w:tc>
          <w:tcPr>
            <w:tcW w:w="1417" w:type="dxa"/>
            <w:shd w:val="clear" w:color="auto" w:fill="FFFFFF"/>
            <w:vAlign w:val="bottom"/>
          </w:tcPr>
          <w:p w:rsidR="00454095" w:rsidRPr="00343C90" w:rsidRDefault="00454095" w:rsidP="00454095">
            <w:pPr>
              <w:autoSpaceDE w:val="0"/>
              <w:autoSpaceDN w:val="0"/>
              <w:adjustRightInd w:val="0"/>
              <w:jc w:val="right"/>
            </w:pPr>
            <w:r>
              <w:t>226 386</w:t>
            </w:r>
          </w:p>
        </w:tc>
        <w:tc>
          <w:tcPr>
            <w:tcW w:w="1418" w:type="dxa"/>
            <w:shd w:val="clear" w:color="auto" w:fill="FFFFFF"/>
            <w:vAlign w:val="bottom"/>
          </w:tcPr>
          <w:p w:rsidR="00454095" w:rsidRPr="00343C90" w:rsidRDefault="00454095" w:rsidP="00454095">
            <w:pPr>
              <w:jc w:val="right"/>
            </w:pPr>
            <w:r>
              <w:t>266 985</w:t>
            </w:r>
          </w:p>
        </w:tc>
      </w:tr>
      <w:tr w:rsidR="00454095" w:rsidRPr="00A51DA3" w:rsidTr="00D624D6">
        <w:trPr>
          <w:trHeight w:val="181"/>
        </w:trPr>
        <w:tc>
          <w:tcPr>
            <w:tcW w:w="4042" w:type="dxa"/>
            <w:shd w:val="clear" w:color="auto" w:fill="FFFFFF"/>
            <w:vAlign w:val="bottom"/>
          </w:tcPr>
          <w:p w:rsidR="00454095" w:rsidRPr="00A51DA3" w:rsidRDefault="00454095" w:rsidP="00A87EEC">
            <w:pPr>
              <w:autoSpaceDE w:val="0"/>
              <w:autoSpaceDN w:val="0"/>
              <w:adjustRightInd w:val="0"/>
              <w:rPr>
                <w:color w:val="000000"/>
              </w:rPr>
            </w:pPr>
            <w:r w:rsidRPr="00A51DA3">
              <w:rPr>
                <w:color w:val="000000"/>
              </w:rPr>
              <w:t>Задължения по финансов лизинг</w:t>
            </w:r>
          </w:p>
        </w:tc>
        <w:tc>
          <w:tcPr>
            <w:tcW w:w="1430" w:type="dxa"/>
            <w:gridSpan w:val="2"/>
            <w:shd w:val="clear" w:color="auto" w:fill="FFFFFF"/>
            <w:vAlign w:val="bottom"/>
          </w:tcPr>
          <w:p w:rsidR="00454095" w:rsidRPr="00A51DA3" w:rsidRDefault="00454095" w:rsidP="00A87EEC">
            <w:pPr>
              <w:tabs>
                <w:tab w:val="left" w:pos="1182"/>
              </w:tabs>
              <w:autoSpaceDE w:val="0"/>
              <w:autoSpaceDN w:val="0"/>
              <w:adjustRightInd w:val="0"/>
              <w:jc w:val="right"/>
            </w:pPr>
          </w:p>
        </w:tc>
        <w:tc>
          <w:tcPr>
            <w:tcW w:w="1546" w:type="dxa"/>
            <w:shd w:val="clear" w:color="auto" w:fill="FFFFFF"/>
            <w:vAlign w:val="bottom"/>
          </w:tcPr>
          <w:p w:rsidR="00454095" w:rsidRPr="00823F1A" w:rsidRDefault="005532A6" w:rsidP="005D5495">
            <w:pPr>
              <w:autoSpaceDE w:val="0"/>
              <w:autoSpaceDN w:val="0"/>
              <w:adjustRightInd w:val="0"/>
              <w:jc w:val="right"/>
              <w:rPr>
                <w:color w:val="000000"/>
              </w:rPr>
            </w:pPr>
            <w:r>
              <w:rPr>
                <w:color w:val="000000"/>
              </w:rPr>
              <w:t>6 002</w:t>
            </w:r>
          </w:p>
        </w:tc>
        <w:tc>
          <w:tcPr>
            <w:tcW w:w="1417" w:type="dxa"/>
            <w:shd w:val="clear" w:color="auto" w:fill="FFFFFF"/>
            <w:vAlign w:val="bottom"/>
          </w:tcPr>
          <w:p w:rsidR="00454095" w:rsidRPr="00823F1A" w:rsidRDefault="00454095" w:rsidP="00454095">
            <w:pPr>
              <w:autoSpaceDE w:val="0"/>
              <w:autoSpaceDN w:val="0"/>
              <w:adjustRightInd w:val="0"/>
              <w:jc w:val="right"/>
              <w:rPr>
                <w:color w:val="000000"/>
              </w:rPr>
            </w:pPr>
            <w:r>
              <w:rPr>
                <w:color w:val="000000"/>
              </w:rPr>
              <w:t>5 790</w:t>
            </w:r>
          </w:p>
        </w:tc>
        <w:tc>
          <w:tcPr>
            <w:tcW w:w="1418" w:type="dxa"/>
            <w:shd w:val="clear" w:color="auto" w:fill="FFFFFF"/>
            <w:vAlign w:val="bottom"/>
          </w:tcPr>
          <w:p w:rsidR="00454095" w:rsidRPr="00823F1A" w:rsidRDefault="00454095" w:rsidP="00454095">
            <w:pPr>
              <w:jc w:val="right"/>
            </w:pPr>
            <w:r>
              <w:t>3 475</w:t>
            </w:r>
          </w:p>
        </w:tc>
      </w:tr>
      <w:tr w:rsidR="00454095" w:rsidRPr="00A51DA3" w:rsidTr="00D624D6">
        <w:trPr>
          <w:trHeight w:val="181"/>
        </w:trPr>
        <w:tc>
          <w:tcPr>
            <w:tcW w:w="4042" w:type="dxa"/>
            <w:shd w:val="clear" w:color="auto" w:fill="FFFFFF"/>
            <w:vAlign w:val="bottom"/>
          </w:tcPr>
          <w:p w:rsidR="00454095" w:rsidRPr="00A51DA3" w:rsidRDefault="00454095" w:rsidP="00A87EEC">
            <w:pPr>
              <w:autoSpaceDE w:val="0"/>
              <w:autoSpaceDN w:val="0"/>
              <w:adjustRightInd w:val="0"/>
              <w:rPr>
                <w:color w:val="000000"/>
              </w:rPr>
            </w:pPr>
            <w:r w:rsidRPr="00A51DA3">
              <w:rPr>
                <w:color w:val="000000"/>
              </w:rPr>
              <w:t>Финансиране</w:t>
            </w:r>
          </w:p>
        </w:tc>
        <w:tc>
          <w:tcPr>
            <w:tcW w:w="1430" w:type="dxa"/>
            <w:gridSpan w:val="2"/>
            <w:shd w:val="clear" w:color="auto" w:fill="FFFFFF"/>
            <w:vAlign w:val="bottom"/>
          </w:tcPr>
          <w:p w:rsidR="00454095" w:rsidRPr="00A51DA3" w:rsidRDefault="00454095" w:rsidP="00A87EEC">
            <w:pPr>
              <w:tabs>
                <w:tab w:val="left" w:pos="1182"/>
              </w:tabs>
              <w:autoSpaceDE w:val="0"/>
              <w:autoSpaceDN w:val="0"/>
              <w:adjustRightInd w:val="0"/>
              <w:jc w:val="right"/>
            </w:pPr>
          </w:p>
        </w:tc>
        <w:tc>
          <w:tcPr>
            <w:tcW w:w="1546" w:type="dxa"/>
            <w:shd w:val="clear" w:color="auto" w:fill="FFFFFF"/>
            <w:vAlign w:val="bottom"/>
          </w:tcPr>
          <w:p w:rsidR="00454095" w:rsidRPr="00823F1A" w:rsidRDefault="005532A6" w:rsidP="00DC1D42">
            <w:pPr>
              <w:autoSpaceDE w:val="0"/>
              <w:autoSpaceDN w:val="0"/>
              <w:adjustRightInd w:val="0"/>
              <w:jc w:val="right"/>
              <w:rPr>
                <w:color w:val="000000"/>
              </w:rPr>
            </w:pPr>
            <w:r>
              <w:rPr>
                <w:color w:val="000000"/>
              </w:rPr>
              <w:t>15</w:t>
            </w:r>
          </w:p>
        </w:tc>
        <w:tc>
          <w:tcPr>
            <w:tcW w:w="1417" w:type="dxa"/>
            <w:shd w:val="clear" w:color="auto" w:fill="FFFFFF"/>
            <w:vAlign w:val="bottom"/>
          </w:tcPr>
          <w:p w:rsidR="00454095" w:rsidRPr="00823F1A" w:rsidRDefault="00454095" w:rsidP="00454095">
            <w:pPr>
              <w:autoSpaceDE w:val="0"/>
              <w:autoSpaceDN w:val="0"/>
              <w:adjustRightInd w:val="0"/>
              <w:jc w:val="right"/>
              <w:rPr>
                <w:color w:val="000000"/>
              </w:rPr>
            </w:pPr>
            <w:r>
              <w:rPr>
                <w:color w:val="000000"/>
              </w:rPr>
              <w:t>66</w:t>
            </w:r>
          </w:p>
        </w:tc>
        <w:tc>
          <w:tcPr>
            <w:tcW w:w="1418" w:type="dxa"/>
            <w:shd w:val="clear" w:color="auto" w:fill="FFFFFF"/>
            <w:vAlign w:val="bottom"/>
          </w:tcPr>
          <w:p w:rsidR="00454095" w:rsidRPr="00823F1A" w:rsidRDefault="00454095" w:rsidP="00454095">
            <w:pPr>
              <w:jc w:val="right"/>
            </w:pPr>
            <w:r>
              <w:t>171</w:t>
            </w:r>
          </w:p>
        </w:tc>
      </w:tr>
      <w:tr w:rsidR="00454095" w:rsidRPr="00A51DA3" w:rsidTr="00D624D6">
        <w:trPr>
          <w:trHeight w:val="181"/>
        </w:trPr>
        <w:tc>
          <w:tcPr>
            <w:tcW w:w="4042" w:type="dxa"/>
            <w:shd w:val="clear" w:color="auto" w:fill="FFFFFF"/>
            <w:vAlign w:val="bottom"/>
          </w:tcPr>
          <w:p w:rsidR="00454095" w:rsidRPr="00A51DA3" w:rsidRDefault="00454095" w:rsidP="00A87EEC">
            <w:pPr>
              <w:autoSpaceDE w:val="0"/>
              <w:autoSpaceDN w:val="0"/>
              <w:adjustRightInd w:val="0"/>
              <w:rPr>
                <w:color w:val="000000"/>
              </w:rPr>
            </w:pPr>
            <w:r w:rsidRPr="00A51DA3">
              <w:rPr>
                <w:color w:val="000000"/>
              </w:rPr>
              <w:t>Търговски задължения</w:t>
            </w:r>
          </w:p>
        </w:tc>
        <w:tc>
          <w:tcPr>
            <w:tcW w:w="1430" w:type="dxa"/>
            <w:gridSpan w:val="2"/>
            <w:shd w:val="clear" w:color="auto" w:fill="FFFFFF"/>
            <w:vAlign w:val="bottom"/>
          </w:tcPr>
          <w:p w:rsidR="00454095" w:rsidRPr="00A51DA3" w:rsidRDefault="00454095" w:rsidP="00A87EEC">
            <w:pPr>
              <w:autoSpaceDE w:val="0"/>
              <w:autoSpaceDN w:val="0"/>
              <w:adjustRightInd w:val="0"/>
              <w:jc w:val="right"/>
              <w:rPr>
                <w:color w:val="000000"/>
              </w:rPr>
            </w:pPr>
          </w:p>
        </w:tc>
        <w:tc>
          <w:tcPr>
            <w:tcW w:w="1546" w:type="dxa"/>
            <w:shd w:val="clear" w:color="auto" w:fill="FFFFFF"/>
            <w:vAlign w:val="bottom"/>
          </w:tcPr>
          <w:p w:rsidR="00454095" w:rsidRPr="00823F1A" w:rsidRDefault="005532A6" w:rsidP="00DC1D42">
            <w:pPr>
              <w:autoSpaceDE w:val="0"/>
              <w:autoSpaceDN w:val="0"/>
              <w:adjustRightInd w:val="0"/>
              <w:jc w:val="right"/>
              <w:rPr>
                <w:color w:val="000000"/>
              </w:rPr>
            </w:pPr>
            <w:r>
              <w:rPr>
                <w:color w:val="000000"/>
              </w:rPr>
              <w:t>3 455</w:t>
            </w:r>
          </w:p>
        </w:tc>
        <w:tc>
          <w:tcPr>
            <w:tcW w:w="1417" w:type="dxa"/>
            <w:shd w:val="clear" w:color="auto" w:fill="FFFFFF"/>
            <w:vAlign w:val="bottom"/>
          </w:tcPr>
          <w:p w:rsidR="00454095" w:rsidRPr="00823F1A" w:rsidRDefault="00454095" w:rsidP="00454095">
            <w:pPr>
              <w:autoSpaceDE w:val="0"/>
              <w:autoSpaceDN w:val="0"/>
              <w:adjustRightInd w:val="0"/>
              <w:jc w:val="right"/>
              <w:rPr>
                <w:color w:val="000000"/>
              </w:rPr>
            </w:pPr>
            <w:r>
              <w:rPr>
                <w:color w:val="000000"/>
              </w:rPr>
              <w:t>5 569</w:t>
            </w:r>
          </w:p>
        </w:tc>
        <w:tc>
          <w:tcPr>
            <w:tcW w:w="1418" w:type="dxa"/>
            <w:shd w:val="clear" w:color="auto" w:fill="FFFFFF"/>
            <w:vAlign w:val="bottom"/>
          </w:tcPr>
          <w:p w:rsidR="00454095" w:rsidRPr="00823F1A" w:rsidRDefault="00454095" w:rsidP="00454095">
            <w:pPr>
              <w:jc w:val="right"/>
            </w:pPr>
            <w:r>
              <w:t>7 597</w:t>
            </w:r>
          </w:p>
        </w:tc>
      </w:tr>
      <w:tr w:rsidR="00454095" w:rsidRPr="00A51DA3" w:rsidTr="00D624D6">
        <w:trPr>
          <w:trHeight w:val="181"/>
        </w:trPr>
        <w:tc>
          <w:tcPr>
            <w:tcW w:w="4042" w:type="dxa"/>
            <w:shd w:val="clear" w:color="auto" w:fill="FFFFFF"/>
            <w:vAlign w:val="bottom"/>
          </w:tcPr>
          <w:p w:rsidR="00454095" w:rsidRPr="00A51DA3" w:rsidRDefault="00454095" w:rsidP="00A87EEC">
            <w:pPr>
              <w:autoSpaceDE w:val="0"/>
              <w:autoSpaceDN w:val="0"/>
              <w:adjustRightInd w:val="0"/>
              <w:rPr>
                <w:color w:val="000000"/>
              </w:rPr>
            </w:pPr>
            <w:r w:rsidRPr="00A51DA3">
              <w:t>Краткосрочни задължения към свързани лица</w:t>
            </w:r>
          </w:p>
        </w:tc>
        <w:tc>
          <w:tcPr>
            <w:tcW w:w="1430" w:type="dxa"/>
            <w:gridSpan w:val="2"/>
            <w:shd w:val="clear" w:color="auto" w:fill="FFFFFF"/>
            <w:vAlign w:val="bottom"/>
          </w:tcPr>
          <w:p w:rsidR="00454095" w:rsidRPr="00A51DA3" w:rsidRDefault="00454095" w:rsidP="00A87EEC">
            <w:pPr>
              <w:autoSpaceDE w:val="0"/>
              <w:autoSpaceDN w:val="0"/>
              <w:adjustRightInd w:val="0"/>
              <w:jc w:val="right"/>
              <w:rPr>
                <w:color w:val="000000"/>
              </w:rPr>
            </w:pPr>
          </w:p>
        </w:tc>
        <w:tc>
          <w:tcPr>
            <w:tcW w:w="1546" w:type="dxa"/>
            <w:shd w:val="clear" w:color="auto" w:fill="FFFFFF"/>
            <w:vAlign w:val="bottom"/>
          </w:tcPr>
          <w:p w:rsidR="00454095" w:rsidRPr="00823F1A" w:rsidRDefault="005532A6" w:rsidP="003461F0">
            <w:pPr>
              <w:autoSpaceDE w:val="0"/>
              <w:autoSpaceDN w:val="0"/>
              <w:adjustRightInd w:val="0"/>
              <w:jc w:val="right"/>
              <w:rPr>
                <w:color w:val="000000"/>
              </w:rPr>
            </w:pPr>
            <w:r>
              <w:rPr>
                <w:color w:val="000000"/>
              </w:rPr>
              <w:t>28 583</w:t>
            </w:r>
          </w:p>
        </w:tc>
        <w:tc>
          <w:tcPr>
            <w:tcW w:w="1417" w:type="dxa"/>
            <w:shd w:val="clear" w:color="auto" w:fill="FFFFFF"/>
            <w:vAlign w:val="bottom"/>
          </w:tcPr>
          <w:p w:rsidR="00454095" w:rsidRPr="00823F1A" w:rsidRDefault="00454095" w:rsidP="00454095">
            <w:pPr>
              <w:autoSpaceDE w:val="0"/>
              <w:autoSpaceDN w:val="0"/>
              <w:adjustRightInd w:val="0"/>
              <w:jc w:val="right"/>
              <w:rPr>
                <w:color w:val="000000"/>
              </w:rPr>
            </w:pPr>
            <w:r>
              <w:rPr>
                <w:color w:val="000000"/>
              </w:rPr>
              <w:t>28 851</w:t>
            </w:r>
          </w:p>
        </w:tc>
        <w:tc>
          <w:tcPr>
            <w:tcW w:w="1418" w:type="dxa"/>
            <w:shd w:val="clear" w:color="auto" w:fill="FFFFFF"/>
            <w:vAlign w:val="bottom"/>
          </w:tcPr>
          <w:p w:rsidR="00454095" w:rsidRPr="00823F1A" w:rsidRDefault="00454095" w:rsidP="00454095">
            <w:pPr>
              <w:jc w:val="right"/>
            </w:pPr>
            <w:r>
              <w:t>28 758</w:t>
            </w:r>
          </w:p>
        </w:tc>
      </w:tr>
      <w:tr w:rsidR="00454095" w:rsidRPr="00A51DA3" w:rsidTr="00D624D6">
        <w:trPr>
          <w:trHeight w:val="181"/>
        </w:trPr>
        <w:tc>
          <w:tcPr>
            <w:tcW w:w="4042" w:type="dxa"/>
            <w:shd w:val="clear" w:color="auto" w:fill="FFFFFF"/>
            <w:vAlign w:val="bottom"/>
          </w:tcPr>
          <w:p w:rsidR="00454095" w:rsidRPr="00A51DA3" w:rsidRDefault="00454095" w:rsidP="00A87EEC">
            <w:pPr>
              <w:autoSpaceDE w:val="0"/>
              <w:autoSpaceDN w:val="0"/>
              <w:adjustRightInd w:val="0"/>
              <w:rPr>
                <w:color w:val="000000"/>
              </w:rPr>
            </w:pPr>
            <w:r w:rsidRPr="00A51DA3">
              <w:rPr>
                <w:color w:val="000000"/>
              </w:rPr>
              <w:t>Други задължения</w:t>
            </w:r>
          </w:p>
        </w:tc>
        <w:tc>
          <w:tcPr>
            <w:tcW w:w="1430" w:type="dxa"/>
            <w:gridSpan w:val="2"/>
            <w:shd w:val="clear" w:color="auto" w:fill="FFFFFF"/>
            <w:vAlign w:val="bottom"/>
          </w:tcPr>
          <w:p w:rsidR="00454095" w:rsidRPr="00A51DA3" w:rsidRDefault="00454095" w:rsidP="00AE6478">
            <w:pPr>
              <w:autoSpaceDE w:val="0"/>
              <w:autoSpaceDN w:val="0"/>
              <w:adjustRightInd w:val="0"/>
              <w:jc w:val="right"/>
            </w:pPr>
          </w:p>
        </w:tc>
        <w:tc>
          <w:tcPr>
            <w:tcW w:w="1546" w:type="dxa"/>
            <w:tcBorders>
              <w:left w:val="nil"/>
              <w:bottom w:val="single" w:sz="4" w:space="0" w:color="auto"/>
              <w:right w:val="nil"/>
            </w:tcBorders>
            <w:shd w:val="clear" w:color="auto" w:fill="FFFFFF"/>
            <w:vAlign w:val="bottom"/>
          </w:tcPr>
          <w:p w:rsidR="00454095" w:rsidRPr="00823F1A" w:rsidRDefault="005532A6" w:rsidP="00EE06F1">
            <w:pPr>
              <w:autoSpaceDE w:val="0"/>
              <w:autoSpaceDN w:val="0"/>
              <w:adjustRightInd w:val="0"/>
              <w:jc w:val="right"/>
              <w:rPr>
                <w:color w:val="000000"/>
              </w:rPr>
            </w:pPr>
            <w:r>
              <w:rPr>
                <w:color w:val="000000"/>
              </w:rPr>
              <w:t>43 422</w:t>
            </w:r>
          </w:p>
        </w:tc>
        <w:tc>
          <w:tcPr>
            <w:tcW w:w="1417" w:type="dxa"/>
            <w:tcBorders>
              <w:left w:val="nil"/>
              <w:bottom w:val="single" w:sz="4" w:space="0" w:color="auto"/>
              <w:right w:val="nil"/>
            </w:tcBorders>
            <w:shd w:val="clear" w:color="auto" w:fill="FFFFFF"/>
            <w:vAlign w:val="bottom"/>
          </w:tcPr>
          <w:p w:rsidR="00454095" w:rsidRPr="00823F1A" w:rsidRDefault="00454095" w:rsidP="005532A6">
            <w:pPr>
              <w:autoSpaceDE w:val="0"/>
              <w:autoSpaceDN w:val="0"/>
              <w:adjustRightInd w:val="0"/>
              <w:jc w:val="right"/>
              <w:rPr>
                <w:color w:val="000000"/>
              </w:rPr>
            </w:pPr>
            <w:r>
              <w:rPr>
                <w:color w:val="000000"/>
              </w:rPr>
              <w:t xml:space="preserve">41 </w:t>
            </w:r>
            <w:r w:rsidR="005532A6">
              <w:rPr>
                <w:color w:val="000000"/>
              </w:rPr>
              <w:t>983</w:t>
            </w:r>
          </w:p>
        </w:tc>
        <w:tc>
          <w:tcPr>
            <w:tcW w:w="1418" w:type="dxa"/>
            <w:tcBorders>
              <w:left w:val="nil"/>
              <w:bottom w:val="single" w:sz="4" w:space="0" w:color="auto"/>
              <w:right w:val="nil"/>
            </w:tcBorders>
            <w:shd w:val="clear" w:color="auto" w:fill="FFFFFF"/>
            <w:vAlign w:val="bottom"/>
          </w:tcPr>
          <w:p w:rsidR="00454095" w:rsidRPr="00823F1A" w:rsidRDefault="00454095" w:rsidP="005532A6">
            <w:pPr>
              <w:jc w:val="right"/>
            </w:pPr>
            <w:r>
              <w:t>3</w:t>
            </w:r>
            <w:r w:rsidR="005532A6">
              <w:t>8</w:t>
            </w:r>
            <w:r>
              <w:t xml:space="preserve"> </w:t>
            </w:r>
            <w:r w:rsidR="005532A6">
              <w:t>262</w:t>
            </w:r>
          </w:p>
        </w:tc>
      </w:tr>
      <w:tr w:rsidR="00454095" w:rsidRPr="00A51DA3" w:rsidTr="00D624D6">
        <w:trPr>
          <w:trHeight w:val="181"/>
        </w:trPr>
        <w:tc>
          <w:tcPr>
            <w:tcW w:w="4042" w:type="dxa"/>
            <w:shd w:val="clear" w:color="auto" w:fill="FFFFFF"/>
            <w:vAlign w:val="bottom"/>
          </w:tcPr>
          <w:p w:rsidR="00454095" w:rsidRPr="00A51DA3" w:rsidRDefault="00454095" w:rsidP="00A87EEC">
            <w:pPr>
              <w:autoSpaceDE w:val="0"/>
              <w:autoSpaceDN w:val="0"/>
              <w:adjustRightInd w:val="0"/>
              <w:rPr>
                <w:color w:val="000000"/>
              </w:rPr>
            </w:pPr>
            <w:r w:rsidRPr="00A51DA3">
              <w:rPr>
                <w:color w:val="000000"/>
              </w:rPr>
              <w:t>Текущи пасиви</w:t>
            </w:r>
          </w:p>
        </w:tc>
        <w:tc>
          <w:tcPr>
            <w:tcW w:w="1430" w:type="dxa"/>
            <w:gridSpan w:val="2"/>
            <w:shd w:val="clear" w:color="auto" w:fill="FFFFFF"/>
            <w:vAlign w:val="bottom"/>
          </w:tcPr>
          <w:p w:rsidR="00454095" w:rsidRPr="00A51DA3" w:rsidRDefault="00454095" w:rsidP="00A87EEC">
            <w:pPr>
              <w:autoSpaceDE w:val="0"/>
              <w:autoSpaceDN w:val="0"/>
              <w:adjustRightInd w:val="0"/>
              <w:jc w:val="right"/>
            </w:pPr>
          </w:p>
        </w:tc>
        <w:tc>
          <w:tcPr>
            <w:tcW w:w="1546" w:type="dxa"/>
            <w:tcBorders>
              <w:top w:val="single" w:sz="4" w:space="0" w:color="auto"/>
              <w:left w:val="nil"/>
              <w:bottom w:val="single" w:sz="4" w:space="0" w:color="auto"/>
              <w:right w:val="nil"/>
            </w:tcBorders>
            <w:shd w:val="clear" w:color="auto" w:fill="FFFFFF"/>
            <w:vAlign w:val="bottom"/>
          </w:tcPr>
          <w:p w:rsidR="00454095" w:rsidRPr="00823F1A" w:rsidRDefault="005532A6" w:rsidP="0021161C">
            <w:pPr>
              <w:autoSpaceDE w:val="0"/>
              <w:autoSpaceDN w:val="0"/>
              <w:adjustRightInd w:val="0"/>
              <w:jc w:val="right"/>
              <w:rPr>
                <w:b/>
                <w:color w:val="000000"/>
              </w:rPr>
            </w:pPr>
            <w:r>
              <w:rPr>
                <w:b/>
                <w:color w:val="000000"/>
              </w:rPr>
              <w:t>233 224</w:t>
            </w:r>
          </w:p>
        </w:tc>
        <w:tc>
          <w:tcPr>
            <w:tcW w:w="1417" w:type="dxa"/>
            <w:tcBorders>
              <w:top w:val="single" w:sz="4" w:space="0" w:color="auto"/>
              <w:left w:val="nil"/>
              <w:bottom w:val="single" w:sz="4" w:space="0" w:color="auto"/>
              <w:right w:val="nil"/>
            </w:tcBorders>
            <w:shd w:val="clear" w:color="auto" w:fill="FFFFFF"/>
            <w:vAlign w:val="bottom"/>
          </w:tcPr>
          <w:p w:rsidR="00454095" w:rsidRPr="00823F1A" w:rsidRDefault="00454095" w:rsidP="00762232">
            <w:pPr>
              <w:autoSpaceDE w:val="0"/>
              <w:autoSpaceDN w:val="0"/>
              <w:adjustRightInd w:val="0"/>
              <w:jc w:val="right"/>
              <w:rPr>
                <w:b/>
                <w:color w:val="000000"/>
              </w:rPr>
            </w:pPr>
            <w:r>
              <w:rPr>
                <w:b/>
                <w:color w:val="000000"/>
              </w:rPr>
              <w:t>309 06</w:t>
            </w:r>
            <w:r w:rsidR="00762232">
              <w:rPr>
                <w:b/>
                <w:color w:val="000000"/>
              </w:rPr>
              <w:t>8</w:t>
            </w:r>
          </w:p>
        </w:tc>
        <w:tc>
          <w:tcPr>
            <w:tcW w:w="1418" w:type="dxa"/>
            <w:tcBorders>
              <w:top w:val="single" w:sz="4" w:space="0" w:color="auto"/>
              <w:left w:val="nil"/>
              <w:bottom w:val="single" w:sz="4" w:space="0" w:color="auto"/>
              <w:right w:val="nil"/>
            </w:tcBorders>
            <w:shd w:val="clear" w:color="auto" w:fill="FFFFFF"/>
            <w:vAlign w:val="bottom"/>
          </w:tcPr>
          <w:p w:rsidR="00454095" w:rsidRPr="00823F1A" w:rsidRDefault="00454095" w:rsidP="00762232">
            <w:pPr>
              <w:jc w:val="right"/>
              <w:rPr>
                <w:b/>
              </w:rPr>
            </w:pPr>
            <w:r>
              <w:rPr>
                <w:b/>
              </w:rPr>
              <w:t>345 7</w:t>
            </w:r>
            <w:r w:rsidR="00762232">
              <w:rPr>
                <w:b/>
              </w:rPr>
              <w:t>53</w:t>
            </w:r>
          </w:p>
        </w:tc>
      </w:tr>
      <w:tr w:rsidR="00454095" w:rsidRPr="00A51DA3" w:rsidTr="00D624D6">
        <w:trPr>
          <w:trHeight w:val="181"/>
        </w:trPr>
        <w:tc>
          <w:tcPr>
            <w:tcW w:w="4042" w:type="dxa"/>
            <w:shd w:val="clear" w:color="auto" w:fill="FFFFFF"/>
          </w:tcPr>
          <w:p w:rsidR="00454095" w:rsidRPr="00A51DA3" w:rsidRDefault="00454095" w:rsidP="00A87EEC">
            <w:pPr>
              <w:autoSpaceDE w:val="0"/>
              <w:autoSpaceDN w:val="0"/>
              <w:adjustRightInd w:val="0"/>
              <w:rPr>
                <w:b/>
                <w:bCs/>
              </w:rPr>
            </w:pPr>
            <w:r w:rsidRPr="00A51DA3">
              <w:rPr>
                <w:b/>
                <w:bCs/>
              </w:rPr>
              <w:t>Общо пасиви</w:t>
            </w:r>
          </w:p>
        </w:tc>
        <w:tc>
          <w:tcPr>
            <w:tcW w:w="1430" w:type="dxa"/>
            <w:gridSpan w:val="2"/>
            <w:shd w:val="clear" w:color="auto" w:fill="FFFFFF"/>
            <w:vAlign w:val="bottom"/>
          </w:tcPr>
          <w:p w:rsidR="00454095" w:rsidRPr="00A51DA3" w:rsidRDefault="00454095" w:rsidP="00A87EEC">
            <w:pPr>
              <w:autoSpaceDE w:val="0"/>
              <w:autoSpaceDN w:val="0"/>
              <w:adjustRightInd w:val="0"/>
              <w:jc w:val="right"/>
              <w:rPr>
                <w:b/>
                <w:bCs/>
              </w:rPr>
            </w:pPr>
          </w:p>
        </w:tc>
        <w:tc>
          <w:tcPr>
            <w:tcW w:w="1546" w:type="dxa"/>
            <w:tcBorders>
              <w:top w:val="single" w:sz="4" w:space="0" w:color="auto"/>
              <w:bottom w:val="single" w:sz="4" w:space="0" w:color="auto"/>
            </w:tcBorders>
            <w:shd w:val="clear" w:color="auto" w:fill="FFFFFF"/>
            <w:vAlign w:val="bottom"/>
          </w:tcPr>
          <w:p w:rsidR="00454095" w:rsidRPr="00823F1A" w:rsidRDefault="005532A6" w:rsidP="00333E4B">
            <w:pPr>
              <w:autoSpaceDE w:val="0"/>
              <w:autoSpaceDN w:val="0"/>
              <w:adjustRightInd w:val="0"/>
              <w:jc w:val="right"/>
              <w:rPr>
                <w:b/>
                <w:color w:val="000000"/>
              </w:rPr>
            </w:pPr>
            <w:r>
              <w:rPr>
                <w:b/>
                <w:color w:val="000000"/>
              </w:rPr>
              <w:t>327 563</w:t>
            </w:r>
          </w:p>
        </w:tc>
        <w:tc>
          <w:tcPr>
            <w:tcW w:w="1417" w:type="dxa"/>
            <w:tcBorders>
              <w:top w:val="single" w:sz="4" w:space="0" w:color="auto"/>
              <w:bottom w:val="single" w:sz="4" w:space="0" w:color="auto"/>
            </w:tcBorders>
            <w:shd w:val="clear" w:color="auto" w:fill="FFFFFF"/>
            <w:vAlign w:val="bottom"/>
          </w:tcPr>
          <w:p w:rsidR="00454095" w:rsidRPr="00823F1A" w:rsidRDefault="00454095" w:rsidP="00762232">
            <w:pPr>
              <w:autoSpaceDE w:val="0"/>
              <w:autoSpaceDN w:val="0"/>
              <w:adjustRightInd w:val="0"/>
              <w:jc w:val="right"/>
              <w:rPr>
                <w:b/>
                <w:color w:val="000000"/>
              </w:rPr>
            </w:pPr>
            <w:r>
              <w:rPr>
                <w:b/>
                <w:color w:val="000000"/>
              </w:rPr>
              <w:t>375 25</w:t>
            </w:r>
            <w:r w:rsidR="00762232">
              <w:rPr>
                <w:b/>
                <w:color w:val="000000"/>
              </w:rPr>
              <w:t>5</w:t>
            </w:r>
          </w:p>
        </w:tc>
        <w:tc>
          <w:tcPr>
            <w:tcW w:w="1418" w:type="dxa"/>
            <w:tcBorders>
              <w:top w:val="single" w:sz="4" w:space="0" w:color="auto"/>
              <w:bottom w:val="single" w:sz="4" w:space="0" w:color="auto"/>
            </w:tcBorders>
            <w:shd w:val="clear" w:color="auto" w:fill="FFFFFF"/>
          </w:tcPr>
          <w:p w:rsidR="00454095" w:rsidRPr="00823F1A" w:rsidRDefault="00454095" w:rsidP="00762232">
            <w:pPr>
              <w:jc w:val="right"/>
              <w:rPr>
                <w:b/>
              </w:rPr>
            </w:pPr>
            <w:r>
              <w:rPr>
                <w:b/>
              </w:rPr>
              <w:t>438 1</w:t>
            </w:r>
            <w:r w:rsidR="00762232">
              <w:rPr>
                <w:b/>
              </w:rPr>
              <w:t>13</w:t>
            </w:r>
          </w:p>
        </w:tc>
      </w:tr>
      <w:tr w:rsidR="00454095" w:rsidRPr="00A51DA3" w:rsidTr="00D624D6">
        <w:trPr>
          <w:trHeight w:val="181"/>
        </w:trPr>
        <w:tc>
          <w:tcPr>
            <w:tcW w:w="4042" w:type="dxa"/>
            <w:shd w:val="clear" w:color="auto" w:fill="FFFFFF"/>
          </w:tcPr>
          <w:p w:rsidR="00454095" w:rsidRPr="00A51DA3" w:rsidRDefault="00454095" w:rsidP="00A87EEC">
            <w:pPr>
              <w:autoSpaceDE w:val="0"/>
              <w:autoSpaceDN w:val="0"/>
              <w:adjustRightInd w:val="0"/>
            </w:pPr>
          </w:p>
        </w:tc>
        <w:tc>
          <w:tcPr>
            <w:tcW w:w="1430" w:type="dxa"/>
            <w:gridSpan w:val="2"/>
            <w:shd w:val="clear" w:color="auto" w:fill="FFFFFF"/>
            <w:vAlign w:val="bottom"/>
          </w:tcPr>
          <w:p w:rsidR="00454095" w:rsidRPr="00A51DA3" w:rsidRDefault="00454095" w:rsidP="00A87EEC">
            <w:pPr>
              <w:autoSpaceDE w:val="0"/>
              <w:autoSpaceDN w:val="0"/>
              <w:adjustRightInd w:val="0"/>
              <w:jc w:val="right"/>
            </w:pPr>
          </w:p>
        </w:tc>
        <w:tc>
          <w:tcPr>
            <w:tcW w:w="1546" w:type="dxa"/>
            <w:tcBorders>
              <w:top w:val="single" w:sz="4" w:space="0" w:color="auto"/>
            </w:tcBorders>
            <w:shd w:val="clear" w:color="auto" w:fill="FFFFFF"/>
            <w:vAlign w:val="bottom"/>
          </w:tcPr>
          <w:p w:rsidR="00454095" w:rsidRPr="00A51DA3" w:rsidRDefault="00454095" w:rsidP="00DC1D42">
            <w:pPr>
              <w:autoSpaceDE w:val="0"/>
              <w:autoSpaceDN w:val="0"/>
              <w:adjustRightInd w:val="0"/>
              <w:jc w:val="right"/>
              <w:rPr>
                <w:color w:val="000000"/>
              </w:rPr>
            </w:pPr>
          </w:p>
        </w:tc>
        <w:tc>
          <w:tcPr>
            <w:tcW w:w="1417" w:type="dxa"/>
            <w:tcBorders>
              <w:top w:val="single" w:sz="4" w:space="0" w:color="auto"/>
            </w:tcBorders>
            <w:shd w:val="clear" w:color="auto" w:fill="FFFFFF"/>
            <w:vAlign w:val="bottom"/>
          </w:tcPr>
          <w:p w:rsidR="00454095" w:rsidRPr="00A51DA3" w:rsidRDefault="00454095" w:rsidP="00454095">
            <w:pPr>
              <w:autoSpaceDE w:val="0"/>
              <w:autoSpaceDN w:val="0"/>
              <w:adjustRightInd w:val="0"/>
              <w:jc w:val="right"/>
              <w:rPr>
                <w:color w:val="000000"/>
              </w:rPr>
            </w:pPr>
          </w:p>
        </w:tc>
        <w:tc>
          <w:tcPr>
            <w:tcW w:w="1418" w:type="dxa"/>
            <w:tcBorders>
              <w:top w:val="single" w:sz="4" w:space="0" w:color="auto"/>
            </w:tcBorders>
            <w:shd w:val="clear" w:color="auto" w:fill="FFFFFF"/>
          </w:tcPr>
          <w:p w:rsidR="00454095" w:rsidRPr="00A51DA3" w:rsidRDefault="00454095" w:rsidP="00454095"/>
        </w:tc>
      </w:tr>
      <w:tr w:rsidR="00454095" w:rsidRPr="00A51DA3" w:rsidTr="00D624D6">
        <w:trPr>
          <w:trHeight w:val="181"/>
        </w:trPr>
        <w:tc>
          <w:tcPr>
            <w:tcW w:w="4042" w:type="dxa"/>
            <w:shd w:val="clear" w:color="auto" w:fill="FFFFFF"/>
          </w:tcPr>
          <w:p w:rsidR="00454095" w:rsidRPr="00A51DA3" w:rsidRDefault="00454095" w:rsidP="00A87EEC">
            <w:pPr>
              <w:autoSpaceDE w:val="0"/>
              <w:autoSpaceDN w:val="0"/>
              <w:adjustRightInd w:val="0"/>
              <w:rPr>
                <w:b/>
                <w:bCs/>
              </w:rPr>
            </w:pPr>
            <w:r w:rsidRPr="00A51DA3">
              <w:rPr>
                <w:b/>
                <w:bCs/>
              </w:rPr>
              <w:t>Общо собствен капитал и пасиви</w:t>
            </w:r>
          </w:p>
        </w:tc>
        <w:tc>
          <w:tcPr>
            <w:tcW w:w="1430" w:type="dxa"/>
            <w:gridSpan w:val="2"/>
            <w:shd w:val="clear" w:color="auto" w:fill="FFFFFF"/>
            <w:vAlign w:val="bottom"/>
          </w:tcPr>
          <w:p w:rsidR="00454095" w:rsidRPr="00A51DA3" w:rsidRDefault="00454095" w:rsidP="00A87EEC">
            <w:pPr>
              <w:autoSpaceDE w:val="0"/>
              <w:autoSpaceDN w:val="0"/>
              <w:adjustRightInd w:val="0"/>
              <w:jc w:val="right"/>
              <w:rPr>
                <w:b/>
                <w:bCs/>
              </w:rPr>
            </w:pPr>
          </w:p>
        </w:tc>
        <w:tc>
          <w:tcPr>
            <w:tcW w:w="1546" w:type="dxa"/>
            <w:tcBorders>
              <w:top w:val="single" w:sz="4" w:space="0" w:color="auto"/>
              <w:left w:val="nil"/>
              <w:bottom w:val="double" w:sz="4" w:space="0" w:color="auto"/>
              <w:right w:val="nil"/>
            </w:tcBorders>
            <w:shd w:val="clear" w:color="auto" w:fill="FFFFFF"/>
            <w:vAlign w:val="bottom"/>
          </w:tcPr>
          <w:p w:rsidR="00454095" w:rsidRPr="00823F1A" w:rsidRDefault="005532A6" w:rsidP="00DC1D42">
            <w:pPr>
              <w:autoSpaceDE w:val="0"/>
              <w:autoSpaceDN w:val="0"/>
              <w:adjustRightInd w:val="0"/>
              <w:jc w:val="right"/>
              <w:rPr>
                <w:b/>
                <w:color w:val="000000"/>
              </w:rPr>
            </w:pPr>
            <w:r>
              <w:rPr>
                <w:b/>
                <w:color w:val="000000"/>
              </w:rPr>
              <w:t>371 915</w:t>
            </w:r>
          </w:p>
        </w:tc>
        <w:tc>
          <w:tcPr>
            <w:tcW w:w="1417" w:type="dxa"/>
            <w:tcBorders>
              <w:top w:val="single" w:sz="4" w:space="0" w:color="auto"/>
              <w:left w:val="nil"/>
              <w:bottom w:val="double" w:sz="4" w:space="0" w:color="auto"/>
              <w:right w:val="nil"/>
            </w:tcBorders>
            <w:shd w:val="clear" w:color="auto" w:fill="FFFFFF"/>
            <w:vAlign w:val="bottom"/>
          </w:tcPr>
          <w:p w:rsidR="00454095" w:rsidRPr="00823F1A" w:rsidRDefault="00454095" w:rsidP="0027041E">
            <w:pPr>
              <w:autoSpaceDE w:val="0"/>
              <w:autoSpaceDN w:val="0"/>
              <w:adjustRightInd w:val="0"/>
              <w:jc w:val="right"/>
              <w:rPr>
                <w:b/>
                <w:color w:val="000000"/>
              </w:rPr>
            </w:pPr>
            <w:r>
              <w:rPr>
                <w:b/>
                <w:color w:val="000000"/>
              </w:rPr>
              <w:t>426 75</w:t>
            </w:r>
            <w:r w:rsidR="0027041E">
              <w:rPr>
                <w:b/>
                <w:color w:val="000000"/>
              </w:rPr>
              <w:t>1</w:t>
            </w:r>
          </w:p>
        </w:tc>
        <w:tc>
          <w:tcPr>
            <w:tcW w:w="1418" w:type="dxa"/>
            <w:tcBorders>
              <w:top w:val="single" w:sz="4" w:space="0" w:color="auto"/>
              <w:left w:val="nil"/>
              <w:bottom w:val="double" w:sz="4" w:space="0" w:color="auto"/>
              <w:right w:val="nil"/>
            </w:tcBorders>
            <w:shd w:val="clear" w:color="auto" w:fill="FFFFFF"/>
          </w:tcPr>
          <w:p w:rsidR="00454095" w:rsidRPr="00823F1A" w:rsidRDefault="00454095" w:rsidP="00454095">
            <w:pPr>
              <w:jc w:val="right"/>
              <w:rPr>
                <w:b/>
              </w:rPr>
            </w:pPr>
            <w:r>
              <w:rPr>
                <w:b/>
              </w:rPr>
              <w:t>494 503</w:t>
            </w:r>
          </w:p>
        </w:tc>
      </w:tr>
      <w:tr w:rsidR="00985719" w:rsidRPr="00A51DA3" w:rsidTr="00D624D6">
        <w:tblPrEx>
          <w:tblLook w:val="0000"/>
        </w:tblPrEx>
        <w:trPr>
          <w:trHeight w:val="113"/>
        </w:trPr>
        <w:tc>
          <w:tcPr>
            <w:tcW w:w="4219" w:type="dxa"/>
            <w:gridSpan w:val="2"/>
          </w:tcPr>
          <w:p w:rsidR="00985719" w:rsidRDefault="00985719" w:rsidP="007B7B33">
            <w:pPr>
              <w:autoSpaceDE w:val="0"/>
              <w:autoSpaceDN w:val="0"/>
              <w:adjustRightInd w:val="0"/>
              <w:rPr>
                <w:b/>
                <w:bCs/>
              </w:rPr>
            </w:pPr>
          </w:p>
          <w:p w:rsidR="00E21D93" w:rsidRDefault="00E21D93" w:rsidP="007B7B33">
            <w:pPr>
              <w:autoSpaceDE w:val="0"/>
              <w:autoSpaceDN w:val="0"/>
              <w:adjustRightInd w:val="0"/>
              <w:rPr>
                <w:b/>
                <w:bCs/>
              </w:rPr>
            </w:pPr>
          </w:p>
          <w:p w:rsidR="00E21D93" w:rsidRPr="00A51DA3" w:rsidRDefault="00E21D93" w:rsidP="007B7B33">
            <w:pPr>
              <w:autoSpaceDE w:val="0"/>
              <w:autoSpaceDN w:val="0"/>
              <w:adjustRightInd w:val="0"/>
              <w:rPr>
                <w:b/>
                <w:bCs/>
              </w:rPr>
            </w:pPr>
          </w:p>
          <w:p w:rsidR="00985719" w:rsidRPr="00A51DA3" w:rsidRDefault="00985719" w:rsidP="007B7B33">
            <w:pPr>
              <w:autoSpaceDE w:val="0"/>
              <w:autoSpaceDN w:val="0"/>
              <w:adjustRightInd w:val="0"/>
              <w:rPr>
                <w:b/>
                <w:bCs/>
              </w:rPr>
            </w:pPr>
          </w:p>
          <w:p w:rsidR="00985719" w:rsidRPr="00A51DA3" w:rsidRDefault="00985719" w:rsidP="007B7B33">
            <w:pPr>
              <w:autoSpaceDE w:val="0"/>
              <w:autoSpaceDN w:val="0"/>
              <w:adjustRightInd w:val="0"/>
              <w:rPr>
                <w:b/>
                <w:bCs/>
              </w:rPr>
            </w:pPr>
            <w:r w:rsidRPr="00A51DA3">
              <w:rPr>
                <w:b/>
                <w:bCs/>
              </w:rPr>
              <w:t>Съставил: ____________________</w:t>
            </w:r>
          </w:p>
          <w:p w:rsidR="00985719" w:rsidRPr="00A51DA3" w:rsidRDefault="00985719" w:rsidP="007B7B33">
            <w:pPr>
              <w:autoSpaceDE w:val="0"/>
              <w:autoSpaceDN w:val="0"/>
              <w:adjustRightInd w:val="0"/>
              <w:rPr>
                <w:b/>
                <w:bCs/>
              </w:rPr>
            </w:pPr>
            <w:r w:rsidRPr="00A51DA3">
              <w:rPr>
                <w:b/>
                <w:bCs/>
              </w:rPr>
              <w:t xml:space="preserve">                    /Димитър Михайлов/</w:t>
            </w:r>
          </w:p>
          <w:p w:rsidR="00985719" w:rsidRPr="00A51DA3" w:rsidRDefault="00985719" w:rsidP="007B7B33">
            <w:pPr>
              <w:autoSpaceDE w:val="0"/>
              <w:autoSpaceDN w:val="0"/>
              <w:adjustRightInd w:val="0"/>
              <w:rPr>
                <w:b/>
                <w:bCs/>
              </w:rPr>
            </w:pPr>
          </w:p>
        </w:tc>
        <w:tc>
          <w:tcPr>
            <w:tcW w:w="5634" w:type="dxa"/>
            <w:gridSpan w:val="4"/>
          </w:tcPr>
          <w:p w:rsidR="00985719" w:rsidRPr="00A51DA3" w:rsidRDefault="00985719" w:rsidP="007B7B33">
            <w:pPr>
              <w:autoSpaceDE w:val="0"/>
              <w:autoSpaceDN w:val="0"/>
              <w:adjustRightInd w:val="0"/>
              <w:rPr>
                <w:b/>
                <w:bCs/>
              </w:rPr>
            </w:pPr>
          </w:p>
          <w:p w:rsidR="00985719" w:rsidRDefault="00985719" w:rsidP="007B7B33">
            <w:pPr>
              <w:autoSpaceDE w:val="0"/>
              <w:autoSpaceDN w:val="0"/>
              <w:adjustRightInd w:val="0"/>
              <w:rPr>
                <w:b/>
                <w:bCs/>
              </w:rPr>
            </w:pPr>
          </w:p>
          <w:p w:rsidR="00E21D93" w:rsidRDefault="00E21D93" w:rsidP="007B7B33">
            <w:pPr>
              <w:autoSpaceDE w:val="0"/>
              <w:autoSpaceDN w:val="0"/>
              <w:adjustRightInd w:val="0"/>
              <w:rPr>
                <w:b/>
                <w:bCs/>
              </w:rPr>
            </w:pPr>
          </w:p>
          <w:p w:rsidR="00E21D93" w:rsidRPr="00A51DA3" w:rsidRDefault="00E21D93" w:rsidP="007B7B33">
            <w:pPr>
              <w:autoSpaceDE w:val="0"/>
              <w:autoSpaceDN w:val="0"/>
              <w:adjustRightInd w:val="0"/>
              <w:rPr>
                <w:b/>
                <w:bCs/>
              </w:rPr>
            </w:pPr>
          </w:p>
          <w:p w:rsidR="00985719" w:rsidRPr="00A51DA3" w:rsidRDefault="00985719" w:rsidP="007B7B33">
            <w:pPr>
              <w:autoSpaceDE w:val="0"/>
              <w:autoSpaceDN w:val="0"/>
              <w:adjustRightInd w:val="0"/>
              <w:rPr>
                <w:b/>
                <w:bCs/>
              </w:rPr>
            </w:pPr>
            <w:r w:rsidRPr="00A51DA3">
              <w:rPr>
                <w:b/>
                <w:bCs/>
              </w:rPr>
              <w:t>Изпълнителен директор: ________________</w:t>
            </w:r>
          </w:p>
          <w:p w:rsidR="00985719" w:rsidRPr="00A51DA3" w:rsidRDefault="00985719" w:rsidP="00A211F2">
            <w:pPr>
              <w:autoSpaceDE w:val="0"/>
              <w:autoSpaceDN w:val="0"/>
              <w:adjustRightInd w:val="0"/>
              <w:rPr>
                <w:b/>
                <w:bCs/>
              </w:rPr>
            </w:pPr>
            <w:r w:rsidRPr="00A51DA3">
              <w:rPr>
                <w:b/>
                <w:bCs/>
              </w:rPr>
              <w:t xml:space="preserve">                                    </w:t>
            </w:r>
            <w:r w:rsidR="00DC1D42" w:rsidRPr="00A51DA3">
              <w:rPr>
                <w:b/>
                <w:bCs/>
                <w:sz w:val="24"/>
                <w:szCs w:val="24"/>
              </w:rPr>
              <w:t>/</w:t>
            </w:r>
            <w:r w:rsidR="00A211F2">
              <w:rPr>
                <w:b/>
                <w:bCs/>
                <w:sz w:val="24"/>
                <w:szCs w:val="24"/>
              </w:rPr>
              <w:t>Владимир Владимиров</w:t>
            </w:r>
            <w:r w:rsidR="00DC1D42" w:rsidRPr="00A51DA3">
              <w:rPr>
                <w:b/>
                <w:bCs/>
                <w:sz w:val="24"/>
                <w:szCs w:val="24"/>
              </w:rPr>
              <w:t>/</w:t>
            </w:r>
          </w:p>
        </w:tc>
      </w:tr>
      <w:tr w:rsidR="00985719" w:rsidRPr="00A51DA3" w:rsidTr="00D624D6">
        <w:tblPrEx>
          <w:tblLook w:val="0000"/>
        </w:tblPrEx>
        <w:trPr>
          <w:trHeight w:val="113"/>
        </w:trPr>
        <w:tc>
          <w:tcPr>
            <w:tcW w:w="4219" w:type="dxa"/>
            <w:gridSpan w:val="2"/>
          </w:tcPr>
          <w:p w:rsidR="0034710D" w:rsidRPr="00A51DA3" w:rsidRDefault="0034710D" w:rsidP="00A211F2">
            <w:pPr>
              <w:autoSpaceDE w:val="0"/>
              <w:autoSpaceDN w:val="0"/>
              <w:adjustRightInd w:val="0"/>
              <w:rPr>
                <w:b/>
                <w:bCs/>
              </w:rPr>
            </w:pPr>
          </w:p>
        </w:tc>
        <w:tc>
          <w:tcPr>
            <w:tcW w:w="5634" w:type="dxa"/>
            <w:gridSpan w:val="4"/>
          </w:tcPr>
          <w:p w:rsidR="00985719" w:rsidRPr="00A51DA3" w:rsidRDefault="00985719" w:rsidP="005122E5">
            <w:pPr>
              <w:autoSpaceDE w:val="0"/>
              <w:autoSpaceDN w:val="0"/>
              <w:adjustRightInd w:val="0"/>
              <w:rPr>
                <w:b/>
                <w:bCs/>
              </w:rPr>
            </w:pPr>
          </w:p>
        </w:tc>
      </w:tr>
      <w:tr w:rsidR="003605EB" w:rsidRPr="00A51DA3" w:rsidTr="00D624D6">
        <w:tblPrEx>
          <w:tblLook w:val="0000"/>
        </w:tblPrEx>
        <w:trPr>
          <w:trHeight w:val="282"/>
        </w:trPr>
        <w:tc>
          <w:tcPr>
            <w:tcW w:w="9853" w:type="dxa"/>
            <w:gridSpan w:val="6"/>
          </w:tcPr>
          <w:p w:rsidR="003605EB" w:rsidRPr="00027ABA" w:rsidRDefault="003605EB" w:rsidP="003605EB">
            <w:pPr>
              <w:autoSpaceDE w:val="0"/>
              <w:autoSpaceDN w:val="0"/>
              <w:adjustRightInd w:val="0"/>
              <w:rPr>
                <w:b/>
                <w:bCs/>
                <w:sz w:val="24"/>
                <w:szCs w:val="24"/>
              </w:rPr>
            </w:pPr>
          </w:p>
        </w:tc>
      </w:tr>
      <w:tr w:rsidR="003605EB" w:rsidRPr="00A51DA3" w:rsidTr="00D624D6">
        <w:tblPrEx>
          <w:tblLook w:val="0000"/>
        </w:tblPrEx>
        <w:trPr>
          <w:trHeight w:val="282"/>
        </w:trPr>
        <w:tc>
          <w:tcPr>
            <w:tcW w:w="9853" w:type="dxa"/>
            <w:gridSpan w:val="6"/>
          </w:tcPr>
          <w:p w:rsidR="003605EB" w:rsidRPr="00027ABA" w:rsidRDefault="003605EB" w:rsidP="003605EB">
            <w:pPr>
              <w:autoSpaceDE w:val="0"/>
              <w:autoSpaceDN w:val="0"/>
              <w:adjustRightInd w:val="0"/>
              <w:rPr>
                <w:b/>
                <w:bCs/>
                <w:sz w:val="24"/>
                <w:szCs w:val="24"/>
              </w:rPr>
            </w:pPr>
          </w:p>
        </w:tc>
      </w:tr>
    </w:tbl>
    <w:p w:rsidR="002C6667" w:rsidRPr="00A51DA3" w:rsidRDefault="00E21D93" w:rsidP="002C6667">
      <w:pPr>
        <w:rPr>
          <w:b/>
          <w:sz w:val="32"/>
          <w:szCs w:val="32"/>
        </w:rPr>
      </w:pPr>
      <w:r>
        <w:rPr>
          <w:b/>
          <w:sz w:val="32"/>
          <w:szCs w:val="32"/>
        </w:rPr>
        <w:lastRenderedPageBreak/>
        <w:t>Междинен съкратен О</w:t>
      </w:r>
      <w:r w:rsidR="002C6667" w:rsidRPr="00A51DA3">
        <w:rPr>
          <w:b/>
          <w:sz w:val="32"/>
          <w:szCs w:val="32"/>
        </w:rPr>
        <w:t xml:space="preserve">тчет за печалбата или загубата и другия всеобхватен доход </w:t>
      </w:r>
      <w:r w:rsidRPr="00A51DA3">
        <w:rPr>
          <w:b/>
          <w:sz w:val="32"/>
          <w:szCs w:val="32"/>
        </w:rPr>
        <w:t xml:space="preserve"> </w:t>
      </w:r>
      <w:r w:rsidR="002C6667" w:rsidRPr="00A51DA3">
        <w:rPr>
          <w:b/>
          <w:sz w:val="32"/>
          <w:szCs w:val="32"/>
        </w:rPr>
        <w:t>(представен в единен отчет)</w:t>
      </w:r>
    </w:p>
    <w:p w:rsidR="002C6667" w:rsidRPr="00A51DA3" w:rsidRDefault="002C6667" w:rsidP="002C6667">
      <w:pPr>
        <w:rPr>
          <w:b/>
          <w:sz w:val="32"/>
          <w:szCs w:val="32"/>
        </w:rPr>
      </w:pPr>
    </w:p>
    <w:tbl>
      <w:tblPr>
        <w:tblW w:w="9145" w:type="dxa"/>
        <w:tblInd w:w="-106" w:type="dxa"/>
        <w:tblLayout w:type="fixed"/>
        <w:tblLook w:val="0000"/>
      </w:tblPr>
      <w:tblGrid>
        <w:gridCol w:w="4644"/>
        <w:gridCol w:w="234"/>
        <w:gridCol w:w="1440"/>
        <w:gridCol w:w="1270"/>
        <w:gridCol w:w="50"/>
        <w:gridCol w:w="1374"/>
        <w:gridCol w:w="133"/>
      </w:tblGrid>
      <w:tr w:rsidR="00985719" w:rsidRPr="00A51DA3" w:rsidTr="00220B37">
        <w:trPr>
          <w:gridAfter w:val="1"/>
          <w:wAfter w:w="133" w:type="dxa"/>
          <w:trHeight w:val="181"/>
        </w:trPr>
        <w:tc>
          <w:tcPr>
            <w:tcW w:w="4878" w:type="dxa"/>
            <w:gridSpan w:val="2"/>
            <w:shd w:val="clear" w:color="auto" w:fill="FFFFFF"/>
          </w:tcPr>
          <w:p w:rsidR="00985719" w:rsidRPr="00A51DA3" w:rsidRDefault="00985719" w:rsidP="003B5867">
            <w:pPr>
              <w:autoSpaceDE w:val="0"/>
              <w:autoSpaceDN w:val="0"/>
              <w:adjustRightInd w:val="0"/>
              <w:rPr>
                <w:b/>
                <w:bCs/>
                <w:sz w:val="24"/>
                <w:szCs w:val="24"/>
              </w:rPr>
            </w:pPr>
          </w:p>
        </w:tc>
        <w:tc>
          <w:tcPr>
            <w:tcW w:w="1440" w:type="dxa"/>
            <w:shd w:val="clear" w:color="auto" w:fill="FFFFFF"/>
            <w:vAlign w:val="bottom"/>
          </w:tcPr>
          <w:p w:rsidR="00985719" w:rsidRPr="00A51DA3" w:rsidRDefault="00985719" w:rsidP="00242889">
            <w:pPr>
              <w:autoSpaceDE w:val="0"/>
              <w:autoSpaceDN w:val="0"/>
              <w:adjustRightInd w:val="0"/>
              <w:jc w:val="right"/>
              <w:rPr>
                <w:b/>
                <w:bCs/>
                <w:sz w:val="24"/>
                <w:szCs w:val="24"/>
              </w:rPr>
            </w:pPr>
          </w:p>
        </w:tc>
        <w:tc>
          <w:tcPr>
            <w:tcW w:w="1270" w:type="dxa"/>
            <w:shd w:val="clear" w:color="auto" w:fill="FFFFFF"/>
            <w:vAlign w:val="bottom"/>
          </w:tcPr>
          <w:p w:rsidR="00985719" w:rsidRPr="00E85CCE" w:rsidRDefault="00454095" w:rsidP="00D624D6">
            <w:pPr>
              <w:pStyle w:val="TableHeading"/>
              <w:jc w:val="right"/>
              <w:rPr>
                <w:rFonts w:ascii="Garamond" w:hAnsi="Garamond" w:cs="Garamond"/>
                <w:sz w:val="24"/>
                <w:szCs w:val="24"/>
                <w:lang w:val="en-US" w:eastAsia="en-GB"/>
              </w:rPr>
            </w:pPr>
            <w:r>
              <w:rPr>
                <w:rFonts w:ascii="Garamond" w:hAnsi="Garamond" w:cs="Garamond"/>
                <w:sz w:val="24"/>
                <w:szCs w:val="24"/>
                <w:lang w:val="bg-BG" w:eastAsia="en-GB"/>
              </w:rPr>
              <w:t>30.0</w:t>
            </w:r>
            <w:r w:rsidR="00D624D6">
              <w:rPr>
                <w:rFonts w:ascii="Garamond" w:hAnsi="Garamond" w:cs="Garamond"/>
                <w:sz w:val="24"/>
                <w:szCs w:val="24"/>
                <w:lang w:val="bg-BG" w:eastAsia="en-GB"/>
              </w:rPr>
              <w:t>9</w:t>
            </w:r>
            <w:r>
              <w:rPr>
                <w:rFonts w:ascii="Garamond" w:hAnsi="Garamond" w:cs="Garamond"/>
                <w:sz w:val="24"/>
                <w:szCs w:val="24"/>
                <w:lang w:val="bg-BG" w:eastAsia="en-GB"/>
              </w:rPr>
              <w:t>.2016</w:t>
            </w:r>
          </w:p>
        </w:tc>
        <w:tc>
          <w:tcPr>
            <w:tcW w:w="1424" w:type="dxa"/>
            <w:gridSpan w:val="2"/>
            <w:shd w:val="clear" w:color="auto" w:fill="FFFFFF"/>
            <w:vAlign w:val="bottom"/>
          </w:tcPr>
          <w:p w:rsidR="00985719" w:rsidRPr="00E85CCE" w:rsidRDefault="00454095" w:rsidP="00D624D6">
            <w:pPr>
              <w:pStyle w:val="TableHeading"/>
              <w:jc w:val="right"/>
              <w:rPr>
                <w:rFonts w:ascii="Garamond" w:hAnsi="Garamond" w:cs="Garamond"/>
                <w:sz w:val="24"/>
                <w:szCs w:val="24"/>
                <w:lang w:val="en-US" w:eastAsia="en-GB"/>
              </w:rPr>
            </w:pPr>
            <w:r>
              <w:rPr>
                <w:rFonts w:ascii="Garamond" w:hAnsi="Garamond" w:cs="Garamond"/>
                <w:sz w:val="24"/>
                <w:szCs w:val="24"/>
                <w:lang w:val="bg-BG" w:eastAsia="en-GB"/>
              </w:rPr>
              <w:t>30.0</w:t>
            </w:r>
            <w:r w:rsidR="00D624D6">
              <w:rPr>
                <w:rFonts w:ascii="Garamond" w:hAnsi="Garamond" w:cs="Garamond"/>
                <w:sz w:val="24"/>
                <w:szCs w:val="24"/>
                <w:lang w:val="bg-BG" w:eastAsia="en-GB"/>
              </w:rPr>
              <w:t>9</w:t>
            </w:r>
            <w:r>
              <w:rPr>
                <w:rFonts w:ascii="Garamond" w:hAnsi="Garamond" w:cs="Garamond"/>
                <w:sz w:val="24"/>
                <w:szCs w:val="24"/>
                <w:lang w:val="bg-BG" w:eastAsia="en-GB"/>
              </w:rPr>
              <w:t>.2015</w:t>
            </w:r>
          </w:p>
        </w:tc>
      </w:tr>
      <w:tr w:rsidR="00985719" w:rsidRPr="00A51DA3" w:rsidTr="00220B37">
        <w:trPr>
          <w:gridAfter w:val="1"/>
          <w:wAfter w:w="133" w:type="dxa"/>
          <w:trHeight w:val="181"/>
        </w:trPr>
        <w:tc>
          <w:tcPr>
            <w:tcW w:w="4878" w:type="dxa"/>
            <w:gridSpan w:val="2"/>
            <w:shd w:val="clear" w:color="auto" w:fill="FFFFFF"/>
          </w:tcPr>
          <w:p w:rsidR="00985719" w:rsidRPr="00A51DA3" w:rsidRDefault="00985719" w:rsidP="003B5867">
            <w:pPr>
              <w:autoSpaceDE w:val="0"/>
              <w:autoSpaceDN w:val="0"/>
              <w:adjustRightInd w:val="0"/>
              <w:rPr>
                <w:b/>
                <w:bCs/>
                <w:sz w:val="24"/>
                <w:szCs w:val="24"/>
              </w:rPr>
            </w:pPr>
          </w:p>
        </w:tc>
        <w:tc>
          <w:tcPr>
            <w:tcW w:w="1440" w:type="dxa"/>
            <w:shd w:val="clear" w:color="auto" w:fill="FFFFFF"/>
            <w:vAlign w:val="bottom"/>
          </w:tcPr>
          <w:p w:rsidR="00985719" w:rsidRPr="00A51DA3" w:rsidRDefault="00985719" w:rsidP="00242889">
            <w:pPr>
              <w:autoSpaceDE w:val="0"/>
              <w:autoSpaceDN w:val="0"/>
              <w:adjustRightInd w:val="0"/>
              <w:jc w:val="right"/>
              <w:rPr>
                <w:b/>
                <w:bCs/>
                <w:sz w:val="24"/>
                <w:szCs w:val="24"/>
              </w:rPr>
            </w:pPr>
          </w:p>
        </w:tc>
        <w:tc>
          <w:tcPr>
            <w:tcW w:w="1320" w:type="dxa"/>
            <w:gridSpan w:val="2"/>
            <w:shd w:val="clear" w:color="auto" w:fill="FFFFFF"/>
            <w:vAlign w:val="bottom"/>
          </w:tcPr>
          <w:p w:rsidR="00985719" w:rsidRPr="00A51DA3" w:rsidRDefault="00985719" w:rsidP="00242889">
            <w:pPr>
              <w:autoSpaceDE w:val="0"/>
              <w:autoSpaceDN w:val="0"/>
              <w:adjustRightInd w:val="0"/>
              <w:jc w:val="right"/>
              <w:rPr>
                <w:b/>
                <w:bCs/>
                <w:sz w:val="24"/>
                <w:szCs w:val="24"/>
              </w:rPr>
            </w:pPr>
            <w:r w:rsidRPr="00A51DA3">
              <w:rPr>
                <w:b/>
                <w:bCs/>
                <w:sz w:val="24"/>
                <w:szCs w:val="24"/>
              </w:rPr>
              <w:t>‘000 лв.</w:t>
            </w:r>
          </w:p>
        </w:tc>
        <w:tc>
          <w:tcPr>
            <w:tcW w:w="1374" w:type="dxa"/>
            <w:shd w:val="clear" w:color="auto" w:fill="FFFFFF"/>
            <w:vAlign w:val="bottom"/>
          </w:tcPr>
          <w:p w:rsidR="00985719" w:rsidRPr="00A51DA3" w:rsidRDefault="00985719" w:rsidP="00242889">
            <w:pPr>
              <w:autoSpaceDE w:val="0"/>
              <w:autoSpaceDN w:val="0"/>
              <w:adjustRightInd w:val="0"/>
              <w:jc w:val="right"/>
              <w:rPr>
                <w:b/>
                <w:bCs/>
                <w:sz w:val="24"/>
                <w:szCs w:val="24"/>
              </w:rPr>
            </w:pPr>
            <w:r w:rsidRPr="00A51DA3">
              <w:rPr>
                <w:b/>
                <w:bCs/>
                <w:sz w:val="24"/>
                <w:szCs w:val="24"/>
              </w:rPr>
              <w:t>‘000 лв.</w:t>
            </w:r>
          </w:p>
        </w:tc>
      </w:tr>
      <w:tr w:rsidR="00985719" w:rsidRPr="00A51DA3" w:rsidTr="00220B37">
        <w:trPr>
          <w:gridAfter w:val="1"/>
          <w:wAfter w:w="133" w:type="dxa"/>
          <w:trHeight w:val="181"/>
        </w:trPr>
        <w:tc>
          <w:tcPr>
            <w:tcW w:w="4878" w:type="dxa"/>
            <w:gridSpan w:val="2"/>
            <w:shd w:val="clear" w:color="auto" w:fill="FFFFFF"/>
            <w:vAlign w:val="bottom"/>
          </w:tcPr>
          <w:p w:rsidR="00985719" w:rsidRPr="00A51DA3" w:rsidRDefault="00985719" w:rsidP="003B5867">
            <w:pPr>
              <w:autoSpaceDE w:val="0"/>
              <w:autoSpaceDN w:val="0"/>
              <w:adjustRightInd w:val="0"/>
              <w:rPr>
                <w:color w:val="000000"/>
                <w:sz w:val="24"/>
                <w:szCs w:val="24"/>
              </w:rPr>
            </w:pPr>
          </w:p>
        </w:tc>
        <w:tc>
          <w:tcPr>
            <w:tcW w:w="1440" w:type="dxa"/>
            <w:shd w:val="clear" w:color="auto" w:fill="FFFFFF"/>
            <w:vAlign w:val="bottom"/>
          </w:tcPr>
          <w:p w:rsidR="00985719" w:rsidRPr="00A51DA3" w:rsidRDefault="00985719" w:rsidP="00242889">
            <w:pPr>
              <w:autoSpaceDE w:val="0"/>
              <w:autoSpaceDN w:val="0"/>
              <w:adjustRightInd w:val="0"/>
              <w:jc w:val="right"/>
              <w:rPr>
                <w:sz w:val="24"/>
                <w:szCs w:val="24"/>
              </w:rPr>
            </w:pPr>
          </w:p>
        </w:tc>
        <w:tc>
          <w:tcPr>
            <w:tcW w:w="1320" w:type="dxa"/>
            <w:gridSpan w:val="2"/>
            <w:shd w:val="clear" w:color="auto" w:fill="FFFFFF"/>
            <w:vAlign w:val="bottom"/>
          </w:tcPr>
          <w:p w:rsidR="00985719" w:rsidRPr="00A51DA3" w:rsidRDefault="00985719" w:rsidP="00242889">
            <w:pPr>
              <w:autoSpaceDE w:val="0"/>
              <w:autoSpaceDN w:val="0"/>
              <w:adjustRightInd w:val="0"/>
              <w:jc w:val="right"/>
              <w:rPr>
                <w:b/>
                <w:bCs/>
                <w:sz w:val="24"/>
                <w:szCs w:val="24"/>
              </w:rPr>
            </w:pPr>
          </w:p>
        </w:tc>
        <w:tc>
          <w:tcPr>
            <w:tcW w:w="1374" w:type="dxa"/>
            <w:shd w:val="clear" w:color="auto" w:fill="FFFFFF"/>
            <w:vAlign w:val="bottom"/>
          </w:tcPr>
          <w:p w:rsidR="00985719" w:rsidRPr="00A51DA3" w:rsidRDefault="00985719" w:rsidP="002C6667">
            <w:pPr>
              <w:autoSpaceDE w:val="0"/>
              <w:autoSpaceDN w:val="0"/>
              <w:adjustRightInd w:val="0"/>
              <w:ind w:left="-161" w:right="-99"/>
              <w:jc w:val="center"/>
              <w:rPr>
                <w:b/>
                <w:bCs/>
                <w:sz w:val="24"/>
                <w:szCs w:val="24"/>
              </w:rPr>
            </w:pPr>
          </w:p>
        </w:tc>
      </w:tr>
      <w:tr w:rsidR="0062758D" w:rsidRPr="00A51DA3" w:rsidTr="0062758D">
        <w:trPr>
          <w:gridAfter w:val="1"/>
          <w:wAfter w:w="133" w:type="dxa"/>
          <w:trHeight w:val="181"/>
        </w:trPr>
        <w:tc>
          <w:tcPr>
            <w:tcW w:w="4878" w:type="dxa"/>
            <w:gridSpan w:val="2"/>
            <w:shd w:val="clear" w:color="auto" w:fill="FFFFFF"/>
            <w:vAlign w:val="bottom"/>
          </w:tcPr>
          <w:p w:rsidR="0062758D" w:rsidRPr="00A51DA3" w:rsidRDefault="0062758D" w:rsidP="00242889">
            <w:pPr>
              <w:autoSpaceDE w:val="0"/>
              <w:autoSpaceDN w:val="0"/>
              <w:adjustRightInd w:val="0"/>
              <w:rPr>
                <w:color w:val="000000"/>
                <w:sz w:val="24"/>
                <w:szCs w:val="24"/>
              </w:rPr>
            </w:pPr>
            <w:r w:rsidRPr="00A51DA3">
              <w:rPr>
                <w:color w:val="000000"/>
                <w:sz w:val="24"/>
                <w:szCs w:val="24"/>
              </w:rPr>
              <w:t>Приходи от продажби</w:t>
            </w:r>
          </w:p>
        </w:tc>
        <w:tc>
          <w:tcPr>
            <w:tcW w:w="1440" w:type="dxa"/>
            <w:shd w:val="clear" w:color="auto" w:fill="FFFFFF"/>
            <w:vAlign w:val="bottom"/>
          </w:tcPr>
          <w:p w:rsidR="0062758D" w:rsidRPr="00A51DA3" w:rsidRDefault="0062758D" w:rsidP="00242889">
            <w:pPr>
              <w:autoSpaceDE w:val="0"/>
              <w:autoSpaceDN w:val="0"/>
              <w:adjustRightInd w:val="0"/>
              <w:jc w:val="right"/>
              <w:rPr>
                <w:sz w:val="24"/>
                <w:szCs w:val="24"/>
              </w:rPr>
            </w:pPr>
          </w:p>
        </w:tc>
        <w:tc>
          <w:tcPr>
            <w:tcW w:w="1320" w:type="dxa"/>
            <w:gridSpan w:val="2"/>
            <w:shd w:val="clear" w:color="auto" w:fill="FFFFFF"/>
            <w:vAlign w:val="bottom"/>
          </w:tcPr>
          <w:p w:rsidR="0062758D" w:rsidRPr="00823F1A" w:rsidRDefault="00513E34" w:rsidP="00DC11B6">
            <w:pPr>
              <w:jc w:val="right"/>
            </w:pPr>
            <w:r>
              <w:t>4 253</w:t>
            </w:r>
          </w:p>
        </w:tc>
        <w:tc>
          <w:tcPr>
            <w:tcW w:w="1374" w:type="dxa"/>
            <w:shd w:val="clear" w:color="auto" w:fill="FFFFFF"/>
            <w:vAlign w:val="bottom"/>
          </w:tcPr>
          <w:p w:rsidR="0062758D" w:rsidRPr="00823F1A" w:rsidRDefault="00513E34" w:rsidP="00DC11B6">
            <w:pPr>
              <w:jc w:val="right"/>
            </w:pPr>
            <w:r>
              <w:t>4 253</w:t>
            </w:r>
          </w:p>
        </w:tc>
      </w:tr>
      <w:tr w:rsidR="0062758D" w:rsidRPr="00A51DA3" w:rsidTr="0062758D">
        <w:trPr>
          <w:gridAfter w:val="1"/>
          <w:wAfter w:w="133" w:type="dxa"/>
          <w:trHeight w:val="181"/>
        </w:trPr>
        <w:tc>
          <w:tcPr>
            <w:tcW w:w="4878" w:type="dxa"/>
            <w:gridSpan w:val="2"/>
            <w:shd w:val="clear" w:color="auto" w:fill="FFFFFF"/>
            <w:vAlign w:val="bottom"/>
          </w:tcPr>
          <w:p w:rsidR="0062758D" w:rsidRPr="00A51DA3" w:rsidRDefault="0062758D" w:rsidP="00242889">
            <w:pPr>
              <w:autoSpaceDE w:val="0"/>
              <w:autoSpaceDN w:val="0"/>
              <w:adjustRightInd w:val="0"/>
              <w:rPr>
                <w:color w:val="000000"/>
                <w:sz w:val="24"/>
                <w:szCs w:val="24"/>
              </w:rPr>
            </w:pPr>
            <w:r w:rsidRPr="00A51DA3">
              <w:rPr>
                <w:color w:val="000000"/>
                <w:sz w:val="24"/>
                <w:szCs w:val="24"/>
              </w:rPr>
              <w:t>Приходи от финансиране</w:t>
            </w:r>
          </w:p>
        </w:tc>
        <w:tc>
          <w:tcPr>
            <w:tcW w:w="1440" w:type="dxa"/>
            <w:shd w:val="clear" w:color="auto" w:fill="FFFFFF"/>
            <w:vAlign w:val="bottom"/>
          </w:tcPr>
          <w:p w:rsidR="0062758D" w:rsidRPr="00A51DA3" w:rsidRDefault="0062758D" w:rsidP="001E2B58">
            <w:pPr>
              <w:autoSpaceDE w:val="0"/>
              <w:autoSpaceDN w:val="0"/>
              <w:adjustRightInd w:val="0"/>
              <w:jc w:val="right"/>
              <w:rPr>
                <w:sz w:val="24"/>
                <w:szCs w:val="24"/>
              </w:rPr>
            </w:pPr>
          </w:p>
        </w:tc>
        <w:tc>
          <w:tcPr>
            <w:tcW w:w="1320" w:type="dxa"/>
            <w:gridSpan w:val="2"/>
            <w:shd w:val="clear" w:color="auto" w:fill="FFFFFF"/>
            <w:vAlign w:val="bottom"/>
          </w:tcPr>
          <w:p w:rsidR="0062758D" w:rsidRPr="00823F1A" w:rsidRDefault="00513E34" w:rsidP="006E1440">
            <w:pPr>
              <w:jc w:val="right"/>
            </w:pPr>
            <w:r>
              <w:t>90</w:t>
            </w:r>
          </w:p>
        </w:tc>
        <w:tc>
          <w:tcPr>
            <w:tcW w:w="1374" w:type="dxa"/>
            <w:shd w:val="clear" w:color="auto" w:fill="FFFFFF"/>
            <w:vAlign w:val="bottom"/>
          </w:tcPr>
          <w:p w:rsidR="0062758D" w:rsidRPr="00823F1A" w:rsidRDefault="00513E34" w:rsidP="0062758D">
            <w:pPr>
              <w:jc w:val="right"/>
            </w:pPr>
            <w:r>
              <w:t>134</w:t>
            </w:r>
          </w:p>
        </w:tc>
      </w:tr>
      <w:tr w:rsidR="0062758D" w:rsidRPr="00A51DA3" w:rsidTr="0062758D">
        <w:trPr>
          <w:gridAfter w:val="1"/>
          <w:wAfter w:w="133" w:type="dxa"/>
          <w:trHeight w:val="181"/>
        </w:trPr>
        <w:tc>
          <w:tcPr>
            <w:tcW w:w="4878" w:type="dxa"/>
            <w:gridSpan w:val="2"/>
            <w:vAlign w:val="bottom"/>
          </w:tcPr>
          <w:p w:rsidR="0062758D" w:rsidRPr="00A51DA3" w:rsidRDefault="0062758D" w:rsidP="00242889">
            <w:pPr>
              <w:autoSpaceDE w:val="0"/>
              <w:autoSpaceDN w:val="0"/>
              <w:adjustRightInd w:val="0"/>
              <w:rPr>
                <w:color w:val="000000"/>
                <w:sz w:val="24"/>
                <w:szCs w:val="24"/>
              </w:rPr>
            </w:pPr>
          </w:p>
        </w:tc>
        <w:tc>
          <w:tcPr>
            <w:tcW w:w="1440" w:type="dxa"/>
            <w:vAlign w:val="bottom"/>
          </w:tcPr>
          <w:p w:rsidR="0062758D" w:rsidRPr="00A51DA3" w:rsidRDefault="0062758D" w:rsidP="00242889">
            <w:pPr>
              <w:autoSpaceDE w:val="0"/>
              <w:autoSpaceDN w:val="0"/>
              <w:adjustRightInd w:val="0"/>
              <w:jc w:val="right"/>
              <w:rPr>
                <w:sz w:val="24"/>
                <w:szCs w:val="24"/>
              </w:rPr>
            </w:pPr>
          </w:p>
        </w:tc>
        <w:tc>
          <w:tcPr>
            <w:tcW w:w="1320" w:type="dxa"/>
            <w:gridSpan w:val="2"/>
            <w:shd w:val="clear" w:color="auto" w:fill="FFFFFF"/>
            <w:vAlign w:val="bottom"/>
          </w:tcPr>
          <w:p w:rsidR="0062758D" w:rsidRPr="00A51DA3" w:rsidRDefault="0062758D" w:rsidP="006E1440">
            <w:pPr>
              <w:jc w:val="right"/>
            </w:pPr>
          </w:p>
        </w:tc>
        <w:tc>
          <w:tcPr>
            <w:tcW w:w="1374" w:type="dxa"/>
            <w:shd w:val="clear" w:color="auto" w:fill="FFFFFF"/>
            <w:vAlign w:val="bottom"/>
          </w:tcPr>
          <w:p w:rsidR="0062758D" w:rsidRPr="00A51DA3" w:rsidRDefault="0062758D" w:rsidP="0062758D">
            <w:pPr>
              <w:jc w:val="right"/>
            </w:pPr>
          </w:p>
        </w:tc>
      </w:tr>
      <w:tr w:rsidR="0062758D" w:rsidRPr="00A51DA3" w:rsidTr="0062758D">
        <w:trPr>
          <w:gridAfter w:val="1"/>
          <w:wAfter w:w="133" w:type="dxa"/>
          <w:trHeight w:val="181"/>
        </w:trPr>
        <w:tc>
          <w:tcPr>
            <w:tcW w:w="4878" w:type="dxa"/>
            <w:gridSpan w:val="2"/>
            <w:shd w:val="clear" w:color="auto" w:fill="FFFFFF"/>
            <w:vAlign w:val="bottom"/>
          </w:tcPr>
          <w:p w:rsidR="0062758D" w:rsidRPr="00A51DA3" w:rsidRDefault="0062758D" w:rsidP="00242889">
            <w:pPr>
              <w:autoSpaceDE w:val="0"/>
              <w:autoSpaceDN w:val="0"/>
              <w:adjustRightInd w:val="0"/>
              <w:rPr>
                <w:color w:val="000000"/>
                <w:sz w:val="24"/>
                <w:szCs w:val="24"/>
              </w:rPr>
            </w:pPr>
            <w:r w:rsidRPr="00A51DA3">
              <w:rPr>
                <w:color w:val="000000"/>
                <w:sz w:val="24"/>
                <w:szCs w:val="24"/>
              </w:rPr>
              <w:t>Разходи за материали</w:t>
            </w:r>
          </w:p>
        </w:tc>
        <w:tc>
          <w:tcPr>
            <w:tcW w:w="1440" w:type="dxa"/>
            <w:shd w:val="clear" w:color="auto" w:fill="FFFFFF"/>
            <w:vAlign w:val="bottom"/>
          </w:tcPr>
          <w:p w:rsidR="0062758D" w:rsidRPr="00A51DA3" w:rsidRDefault="0062758D" w:rsidP="00242889">
            <w:pPr>
              <w:autoSpaceDE w:val="0"/>
              <w:autoSpaceDN w:val="0"/>
              <w:adjustRightInd w:val="0"/>
              <w:jc w:val="right"/>
              <w:rPr>
                <w:sz w:val="24"/>
                <w:szCs w:val="24"/>
              </w:rPr>
            </w:pPr>
          </w:p>
        </w:tc>
        <w:tc>
          <w:tcPr>
            <w:tcW w:w="1320" w:type="dxa"/>
            <w:gridSpan w:val="2"/>
            <w:shd w:val="clear" w:color="auto" w:fill="FFFFFF"/>
            <w:vAlign w:val="bottom"/>
          </w:tcPr>
          <w:p w:rsidR="0062758D" w:rsidRPr="00823F1A" w:rsidRDefault="00513E34" w:rsidP="00FB2659">
            <w:pPr>
              <w:jc w:val="right"/>
            </w:pPr>
            <w:r>
              <w:t>(329)</w:t>
            </w:r>
          </w:p>
        </w:tc>
        <w:tc>
          <w:tcPr>
            <w:tcW w:w="1374" w:type="dxa"/>
            <w:shd w:val="clear" w:color="auto" w:fill="FFFFFF"/>
            <w:vAlign w:val="bottom"/>
          </w:tcPr>
          <w:p w:rsidR="0062758D" w:rsidRPr="00823F1A" w:rsidRDefault="00513E34" w:rsidP="00CA6928">
            <w:pPr>
              <w:jc w:val="right"/>
            </w:pPr>
            <w:r>
              <w:t>(358)</w:t>
            </w:r>
          </w:p>
        </w:tc>
      </w:tr>
      <w:tr w:rsidR="0062758D" w:rsidRPr="00A51DA3" w:rsidTr="0062758D">
        <w:trPr>
          <w:gridAfter w:val="1"/>
          <w:wAfter w:w="133" w:type="dxa"/>
          <w:trHeight w:val="181"/>
        </w:trPr>
        <w:tc>
          <w:tcPr>
            <w:tcW w:w="4878" w:type="dxa"/>
            <w:gridSpan w:val="2"/>
            <w:shd w:val="clear" w:color="auto" w:fill="FFFFFF"/>
            <w:vAlign w:val="bottom"/>
          </w:tcPr>
          <w:p w:rsidR="0062758D" w:rsidRPr="00A51DA3" w:rsidRDefault="0062758D" w:rsidP="00242889">
            <w:pPr>
              <w:autoSpaceDE w:val="0"/>
              <w:autoSpaceDN w:val="0"/>
              <w:adjustRightInd w:val="0"/>
              <w:rPr>
                <w:color w:val="000000"/>
                <w:sz w:val="24"/>
                <w:szCs w:val="24"/>
              </w:rPr>
            </w:pPr>
            <w:r w:rsidRPr="00A51DA3">
              <w:rPr>
                <w:color w:val="000000"/>
                <w:sz w:val="24"/>
                <w:szCs w:val="24"/>
              </w:rPr>
              <w:t>Разходи за външни услуги</w:t>
            </w:r>
          </w:p>
        </w:tc>
        <w:tc>
          <w:tcPr>
            <w:tcW w:w="1440" w:type="dxa"/>
            <w:shd w:val="clear" w:color="auto" w:fill="FFFFFF"/>
            <w:vAlign w:val="bottom"/>
          </w:tcPr>
          <w:p w:rsidR="0062758D" w:rsidRPr="00A51DA3" w:rsidRDefault="0062758D" w:rsidP="00242889">
            <w:pPr>
              <w:autoSpaceDE w:val="0"/>
              <w:autoSpaceDN w:val="0"/>
              <w:adjustRightInd w:val="0"/>
              <w:jc w:val="right"/>
              <w:rPr>
                <w:sz w:val="24"/>
                <w:szCs w:val="24"/>
              </w:rPr>
            </w:pPr>
          </w:p>
        </w:tc>
        <w:tc>
          <w:tcPr>
            <w:tcW w:w="1320" w:type="dxa"/>
            <w:gridSpan w:val="2"/>
            <w:shd w:val="clear" w:color="auto" w:fill="FFFFFF"/>
            <w:vAlign w:val="bottom"/>
          </w:tcPr>
          <w:p w:rsidR="0062758D" w:rsidRPr="00823F1A" w:rsidRDefault="00513E34" w:rsidP="00FB2659">
            <w:pPr>
              <w:jc w:val="right"/>
            </w:pPr>
            <w:r>
              <w:t>(682)</w:t>
            </w:r>
          </w:p>
        </w:tc>
        <w:tc>
          <w:tcPr>
            <w:tcW w:w="1374" w:type="dxa"/>
            <w:shd w:val="clear" w:color="auto" w:fill="FFFFFF"/>
            <w:vAlign w:val="bottom"/>
          </w:tcPr>
          <w:p w:rsidR="0062758D" w:rsidRPr="00823F1A" w:rsidRDefault="00513E34" w:rsidP="00CA6928">
            <w:pPr>
              <w:jc w:val="right"/>
            </w:pPr>
            <w:r>
              <w:t>(1 004)</w:t>
            </w:r>
          </w:p>
        </w:tc>
      </w:tr>
      <w:tr w:rsidR="0062758D" w:rsidRPr="00A51DA3" w:rsidTr="0062758D">
        <w:trPr>
          <w:gridAfter w:val="1"/>
          <w:wAfter w:w="133" w:type="dxa"/>
          <w:trHeight w:val="181"/>
        </w:trPr>
        <w:tc>
          <w:tcPr>
            <w:tcW w:w="4878" w:type="dxa"/>
            <w:gridSpan w:val="2"/>
            <w:shd w:val="clear" w:color="auto" w:fill="FFFFFF"/>
            <w:vAlign w:val="bottom"/>
          </w:tcPr>
          <w:p w:rsidR="0062758D" w:rsidRPr="00A51DA3" w:rsidRDefault="0062758D" w:rsidP="00242889">
            <w:pPr>
              <w:autoSpaceDE w:val="0"/>
              <w:autoSpaceDN w:val="0"/>
              <w:adjustRightInd w:val="0"/>
              <w:rPr>
                <w:color w:val="000000"/>
                <w:sz w:val="24"/>
                <w:szCs w:val="24"/>
              </w:rPr>
            </w:pPr>
            <w:r w:rsidRPr="00A51DA3">
              <w:rPr>
                <w:color w:val="000000"/>
                <w:sz w:val="24"/>
                <w:szCs w:val="24"/>
              </w:rPr>
              <w:t>Разходи за персонала</w:t>
            </w:r>
          </w:p>
        </w:tc>
        <w:tc>
          <w:tcPr>
            <w:tcW w:w="1440" w:type="dxa"/>
            <w:shd w:val="clear" w:color="auto" w:fill="FFFFFF"/>
            <w:vAlign w:val="bottom"/>
          </w:tcPr>
          <w:p w:rsidR="0062758D" w:rsidRPr="00A51DA3" w:rsidRDefault="0062758D" w:rsidP="00242889">
            <w:pPr>
              <w:autoSpaceDE w:val="0"/>
              <w:autoSpaceDN w:val="0"/>
              <w:adjustRightInd w:val="0"/>
              <w:jc w:val="right"/>
              <w:rPr>
                <w:sz w:val="24"/>
                <w:szCs w:val="24"/>
              </w:rPr>
            </w:pPr>
          </w:p>
        </w:tc>
        <w:tc>
          <w:tcPr>
            <w:tcW w:w="1320" w:type="dxa"/>
            <w:gridSpan w:val="2"/>
            <w:shd w:val="clear" w:color="auto" w:fill="FFFFFF"/>
            <w:vAlign w:val="bottom"/>
          </w:tcPr>
          <w:p w:rsidR="0062758D" w:rsidRPr="00823F1A" w:rsidRDefault="00513E34" w:rsidP="00CA6928">
            <w:pPr>
              <w:jc w:val="right"/>
            </w:pPr>
            <w:r>
              <w:t>(2 182)</w:t>
            </w:r>
          </w:p>
        </w:tc>
        <w:tc>
          <w:tcPr>
            <w:tcW w:w="1374" w:type="dxa"/>
            <w:shd w:val="clear" w:color="auto" w:fill="FFFFFF"/>
            <w:vAlign w:val="bottom"/>
          </w:tcPr>
          <w:p w:rsidR="0062758D" w:rsidRPr="00823F1A" w:rsidRDefault="00513E34" w:rsidP="00CA6928">
            <w:pPr>
              <w:jc w:val="right"/>
            </w:pPr>
            <w:r>
              <w:t>(1 986)</w:t>
            </w:r>
          </w:p>
        </w:tc>
      </w:tr>
      <w:tr w:rsidR="0062758D" w:rsidRPr="00A51DA3" w:rsidTr="0062758D">
        <w:trPr>
          <w:gridAfter w:val="1"/>
          <w:wAfter w:w="133" w:type="dxa"/>
          <w:trHeight w:val="181"/>
        </w:trPr>
        <w:tc>
          <w:tcPr>
            <w:tcW w:w="4878" w:type="dxa"/>
            <w:gridSpan w:val="2"/>
            <w:shd w:val="clear" w:color="auto" w:fill="FFFFFF"/>
            <w:vAlign w:val="bottom"/>
          </w:tcPr>
          <w:p w:rsidR="0062758D" w:rsidRPr="00A51DA3" w:rsidRDefault="0062758D" w:rsidP="00A05800">
            <w:pPr>
              <w:autoSpaceDE w:val="0"/>
              <w:autoSpaceDN w:val="0"/>
              <w:adjustRightInd w:val="0"/>
              <w:rPr>
                <w:color w:val="000000"/>
                <w:sz w:val="24"/>
                <w:szCs w:val="24"/>
              </w:rPr>
            </w:pPr>
            <w:r w:rsidRPr="00A51DA3">
              <w:rPr>
                <w:color w:val="000000"/>
                <w:sz w:val="24"/>
                <w:szCs w:val="24"/>
              </w:rPr>
              <w:t xml:space="preserve">Разходи за амортизация </w:t>
            </w:r>
            <w:r w:rsidR="00092699">
              <w:rPr>
                <w:color w:val="000000"/>
                <w:sz w:val="24"/>
                <w:szCs w:val="24"/>
              </w:rPr>
              <w:t>и обезценка на нефинансови активи</w:t>
            </w:r>
          </w:p>
        </w:tc>
        <w:tc>
          <w:tcPr>
            <w:tcW w:w="1440" w:type="dxa"/>
            <w:shd w:val="clear" w:color="auto" w:fill="FFFFFF"/>
            <w:vAlign w:val="bottom"/>
          </w:tcPr>
          <w:p w:rsidR="0062758D" w:rsidRPr="00A51DA3" w:rsidRDefault="0062758D" w:rsidP="00A05800">
            <w:pPr>
              <w:autoSpaceDE w:val="0"/>
              <w:autoSpaceDN w:val="0"/>
              <w:adjustRightInd w:val="0"/>
              <w:jc w:val="right"/>
              <w:rPr>
                <w:sz w:val="24"/>
                <w:szCs w:val="24"/>
              </w:rPr>
            </w:pPr>
          </w:p>
        </w:tc>
        <w:tc>
          <w:tcPr>
            <w:tcW w:w="1320" w:type="dxa"/>
            <w:gridSpan w:val="2"/>
            <w:shd w:val="clear" w:color="auto" w:fill="FFFFFF"/>
            <w:vAlign w:val="bottom"/>
          </w:tcPr>
          <w:p w:rsidR="0062758D" w:rsidRPr="00823F1A" w:rsidRDefault="00513E34" w:rsidP="00331A6D">
            <w:pPr>
              <w:jc w:val="right"/>
            </w:pPr>
            <w:r>
              <w:t>(1 046)</w:t>
            </w:r>
          </w:p>
        </w:tc>
        <w:tc>
          <w:tcPr>
            <w:tcW w:w="1374" w:type="dxa"/>
            <w:shd w:val="clear" w:color="auto" w:fill="FFFFFF"/>
            <w:vAlign w:val="bottom"/>
          </w:tcPr>
          <w:p w:rsidR="0062758D" w:rsidRPr="00823F1A" w:rsidRDefault="00513E34" w:rsidP="00CA6928">
            <w:pPr>
              <w:jc w:val="right"/>
            </w:pPr>
            <w:r>
              <w:t>(1 734)</w:t>
            </w:r>
          </w:p>
        </w:tc>
      </w:tr>
      <w:tr w:rsidR="0062758D" w:rsidRPr="00A51DA3" w:rsidTr="0062758D">
        <w:trPr>
          <w:gridAfter w:val="1"/>
          <w:wAfter w:w="133" w:type="dxa"/>
          <w:trHeight w:val="181"/>
        </w:trPr>
        <w:tc>
          <w:tcPr>
            <w:tcW w:w="4878" w:type="dxa"/>
            <w:gridSpan w:val="2"/>
            <w:shd w:val="clear" w:color="auto" w:fill="FFFFFF"/>
            <w:vAlign w:val="bottom"/>
          </w:tcPr>
          <w:p w:rsidR="0062758D" w:rsidRPr="00A51DA3" w:rsidRDefault="0062758D" w:rsidP="00242889">
            <w:pPr>
              <w:autoSpaceDE w:val="0"/>
              <w:autoSpaceDN w:val="0"/>
              <w:adjustRightInd w:val="0"/>
              <w:rPr>
                <w:color w:val="000000"/>
                <w:sz w:val="24"/>
                <w:szCs w:val="24"/>
              </w:rPr>
            </w:pPr>
            <w:r w:rsidRPr="00A51DA3">
              <w:rPr>
                <w:color w:val="000000"/>
                <w:sz w:val="24"/>
                <w:szCs w:val="24"/>
              </w:rPr>
              <w:t>Себестойност на продадените стоки и други текущи активи</w:t>
            </w:r>
          </w:p>
        </w:tc>
        <w:tc>
          <w:tcPr>
            <w:tcW w:w="1440" w:type="dxa"/>
            <w:shd w:val="clear" w:color="auto" w:fill="FFFFFF"/>
            <w:vAlign w:val="bottom"/>
          </w:tcPr>
          <w:p w:rsidR="0062758D" w:rsidRPr="00A51DA3" w:rsidRDefault="0062758D" w:rsidP="00242889">
            <w:pPr>
              <w:autoSpaceDE w:val="0"/>
              <w:autoSpaceDN w:val="0"/>
              <w:adjustRightInd w:val="0"/>
              <w:jc w:val="right"/>
              <w:rPr>
                <w:sz w:val="24"/>
                <w:szCs w:val="24"/>
              </w:rPr>
            </w:pPr>
          </w:p>
        </w:tc>
        <w:tc>
          <w:tcPr>
            <w:tcW w:w="1320" w:type="dxa"/>
            <w:gridSpan w:val="2"/>
            <w:shd w:val="clear" w:color="auto" w:fill="FFFFFF"/>
            <w:vAlign w:val="bottom"/>
          </w:tcPr>
          <w:p w:rsidR="0062758D" w:rsidRPr="00823F1A" w:rsidRDefault="00513E34" w:rsidP="00CA6928">
            <w:pPr>
              <w:jc w:val="right"/>
            </w:pPr>
            <w:r>
              <w:t>(359)</w:t>
            </w:r>
          </w:p>
        </w:tc>
        <w:tc>
          <w:tcPr>
            <w:tcW w:w="1374" w:type="dxa"/>
            <w:shd w:val="clear" w:color="auto" w:fill="FFFFFF"/>
            <w:vAlign w:val="bottom"/>
          </w:tcPr>
          <w:p w:rsidR="0062758D" w:rsidRPr="00823F1A" w:rsidRDefault="00513E34" w:rsidP="00CA6928">
            <w:pPr>
              <w:jc w:val="right"/>
            </w:pPr>
            <w:r>
              <w:t>(489)</w:t>
            </w:r>
          </w:p>
        </w:tc>
      </w:tr>
      <w:tr w:rsidR="0062758D" w:rsidRPr="00A51DA3" w:rsidTr="0062758D">
        <w:trPr>
          <w:gridAfter w:val="1"/>
          <w:wAfter w:w="133" w:type="dxa"/>
          <w:trHeight w:val="181"/>
        </w:trPr>
        <w:tc>
          <w:tcPr>
            <w:tcW w:w="4878" w:type="dxa"/>
            <w:gridSpan w:val="2"/>
            <w:shd w:val="clear" w:color="auto" w:fill="FFFFFF"/>
            <w:vAlign w:val="bottom"/>
          </w:tcPr>
          <w:p w:rsidR="0062758D" w:rsidRPr="00A51DA3" w:rsidRDefault="0062758D" w:rsidP="00A05800">
            <w:pPr>
              <w:autoSpaceDE w:val="0"/>
              <w:autoSpaceDN w:val="0"/>
              <w:adjustRightInd w:val="0"/>
              <w:rPr>
                <w:color w:val="000000"/>
                <w:sz w:val="24"/>
                <w:szCs w:val="24"/>
              </w:rPr>
            </w:pPr>
            <w:r w:rsidRPr="00A51DA3">
              <w:rPr>
                <w:color w:val="000000"/>
                <w:sz w:val="24"/>
                <w:szCs w:val="24"/>
              </w:rPr>
              <w:t>Печалба от продажба на нетекущи активи</w:t>
            </w:r>
          </w:p>
        </w:tc>
        <w:tc>
          <w:tcPr>
            <w:tcW w:w="1440" w:type="dxa"/>
            <w:shd w:val="clear" w:color="auto" w:fill="FFFFFF"/>
            <w:vAlign w:val="bottom"/>
          </w:tcPr>
          <w:p w:rsidR="0062758D" w:rsidRPr="00A51DA3" w:rsidRDefault="0062758D" w:rsidP="00242889">
            <w:pPr>
              <w:autoSpaceDE w:val="0"/>
              <w:autoSpaceDN w:val="0"/>
              <w:adjustRightInd w:val="0"/>
              <w:jc w:val="right"/>
              <w:rPr>
                <w:sz w:val="24"/>
                <w:szCs w:val="24"/>
              </w:rPr>
            </w:pPr>
          </w:p>
        </w:tc>
        <w:tc>
          <w:tcPr>
            <w:tcW w:w="1320" w:type="dxa"/>
            <w:gridSpan w:val="2"/>
            <w:shd w:val="clear" w:color="auto" w:fill="FFFFFF"/>
            <w:vAlign w:val="bottom"/>
          </w:tcPr>
          <w:p w:rsidR="0062758D" w:rsidRPr="003605EB" w:rsidRDefault="00513E34" w:rsidP="003605EB">
            <w:pPr>
              <w:jc w:val="right"/>
            </w:pPr>
            <w:r>
              <w:t>3 786</w:t>
            </w:r>
          </w:p>
        </w:tc>
        <w:tc>
          <w:tcPr>
            <w:tcW w:w="1374" w:type="dxa"/>
            <w:shd w:val="clear" w:color="auto" w:fill="FFFFFF"/>
            <w:vAlign w:val="bottom"/>
          </w:tcPr>
          <w:p w:rsidR="0062758D" w:rsidRPr="00823F1A" w:rsidRDefault="00513E34" w:rsidP="0062758D">
            <w:pPr>
              <w:jc w:val="right"/>
            </w:pPr>
            <w:r>
              <w:t>7 918</w:t>
            </w:r>
          </w:p>
        </w:tc>
      </w:tr>
      <w:tr w:rsidR="0062758D" w:rsidRPr="00A51DA3" w:rsidTr="0062758D">
        <w:trPr>
          <w:gridAfter w:val="1"/>
          <w:wAfter w:w="133" w:type="dxa"/>
          <w:trHeight w:val="181"/>
        </w:trPr>
        <w:tc>
          <w:tcPr>
            <w:tcW w:w="4878" w:type="dxa"/>
            <w:gridSpan w:val="2"/>
            <w:shd w:val="clear" w:color="auto" w:fill="FFFFFF"/>
            <w:vAlign w:val="bottom"/>
          </w:tcPr>
          <w:p w:rsidR="0062758D" w:rsidRPr="00A51DA3" w:rsidRDefault="0062758D" w:rsidP="00242889">
            <w:pPr>
              <w:autoSpaceDE w:val="0"/>
              <w:autoSpaceDN w:val="0"/>
              <w:adjustRightInd w:val="0"/>
              <w:rPr>
                <w:color w:val="000000"/>
                <w:sz w:val="24"/>
                <w:szCs w:val="24"/>
              </w:rPr>
            </w:pPr>
            <w:r w:rsidRPr="00A51DA3">
              <w:rPr>
                <w:color w:val="000000"/>
                <w:sz w:val="24"/>
                <w:szCs w:val="24"/>
              </w:rPr>
              <w:t>Други разходи</w:t>
            </w:r>
          </w:p>
        </w:tc>
        <w:tc>
          <w:tcPr>
            <w:tcW w:w="1440" w:type="dxa"/>
            <w:shd w:val="clear" w:color="auto" w:fill="FFFFFF"/>
            <w:vAlign w:val="bottom"/>
          </w:tcPr>
          <w:p w:rsidR="0062758D" w:rsidRPr="00A51DA3" w:rsidRDefault="0062758D" w:rsidP="00242889">
            <w:pPr>
              <w:autoSpaceDE w:val="0"/>
              <w:autoSpaceDN w:val="0"/>
              <w:adjustRightInd w:val="0"/>
              <w:jc w:val="right"/>
              <w:rPr>
                <w:sz w:val="24"/>
                <w:szCs w:val="24"/>
              </w:rPr>
            </w:pPr>
          </w:p>
        </w:tc>
        <w:tc>
          <w:tcPr>
            <w:tcW w:w="1320" w:type="dxa"/>
            <w:gridSpan w:val="2"/>
            <w:tcBorders>
              <w:bottom w:val="single" w:sz="4" w:space="0" w:color="auto"/>
            </w:tcBorders>
            <w:shd w:val="clear" w:color="auto" w:fill="FFFFFF"/>
            <w:vAlign w:val="bottom"/>
          </w:tcPr>
          <w:p w:rsidR="0062758D" w:rsidRPr="00823F1A" w:rsidRDefault="00513E34" w:rsidP="00331A6D">
            <w:pPr>
              <w:jc w:val="right"/>
            </w:pPr>
            <w:r>
              <w:t>(10 381)</w:t>
            </w:r>
          </w:p>
        </w:tc>
        <w:tc>
          <w:tcPr>
            <w:tcW w:w="1374" w:type="dxa"/>
            <w:tcBorders>
              <w:bottom w:val="single" w:sz="4" w:space="0" w:color="auto"/>
            </w:tcBorders>
            <w:shd w:val="clear" w:color="auto" w:fill="FFFFFF"/>
            <w:vAlign w:val="bottom"/>
          </w:tcPr>
          <w:p w:rsidR="0062758D" w:rsidRPr="00823F1A" w:rsidRDefault="00513E34" w:rsidP="00CA6928">
            <w:pPr>
              <w:jc w:val="right"/>
            </w:pPr>
            <w:r>
              <w:t>(4 315)</w:t>
            </w:r>
          </w:p>
        </w:tc>
      </w:tr>
      <w:tr w:rsidR="0062758D" w:rsidRPr="00A51DA3" w:rsidTr="0062758D">
        <w:trPr>
          <w:gridAfter w:val="1"/>
          <w:wAfter w:w="133" w:type="dxa"/>
          <w:trHeight w:val="181"/>
        </w:trPr>
        <w:tc>
          <w:tcPr>
            <w:tcW w:w="4878" w:type="dxa"/>
            <w:gridSpan w:val="2"/>
            <w:shd w:val="clear" w:color="auto" w:fill="FFFFFF"/>
            <w:vAlign w:val="bottom"/>
          </w:tcPr>
          <w:p w:rsidR="0062758D" w:rsidRPr="00A51DA3" w:rsidRDefault="00C67033" w:rsidP="00A05800">
            <w:pPr>
              <w:autoSpaceDE w:val="0"/>
              <w:autoSpaceDN w:val="0"/>
              <w:adjustRightInd w:val="0"/>
              <w:rPr>
                <w:b/>
                <w:bCs/>
                <w:color w:val="000000"/>
                <w:sz w:val="24"/>
                <w:szCs w:val="24"/>
              </w:rPr>
            </w:pPr>
            <w:r>
              <w:rPr>
                <w:b/>
                <w:bCs/>
                <w:sz w:val="24"/>
                <w:szCs w:val="24"/>
              </w:rPr>
              <w:t>(Загуба)/</w:t>
            </w:r>
            <w:r w:rsidR="0062758D" w:rsidRPr="00A51DA3">
              <w:rPr>
                <w:b/>
                <w:bCs/>
                <w:sz w:val="24"/>
                <w:szCs w:val="24"/>
              </w:rPr>
              <w:t>Печалба</w:t>
            </w:r>
            <w:r w:rsidR="0062758D" w:rsidRPr="00A51DA3">
              <w:rPr>
                <w:b/>
                <w:bCs/>
                <w:color w:val="FF0000"/>
                <w:sz w:val="24"/>
                <w:szCs w:val="24"/>
              </w:rPr>
              <w:t xml:space="preserve"> </w:t>
            </w:r>
            <w:r w:rsidR="0062758D" w:rsidRPr="00A51DA3">
              <w:rPr>
                <w:b/>
                <w:bCs/>
                <w:sz w:val="24"/>
                <w:szCs w:val="24"/>
              </w:rPr>
              <w:t>от оперативна дейност</w:t>
            </w:r>
          </w:p>
        </w:tc>
        <w:tc>
          <w:tcPr>
            <w:tcW w:w="1440" w:type="dxa"/>
            <w:shd w:val="clear" w:color="auto" w:fill="FFFFFF"/>
            <w:vAlign w:val="bottom"/>
          </w:tcPr>
          <w:p w:rsidR="0062758D" w:rsidRPr="00A51DA3" w:rsidRDefault="0062758D" w:rsidP="00242889">
            <w:pPr>
              <w:autoSpaceDE w:val="0"/>
              <w:autoSpaceDN w:val="0"/>
              <w:adjustRightInd w:val="0"/>
              <w:jc w:val="right"/>
              <w:rPr>
                <w:sz w:val="24"/>
                <w:szCs w:val="24"/>
              </w:rPr>
            </w:pPr>
          </w:p>
        </w:tc>
        <w:tc>
          <w:tcPr>
            <w:tcW w:w="1320" w:type="dxa"/>
            <w:gridSpan w:val="2"/>
            <w:tcBorders>
              <w:top w:val="single" w:sz="4" w:space="0" w:color="auto"/>
            </w:tcBorders>
            <w:shd w:val="clear" w:color="auto" w:fill="FFFFFF"/>
            <w:vAlign w:val="bottom"/>
          </w:tcPr>
          <w:p w:rsidR="0062758D" w:rsidRPr="00823F1A" w:rsidRDefault="00513E34" w:rsidP="00CA6928">
            <w:pPr>
              <w:jc w:val="right"/>
              <w:rPr>
                <w:b/>
              </w:rPr>
            </w:pPr>
            <w:r>
              <w:rPr>
                <w:b/>
              </w:rPr>
              <w:t>(6 850)</w:t>
            </w:r>
          </w:p>
        </w:tc>
        <w:tc>
          <w:tcPr>
            <w:tcW w:w="1374" w:type="dxa"/>
            <w:tcBorders>
              <w:top w:val="single" w:sz="4" w:space="0" w:color="auto"/>
            </w:tcBorders>
            <w:shd w:val="clear" w:color="auto" w:fill="FFFFFF"/>
            <w:vAlign w:val="bottom"/>
          </w:tcPr>
          <w:p w:rsidR="0062758D" w:rsidRPr="00823F1A" w:rsidRDefault="00513E34" w:rsidP="00CA6928">
            <w:pPr>
              <w:jc w:val="right"/>
              <w:rPr>
                <w:b/>
              </w:rPr>
            </w:pPr>
            <w:r>
              <w:rPr>
                <w:b/>
              </w:rPr>
              <w:t>2 419</w:t>
            </w:r>
          </w:p>
        </w:tc>
      </w:tr>
      <w:tr w:rsidR="0062758D" w:rsidRPr="00A51DA3" w:rsidTr="0062758D">
        <w:trPr>
          <w:gridAfter w:val="1"/>
          <w:wAfter w:w="133" w:type="dxa"/>
          <w:trHeight w:val="181"/>
        </w:trPr>
        <w:tc>
          <w:tcPr>
            <w:tcW w:w="4878" w:type="dxa"/>
            <w:gridSpan w:val="2"/>
            <w:shd w:val="clear" w:color="auto" w:fill="FFFFFF"/>
            <w:vAlign w:val="bottom"/>
          </w:tcPr>
          <w:p w:rsidR="0062758D" w:rsidRPr="00A51DA3" w:rsidRDefault="0062758D" w:rsidP="00242889">
            <w:pPr>
              <w:autoSpaceDE w:val="0"/>
              <w:autoSpaceDN w:val="0"/>
              <w:adjustRightInd w:val="0"/>
              <w:rPr>
                <w:color w:val="000000"/>
                <w:sz w:val="24"/>
                <w:szCs w:val="24"/>
              </w:rPr>
            </w:pPr>
            <w:r w:rsidRPr="00A51DA3">
              <w:rPr>
                <w:color w:val="000000"/>
                <w:sz w:val="24"/>
                <w:szCs w:val="24"/>
              </w:rPr>
              <w:t>Финансови разходи</w:t>
            </w:r>
          </w:p>
        </w:tc>
        <w:tc>
          <w:tcPr>
            <w:tcW w:w="1440" w:type="dxa"/>
            <w:shd w:val="clear" w:color="auto" w:fill="FFFFFF"/>
            <w:vAlign w:val="bottom"/>
          </w:tcPr>
          <w:p w:rsidR="0062758D" w:rsidRPr="00A51DA3" w:rsidRDefault="0062758D" w:rsidP="008819A6">
            <w:pPr>
              <w:autoSpaceDE w:val="0"/>
              <w:autoSpaceDN w:val="0"/>
              <w:adjustRightInd w:val="0"/>
              <w:jc w:val="right"/>
              <w:rPr>
                <w:color w:val="000000"/>
                <w:sz w:val="24"/>
                <w:szCs w:val="24"/>
              </w:rPr>
            </w:pPr>
          </w:p>
        </w:tc>
        <w:tc>
          <w:tcPr>
            <w:tcW w:w="1320" w:type="dxa"/>
            <w:gridSpan w:val="2"/>
            <w:shd w:val="clear" w:color="auto" w:fill="FFFFFF"/>
            <w:vAlign w:val="bottom"/>
          </w:tcPr>
          <w:p w:rsidR="0062758D" w:rsidRPr="00823F1A" w:rsidRDefault="00513E34" w:rsidP="00FB2659">
            <w:pPr>
              <w:jc w:val="right"/>
            </w:pPr>
            <w:r>
              <w:t>(257)</w:t>
            </w:r>
          </w:p>
        </w:tc>
        <w:tc>
          <w:tcPr>
            <w:tcW w:w="1374" w:type="dxa"/>
            <w:shd w:val="clear" w:color="auto" w:fill="FFFFFF"/>
            <w:vAlign w:val="bottom"/>
          </w:tcPr>
          <w:p w:rsidR="0062758D" w:rsidRPr="00823F1A" w:rsidRDefault="00513E34" w:rsidP="00CA6928">
            <w:pPr>
              <w:jc w:val="right"/>
            </w:pPr>
            <w:r>
              <w:t>(4 055)</w:t>
            </w:r>
          </w:p>
        </w:tc>
      </w:tr>
      <w:tr w:rsidR="0062758D" w:rsidRPr="00A51DA3" w:rsidTr="0062758D">
        <w:trPr>
          <w:gridAfter w:val="1"/>
          <w:wAfter w:w="133" w:type="dxa"/>
          <w:trHeight w:val="181"/>
        </w:trPr>
        <w:tc>
          <w:tcPr>
            <w:tcW w:w="4878" w:type="dxa"/>
            <w:gridSpan w:val="2"/>
            <w:shd w:val="clear" w:color="auto" w:fill="FFFFFF"/>
            <w:vAlign w:val="bottom"/>
          </w:tcPr>
          <w:p w:rsidR="0062758D" w:rsidRPr="00A51DA3" w:rsidRDefault="0062758D" w:rsidP="00242889">
            <w:pPr>
              <w:autoSpaceDE w:val="0"/>
              <w:autoSpaceDN w:val="0"/>
              <w:adjustRightInd w:val="0"/>
              <w:rPr>
                <w:color w:val="000000"/>
                <w:sz w:val="24"/>
                <w:szCs w:val="24"/>
              </w:rPr>
            </w:pPr>
            <w:r w:rsidRPr="00A51DA3">
              <w:rPr>
                <w:color w:val="000000"/>
                <w:sz w:val="24"/>
                <w:szCs w:val="24"/>
              </w:rPr>
              <w:t>Финансови приходи</w:t>
            </w:r>
          </w:p>
        </w:tc>
        <w:tc>
          <w:tcPr>
            <w:tcW w:w="1440" w:type="dxa"/>
            <w:shd w:val="clear" w:color="auto" w:fill="FFFFFF"/>
            <w:vAlign w:val="bottom"/>
          </w:tcPr>
          <w:p w:rsidR="0062758D" w:rsidRPr="00A51DA3" w:rsidRDefault="0062758D" w:rsidP="00242889">
            <w:pPr>
              <w:autoSpaceDE w:val="0"/>
              <w:autoSpaceDN w:val="0"/>
              <w:adjustRightInd w:val="0"/>
              <w:jc w:val="right"/>
              <w:rPr>
                <w:color w:val="000000"/>
                <w:sz w:val="24"/>
                <w:szCs w:val="24"/>
              </w:rPr>
            </w:pPr>
          </w:p>
        </w:tc>
        <w:tc>
          <w:tcPr>
            <w:tcW w:w="1320" w:type="dxa"/>
            <w:gridSpan w:val="2"/>
            <w:shd w:val="clear" w:color="auto" w:fill="FFFFFF"/>
            <w:vAlign w:val="bottom"/>
          </w:tcPr>
          <w:p w:rsidR="0062758D" w:rsidRPr="00823F1A" w:rsidRDefault="00513E34" w:rsidP="006E1440">
            <w:pPr>
              <w:jc w:val="right"/>
            </w:pPr>
            <w:r>
              <w:t>18</w:t>
            </w:r>
          </w:p>
        </w:tc>
        <w:tc>
          <w:tcPr>
            <w:tcW w:w="1374" w:type="dxa"/>
            <w:shd w:val="clear" w:color="auto" w:fill="FFFFFF"/>
            <w:vAlign w:val="bottom"/>
          </w:tcPr>
          <w:p w:rsidR="0062758D" w:rsidRPr="00823F1A" w:rsidRDefault="00513E34" w:rsidP="0062758D">
            <w:pPr>
              <w:jc w:val="right"/>
            </w:pPr>
            <w:r>
              <w:t>1</w:t>
            </w:r>
          </w:p>
        </w:tc>
      </w:tr>
      <w:tr w:rsidR="0062758D" w:rsidRPr="00A51DA3" w:rsidTr="0062758D">
        <w:trPr>
          <w:gridAfter w:val="1"/>
          <w:wAfter w:w="133" w:type="dxa"/>
          <w:trHeight w:val="181"/>
        </w:trPr>
        <w:tc>
          <w:tcPr>
            <w:tcW w:w="4878" w:type="dxa"/>
            <w:gridSpan w:val="2"/>
            <w:shd w:val="clear" w:color="auto" w:fill="FFFFFF"/>
            <w:vAlign w:val="bottom"/>
          </w:tcPr>
          <w:p w:rsidR="0062758D" w:rsidRPr="00A51DA3" w:rsidRDefault="00C67033" w:rsidP="00A05800">
            <w:pPr>
              <w:autoSpaceDE w:val="0"/>
              <w:autoSpaceDN w:val="0"/>
              <w:adjustRightInd w:val="0"/>
              <w:rPr>
                <w:b/>
                <w:bCs/>
                <w:color w:val="000000"/>
                <w:sz w:val="24"/>
                <w:szCs w:val="24"/>
              </w:rPr>
            </w:pPr>
            <w:r>
              <w:rPr>
                <w:b/>
                <w:bCs/>
                <w:color w:val="000000"/>
                <w:sz w:val="24"/>
                <w:szCs w:val="24"/>
              </w:rPr>
              <w:t>Загуба</w:t>
            </w:r>
            <w:r w:rsidR="0062758D" w:rsidRPr="00A51DA3">
              <w:rPr>
                <w:b/>
                <w:bCs/>
                <w:color w:val="FF0000"/>
                <w:sz w:val="24"/>
                <w:szCs w:val="24"/>
              </w:rPr>
              <w:t xml:space="preserve"> </w:t>
            </w:r>
            <w:r w:rsidR="0062758D" w:rsidRPr="00A51DA3">
              <w:rPr>
                <w:b/>
                <w:bCs/>
                <w:color w:val="000000"/>
                <w:sz w:val="24"/>
                <w:szCs w:val="24"/>
              </w:rPr>
              <w:t>преди данъци</w:t>
            </w:r>
          </w:p>
        </w:tc>
        <w:tc>
          <w:tcPr>
            <w:tcW w:w="1440" w:type="dxa"/>
            <w:shd w:val="clear" w:color="auto" w:fill="FFFFFF"/>
            <w:vAlign w:val="bottom"/>
          </w:tcPr>
          <w:p w:rsidR="0062758D" w:rsidRPr="00A51DA3" w:rsidRDefault="0062758D" w:rsidP="00242889">
            <w:pPr>
              <w:autoSpaceDE w:val="0"/>
              <w:autoSpaceDN w:val="0"/>
              <w:adjustRightInd w:val="0"/>
              <w:jc w:val="right"/>
              <w:rPr>
                <w:color w:val="000000"/>
                <w:sz w:val="24"/>
                <w:szCs w:val="24"/>
              </w:rPr>
            </w:pPr>
          </w:p>
        </w:tc>
        <w:tc>
          <w:tcPr>
            <w:tcW w:w="1320" w:type="dxa"/>
            <w:gridSpan w:val="2"/>
            <w:tcBorders>
              <w:top w:val="single" w:sz="4" w:space="0" w:color="auto"/>
            </w:tcBorders>
            <w:shd w:val="clear" w:color="auto" w:fill="FFFFFF"/>
            <w:vAlign w:val="bottom"/>
          </w:tcPr>
          <w:p w:rsidR="0062758D" w:rsidRPr="00823F1A" w:rsidRDefault="00513E34" w:rsidP="00CA6928">
            <w:pPr>
              <w:jc w:val="right"/>
              <w:rPr>
                <w:b/>
              </w:rPr>
            </w:pPr>
            <w:r>
              <w:rPr>
                <w:b/>
              </w:rPr>
              <w:t>(7 089)</w:t>
            </w:r>
          </w:p>
        </w:tc>
        <w:tc>
          <w:tcPr>
            <w:tcW w:w="1374" w:type="dxa"/>
            <w:tcBorders>
              <w:top w:val="single" w:sz="4" w:space="0" w:color="auto"/>
            </w:tcBorders>
            <w:shd w:val="clear" w:color="auto" w:fill="FFFFFF"/>
            <w:vAlign w:val="bottom"/>
          </w:tcPr>
          <w:p w:rsidR="0062758D" w:rsidRPr="00823F1A" w:rsidRDefault="00513E34" w:rsidP="00CA6928">
            <w:pPr>
              <w:jc w:val="right"/>
              <w:rPr>
                <w:b/>
              </w:rPr>
            </w:pPr>
            <w:r>
              <w:rPr>
                <w:b/>
              </w:rPr>
              <w:t>(1 635)</w:t>
            </w:r>
          </w:p>
        </w:tc>
      </w:tr>
      <w:tr w:rsidR="0062758D" w:rsidRPr="00A51DA3" w:rsidTr="00D835D6">
        <w:trPr>
          <w:gridAfter w:val="1"/>
          <w:wAfter w:w="133" w:type="dxa"/>
          <w:trHeight w:val="181"/>
        </w:trPr>
        <w:tc>
          <w:tcPr>
            <w:tcW w:w="4878" w:type="dxa"/>
            <w:gridSpan w:val="2"/>
            <w:vAlign w:val="bottom"/>
          </w:tcPr>
          <w:p w:rsidR="0062758D" w:rsidRPr="00A51DA3" w:rsidRDefault="004E21F9" w:rsidP="009E7434">
            <w:pPr>
              <w:autoSpaceDE w:val="0"/>
              <w:autoSpaceDN w:val="0"/>
              <w:adjustRightInd w:val="0"/>
              <w:rPr>
                <w:color w:val="000000"/>
                <w:sz w:val="24"/>
                <w:szCs w:val="24"/>
              </w:rPr>
            </w:pPr>
            <w:r>
              <w:rPr>
                <w:color w:val="000000"/>
                <w:sz w:val="24"/>
                <w:szCs w:val="24"/>
              </w:rPr>
              <w:t>Икономия/ (разход)</w:t>
            </w:r>
            <w:r w:rsidR="0062758D" w:rsidRPr="00A51DA3">
              <w:rPr>
                <w:color w:val="000000"/>
                <w:sz w:val="24"/>
                <w:szCs w:val="24"/>
              </w:rPr>
              <w:t xml:space="preserve"> от данък върху дохода</w:t>
            </w:r>
          </w:p>
        </w:tc>
        <w:tc>
          <w:tcPr>
            <w:tcW w:w="1440" w:type="dxa"/>
            <w:shd w:val="clear" w:color="auto" w:fill="FFFFFF"/>
            <w:vAlign w:val="bottom"/>
          </w:tcPr>
          <w:p w:rsidR="0062758D" w:rsidRPr="00A51DA3" w:rsidRDefault="0062758D" w:rsidP="00242889">
            <w:pPr>
              <w:autoSpaceDE w:val="0"/>
              <w:autoSpaceDN w:val="0"/>
              <w:adjustRightInd w:val="0"/>
              <w:jc w:val="right"/>
              <w:rPr>
                <w:color w:val="000000"/>
                <w:sz w:val="24"/>
                <w:szCs w:val="24"/>
              </w:rPr>
            </w:pPr>
          </w:p>
        </w:tc>
        <w:tc>
          <w:tcPr>
            <w:tcW w:w="1320" w:type="dxa"/>
            <w:gridSpan w:val="2"/>
            <w:tcBorders>
              <w:bottom w:val="single" w:sz="4" w:space="0" w:color="auto"/>
            </w:tcBorders>
            <w:shd w:val="clear" w:color="auto" w:fill="FFFFFF"/>
            <w:vAlign w:val="bottom"/>
          </w:tcPr>
          <w:p w:rsidR="0062758D" w:rsidRPr="00823F1A" w:rsidRDefault="00513E34" w:rsidP="006E1440">
            <w:pPr>
              <w:jc w:val="right"/>
            </w:pPr>
            <w:r>
              <w:t>-</w:t>
            </w:r>
          </w:p>
        </w:tc>
        <w:tc>
          <w:tcPr>
            <w:tcW w:w="1374" w:type="dxa"/>
            <w:tcBorders>
              <w:bottom w:val="single" w:sz="4" w:space="0" w:color="auto"/>
            </w:tcBorders>
            <w:shd w:val="clear" w:color="auto" w:fill="FFFFFF"/>
            <w:vAlign w:val="bottom"/>
          </w:tcPr>
          <w:p w:rsidR="0062758D" w:rsidRPr="00823F1A" w:rsidRDefault="00513E34" w:rsidP="0062758D">
            <w:pPr>
              <w:jc w:val="right"/>
            </w:pPr>
            <w:r>
              <w:t>-</w:t>
            </w:r>
          </w:p>
        </w:tc>
      </w:tr>
      <w:tr w:rsidR="0062758D" w:rsidRPr="00A51DA3" w:rsidTr="00D835D6">
        <w:trPr>
          <w:gridAfter w:val="1"/>
          <w:wAfter w:w="133" w:type="dxa"/>
          <w:trHeight w:val="181"/>
        </w:trPr>
        <w:tc>
          <w:tcPr>
            <w:tcW w:w="4878" w:type="dxa"/>
            <w:gridSpan w:val="2"/>
            <w:vAlign w:val="bottom"/>
          </w:tcPr>
          <w:p w:rsidR="0062758D" w:rsidRPr="00A51DA3" w:rsidRDefault="0062758D" w:rsidP="00C67033">
            <w:pPr>
              <w:autoSpaceDE w:val="0"/>
              <w:autoSpaceDN w:val="0"/>
              <w:adjustRightInd w:val="0"/>
              <w:rPr>
                <w:b/>
                <w:bCs/>
                <w:color w:val="000000"/>
                <w:sz w:val="24"/>
                <w:szCs w:val="24"/>
              </w:rPr>
            </w:pPr>
            <w:r w:rsidRPr="00A51DA3">
              <w:rPr>
                <w:b/>
                <w:bCs/>
                <w:sz w:val="24"/>
                <w:szCs w:val="24"/>
              </w:rPr>
              <w:t xml:space="preserve">Нетна </w:t>
            </w:r>
            <w:r w:rsidR="00C67033" w:rsidRPr="00A51DA3">
              <w:rPr>
                <w:b/>
                <w:bCs/>
                <w:sz w:val="24"/>
                <w:szCs w:val="24"/>
              </w:rPr>
              <w:t>(загуба)</w:t>
            </w:r>
            <w:r w:rsidR="00C67033">
              <w:rPr>
                <w:b/>
                <w:bCs/>
                <w:sz w:val="24"/>
                <w:szCs w:val="24"/>
              </w:rPr>
              <w:t xml:space="preserve">/печалба </w:t>
            </w:r>
            <w:r w:rsidRPr="00A51DA3">
              <w:rPr>
                <w:b/>
                <w:bCs/>
                <w:color w:val="000000"/>
                <w:sz w:val="24"/>
                <w:szCs w:val="24"/>
                <w:lang w:eastAsia="bg-BG"/>
              </w:rPr>
              <w:t>годината</w:t>
            </w:r>
          </w:p>
        </w:tc>
        <w:tc>
          <w:tcPr>
            <w:tcW w:w="1440" w:type="dxa"/>
            <w:shd w:val="clear" w:color="auto" w:fill="FFFFFF"/>
            <w:vAlign w:val="bottom"/>
          </w:tcPr>
          <w:p w:rsidR="0062758D" w:rsidRPr="00A51DA3" w:rsidRDefault="0062758D" w:rsidP="00242889">
            <w:pPr>
              <w:autoSpaceDE w:val="0"/>
              <w:autoSpaceDN w:val="0"/>
              <w:adjustRightInd w:val="0"/>
              <w:jc w:val="right"/>
              <w:rPr>
                <w:color w:val="000000"/>
                <w:sz w:val="24"/>
                <w:szCs w:val="24"/>
              </w:rPr>
            </w:pPr>
          </w:p>
        </w:tc>
        <w:tc>
          <w:tcPr>
            <w:tcW w:w="1320" w:type="dxa"/>
            <w:gridSpan w:val="2"/>
            <w:tcBorders>
              <w:top w:val="single" w:sz="4" w:space="0" w:color="auto"/>
              <w:bottom w:val="double" w:sz="4" w:space="0" w:color="auto"/>
            </w:tcBorders>
            <w:shd w:val="clear" w:color="auto" w:fill="FFFFFF"/>
            <w:vAlign w:val="bottom"/>
          </w:tcPr>
          <w:p w:rsidR="0062758D" w:rsidRPr="00823F1A" w:rsidRDefault="00513E34" w:rsidP="00CA6928">
            <w:pPr>
              <w:jc w:val="right"/>
              <w:rPr>
                <w:b/>
              </w:rPr>
            </w:pPr>
            <w:r>
              <w:rPr>
                <w:b/>
              </w:rPr>
              <w:t>(7 089)</w:t>
            </w:r>
          </w:p>
        </w:tc>
        <w:tc>
          <w:tcPr>
            <w:tcW w:w="1374" w:type="dxa"/>
            <w:tcBorders>
              <w:top w:val="single" w:sz="4" w:space="0" w:color="auto"/>
              <w:bottom w:val="double" w:sz="4" w:space="0" w:color="auto"/>
            </w:tcBorders>
            <w:shd w:val="clear" w:color="auto" w:fill="FFFFFF"/>
            <w:vAlign w:val="bottom"/>
          </w:tcPr>
          <w:p w:rsidR="0062758D" w:rsidRPr="00823F1A" w:rsidRDefault="00513E34" w:rsidP="00CA6928">
            <w:pPr>
              <w:jc w:val="right"/>
              <w:rPr>
                <w:b/>
              </w:rPr>
            </w:pPr>
            <w:r>
              <w:rPr>
                <w:b/>
              </w:rPr>
              <w:t>(1 635)</w:t>
            </w:r>
          </w:p>
        </w:tc>
      </w:tr>
      <w:tr w:rsidR="0062758D" w:rsidRPr="00A51DA3" w:rsidTr="00D835D6">
        <w:trPr>
          <w:gridAfter w:val="1"/>
          <w:wAfter w:w="133" w:type="dxa"/>
          <w:trHeight w:val="181"/>
        </w:trPr>
        <w:tc>
          <w:tcPr>
            <w:tcW w:w="4878" w:type="dxa"/>
            <w:gridSpan w:val="2"/>
            <w:vAlign w:val="bottom"/>
          </w:tcPr>
          <w:p w:rsidR="0062758D" w:rsidRPr="00564B26" w:rsidRDefault="0062758D" w:rsidP="00CE1FBC">
            <w:pPr>
              <w:autoSpaceDE w:val="0"/>
              <w:autoSpaceDN w:val="0"/>
              <w:adjustRightInd w:val="0"/>
              <w:rPr>
                <w:sz w:val="24"/>
                <w:szCs w:val="24"/>
                <w:lang w:val="en-US"/>
              </w:rPr>
            </w:pPr>
            <w:r w:rsidRPr="00A51DA3">
              <w:rPr>
                <w:b/>
                <w:bCs/>
                <w:color w:val="000000"/>
                <w:sz w:val="24"/>
                <w:szCs w:val="24"/>
                <w:lang w:eastAsia="bg-BG"/>
              </w:rPr>
              <w:t>Друг всеобхватен доход</w:t>
            </w:r>
            <w:r w:rsidR="00823F1A">
              <w:rPr>
                <w:b/>
                <w:bCs/>
                <w:color w:val="000000"/>
                <w:sz w:val="24"/>
                <w:szCs w:val="24"/>
                <w:lang w:eastAsia="bg-BG"/>
              </w:rPr>
              <w:t>:</w:t>
            </w:r>
          </w:p>
        </w:tc>
        <w:tc>
          <w:tcPr>
            <w:tcW w:w="1440" w:type="dxa"/>
            <w:shd w:val="clear" w:color="auto" w:fill="FFFFFF"/>
            <w:vAlign w:val="bottom"/>
          </w:tcPr>
          <w:p w:rsidR="0062758D" w:rsidRPr="00A51DA3" w:rsidRDefault="0062758D" w:rsidP="00242889">
            <w:pPr>
              <w:autoSpaceDE w:val="0"/>
              <w:autoSpaceDN w:val="0"/>
              <w:adjustRightInd w:val="0"/>
              <w:jc w:val="right"/>
              <w:rPr>
                <w:color w:val="000000"/>
                <w:sz w:val="24"/>
                <w:szCs w:val="24"/>
              </w:rPr>
            </w:pPr>
          </w:p>
        </w:tc>
        <w:tc>
          <w:tcPr>
            <w:tcW w:w="1320" w:type="dxa"/>
            <w:gridSpan w:val="2"/>
            <w:tcBorders>
              <w:top w:val="double" w:sz="4" w:space="0" w:color="auto"/>
            </w:tcBorders>
            <w:shd w:val="clear" w:color="auto" w:fill="FFFFFF"/>
            <w:vAlign w:val="bottom"/>
          </w:tcPr>
          <w:p w:rsidR="0062758D" w:rsidRPr="00564B26" w:rsidRDefault="0062758D" w:rsidP="006E1440">
            <w:pPr>
              <w:autoSpaceDE w:val="0"/>
              <w:autoSpaceDN w:val="0"/>
              <w:adjustRightInd w:val="0"/>
              <w:jc w:val="right"/>
              <w:rPr>
                <w:color w:val="000000"/>
                <w:sz w:val="24"/>
                <w:szCs w:val="24"/>
                <w:lang w:val="en-US"/>
              </w:rPr>
            </w:pPr>
          </w:p>
        </w:tc>
        <w:tc>
          <w:tcPr>
            <w:tcW w:w="1374" w:type="dxa"/>
            <w:tcBorders>
              <w:top w:val="double" w:sz="4" w:space="0" w:color="auto"/>
            </w:tcBorders>
            <w:shd w:val="clear" w:color="auto" w:fill="FFFFFF"/>
            <w:vAlign w:val="bottom"/>
          </w:tcPr>
          <w:p w:rsidR="0062758D" w:rsidRPr="00A51DA3" w:rsidRDefault="0062758D" w:rsidP="0062758D">
            <w:pPr>
              <w:jc w:val="right"/>
            </w:pPr>
          </w:p>
        </w:tc>
      </w:tr>
      <w:tr w:rsidR="00823F1A" w:rsidRPr="00A51DA3" w:rsidTr="00D835D6">
        <w:trPr>
          <w:gridAfter w:val="1"/>
          <w:wAfter w:w="133" w:type="dxa"/>
          <w:trHeight w:val="181"/>
        </w:trPr>
        <w:tc>
          <w:tcPr>
            <w:tcW w:w="4878" w:type="dxa"/>
            <w:gridSpan w:val="2"/>
            <w:shd w:val="clear" w:color="auto" w:fill="FFFFFF"/>
            <w:vAlign w:val="bottom"/>
          </w:tcPr>
          <w:p w:rsidR="00823F1A" w:rsidRPr="00823F1A" w:rsidRDefault="00823F1A" w:rsidP="00564B26">
            <w:pPr>
              <w:autoSpaceDE w:val="0"/>
              <w:autoSpaceDN w:val="0"/>
              <w:adjustRightInd w:val="0"/>
              <w:rPr>
                <w:bCs/>
                <w:color w:val="000000"/>
                <w:sz w:val="24"/>
                <w:szCs w:val="24"/>
                <w:lang w:eastAsia="bg-BG"/>
              </w:rPr>
            </w:pPr>
            <w:r w:rsidRPr="00823F1A">
              <w:rPr>
                <w:bCs/>
                <w:color w:val="000000"/>
                <w:sz w:val="24"/>
                <w:szCs w:val="24"/>
                <w:lang w:eastAsia="bg-BG"/>
              </w:rPr>
              <w:t>Преоценка на нефинансови активи</w:t>
            </w:r>
          </w:p>
        </w:tc>
        <w:tc>
          <w:tcPr>
            <w:tcW w:w="1440" w:type="dxa"/>
            <w:shd w:val="clear" w:color="auto" w:fill="FFFFFF"/>
            <w:vAlign w:val="bottom"/>
          </w:tcPr>
          <w:p w:rsidR="00823F1A" w:rsidRPr="00A51DA3" w:rsidRDefault="00823F1A" w:rsidP="00242889">
            <w:pPr>
              <w:autoSpaceDE w:val="0"/>
              <w:autoSpaceDN w:val="0"/>
              <w:adjustRightInd w:val="0"/>
              <w:jc w:val="right"/>
              <w:rPr>
                <w:color w:val="000000"/>
                <w:sz w:val="24"/>
                <w:szCs w:val="24"/>
              </w:rPr>
            </w:pPr>
          </w:p>
        </w:tc>
        <w:tc>
          <w:tcPr>
            <w:tcW w:w="1320" w:type="dxa"/>
            <w:gridSpan w:val="2"/>
            <w:shd w:val="clear" w:color="auto" w:fill="FFFFFF"/>
            <w:vAlign w:val="bottom"/>
          </w:tcPr>
          <w:p w:rsidR="00823F1A" w:rsidRPr="00823F1A" w:rsidRDefault="00513E34" w:rsidP="00FB2659">
            <w:pPr>
              <w:autoSpaceDE w:val="0"/>
              <w:autoSpaceDN w:val="0"/>
              <w:adjustRightInd w:val="0"/>
              <w:jc w:val="right"/>
              <w:rPr>
                <w:color w:val="000000"/>
                <w:sz w:val="24"/>
                <w:szCs w:val="24"/>
              </w:rPr>
            </w:pPr>
            <w:r>
              <w:rPr>
                <w:color w:val="000000"/>
                <w:sz w:val="24"/>
                <w:szCs w:val="24"/>
              </w:rPr>
              <w:t>(55)</w:t>
            </w:r>
          </w:p>
        </w:tc>
        <w:tc>
          <w:tcPr>
            <w:tcW w:w="1374" w:type="dxa"/>
            <w:vAlign w:val="bottom"/>
          </w:tcPr>
          <w:p w:rsidR="00823F1A" w:rsidRPr="00823F1A" w:rsidRDefault="00513E34" w:rsidP="0062758D">
            <w:pPr>
              <w:jc w:val="right"/>
            </w:pPr>
            <w:r>
              <w:t>-</w:t>
            </w:r>
          </w:p>
        </w:tc>
      </w:tr>
      <w:tr w:rsidR="00823F1A" w:rsidRPr="00A51DA3" w:rsidTr="0062758D">
        <w:trPr>
          <w:gridAfter w:val="1"/>
          <w:wAfter w:w="133" w:type="dxa"/>
          <w:trHeight w:val="181"/>
        </w:trPr>
        <w:tc>
          <w:tcPr>
            <w:tcW w:w="4878" w:type="dxa"/>
            <w:gridSpan w:val="2"/>
            <w:shd w:val="clear" w:color="auto" w:fill="FFFFFF"/>
            <w:vAlign w:val="bottom"/>
          </w:tcPr>
          <w:p w:rsidR="00823F1A" w:rsidRPr="00823F1A" w:rsidRDefault="00823F1A" w:rsidP="00564B26">
            <w:pPr>
              <w:autoSpaceDE w:val="0"/>
              <w:autoSpaceDN w:val="0"/>
              <w:adjustRightInd w:val="0"/>
              <w:rPr>
                <w:bCs/>
                <w:color w:val="000000"/>
                <w:sz w:val="24"/>
                <w:szCs w:val="24"/>
                <w:lang w:eastAsia="bg-BG"/>
              </w:rPr>
            </w:pPr>
            <w:r w:rsidRPr="00823F1A">
              <w:rPr>
                <w:bCs/>
                <w:color w:val="000000"/>
                <w:sz w:val="24"/>
                <w:szCs w:val="24"/>
                <w:lang w:eastAsia="bg-BG"/>
              </w:rPr>
              <w:t>Данък върху дохода, отнасящ се до компонентите на другия всеобхватен доход</w:t>
            </w:r>
          </w:p>
        </w:tc>
        <w:tc>
          <w:tcPr>
            <w:tcW w:w="1440" w:type="dxa"/>
            <w:shd w:val="clear" w:color="auto" w:fill="FFFFFF"/>
            <w:vAlign w:val="bottom"/>
          </w:tcPr>
          <w:p w:rsidR="00823F1A" w:rsidRPr="00A51DA3" w:rsidRDefault="00823F1A" w:rsidP="00242889">
            <w:pPr>
              <w:autoSpaceDE w:val="0"/>
              <w:autoSpaceDN w:val="0"/>
              <w:adjustRightInd w:val="0"/>
              <w:jc w:val="right"/>
              <w:rPr>
                <w:color w:val="000000"/>
                <w:sz w:val="24"/>
                <w:szCs w:val="24"/>
              </w:rPr>
            </w:pPr>
          </w:p>
        </w:tc>
        <w:tc>
          <w:tcPr>
            <w:tcW w:w="1320" w:type="dxa"/>
            <w:gridSpan w:val="2"/>
            <w:tcBorders>
              <w:top w:val="single" w:sz="4" w:space="0" w:color="auto"/>
            </w:tcBorders>
            <w:shd w:val="clear" w:color="auto" w:fill="FFFFFF"/>
            <w:vAlign w:val="bottom"/>
          </w:tcPr>
          <w:p w:rsidR="00823F1A" w:rsidRPr="00823F1A" w:rsidRDefault="00823F1A" w:rsidP="006E1440">
            <w:pPr>
              <w:autoSpaceDE w:val="0"/>
              <w:autoSpaceDN w:val="0"/>
              <w:adjustRightInd w:val="0"/>
              <w:jc w:val="right"/>
              <w:rPr>
                <w:color w:val="000000"/>
                <w:sz w:val="24"/>
                <w:szCs w:val="24"/>
              </w:rPr>
            </w:pPr>
          </w:p>
        </w:tc>
        <w:tc>
          <w:tcPr>
            <w:tcW w:w="1374" w:type="dxa"/>
            <w:tcBorders>
              <w:top w:val="single" w:sz="4" w:space="0" w:color="auto"/>
            </w:tcBorders>
            <w:vAlign w:val="bottom"/>
          </w:tcPr>
          <w:p w:rsidR="00823F1A" w:rsidRPr="00823F1A" w:rsidRDefault="00513E34" w:rsidP="0062758D">
            <w:pPr>
              <w:jc w:val="right"/>
            </w:pPr>
            <w:r>
              <w:t>-</w:t>
            </w:r>
          </w:p>
        </w:tc>
      </w:tr>
      <w:tr w:rsidR="0062758D" w:rsidRPr="00A51DA3" w:rsidTr="0062758D">
        <w:trPr>
          <w:gridAfter w:val="1"/>
          <w:wAfter w:w="133" w:type="dxa"/>
          <w:trHeight w:val="181"/>
        </w:trPr>
        <w:tc>
          <w:tcPr>
            <w:tcW w:w="4878" w:type="dxa"/>
            <w:gridSpan w:val="2"/>
            <w:shd w:val="clear" w:color="auto" w:fill="FFFFFF"/>
            <w:vAlign w:val="bottom"/>
          </w:tcPr>
          <w:p w:rsidR="0062758D" w:rsidRPr="00A51DA3" w:rsidRDefault="00564B26" w:rsidP="00564B26">
            <w:pPr>
              <w:autoSpaceDE w:val="0"/>
              <w:autoSpaceDN w:val="0"/>
              <w:adjustRightInd w:val="0"/>
              <w:rPr>
                <w:sz w:val="24"/>
                <w:szCs w:val="24"/>
              </w:rPr>
            </w:pPr>
            <w:r>
              <w:rPr>
                <w:b/>
                <w:bCs/>
                <w:color w:val="000000"/>
                <w:sz w:val="24"/>
                <w:szCs w:val="24"/>
                <w:lang w:eastAsia="bg-BG"/>
              </w:rPr>
              <w:t>Друг</w:t>
            </w:r>
            <w:r w:rsidR="0062758D" w:rsidRPr="00A51DA3">
              <w:rPr>
                <w:b/>
                <w:bCs/>
                <w:color w:val="000000"/>
                <w:sz w:val="24"/>
                <w:szCs w:val="24"/>
                <w:lang w:eastAsia="bg-BG"/>
              </w:rPr>
              <w:t xml:space="preserve"> всеобхват</w:t>
            </w:r>
            <w:r>
              <w:rPr>
                <w:b/>
                <w:bCs/>
                <w:color w:val="000000"/>
                <w:sz w:val="24"/>
                <w:szCs w:val="24"/>
                <w:lang w:val="en-US" w:eastAsia="bg-BG"/>
              </w:rPr>
              <w:t>e</w:t>
            </w:r>
            <w:r w:rsidR="0062758D" w:rsidRPr="00A51DA3">
              <w:rPr>
                <w:b/>
                <w:bCs/>
                <w:color w:val="000000"/>
                <w:sz w:val="24"/>
                <w:szCs w:val="24"/>
                <w:lang w:eastAsia="bg-BG"/>
              </w:rPr>
              <w:t>н</w:t>
            </w:r>
            <w:r w:rsidRPr="00027ABA">
              <w:rPr>
                <w:b/>
                <w:bCs/>
                <w:color w:val="000000"/>
                <w:sz w:val="24"/>
                <w:szCs w:val="24"/>
                <w:lang w:eastAsia="bg-BG"/>
              </w:rPr>
              <w:t xml:space="preserve"> </w:t>
            </w:r>
            <w:r>
              <w:rPr>
                <w:b/>
                <w:bCs/>
                <w:color w:val="000000"/>
                <w:sz w:val="24"/>
                <w:szCs w:val="24"/>
                <w:lang w:eastAsia="bg-BG"/>
              </w:rPr>
              <w:t>доход</w:t>
            </w:r>
            <w:r w:rsidR="0062758D" w:rsidRPr="00A51DA3">
              <w:rPr>
                <w:b/>
                <w:bCs/>
                <w:color w:val="000000"/>
                <w:sz w:val="24"/>
                <w:szCs w:val="24"/>
                <w:lang w:eastAsia="bg-BG"/>
              </w:rPr>
              <w:t xml:space="preserve"> за годината</w:t>
            </w:r>
          </w:p>
        </w:tc>
        <w:tc>
          <w:tcPr>
            <w:tcW w:w="1440" w:type="dxa"/>
            <w:shd w:val="clear" w:color="auto" w:fill="FFFFFF"/>
            <w:vAlign w:val="bottom"/>
          </w:tcPr>
          <w:p w:rsidR="0062758D" w:rsidRPr="00A51DA3" w:rsidRDefault="0062758D" w:rsidP="00242889">
            <w:pPr>
              <w:autoSpaceDE w:val="0"/>
              <w:autoSpaceDN w:val="0"/>
              <w:adjustRightInd w:val="0"/>
              <w:jc w:val="right"/>
              <w:rPr>
                <w:color w:val="000000"/>
                <w:sz w:val="24"/>
                <w:szCs w:val="24"/>
              </w:rPr>
            </w:pPr>
          </w:p>
        </w:tc>
        <w:tc>
          <w:tcPr>
            <w:tcW w:w="1320" w:type="dxa"/>
            <w:gridSpan w:val="2"/>
            <w:tcBorders>
              <w:top w:val="single" w:sz="4" w:space="0" w:color="auto"/>
            </w:tcBorders>
            <w:shd w:val="clear" w:color="auto" w:fill="FFFFFF"/>
            <w:vAlign w:val="bottom"/>
          </w:tcPr>
          <w:p w:rsidR="0062758D" w:rsidRPr="00823F1A" w:rsidRDefault="00513E34" w:rsidP="00CA6928">
            <w:pPr>
              <w:autoSpaceDE w:val="0"/>
              <w:autoSpaceDN w:val="0"/>
              <w:adjustRightInd w:val="0"/>
              <w:jc w:val="right"/>
              <w:rPr>
                <w:color w:val="000000"/>
                <w:sz w:val="24"/>
                <w:szCs w:val="24"/>
              </w:rPr>
            </w:pPr>
            <w:r>
              <w:rPr>
                <w:color w:val="000000"/>
                <w:sz w:val="24"/>
                <w:szCs w:val="24"/>
              </w:rPr>
              <w:t>(55)</w:t>
            </w:r>
          </w:p>
        </w:tc>
        <w:tc>
          <w:tcPr>
            <w:tcW w:w="1374" w:type="dxa"/>
            <w:tcBorders>
              <w:top w:val="single" w:sz="4" w:space="0" w:color="auto"/>
            </w:tcBorders>
            <w:vAlign w:val="bottom"/>
          </w:tcPr>
          <w:p w:rsidR="0062758D" w:rsidRPr="00823F1A" w:rsidRDefault="00513E34" w:rsidP="0062758D">
            <w:pPr>
              <w:jc w:val="right"/>
            </w:pPr>
            <w:r>
              <w:t>-</w:t>
            </w:r>
          </w:p>
        </w:tc>
      </w:tr>
      <w:tr w:rsidR="0062758D" w:rsidRPr="00A51DA3" w:rsidTr="0062758D">
        <w:trPr>
          <w:gridAfter w:val="1"/>
          <w:wAfter w:w="133" w:type="dxa"/>
          <w:trHeight w:val="181"/>
        </w:trPr>
        <w:tc>
          <w:tcPr>
            <w:tcW w:w="4878" w:type="dxa"/>
            <w:gridSpan w:val="2"/>
            <w:shd w:val="clear" w:color="auto" w:fill="FFFFFF"/>
            <w:vAlign w:val="bottom"/>
          </w:tcPr>
          <w:p w:rsidR="0062758D" w:rsidRPr="00A51DA3" w:rsidRDefault="0062758D" w:rsidP="00CE1FBC">
            <w:pPr>
              <w:autoSpaceDE w:val="0"/>
              <w:autoSpaceDN w:val="0"/>
              <w:adjustRightInd w:val="0"/>
              <w:rPr>
                <w:b/>
                <w:bCs/>
                <w:sz w:val="24"/>
                <w:szCs w:val="24"/>
              </w:rPr>
            </w:pPr>
            <w:r w:rsidRPr="00A51DA3">
              <w:rPr>
                <w:b/>
                <w:bCs/>
                <w:sz w:val="24"/>
                <w:szCs w:val="24"/>
                <w:lang w:eastAsia="en-GB"/>
              </w:rPr>
              <w:t xml:space="preserve">Общо всеобхватна загуба </w:t>
            </w:r>
            <w:r w:rsidRPr="00A51DA3">
              <w:rPr>
                <w:b/>
                <w:bCs/>
                <w:color w:val="000000"/>
                <w:sz w:val="24"/>
                <w:szCs w:val="24"/>
                <w:lang w:eastAsia="bg-BG"/>
              </w:rPr>
              <w:t>за годината</w:t>
            </w:r>
          </w:p>
        </w:tc>
        <w:tc>
          <w:tcPr>
            <w:tcW w:w="1440" w:type="dxa"/>
            <w:shd w:val="clear" w:color="auto" w:fill="FFFFFF"/>
            <w:vAlign w:val="bottom"/>
          </w:tcPr>
          <w:p w:rsidR="0062758D" w:rsidRPr="00A51DA3" w:rsidRDefault="0062758D" w:rsidP="00242889">
            <w:pPr>
              <w:autoSpaceDE w:val="0"/>
              <w:autoSpaceDN w:val="0"/>
              <w:adjustRightInd w:val="0"/>
              <w:jc w:val="right"/>
              <w:rPr>
                <w:color w:val="000000"/>
                <w:sz w:val="24"/>
                <w:szCs w:val="24"/>
              </w:rPr>
            </w:pPr>
          </w:p>
        </w:tc>
        <w:tc>
          <w:tcPr>
            <w:tcW w:w="1320" w:type="dxa"/>
            <w:gridSpan w:val="2"/>
            <w:tcBorders>
              <w:top w:val="single" w:sz="4" w:space="0" w:color="auto"/>
              <w:bottom w:val="double" w:sz="4" w:space="0" w:color="auto"/>
            </w:tcBorders>
            <w:shd w:val="clear" w:color="auto" w:fill="FFFFFF"/>
            <w:vAlign w:val="bottom"/>
          </w:tcPr>
          <w:p w:rsidR="0062758D" w:rsidRPr="00823F1A" w:rsidRDefault="00513E34" w:rsidP="00CA6928">
            <w:pPr>
              <w:autoSpaceDE w:val="0"/>
              <w:autoSpaceDN w:val="0"/>
              <w:adjustRightInd w:val="0"/>
              <w:jc w:val="right"/>
              <w:rPr>
                <w:b/>
                <w:bCs/>
                <w:color w:val="000000"/>
                <w:sz w:val="24"/>
                <w:szCs w:val="24"/>
              </w:rPr>
            </w:pPr>
            <w:r>
              <w:rPr>
                <w:b/>
                <w:bCs/>
                <w:color w:val="000000"/>
                <w:sz w:val="24"/>
                <w:szCs w:val="24"/>
              </w:rPr>
              <w:t>(7 144)</w:t>
            </w:r>
          </w:p>
        </w:tc>
        <w:tc>
          <w:tcPr>
            <w:tcW w:w="1374" w:type="dxa"/>
            <w:tcBorders>
              <w:top w:val="single" w:sz="4" w:space="0" w:color="auto"/>
              <w:bottom w:val="double" w:sz="4" w:space="0" w:color="auto"/>
            </w:tcBorders>
            <w:vAlign w:val="bottom"/>
          </w:tcPr>
          <w:p w:rsidR="0062758D" w:rsidRPr="00823F1A" w:rsidRDefault="00513E34" w:rsidP="00CA6928">
            <w:pPr>
              <w:jc w:val="right"/>
              <w:rPr>
                <w:b/>
              </w:rPr>
            </w:pPr>
            <w:r>
              <w:rPr>
                <w:b/>
              </w:rPr>
              <w:t>(1 635)</w:t>
            </w:r>
          </w:p>
        </w:tc>
      </w:tr>
      <w:tr w:rsidR="00985719" w:rsidRPr="00A51DA3" w:rsidTr="00220B37">
        <w:trPr>
          <w:gridAfter w:val="1"/>
          <w:wAfter w:w="133" w:type="dxa"/>
          <w:trHeight w:val="181"/>
        </w:trPr>
        <w:tc>
          <w:tcPr>
            <w:tcW w:w="4878" w:type="dxa"/>
            <w:gridSpan w:val="2"/>
            <w:shd w:val="clear" w:color="auto" w:fill="FFFFFF"/>
            <w:vAlign w:val="bottom"/>
          </w:tcPr>
          <w:p w:rsidR="00985719" w:rsidRPr="00A51DA3" w:rsidRDefault="00985719" w:rsidP="00242889">
            <w:pPr>
              <w:autoSpaceDE w:val="0"/>
              <w:autoSpaceDN w:val="0"/>
              <w:adjustRightInd w:val="0"/>
              <w:rPr>
                <w:b/>
                <w:bCs/>
                <w:color w:val="000000"/>
              </w:rPr>
            </w:pPr>
          </w:p>
        </w:tc>
        <w:tc>
          <w:tcPr>
            <w:tcW w:w="1440" w:type="dxa"/>
            <w:shd w:val="clear" w:color="auto" w:fill="FFFFFF"/>
            <w:vAlign w:val="bottom"/>
          </w:tcPr>
          <w:p w:rsidR="00985719" w:rsidRPr="00A51DA3" w:rsidRDefault="00985719" w:rsidP="00242889">
            <w:pPr>
              <w:autoSpaceDE w:val="0"/>
              <w:autoSpaceDN w:val="0"/>
              <w:adjustRightInd w:val="0"/>
              <w:jc w:val="right"/>
              <w:rPr>
                <w:color w:val="000000"/>
              </w:rPr>
            </w:pPr>
          </w:p>
        </w:tc>
        <w:tc>
          <w:tcPr>
            <w:tcW w:w="1320" w:type="dxa"/>
            <w:gridSpan w:val="2"/>
            <w:tcBorders>
              <w:top w:val="double" w:sz="4" w:space="0" w:color="auto"/>
            </w:tcBorders>
            <w:shd w:val="clear" w:color="auto" w:fill="FFFFFF"/>
            <w:vAlign w:val="bottom"/>
          </w:tcPr>
          <w:p w:rsidR="00985719" w:rsidRPr="00A51DA3" w:rsidRDefault="00985719" w:rsidP="00242889">
            <w:pPr>
              <w:autoSpaceDE w:val="0"/>
              <w:autoSpaceDN w:val="0"/>
              <w:adjustRightInd w:val="0"/>
              <w:jc w:val="right"/>
              <w:rPr>
                <w:color w:val="000000"/>
              </w:rPr>
            </w:pPr>
          </w:p>
        </w:tc>
        <w:tc>
          <w:tcPr>
            <w:tcW w:w="1374" w:type="dxa"/>
            <w:tcBorders>
              <w:top w:val="double" w:sz="4" w:space="0" w:color="auto"/>
            </w:tcBorders>
            <w:shd w:val="clear" w:color="auto" w:fill="FFFFFF"/>
            <w:vAlign w:val="bottom"/>
          </w:tcPr>
          <w:p w:rsidR="00985719" w:rsidRPr="00A51DA3" w:rsidRDefault="00985719" w:rsidP="00242889">
            <w:pPr>
              <w:autoSpaceDE w:val="0"/>
              <w:autoSpaceDN w:val="0"/>
              <w:adjustRightInd w:val="0"/>
              <w:jc w:val="right"/>
              <w:rPr>
                <w:color w:val="000000"/>
              </w:rPr>
            </w:pPr>
          </w:p>
        </w:tc>
      </w:tr>
      <w:tr w:rsidR="00985719" w:rsidRPr="00A51DA3" w:rsidTr="00220B37">
        <w:trPr>
          <w:trHeight w:val="113"/>
        </w:trPr>
        <w:tc>
          <w:tcPr>
            <w:tcW w:w="4644" w:type="dxa"/>
          </w:tcPr>
          <w:p w:rsidR="00985719" w:rsidRPr="00A51DA3" w:rsidRDefault="00985719" w:rsidP="005122E5">
            <w:pPr>
              <w:autoSpaceDE w:val="0"/>
              <w:autoSpaceDN w:val="0"/>
              <w:adjustRightInd w:val="0"/>
              <w:rPr>
                <w:b/>
                <w:bCs/>
              </w:rPr>
            </w:pPr>
          </w:p>
        </w:tc>
        <w:tc>
          <w:tcPr>
            <w:tcW w:w="4501" w:type="dxa"/>
            <w:gridSpan w:val="6"/>
          </w:tcPr>
          <w:p w:rsidR="00985719" w:rsidRDefault="00985719" w:rsidP="005122E5">
            <w:pPr>
              <w:autoSpaceDE w:val="0"/>
              <w:autoSpaceDN w:val="0"/>
              <w:adjustRightInd w:val="0"/>
              <w:rPr>
                <w:b/>
                <w:bCs/>
              </w:rPr>
            </w:pPr>
          </w:p>
          <w:p w:rsidR="00E21D93" w:rsidRDefault="00E21D93" w:rsidP="005122E5">
            <w:pPr>
              <w:autoSpaceDE w:val="0"/>
              <w:autoSpaceDN w:val="0"/>
              <w:adjustRightInd w:val="0"/>
              <w:rPr>
                <w:b/>
                <w:bCs/>
              </w:rPr>
            </w:pPr>
          </w:p>
          <w:p w:rsidR="00E21D93" w:rsidRPr="00A51DA3" w:rsidRDefault="00E21D93" w:rsidP="005122E5">
            <w:pPr>
              <w:autoSpaceDE w:val="0"/>
              <w:autoSpaceDN w:val="0"/>
              <w:adjustRightInd w:val="0"/>
              <w:rPr>
                <w:b/>
                <w:bCs/>
              </w:rPr>
            </w:pPr>
          </w:p>
        </w:tc>
      </w:tr>
      <w:tr w:rsidR="00985719" w:rsidRPr="00A51DA3" w:rsidTr="00220B37">
        <w:trPr>
          <w:trHeight w:val="113"/>
        </w:trPr>
        <w:tc>
          <w:tcPr>
            <w:tcW w:w="4644" w:type="dxa"/>
          </w:tcPr>
          <w:p w:rsidR="00985719" w:rsidRDefault="00985719" w:rsidP="007B7B33">
            <w:pPr>
              <w:autoSpaceDE w:val="0"/>
              <w:autoSpaceDN w:val="0"/>
              <w:adjustRightInd w:val="0"/>
              <w:rPr>
                <w:b/>
                <w:bCs/>
                <w:sz w:val="24"/>
                <w:szCs w:val="24"/>
              </w:rPr>
            </w:pPr>
          </w:p>
          <w:p w:rsidR="00E21D93" w:rsidRPr="00A51DA3" w:rsidRDefault="00E21D93" w:rsidP="007B7B33">
            <w:pPr>
              <w:autoSpaceDE w:val="0"/>
              <w:autoSpaceDN w:val="0"/>
              <w:adjustRightInd w:val="0"/>
              <w:rPr>
                <w:b/>
                <w:bCs/>
                <w:sz w:val="24"/>
                <w:szCs w:val="24"/>
              </w:rPr>
            </w:pPr>
          </w:p>
          <w:p w:rsidR="00985719" w:rsidRPr="00A51DA3" w:rsidRDefault="00985719" w:rsidP="007B7B33">
            <w:pPr>
              <w:autoSpaceDE w:val="0"/>
              <w:autoSpaceDN w:val="0"/>
              <w:adjustRightInd w:val="0"/>
              <w:rPr>
                <w:b/>
                <w:bCs/>
                <w:sz w:val="24"/>
                <w:szCs w:val="24"/>
              </w:rPr>
            </w:pPr>
          </w:p>
          <w:p w:rsidR="00985719" w:rsidRPr="00A51DA3" w:rsidRDefault="00985719" w:rsidP="007B7B33">
            <w:pPr>
              <w:autoSpaceDE w:val="0"/>
              <w:autoSpaceDN w:val="0"/>
              <w:adjustRightInd w:val="0"/>
              <w:rPr>
                <w:b/>
                <w:bCs/>
                <w:sz w:val="24"/>
                <w:szCs w:val="24"/>
              </w:rPr>
            </w:pPr>
            <w:r w:rsidRPr="00A51DA3">
              <w:rPr>
                <w:b/>
                <w:bCs/>
                <w:sz w:val="24"/>
                <w:szCs w:val="24"/>
              </w:rPr>
              <w:t>Съставил: ____________________</w:t>
            </w:r>
          </w:p>
          <w:p w:rsidR="00985719" w:rsidRPr="00A51DA3" w:rsidRDefault="00985719" w:rsidP="007B7B33">
            <w:pPr>
              <w:autoSpaceDE w:val="0"/>
              <w:autoSpaceDN w:val="0"/>
              <w:adjustRightInd w:val="0"/>
              <w:rPr>
                <w:b/>
                <w:bCs/>
                <w:sz w:val="24"/>
                <w:szCs w:val="24"/>
              </w:rPr>
            </w:pPr>
            <w:r w:rsidRPr="00A51DA3">
              <w:rPr>
                <w:b/>
                <w:bCs/>
                <w:sz w:val="24"/>
                <w:szCs w:val="24"/>
              </w:rPr>
              <w:t xml:space="preserve">                    /Димитър Михайлов/</w:t>
            </w:r>
          </w:p>
          <w:p w:rsidR="00985719" w:rsidRPr="00A51DA3" w:rsidRDefault="00985719" w:rsidP="007B7B33">
            <w:pPr>
              <w:autoSpaceDE w:val="0"/>
              <w:autoSpaceDN w:val="0"/>
              <w:adjustRightInd w:val="0"/>
              <w:rPr>
                <w:b/>
                <w:bCs/>
                <w:sz w:val="24"/>
                <w:szCs w:val="24"/>
              </w:rPr>
            </w:pPr>
          </w:p>
        </w:tc>
        <w:tc>
          <w:tcPr>
            <w:tcW w:w="4501" w:type="dxa"/>
            <w:gridSpan w:val="6"/>
          </w:tcPr>
          <w:p w:rsidR="00985719" w:rsidRPr="00A51DA3" w:rsidRDefault="00985719" w:rsidP="007B7B33">
            <w:pPr>
              <w:autoSpaceDE w:val="0"/>
              <w:autoSpaceDN w:val="0"/>
              <w:adjustRightInd w:val="0"/>
              <w:rPr>
                <w:b/>
                <w:bCs/>
                <w:sz w:val="24"/>
                <w:szCs w:val="24"/>
              </w:rPr>
            </w:pPr>
          </w:p>
          <w:p w:rsidR="00985719" w:rsidRPr="00A51DA3" w:rsidRDefault="00985719" w:rsidP="007B7B33">
            <w:pPr>
              <w:autoSpaceDE w:val="0"/>
              <w:autoSpaceDN w:val="0"/>
              <w:adjustRightInd w:val="0"/>
              <w:rPr>
                <w:b/>
                <w:bCs/>
                <w:sz w:val="24"/>
                <w:szCs w:val="24"/>
              </w:rPr>
            </w:pPr>
          </w:p>
          <w:p w:rsidR="00985719" w:rsidRPr="00A51DA3" w:rsidRDefault="00985719" w:rsidP="007B7B33">
            <w:pPr>
              <w:autoSpaceDE w:val="0"/>
              <w:autoSpaceDN w:val="0"/>
              <w:adjustRightInd w:val="0"/>
              <w:rPr>
                <w:b/>
                <w:bCs/>
                <w:sz w:val="24"/>
                <w:szCs w:val="24"/>
              </w:rPr>
            </w:pPr>
            <w:r w:rsidRPr="00A51DA3">
              <w:rPr>
                <w:b/>
                <w:bCs/>
                <w:sz w:val="24"/>
                <w:szCs w:val="24"/>
              </w:rPr>
              <w:t>Изпълнителен директор:________________</w:t>
            </w:r>
          </w:p>
          <w:p w:rsidR="00985719" w:rsidRPr="00A51DA3" w:rsidRDefault="00A211F2" w:rsidP="00A211F2">
            <w:pPr>
              <w:autoSpaceDE w:val="0"/>
              <w:autoSpaceDN w:val="0"/>
              <w:adjustRightInd w:val="0"/>
              <w:rPr>
                <w:b/>
                <w:bCs/>
                <w:sz w:val="24"/>
                <w:szCs w:val="24"/>
              </w:rPr>
            </w:pPr>
            <w:r>
              <w:rPr>
                <w:b/>
                <w:bCs/>
                <w:sz w:val="24"/>
                <w:szCs w:val="24"/>
              </w:rPr>
              <w:t xml:space="preserve">                       </w:t>
            </w:r>
            <w:r w:rsidR="00985719" w:rsidRPr="00A51DA3">
              <w:rPr>
                <w:b/>
                <w:bCs/>
                <w:sz w:val="24"/>
                <w:szCs w:val="24"/>
              </w:rPr>
              <w:t xml:space="preserve">  </w:t>
            </w:r>
            <w:r w:rsidR="006E1440" w:rsidRPr="00A51DA3">
              <w:rPr>
                <w:b/>
                <w:bCs/>
                <w:sz w:val="24"/>
                <w:szCs w:val="24"/>
              </w:rPr>
              <w:t>/</w:t>
            </w:r>
            <w:r>
              <w:rPr>
                <w:b/>
                <w:bCs/>
                <w:sz w:val="24"/>
                <w:szCs w:val="24"/>
              </w:rPr>
              <w:t>Владимир Владимиров</w:t>
            </w:r>
            <w:r w:rsidR="006E1440" w:rsidRPr="00A51DA3">
              <w:rPr>
                <w:b/>
                <w:bCs/>
                <w:sz w:val="24"/>
                <w:szCs w:val="24"/>
              </w:rPr>
              <w:t>/</w:t>
            </w:r>
          </w:p>
        </w:tc>
      </w:tr>
      <w:tr w:rsidR="00985719" w:rsidRPr="00A51DA3" w:rsidTr="00220B37">
        <w:trPr>
          <w:trHeight w:val="113"/>
        </w:trPr>
        <w:tc>
          <w:tcPr>
            <w:tcW w:w="4644" w:type="dxa"/>
          </w:tcPr>
          <w:p w:rsidR="00985719" w:rsidRPr="00A51DA3" w:rsidRDefault="00985719" w:rsidP="00D72D48">
            <w:pPr>
              <w:autoSpaceDE w:val="0"/>
              <w:autoSpaceDN w:val="0"/>
              <w:adjustRightInd w:val="0"/>
              <w:rPr>
                <w:b/>
                <w:bCs/>
              </w:rPr>
            </w:pPr>
            <w:r w:rsidRPr="00A51DA3">
              <w:rPr>
                <w:b/>
                <w:bCs/>
              </w:rPr>
              <w:t xml:space="preserve">                   </w:t>
            </w:r>
          </w:p>
          <w:p w:rsidR="0034710D" w:rsidRDefault="0034710D" w:rsidP="007F7BBD">
            <w:pPr>
              <w:autoSpaceDE w:val="0"/>
              <w:autoSpaceDN w:val="0"/>
              <w:adjustRightInd w:val="0"/>
              <w:rPr>
                <w:b/>
                <w:bCs/>
              </w:rPr>
            </w:pPr>
          </w:p>
          <w:p w:rsidR="0034710D" w:rsidRPr="00A51DA3" w:rsidRDefault="0034710D" w:rsidP="007F7BBD">
            <w:pPr>
              <w:autoSpaceDE w:val="0"/>
              <w:autoSpaceDN w:val="0"/>
              <w:adjustRightInd w:val="0"/>
              <w:rPr>
                <w:b/>
                <w:bCs/>
              </w:rPr>
            </w:pPr>
          </w:p>
        </w:tc>
        <w:tc>
          <w:tcPr>
            <w:tcW w:w="4501" w:type="dxa"/>
            <w:gridSpan w:val="6"/>
          </w:tcPr>
          <w:p w:rsidR="00985719" w:rsidRPr="00A51DA3" w:rsidRDefault="00985719" w:rsidP="005122E5">
            <w:pPr>
              <w:autoSpaceDE w:val="0"/>
              <w:autoSpaceDN w:val="0"/>
              <w:adjustRightInd w:val="0"/>
              <w:rPr>
                <w:b/>
                <w:bCs/>
              </w:rPr>
            </w:pPr>
          </w:p>
        </w:tc>
      </w:tr>
    </w:tbl>
    <w:p w:rsidR="00985719" w:rsidRPr="00A51DA3" w:rsidRDefault="00985719" w:rsidP="00A93C78">
      <w:pPr>
        <w:pStyle w:val="SectionTitle"/>
        <w:spacing w:after="0"/>
        <w:rPr>
          <w:sz w:val="40"/>
          <w:szCs w:val="40"/>
          <w:lang w:val="bg-BG"/>
        </w:rPr>
      </w:pPr>
    </w:p>
    <w:p w:rsidR="009163FF" w:rsidRPr="00A51DA3" w:rsidRDefault="009163FF">
      <w:pPr>
        <w:sectPr w:rsidR="009163FF" w:rsidRPr="00A51DA3" w:rsidSect="00E67AA7">
          <w:headerReference w:type="default" r:id="rId8"/>
          <w:footerReference w:type="default" r:id="rId9"/>
          <w:pgSz w:w="11907" w:h="16839" w:code="9"/>
          <w:pgMar w:top="1728" w:right="1440" w:bottom="1417" w:left="1440" w:header="709" w:footer="567" w:gutter="0"/>
          <w:pgNumType w:start="1"/>
          <w:cols w:space="708"/>
          <w:docGrid w:linePitch="360"/>
        </w:sectPr>
      </w:pPr>
    </w:p>
    <w:p w:rsidR="004C238F" w:rsidRDefault="004C238F" w:rsidP="000F05BE">
      <w:pPr>
        <w:pStyle w:val="SectionTitle"/>
        <w:spacing w:before="120" w:after="0"/>
        <w:rPr>
          <w:sz w:val="36"/>
          <w:szCs w:val="36"/>
          <w:lang w:val="bg-BG"/>
        </w:rPr>
      </w:pPr>
    </w:p>
    <w:p w:rsidR="00985719" w:rsidRDefault="00E21D93" w:rsidP="000F05BE">
      <w:pPr>
        <w:pStyle w:val="SectionTitle"/>
        <w:spacing w:before="120" w:after="0"/>
        <w:rPr>
          <w:sz w:val="36"/>
          <w:szCs w:val="36"/>
          <w:lang w:val="bg-BG"/>
        </w:rPr>
      </w:pPr>
      <w:r>
        <w:rPr>
          <w:sz w:val="36"/>
          <w:szCs w:val="36"/>
          <w:lang w:val="bg-BG"/>
        </w:rPr>
        <w:t xml:space="preserve">Междинен съкратен </w:t>
      </w:r>
      <w:r w:rsidR="00985719" w:rsidRPr="00A51DA3">
        <w:rPr>
          <w:sz w:val="36"/>
          <w:szCs w:val="36"/>
          <w:lang w:val="bg-BG"/>
        </w:rPr>
        <w:t xml:space="preserve">Отчет за промените в собствения капитал </w:t>
      </w:r>
    </w:p>
    <w:p w:rsidR="00E21D93" w:rsidRPr="00E21D93" w:rsidRDefault="00E21D93" w:rsidP="00E21D93">
      <w:pPr>
        <w:pStyle w:val="BodyText"/>
      </w:pPr>
    </w:p>
    <w:p w:rsidR="004C238F" w:rsidRPr="00A51DA3" w:rsidRDefault="004C238F" w:rsidP="00915F74">
      <w:pPr>
        <w:rPr>
          <w:sz w:val="36"/>
          <w:szCs w:val="36"/>
        </w:rPr>
      </w:pPr>
    </w:p>
    <w:tbl>
      <w:tblPr>
        <w:tblW w:w="13961" w:type="dxa"/>
        <w:tblInd w:w="-68" w:type="dxa"/>
        <w:tblCellMar>
          <w:left w:w="70" w:type="dxa"/>
          <w:right w:w="70" w:type="dxa"/>
        </w:tblCellMar>
        <w:tblLook w:val="00A0"/>
      </w:tblPr>
      <w:tblGrid>
        <w:gridCol w:w="4784"/>
        <w:gridCol w:w="1591"/>
        <w:gridCol w:w="2070"/>
        <w:gridCol w:w="1800"/>
        <w:gridCol w:w="2250"/>
        <w:gridCol w:w="1466"/>
      </w:tblGrid>
      <w:tr w:rsidR="00985719" w:rsidRPr="00A51DA3" w:rsidTr="004C238F">
        <w:trPr>
          <w:trHeight w:val="181"/>
        </w:trPr>
        <w:tc>
          <w:tcPr>
            <w:tcW w:w="4784" w:type="dxa"/>
            <w:tcBorders>
              <w:top w:val="nil"/>
              <w:left w:val="nil"/>
              <w:bottom w:val="nil"/>
              <w:right w:val="nil"/>
            </w:tcBorders>
            <w:shd w:val="clear" w:color="000000" w:fill="FFFFFF"/>
          </w:tcPr>
          <w:p w:rsidR="00985719" w:rsidRPr="00A51DA3" w:rsidRDefault="00985719" w:rsidP="00B86947">
            <w:pPr>
              <w:rPr>
                <w:color w:val="000000"/>
                <w:lang w:eastAsia="bg-BG"/>
              </w:rPr>
            </w:pPr>
            <w:r w:rsidRPr="00A51DA3">
              <w:rPr>
                <w:b/>
                <w:bCs/>
              </w:rPr>
              <w:t>Всички суми са представени в ‘000 лв.</w:t>
            </w:r>
          </w:p>
        </w:tc>
        <w:tc>
          <w:tcPr>
            <w:tcW w:w="1591" w:type="dxa"/>
            <w:tcBorders>
              <w:top w:val="nil"/>
              <w:left w:val="nil"/>
              <w:right w:val="nil"/>
            </w:tcBorders>
            <w:shd w:val="clear" w:color="000000" w:fill="FFFFFF"/>
          </w:tcPr>
          <w:p w:rsidR="00985719" w:rsidRPr="00A51DA3" w:rsidRDefault="00985719" w:rsidP="000F05BE">
            <w:pPr>
              <w:jc w:val="right"/>
              <w:rPr>
                <w:b/>
                <w:bCs/>
                <w:lang w:eastAsia="bg-BG"/>
              </w:rPr>
            </w:pPr>
            <w:r w:rsidRPr="00A51DA3">
              <w:rPr>
                <w:b/>
                <w:bCs/>
              </w:rPr>
              <w:t>Акционерен капитал</w:t>
            </w:r>
          </w:p>
        </w:tc>
        <w:tc>
          <w:tcPr>
            <w:tcW w:w="2070" w:type="dxa"/>
            <w:tcBorders>
              <w:top w:val="nil"/>
              <w:left w:val="nil"/>
              <w:right w:val="nil"/>
            </w:tcBorders>
            <w:shd w:val="clear" w:color="000000" w:fill="FFFFFF"/>
          </w:tcPr>
          <w:p w:rsidR="00985719" w:rsidRPr="00A51DA3" w:rsidRDefault="00985719" w:rsidP="000F05BE">
            <w:pPr>
              <w:jc w:val="right"/>
              <w:rPr>
                <w:b/>
                <w:bCs/>
                <w:lang w:eastAsia="bg-BG"/>
              </w:rPr>
            </w:pPr>
            <w:r w:rsidRPr="00A51DA3">
              <w:rPr>
                <w:b/>
                <w:bCs/>
                <w:lang w:eastAsia="bg-BG"/>
              </w:rPr>
              <w:t>Преоценъчен  резерв</w:t>
            </w:r>
          </w:p>
        </w:tc>
        <w:tc>
          <w:tcPr>
            <w:tcW w:w="1800" w:type="dxa"/>
            <w:tcBorders>
              <w:top w:val="nil"/>
              <w:left w:val="nil"/>
              <w:right w:val="nil"/>
            </w:tcBorders>
            <w:shd w:val="clear" w:color="000000" w:fill="FFFFFF"/>
          </w:tcPr>
          <w:p w:rsidR="00985719" w:rsidRPr="00A51DA3" w:rsidRDefault="00985719" w:rsidP="000F05BE">
            <w:pPr>
              <w:jc w:val="right"/>
              <w:rPr>
                <w:b/>
                <w:bCs/>
                <w:lang w:eastAsia="bg-BG"/>
              </w:rPr>
            </w:pPr>
            <w:r w:rsidRPr="00A51DA3">
              <w:rPr>
                <w:b/>
                <w:bCs/>
                <w:lang w:eastAsia="bg-BG"/>
              </w:rPr>
              <w:t>Други резерви</w:t>
            </w:r>
          </w:p>
        </w:tc>
        <w:tc>
          <w:tcPr>
            <w:tcW w:w="2250" w:type="dxa"/>
            <w:tcBorders>
              <w:top w:val="nil"/>
              <w:left w:val="nil"/>
              <w:right w:val="nil"/>
            </w:tcBorders>
            <w:shd w:val="clear" w:color="000000" w:fill="FFFFFF"/>
          </w:tcPr>
          <w:p w:rsidR="00985719" w:rsidRPr="00A51DA3" w:rsidRDefault="00985719" w:rsidP="000F05BE">
            <w:pPr>
              <w:jc w:val="right"/>
              <w:rPr>
                <w:b/>
                <w:bCs/>
                <w:lang w:eastAsia="bg-BG"/>
              </w:rPr>
            </w:pPr>
            <w:r w:rsidRPr="00A51DA3">
              <w:rPr>
                <w:b/>
                <w:bCs/>
                <w:lang w:eastAsia="bg-BG"/>
              </w:rPr>
              <w:t xml:space="preserve"> Натрупана загуба</w:t>
            </w:r>
          </w:p>
        </w:tc>
        <w:tc>
          <w:tcPr>
            <w:tcW w:w="1466" w:type="dxa"/>
            <w:tcBorders>
              <w:top w:val="nil"/>
              <w:left w:val="nil"/>
              <w:right w:val="nil"/>
            </w:tcBorders>
            <w:shd w:val="clear" w:color="000000" w:fill="FFFFFF"/>
          </w:tcPr>
          <w:p w:rsidR="00985719" w:rsidRPr="00A51DA3" w:rsidRDefault="00985719" w:rsidP="000F05BE">
            <w:pPr>
              <w:jc w:val="right"/>
              <w:rPr>
                <w:b/>
                <w:bCs/>
                <w:lang w:eastAsia="bg-BG"/>
              </w:rPr>
            </w:pPr>
            <w:r w:rsidRPr="00A51DA3">
              <w:rPr>
                <w:b/>
                <w:bCs/>
                <w:lang w:eastAsia="bg-BG"/>
              </w:rPr>
              <w:t xml:space="preserve">Общо </w:t>
            </w:r>
            <w:r w:rsidRPr="00A51DA3">
              <w:rPr>
                <w:b/>
                <w:bCs/>
              </w:rPr>
              <w:t xml:space="preserve">собствен капитал </w:t>
            </w:r>
          </w:p>
        </w:tc>
      </w:tr>
      <w:tr w:rsidR="00067B42" w:rsidRPr="00A51DA3" w:rsidTr="004C238F">
        <w:trPr>
          <w:trHeight w:val="181"/>
        </w:trPr>
        <w:tc>
          <w:tcPr>
            <w:tcW w:w="4784" w:type="dxa"/>
            <w:tcBorders>
              <w:top w:val="nil"/>
              <w:left w:val="nil"/>
              <w:bottom w:val="nil"/>
              <w:right w:val="nil"/>
            </w:tcBorders>
            <w:vAlign w:val="bottom"/>
          </w:tcPr>
          <w:p w:rsidR="00067B42" w:rsidRDefault="00067B42" w:rsidP="00E85CCE">
            <w:pPr>
              <w:rPr>
                <w:b/>
                <w:bCs/>
              </w:rPr>
            </w:pPr>
          </w:p>
          <w:p w:rsidR="00580E4D" w:rsidRPr="00A51DA3" w:rsidRDefault="00E21D93" w:rsidP="00E85CCE">
            <w:pPr>
              <w:rPr>
                <w:b/>
                <w:bCs/>
              </w:rPr>
            </w:pPr>
            <w:r>
              <w:rPr>
                <w:b/>
                <w:bCs/>
              </w:rPr>
              <w:t>Салдо към 1 януари 2016 г.</w:t>
            </w:r>
          </w:p>
        </w:tc>
        <w:tc>
          <w:tcPr>
            <w:tcW w:w="1591" w:type="dxa"/>
            <w:tcBorders>
              <w:left w:val="nil"/>
              <w:right w:val="nil"/>
            </w:tcBorders>
            <w:vAlign w:val="bottom"/>
          </w:tcPr>
          <w:p w:rsidR="00067B42" w:rsidRPr="00A51DA3" w:rsidRDefault="00067B42" w:rsidP="00067B42">
            <w:pPr>
              <w:jc w:val="right"/>
              <w:rPr>
                <w:b/>
              </w:rPr>
            </w:pPr>
            <w:r w:rsidRPr="00A51DA3">
              <w:rPr>
                <w:b/>
              </w:rPr>
              <w:t xml:space="preserve"> 28 950     </w:t>
            </w:r>
          </w:p>
        </w:tc>
        <w:tc>
          <w:tcPr>
            <w:tcW w:w="2070" w:type="dxa"/>
            <w:tcBorders>
              <w:left w:val="nil"/>
              <w:right w:val="nil"/>
            </w:tcBorders>
            <w:vAlign w:val="bottom"/>
          </w:tcPr>
          <w:p w:rsidR="00067B42" w:rsidRPr="00A51DA3" w:rsidRDefault="00067B42" w:rsidP="00513E34">
            <w:pPr>
              <w:jc w:val="right"/>
              <w:rPr>
                <w:b/>
              </w:rPr>
            </w:pPr>
            <w:r w:rsidRPr="00A51DA3">
              <w:rPr>
                <w:b/>
              </w:rPr>
              <w:t xml:space="preserve"> </w:t>
            </w:r>
            <w:r w:rsidR="003D4A43">
              <w:rPr>
                <w:b/>
              </w:rPr>
              <w:t xml:space="preserve">12 </w:t>
            </w:r>
            <w:r w:rsidR="00513E34">
              <w:rPr>
                <w:b/>
              </w:rPr>
              <w:t>858</w:t>
            </w:r>
            <w:r w:rsidRPr="00A51DA3">
              <w:rPr>
                <w:b/>
              </w:rPr>
              <w:t xml:space="preserve">     </w:t>
            </w:r>
          </w:p>
        </w:tc>
        <w:tc>
          <w:tcPr>
            <w:tcW w:w="1800" w:type="dxa"/>
            <w:tcBorders>
              <w:left w:val="nil"/>
              <w:right w:val="nil"/>
            </w:tcBorders>
            <w:vAlign w:val="bottom"/>
          </w:tcPr>
          <w:p w:rsidR="00067B42" w:rsidRPr="00A51DA3" w:rsidRDefault="00067B42" w:rsidP="00067B42">
            <w:pPr>
              <w:jc w:val="right"/>
              <w:rPr>
                <w:b/>
              </w:rPr>
            </w:pPr>
            <w:r w:rsidRPr="00A51DA3">
              <w:rPr>
                <w:b/>
              </w:rPr>
              <w:t xml:space="preserve"> 138 351     </w:t>
            </w:r>
          </w:p>
        </w:tc>
        <w:tc>
          <w:tcPr>
            <w:tcW w:w="2250" w:type="dxa"/>
            <w:tcBorders>
              <w:left w:val="nil"/>
              <w:right w:val="nil"/>
            </w:tcBorders>
            <w:vAlign w:val="bottom"/>
          </w:tcPr>
          <w:p w:rsidR="00067B42" w:rsidRPr="00A51DA3" w:rsidRDefault="00067B42" w:rsidP="00513E34">
            <w:pPr>
              <w:jc w:val="right"/>
              <w:rPr>
                <w:b/>
              </w:rPr>
            </w:pPr>
            <w:r w:rsidRPr="00A51DA3">
              <w:rPr>
                <w:b/>
              </w:rPr>
              <w:t>(</w:t>
            </w:r>
            <w:r w:rsidR="003D4A43">
              <w:rPr>
                <w:b/>
              </w:rPr>
              <w:t xml:space="preserve">128 </w:t>
            </w:r>
            <w:r w:rsidR="00513E34">
              <w:rPr>
                <w:b/>
              </w:rPr>
              <w:t>663</w:t>
            </w:r>
            <w:r w:rsidRPr="00A51DA3">
              <w:rPr>
                <w:b/>
              </w:rPr>
              <w:t xml:space="preserve">)     </w:t>
            </w:r>
          </w:p>
        </w:tc>
        <w:tc>
          <w:tcPr>
            <w:tcW w:w="1466" w:type="dxa"/>
            <w:tcBorders>
              <w:left w:val="nil"/>
              <w:right w:val="nil"/>
            </w:tcBorders>
            <w:vAlign w:val="bottom"/>
          </w:tcPr>
          <w:p w:rsidR="00067B42" w:rsidRPr="00A51DA3" w:rsidRDefault="00513E34" w:rsidP="00536C28">
            <w:pPr>
              <w:jc w:val="right"/>
              <w:rPr>
                <w:b/>
              </w:rPr>
            </w:pPr>
            <w:r>
              <w:rPr>
                <w:b/>
              </w:rPr>
              <w:t>51 496</w:t>
            </w:r>
            <w:r w:rsidR="00067B42" w:rsidRPr="00A51DA3">
              <w:rPr>
                <w:b/>
              </w:rPr>
              <w:t xml:space="preserve">     </w:t>
            </w:r>
          </w:p>
        </w:tc>
      </w:tr>
      <w:tr w:rsidR="00067B42" w:rsidRPr="00A51DA3" w:rsidTr="004C238F">
        <w:trPr>
          <w:trHeight w:val="181"/>
        </w:trPr>
        <w:tc>
          <w:tcPr>
            <w:tcW w:w="4784" w:type="dxa"/>
            <w:tcBorders>
              <w:top w:val="nil"/>
              <w:left w:val="nil"/>
              <w:bottom w:val="nil"/>
              <w:right w:val="nil"/>
            </w:tcBorders>
            <w:vAlign w:val="bottom"/>
          </w:tcPr>
          <w:p w:rsidR="00067B42" w:rsidRPr="00A51DA3" w:rsidRDefault="00416F0C" w:rsidP="00E21D93">
            <w:pPr>
              <w:rPr>
                <w:color w:val="000000"/>
                <w:lang w:eastAsia="bg-BG"/>
              </w:rPr>
            </w:pPr>
            <w:r>
              <w:rPr>
                <w:color w:val="000000"/>
                <w:lang w:eastAsia="bg-BG"/>
              </w:rPr>
              <w:t>Загуба</w:t>
            </w:r>
            <w:r w:rsidR="00067B42" w:rsidRPr="00A51DA3">
              <w:rPr>
                <w:color w:val="FF0000"/>
                <w:lang w:eastAsia="bg-BG"/>
              </w:rPr>
              <w:t xml:space="preserve"> </w:t>
            </w:r>
            <w:r w:rsidR="00067B42" w:rsidRPr="00A51DA3">
              <w:rPr>
                <w:color w:val="000000"/>
                <w:lang w:eastAsia="bg-BG"/>
              </w:rPr>
              <w:t xml:space="preserve">за </w:t>
            </w:r>
            <w:r w:rsidR="00E21D93">
              <w:rPr>
                <w:color w:val="000000"/>
                <w:lang w:eastAsia="bg-BG"/>
              </w:rPr>
              <w:t>периода</w:t>
            </w:r>
          </w:p>
        </w:tc>
        <w:tc>
          <w:tcPr>
            <w:tcW w:w="1591" w:type="dxa"/>
            <w:tcBorders>
              <w:left w:val="nil"/>
              <w:right w:val="nil"/>
            </w:tcBorders>
            <w:vAlign w:val="bottom"/>
          </w:tcPr>
          <w:p w:rsidR="00067B42" w:rsidRPr="00A51DA3" w:rsidRDefault="00067B42" w:rsidP="00067B42">
            <w:pPr>
              <w:jc w:val="right"/>
            </w:pPr>
            <w:r w:rsidRPr="00A51DA3">
              <w:t xml:space="preserve"> -       </w:t>
            </w:r>
          </w:p>
        </w:tc>
        <w:tc>
          <w:tcPr>
            <w:tcW w:w="2070" w:type="dxa"/>
            <w:tcBorders>
              <w:left w:val="nil"/>
              <w:right w:val="nil"/>
            </w:tcBorders>
            <w:vAlign w:val="bottom"/>
          </w:tcPr>
          <w:p w:rsidR="00067B42" w:rsidRPr="00A51DA3" w:rsidRDefault="00067B42" w:rsidP="00067B42">
            <w:pPr>
              <w:jc w:val="right"/>
            </w:pPr>
            <w:r w:rsidRPr="00A51DA3">
              <w:t xml:space="preserve"> -       </w:t>
            </w:r>
          </w:p>
        </w:tc>
        <w:tc>
          <w:tcPr>
            <w:tcW w:w="1800" w:type="dxa"/>
            <w:tcBorders>
              <w:left w:val="nil"/>
              <w:right w:val="nil"/>
            </w:tcBorders>
            <w:vAlign w:val="bottom"/>
          </w:tcPr>
          <w:p w:rsidR="00067B42" w:rsidRPr="00A51DA3" w:rsidRDefault="00067B42" w:rsidP="00067B42">
            <w:pPr>
              <w:jc w:val="right"/>
            </w:pPr>
            <w:r w:rsidRPr="00A51DA3">
              <w:t xml:space="preserve"> -       </w:t>
            </w:r>
          </w:p>
        </w:tc>
        <w:tc>
          <w:tcPr>
            <w:tcW w:w="2250" w:type="dxa"/>
            <w:tcBorders>
              <w:left w:val="nil"/>
              <w:right w:val="nil"/>
            </w:tcBorders>
            <w:vAlign w:val="bottom"/>
          </w:tcPr>
          <w:p w:rsidR="00067B42" w:rsidRPr="00A51DA3" w:rsidRDefault="00067B42" w:rsidP="00513E34">
            <w:pPr>
              <w:jc w:val="right"/>
            </w:pPr>
            <w:r w:rsidRPr="00A51DA3">
              <w:t>(</w:t>
            </w:r>
            <w:r w:rsidR="00513E34">
              <w:t>7 089</w:t>
            </w:r>
            <w:r w:rsidRPr="00A51DA3">
              <w:t xml:space="preserve">)     </w:t>
            </w:r>
          </w:p>
        </w:tc>
        <w:tc>
          <w:tcPr>
            <w:tcW w:w="1466" w:type="dxa"/>
            <w:tcBorders>
              <w:left w:val="nil"/>
              <w:right w:val="nil"/>
            </w:tcBorders>
            <w:vAlign w:val="bottom"/>
          </w:tcPr>
          <w:p w:rsidR="00067B42" w:rsidRPr="00A51DA3" w:rsidRDefault="00067B42" w:rsidP="00513E34">
            <w:pPr>
              <w:jc w:val="right"/>
            </w:pPr>
            <w:r w:rsidRPr="00A51DA3">
              <w:t>(</w:t>
            </w:r>
            <w:r w:rsidR="00513E34">
              <w:t>7 089</w:t>
            </w:r>
            <w:r w:rsidRPr="00A51DA3">
              <w:t xml:space="preserve">)     </w:t>
            </w:r>
          </w:p>
        </w:tc>
      </w:tr>
      <w:tr w:rsidR="0039535E" w:rsidRPr="00A51DA3" w:rsidTr="004C238F">
        <w:trPr>
          <w:trHeight w:val="181"/>
        </w:trPr>
        <w:tc>
          <w:tcPr>
            <w:tcW w:w="4784" w:type="dxa"/>
            <w:tcBorders>
              <w:top w:val="nil"/>
              <w:left w:val="nil"/>
              <w:bottom w:val="nil"/>
              <w:right w:val="nil"/>
            </w:tcBorders>
            <w:vAlign w:val="bottom"/>
          </w:tcPr>
          <w:p w:rsidR="0039535E" w:rsidRPr="00A51DA3" w:rsidRDefault="0039535E" w:rsidP="00FB3DC3">
            <w:pPr>
              <w:rPr>
                <w:b/>
                <w:bCs/>
                <w:color w:val="000000"/>
                <w:lang w:eastAsia="bg-BG"/>
              </w:rPr>
            </w:pPr>
            <w:r w:rsidRPr="00A51DA3">
              <w:rPr>
                <w:color w:val="000000"/>
                <w:lang w:eastAsia="bg-BG"/>
              </w:rPr>
              <w:t>Друг всеобхватен доход:</w:t>
            </w:r>
          </w:p>
        </w:tc>
        <w:tc>
          <w:tcPr>
            <w:tcW w:w="1591" w:type="dxa"/>
            <w:tcBorders>
              <w:left w:val="nil"/>
              <w:right w:val="nil"/>
            </w:tcBorders>
            <w:vAlign w:val="bottom"/>
          </w:tcPr>
          <w:p w:rsidR="0039535E" w:rsidRPr="00A51DA3" w:rsidRDefault="0039535E" w:rsidP="00067B42">
            <w:pPr>
              <w:jc w:val="right"/>
            </w:pPr>
          </w:p>
        </w:tc>
        <w:tc>
          <w:tcPr>
            <w:tcW w:w="2070" w:type="dxa"/>
            <w:tcBorders>
              <w:left w:val="nil"/>
              <w:right w:val="nil"/>
            </w:tcBorders>
            <w:vAlign w:val="bottom"/>
          </w:tcPr>
          <w:p w:rsidR="0039535E" w:rsidRPr="00A51DA3" w:rsidRDefault="0039535E" w:rsidP="00067B42">
            <w:pPr>
              <w:jc w:val="right"/>
            </w:pPr>
          </w:p>
        </w:tc>
        <w:tc>
          <w:tcPr>
            <w:tcW w:w="1800" w:type="dxa"/>
            <w:tcBorders>
              <w:left w:val="nil"/>
              <w:right w:val="nil"/>
            </w:tcBorders>
            <w:vAlign w:val="bottom"/>
          </w:tcPr>
          <w:p w:rsidR="0039535E" w:rsidRPr="00A51DA3" w:rsidRDefault="0039535E" w:rsidP="00067B42">
            <w:pPr>
              <w:jc w:val="right"/>
            </w:pPr>
          </w:p>
        </w:tc>
        <w:tc>
          <w:tcPr>
            <w:tcW w:w="2250" w:type="dxa"/>
            <w:tcBorders>
              <w:left w:val="nil"/>
              <w:right w:val="nil"/>
            </w:tcBorders>
            <w:vAlign w:val="bottom"/>
          </w:tcPr>
          <w:p w:rsidR="0039535E" w:rsidRPr="00A51DA3" w:rsidRDefault="0039535E" w:rsidP="00536C28">
            <w:pPr>
              <w:jc w:val="right"/>
            </w:pPr>
          </w:p>
        </w:tc>
        <w:tc>
          <w:tcPr>
            <w:tcW w:w="1466" w:type="dxa"/>
            <w:tcBorders>
              <w:left w:val="nil"/>
              <w:right w:val="nil"/>
            </w:tcBorders>
            <w:vAlign w:val="bottom"/>
          </w:tcPr>
          <w:p w:rsidR="0039535E" w:rsidRPr="00A51DA3" w:rsidRDefault="0039535E" w:rsidP="00536C28">
            <w:pPr>
              <w:jc w:val="right"/>
            </w:pPr>
          </w:p>
        </w:tc>
      </w:tr>
      <w:tr w:rsidR="0039535E" w:rsidRPr="00A51DA3" w:rsidTr="004C238F">
        <w:trPr>
          <w:trHeight w:val="181"/>
        </w:trPr>
        <w:tc>
          <w:tcPr>
            <w:tcW w:w="4784" w:type="dxa"/>
            <w:tcBorders>
              <w:top w:val="nil"/>
              <w:left w:val="nil"/>
              <w:bottom w:val="nil"/>
              <w:right w:val="nil"/>
            </w:tcBorders>
            <w:vAlign w:val="bottom"/>
          </w:tcPr>
          <w:p w:rsidR="0039535E" w:rsidRPr="00A51DA3" w:rsidRDefault="0039535E" w:rsidP="00FB3DC3">
            <w:pPr>
              <w:rPr>
                <w:color w:val="000000"/>
                <w:lang w:eastAsia="bg-BG"/>
              </w:rPr>
            </w:pPr>
            <w:r w:rsidRPr="00A51DA3">
              <w:rPr>
                <w:color w:val="000000"/>
                <w:lang w:eastAsia="bg-BG"/>
              </w:rPr>
              <w:t xml:space="preserve">Преоценка на </w:t>
            </w:r>
            <w:r w:rsidRPr="00A51DA3">
              <w:rPr>
                <w:lang w:eastAsia="bg-BG"/>
              </w:rPr>
              <w:t>нефинансови активи</w:t>
            </w:r>
          </w:p>
        </w:tc>
        <w:tc>
          <w:tcPr>
            <w:tcW w:w="1591" w:type="dxa"/>
            <w:tcBorders>
              <w:left w:val="nil"/>
              <w:right w:val="nil"/>
            </w:tcBorders>
            <w:vAlign w:val="bottom"/>
          </w:tcPr>
          <w:p w:rsidR="0039535E" w:rsidRPr="00A51DA3" w:rsidRDefault="0039535E" w:rsidP="00067B42">
            <w:pPr>
              <w:jc w:val="right"/>
            </w:pPr>
          </w:p>
        </w:tc>
        <w:tc>
          <w:tcPr>
            <w:tcW w:w="2070" w:type="dxa"/>
            <w:tcBorders>
              <w:left w:val="nil"/>
              <w:right w:val="nil"/>
            </w:tcBorders>
            <w:vAlign w:val="bottom"/>
          </w:tcPr>
          <w:p w:rsidR="0039535E" w:rsidRPr="00A51DA3" w:rsidRDefault="0039535E" w:rsidP="003D4A43">
            <w:pPr>
              <w:jc w:val="right"/>
            </w:pPr>
            <w:r>
              <w:t>(</w:t>
            </w:r>
            <w:r w:rsidR="00513E34">
              <w:t>55</w:t>
            </w:r>
            <w:r>
              <w:t>)</w:t>
            </w:r>
          </w:p>
        </w:tc>
        <w:tc>
          <w:tcPr>
            <w:tcW w:w="1800" w:type="dxa"/>
            <w:tcBorders>
              <w:left w:val="nil"/>
              <w:right w:val="nil"/>
            </w:tcBorders>
            <w:vAlign w:val="bottom"/>
          </w:tcPr>
          <w:p w:rsidR="0039535E" w:rsidRPr="00A51DA3" w:rsidRDefault="0039535E" w:rsidP="00067B42">
            <w:pPr>
              <w:jc w:val="right"/>
            </w:pPr>
          </w:p>
        </w:tc>
        <w:tc>
          <w:tcPr>
            <w:tcW w:w="2250" w:type="dxa"/>
            <w:tcBorders>
              <w:left w:val="nil"/>
              <w:right w:val="nil"/>
            </w:tcBorders>
            <w:vAlign w:val="bottom"/>
          </w:tcPr>
          <w:p w:rsidR="0039535E" w:rsidRPr="00A51DA3" w:rsidRDefault="0039535E" w:rsidP="00536C28">
            <w:pPr>
              <w:jc w:val="right"/>
            </w:pPr>
          </w:p>
        </w:tc>
        <w:tc>
          <w:tcPr>
            <w:tcW w:w="1466" w:type="dxa"/>
            <w:tcBorders>
              <w:left w:val="nil"/>
              <w:right w:val="nil"/>
            </w:tcBorders>
            <w:vAlign w:val="bottom"/>
          </w:tcPr>
          <w:p w:rsidR="0039535E" w:rsidRPr="00A51DA3" w:rsidRDefault="0039535E" w:rsidP="00513E34">
            <w:pPr>
              <w:jc w:val="right"/>
            </w:pPr>
            <w:r>
              <w:t>(</w:t>
            </w:r>
            <w:r w:rsidR="003D4A43">
              <w:t>5</w:t>
            </w:r>
            <w:r w:rsidR="00513E34">
              <w:t>5</w:t>
            </w:r>
            <w:r>
              <w:t>)</w:t>
            </w:r>
          </w:p>
        </w:tc>
      </w:tr>
      <w:tr w:rsidR="0039535E" w:rsidRPr="00A51DA3" w:rsidTr="004C238F">
        <w:trPr>
          <w:trHeight w:val="181"/>
        </w:trPr>
        <w:tc>
          <w:tcPr>
            <w:tcW w:w="4784" w:type="dxa"/>
            <w:tcBorders>
              <w:top w:val="nil"/>
              <w:left w:val="nil"/>
              <w:bottom w:val="nil"/>
              <w:right w:val="nil"/>
            </w:tcBorders>
            <w:vAlign w:val="bottom"/>
          </w:tcPr>
          <w:p w:rsidR="0039535E" w:rsidRPr="00A51DA3" w:rsidRDefault="0039535E" w:rsidP="00FB3DC3">
            <w:pPr>
              <w:rPr>
                <w:color w:val="000000"/>
                <w:lang w:eastAsia="bg-BG"/>
              </w:rPr>
            </w:pPr>
            <w:r w:rsidRPr="00A51DA3">
              <w:rPr>
                <w:color w:val="000000"/>
                <w:lang w:eastAsia="bg-BG"/>
              </w:rPr>
              <w:t>Данък върху дохода, отнасящ се до компонентите на другия всеобхватен доход</w:t>
            </w:r>
          </w:p>
        </w:tc>
        <w:tc>
          <w:tcPr>
            <w:tcW w:w="1591" w:type="dxa"/>
            <w:tcBorders>
              <w:left w:val="nil"/>
              <w:right w:val="nil"/>
            </w:tcBorders>
            <w:vAlign w:val="bottom"/>
          </w:tcPr>
          <w:p w:rsidR="0039535E" w:rsidRPr="00A51DA3" w:rsidRDefault="0039535E" w:rsidP="00067B42">
            <w:pPr>
              <w:jc w:val="right"/>
            </w:pPr>
          </w:p>
        </w:tc>
        <w:tc>
          <w:tcPr>
            <w:tcW w:w="2070" w:type="dxa"/>
            <w:tcBorders>
              <w:left w:val="nil"/>
              <w:right w:val="nil"/>
            </w:tcBorders>
            <w:vAlign w:val="bottom"/>
          </w:tcPr>
          <w:p w:rsidR="0039535E" w:rsidRPr="00A51DA3" w:rsidRDefault="0039535E" w:rsidP="00067B42">
            <w:pPr>
              <w:jc w:val="right"/>
            </w:pPr>
          </w:p>
        </w:tc>
        <w:tc>
          <w:tcPr>
            <w:tcW w:w="1800" w:type="dxa"/>
            <w:tcBorders>
              <w:left w:val="nil"/>
              <w:right w:val="nil"/>
            </w:tcBorders>
            <w:vAlign w:val="bottom"/>
          </w:tcPr>
          <w:p w:rsidR="0039535E" w:rsidRPr="00A51DA3" w:rsidRDefault="0039535E" w:rsidP="00067B42">
            <w:pPr>
              <w:jc w:val="right"/>
            </w:pPr>
          </w:p>
        </w:tc>
        <w:tc>
          <w:tcPr>
            <w:tcW w:w="2250" w:type="dxa"/>
            <w:tcBorders>
              <w:left w:val="nil"/>
              <w:right w:val="nil"/>
            </w:tcBorders>
            <w:vAlign w:val="bottom"/>
          </w:tcPr>
          <w:p w:rsidR="0039535E" w:rsidRPr="00A51DA3" w:rsidRDefault="0039535E" w:rsidP="00536C28">
            <w:pPr>
              <w:jc w:val="right"/>
            </w:pPr>
          </w:p>
        </w:tc>
        <w:tc>
          <w:tcPr>
            <w:tcW w:w="1466" w:type="dxa"/>
            <w:tcBorders>
              <w:left w:val="nil"/>
              <w:right w:val="nil"/>
            </w:tcBorders>
            <w:vAlign w:val="bottom"/>
          </w:tcPr>
          <w:p w:rsidR="0039535E" w:rsidRPr="00A51DA3" w:rsidRDefault="0039535E" w:rsidP="003D4A43">
            <w:pPr>
              <w:jc w:val="right"/>
            </w:pPr>
          </w:p>
        </w:tc>
      </w:tr>
      <w:tr w:rsidR="0039535E" w:rsidRPr="00A51DA3" w:rsidTr="004C238F">
        <w:trPr>
          <w:trHeight w:val="181"/>
        </w:trPr>
        <w:tc>
          <w:tcPr>
            <w:tcW w:w="4784" w:type="dxa"/>
            <w:tcBorders>
              <w:top w:val="nil"/>
              <w:left w:val="nil"/>
              <w:bottom w:val="nil"/>
              <w:right w:val="nil"/>
            </w:tcBorders>
            <w:vAlign w:val="bottom"/>
          </w:tcPr>
          <w:p w:rsidR="0039535E" w:rsidRPr="00A51DA3" w:rsidRDefault="0039535E" w:rsidP="00E21D93">
            <w:pPr>
              <w:rPr>
                <w:b/>
                <w:bCs/>
                <w:color w:val="000000"/>
                <w:lang w:eastAsia="bg-BG"/>
              </w:rPr>
            </w:pPr>
            <w:r w:rsidRPr="00A51DA3">
              <w:rPr>
                <w:b/>
                <w:bCs/>
                <w:color w:val="000000"/>
                <w:lang w:eastAsia="bg-BG"/>
              </w:rPr>
              <w:t xml:space="preserve">Общо всеобхватна загуба за </w:t>
            </w:r>
            <w:r w:rsidR="00E21D93">
              <w:rPr>
                <w:b/>
                <w:bCs/>
                <w:color w:val="000000"/>
                <w:lang w:eastAsia="bg-BG"/>
              </w:rPr>
              <w:t>периода</w:t>
            </w:r>
          </w:p>
        </w:tc>
        <w:tc>
          <w:tcPr>
            <w:tcW w:w="1591" w:type="dxa"/>
            <w:tcBorders>
              <w:top w:val="single" w:sz="2" w:space="0" w:color="auto"/>
              <w:left w:val="nil"/>
              <w:right w:val="nil"/>
            </w:tcBorders>
            <w:vAlign w:val="bottom"/>
          </w:tcPr>
          <w:p w:rsidR="0039535E" w:rsidRPr="00A51DA3" w:rsidRDefault="0039535E" w:rsidP="00067B42">
            <w:pPr>
              <w:jc w:val="right"/>
              <w:rPr>
                <w:b/>
              </w:rPr>
            </w:pPr>
            <w:r w:rsidRPr="00A51DA3">
              <w:rPr>
                <w:b/>
              </w:rPr>
              <w:t xml:space="preserve"> -       </w:t>
            </w:r>
          </w:p>
        </w:tc>
        <w:tc>
          <w:tcPr>
            <w:tcW w:w="2070" w:type="dxa"/>
            <w:tcBorders>
              <w:top w:val="single" w:sz="2" w:space="0" w:color="auto"/>
              <w:left w:val="nil"/>
              <w:right w:val="nil"/>
            </w:tcBorders>
            <w:vAlign w:val="bottom"/>
          </w:tcPr>
          <w:p w:rsidR="0039535E" w:rsidRPr="00A51DA3" w:rsidRDefault="0039535E" w:rsidP="00513E34">
            <w:pPr>
              <w:jc w:val="right"/>
              <w:rPr>
                <w:b/>
              </w:rPr>
            </w:pPr>
            <w:r>
              <w:rPr>
                <w:b/>
              </w:rPr>
              <w:t xml:space="preserve"> (</w:t>
            </w:r>
            <w:r w:rsidR="003D4A43">
              <w:rPr>
                <w:b/>
              </w:rPr>
              <w:t>5</w:t>
            </w:r>
            <w:r w:rsidR="00513E34">
              <w:rPr>
                <w:b/>
              </w:rPr>
              <w:t>5</w:t>
            </w:r>
            <w:r>
              <w:rPr>
                <w:b/>
              </w:rPr>
              <w:t>)</w:t>
            </w:r>
            <w:r w:rsidRPr="00A51DA3">
              <w:rPr>
                <w:b/>
              </w:rPr>
              <w:t xml:space="preserve">       </w:t>
            </w:r>
          </w:p>
        </w:tc>
        <w:tc>
          <w:tcPr>
            <w:tcW w:w="1800" w:type="dxa"/>
            <w:tcBorders>
              <w:top w:val="single" w:sz="2" w:space="0" w:color="auto"/>
              <w:left w:val="nil"/>
              <w:right w:val="nil"/>
            </w:tcBorders>
            <w:vAlign w:val="bottom"/>
          </w:tcPr>
          <w:p w:rsidR="0039535E" w:rsidRPr="00A51DA3" w:rsidRDefault="0039535E" w:rsidP="00067B42">
            <w:pPr>
              <w:jc w:val="right"/>
              <w:rPr>
                <w:b/>
              </w:rPr>
            </w:pPr>
            <w:r w:rsidRPr="00A51DA3">
              <w:rPr>
                <w:b/>
              </w:rPr>
              <w:t xml:space="preserve"> -       </w:t>
            </w:r>
          </w:p>
        </w:tc>
        <w:tc>
          <w:tcPr>
            <w:tcW w:w="2250" w:type="dxa"/>
            <w:tcBorders>
              <w:top w:val="single" w:sz="2" w:space="0" w:color="auto"/>
              <w:left w:val="nil"/>
              <w:right w:val="nil"/>
            </w:tcBorders>
            <w:vAlign w:val="bottom"/>
          </w:tcPr>
          <w:p w:rsidR="0039535E" w:rsidRPr="00A51DA3" w:rsidRDefault="0039535E" w:rsidP="00513E34">
            <w:pPr>
              <w:jc w:val="right"/>
              <w:rPr>
                <w:b/>
              </w:rPr>
            </w:pPr>
            <w:r w:rsidRPr="00A51DA3">
              <w:rPr>
                <w:b/>
              </w:rPr>
              <w:t>(</w:t>
            </w:r>
            <w:r w:rsidR="00513E34">
              <w:rPr>
                <w:b/>
              </w:rPr>
              <w:t>7 089</w:t>
            </w:r>
            <w:r w:rsidRPr="00A51DA3">
              <w:rPr>
                <w:b/>
              </w:rPr>
              <w:t xml:space="preserve">)     </w:t>
            </w:r>
          </w:p>
        </w:tc>
        <w:tc>
          <w:tcPr>
            <w:tcW w:w="1466" w:type="dxa"/>
            <w:tcBorders>
              <w:top w:val="single" w:sz="2" w:space="0" w:color="auto"/>
              <w:left w:val="nil"/>
              <w:right w:val="nil"/>
            </w:tcBorders>
            <w:vAlign w:val="bottom"/>
          </w:tcPr>
          <w:p w:rsidR="0039535E" w:rsidRPr="00A51DA3" w:rsidRDefault="0039535E" w:rsidP="00513E34">
            <w:pPr>
              <w:jc w:val="right"/>
              <w:rPr>
                <w:b/>
              </w:rPr>
            </w:pPr>
            <w:r w:rsidRPr="00A51DA3">
              <w:rPr>
                <w:b/>
              </w:rPr>
              <w:t>(</w:t>
            </w:r>
            <w:r w:rsidR="00513E34">
              <w:rPr>
                <w:b/>
              </w:rPr>
              <w:t>7 144</w:t>
            </w:r>
            <w:r w:rsidRPr="00A51DA3">
              <w:rPr>
                <w:b/>
              </w:rPr>
              <w:t xml:space="preserve">)     </w:t>
            </w:r>
          </w:p>
        </w:tc>
      </w:tr>
      <w:tr w:rsidR="0039535E" w:rsidRPr="00A51DA3" w:rsidTr="004C238F">
        <w:trPr>
          <w:trHeight w:val="181"/>
        </w:trPr>
        <w:tc>
          <w:tcPr>
            <w:tcW w:w="4784" w:type="dxa"/>
            <w:tcBorders>
              <w:top w:val="nil"/>
              <w:left w:val="nil"/>
              <w:bottom w:val="nil"/>
              <w:right w:val="nil"/>
            </w:tcBorders>
            <w:vAlign w:val="bottom"/>
          </w:tcPr>
          <w:p w:rsidR="0039535E" w:rsidRPr="00A51DA3" w:rsidRDefault="0039535E" w:rsidP="00B86947">
            <w:pPr>
              <w:rPr>
                <w:b/>
                <w:bCs/>
                <w:color w:val="000000"/>
                <w:lang w:eastAsia="bg-BG"/>
              </w:rPr>
            </w:pPr>
          </w:p>
        </w:tc>
        <w:tc>
          <w:tcPr>
            <w:tcW w:w="1591" w:type="dxa"/>
            <w:tcBorders>
              <w:left w:val="nil"/>
              <w:right w:val="nil"/>
            </w:tcBorders>
            <w:vAlign w:val="bottom"/>
          </w:tcPr>
          <w:p w:rsidR="0039535E" w:rsidRPr="00A51DA3" w:rsidRDefault="0039535E" w:rsidP="00067B42">
            <w:pPr>
              <w:jc w:val="right"/>
            </w:pPr>
          </w:p>
        </w:tc>
        <w:tc>
          <w:tcPr>
            <w:tcW w:w="2070" w:type="dxa"/>
            <w:tcBorders>
              <w:left w:val="nil"/>
              <w:right w:val="nil"/>
            </w:tcBorders>
            <w:vAlign w:val="bottom"/>
          </w:tcPr>
          <w:p w:rsidR="0039535E" w:rsidRPr="00A51DA3" w:rsidRDefault="0039535E" w:rsidP="00067B42">
            <w:pPr>
              <w:jc w:val="right"/>
            </w:pPr>
          </w:p>
        </w:tc>
        <w:tc>
          <w:tcPr>
            <w:tcW w:w="1800" w:type="dxa"/>
            <w:tcBorders>
              <w:left w:val="nil"/>
              <w:right w:val="nil"/>
            </w:tcBorders>
            <w:vAlign w:val="bottom"/>
          </w:tcPr>
          <w:p w:rsidR="0039535E" w:rsidRPr="00A51DA3" w:rsidRDefault="0039535E" w:rsidP="00067B42">
            <w:pPr>
              <w:jc w:val="right"/>
            </w:pPr>
          </w:p>
        </w:tc>
        <w:tc>
          <w:tcPr>
            <w:tcW w:w="2250" w:type="dxa"/>
            <w:tcBorders>
              <w:left w:val="nil"/>
              <w:right w:val="nil"/>
            </w:tcBorders>
            <w:vAlign w:val="bottom"/>
          </w:tcPr>
          <w:p w:rsidR="0039535E" w:rsidRPr="00A51DA3" w:rsidRDefault="0039535E" w:rsidP="00067B42">
            <w:pPr>
              <w:jc w:val="right"/>
            </w:pPr>
          </w:p>
        </w:tc>
        <w:tc>
          <w:tcPr>
            <w:tcW w:w="1466" w:type="dxa"/>
            <w:tcBorders>
              <w:left w:val="nil"/>
              <w:right w:val="nil"/>
            </w:tcBorders>
            <w:vAlign w:val="bottom"/>
          </w:tcPr>
          <w:p w:rsidR="0039535E" w:rsidRPr="00A51DA3" w:rsidRDefault="0039535E" w:rsidP="00067B42">
            <w:pPr>
              <w:jc w:val="right"/>
            </w:pPr>
          </w:p>
        </w:tc>
      </w:tr>
      <w:tr w:rsidR="0039535E" w:rsidRPr="00A51DA3" w:rsidTr="004C238F">
        <w:trPr>
          <w:trHeight w:val="181"/>
        </w:trPr>
        <w:tc>
          <w:tcPr>
            <w:tcW w:w="4784" w:type="dxa"/>
            <w:tcBorders>
              <w:top w:val="nil"/>
              <w:left w:val="nil"/>
              <w:bottom w:val="nil"/>
              <w:right w:val="nil"/>
            </w:tcBorders>
            <w:vAlign w:val="bottom"/>
          </w:tcPr>
          <w:p w:rsidR="0039535E" w:rsidRPr="00A51DA3" w:rsidRDefault="0039535E" w:rsidP="00B86947">
            <w:pPr>
              <w:rPr>
                <w:b/>
                <w:bCs/>
                <w:color w:val="000000"/>
                <w:lang w:eastAsia="bg-BG"/>
              </w:rPr>
            </w:pPr>
            <w:r w:rsidRPr="00A51DA3">
              <w:rPr>
                <w:color w:val="000000"/>
                <w:lang w:eastAsia="bg-BG"/>
              </w:rPr>
              <w:t>Прехвърляне на резерви</w:t>
            </w:r>
          </w:p>
        </w:tc>
        <w:tc>
          <w:tcPr>
            <w:tcW w:w="1591" w:type="dxa"/>
            <w:tcBorders>
              <w:left w:val="nil"/>
              <w:right w:val="nil"/>
            </w:tcBorders>
            <w:vAlign w:val="bottom"/>
          </w:tcPr>
          <w:p w:rsidR="0039535E" w:rsidRPr="00A51DA3" w:rsidRDefault="0039535E" w:rsidP="00067B42">
            <w:pPr>
              <w:jc w:val="right"/>
            </w:pPr>
            <w:r w:rsidRPr="00A51DA3">
              <w:t xml:space="preserve"> -       </w:t>
            </w:r>
          </w:p>
        </w:tc>
        <w:tc>
          <w:tcPr>
            <w:tcW w:w="2070" w:type="dxa"/>
            <w:tcBorders>
              <w:left w:val="nil"/>
              <w:right w:val="nil"/>
            </w:tcBorders>
            <w:vAlign w:val="bottom"/>
          </w:tcPr>
          <w:p w:rsidR="0039535E" w:rsidRPr="00A51DA3" w:rsidRDefault="0039535E" w:rsidP="00513E34">
            <w:pPr>
              <w:jc w:val="right"/>
            </w:pPr>
            <w:r w:rsidRPr="00A51DA3">
              <w:t>(</w:t>
            </w:r>
            <w:r w:rsidR="00513E34">
              <w:t>567</w:t>
            </w:r>
            <w:r w:rsidRPr="00A51DA3">
              <w:t xml:space="preserve">)     </w:t>
            </w:r>
          </w:p>
        </w:tc>
        <w:tc>
          <w:tcPr>
            <w:tcW w:w="1800" w:type="dxa"/>
            <w:tcBorders>
              <w:left w:val="nil"/>
              <w:right w:val="nil"/>
            </w:tcBorders>
            <w:vAlign w:val="bottom"/>
          </w:tcPr>
          <w:p w:rsidR="0039535E" w:rsidRPr="00A51DA3" w:rsidRDefault="0039535E" w:rsidP="00067B42">
            <w:pPr>
              <w:jc w:val="right"/>
            </w:pPr>
            <w:r w:rsidRPr="00A51DA3">
              <w:t xml:space="preserve"> -       </w:t>
            </w:r>
          </w:p>
        </w:tc>
        <w:tc>
          <w:tcPr>
            <w:tcW w:w="2250" w:type="dxa"/>
            <w:tcBorders>
              <w:left w:val="nil"/>
              <w:right w:val="nil"/>
            </w:tcBorders>
            <w:vAlign w:val="bottom"/>
          </w:tcPr>
          <w:p w:rsidR="0039535E" w:rsidRPr="00A51DA3" w:rsidRDefault="00513E34" w:rsidP="0039535E">
            <w:pPr>
              <w:jc w:val="right"/>
            </w:pPr>
            <w:r>
              <w:t>567</w:t>
            </w:r>
            <w:r w:rsidR="0039535E" w:rsidRPr="00A51DA3">
              <w:t xml:space="preserve">     </w:t>
            </w:r>
          </w:p>
        </w:tc>
        <w:tc>
          <w:tcPr>
            <w:tcW w:w="1466" w:type="dxa"/>
            <w:tcBorders>
              <w:left w:val="nil"/>
              <w:right w:val="nil"/>
            </w:tcBorders>
            <w:vAlign w:val="bottom"/>
          </w:tcPr>
          <w:p w:rsidR="0039535E" w:rsidRPr="00A51DA3" w:rsidRDefault="00513E34" w:rsidP="003D4A43">
            <w:pPr>
              <w:jc w:val="right"/>
            </w:pPr>
            <w:r>
              <w:t>-</w:t>
            </w:r>
          </w:p>
        </w:tc>
      </w:tr>
      <w:tr w:rsidR="0039535E" w:rsidRPr="00A51DA3" w:rsidTr="004C238F">
        <w:trPr>
          <w:trHeight w:val="181"/>
        </w:trPr>
        <w:tc>
          <w:tcPr>
            <w:tcW w:w="4784" w:type="dxa"/>
            <w:tcBorders>
              <w:top w:val="nil"/>
              <w:left w:val="nil"/>
              <w:bottom w:val="nil"/>
              <w:right w:val="nil"/>
            </w:tcBorders>
            <w:vAlign w:val="bottom"/>
          </w:tcPr>
          <w:p w:rsidR="0039535E" w:rsidRPr="00A51DA3" w:rsidRDefault="0039535E" w:rsidP="00B86947">
            <w:pPr>
              <w:rPr>
                <w:color w:val="000000"/>
                <w:lang w:eastAsia="bg-BG"/>
              </w:rPr>
            </w:pPr>
          </w:p>
        </w:tc>
        <w:tc>
          <w:tcPr>
            <w:tcW w:w="1591" w:type="dxa"/>
            <w:tcBorders>
              <w:left w:val="nil"/>
              <w:bottom w:val="single" w:sz="4" w:space="0" w:color="auto"/>
              <w:right w:val="nil"/>
            </w:tcBorders>
            <w:vAlign w:val="bottom"/>
          </w:tcPr>
          <w:p w:rsidR="0039535E" w:rsidRPr="00A51DA3" w:rsidRDefault="0039535E" w:rsidP="00067B42">
            <w:pPr>
              <w:jc w:val="right"/>
            </w:pPr>
          </w:p>
        </w:tc>
        <w:tc>
          <w:tcPr>
            <w:tcW w:w="2070" w:type="dxa"/>
            <w:tcBorders>
              <w:left w:val="nil"/>
              <w:bottom w:val="single" w:sz="4" w:space="0" w:color="auto"/>
              <w:right w:val="nil"/>
            </w:tcBorders>
            <w:vAlign w:val="bottom"/>
          </w:tcPr>
          <w:p w:rsidR="0039535E" w:rsidRPr="00A51DA3" w:rsidRDefault="0039535E" w:rsidP="00067B42">
            <w:pPr>
              <w:jc w:val="right"/>
            </w:pPr>
          </w:p>
        </w:tc>
        <w:tc>
          <w:tcPr>
            <w:tcW w:w="1800" w:type="dxa"/>
            <w:tcBorders>
              <w:left w:val="nil"/>
              <w:bottom w:val="single" w:sz="4" w:space="0" w:color="auto"/>
              <w:right w:val="nil"/>
            </w:tcBorders>
            <w:vAlign w:val="bottom"/>
          </w:tcPr>
          <w:p w:rsidR="0039535E" w:rsidRPr="00A51DA3" w:rsidRDefault="0039535E" w:rsidP="00067B42">
            <w:pPr>
              <w:jc w:val="right"/>
            </w:pPr>
          </w:p>
        </w:tc>
        <w:tc>
          <w:tcPr>
            <w:tcW w:w="2250" w:type="dxa"/>
            <w:tcBorders>
              <w:left w:val="nil"/>
              <w:bottom w:val="single" w:sz="4" w:space="0" w:color="auto"/>
              <w:right w:val="nil"/>
            </w:tcBorders>
            <w:vAlign w:val="bottom"/>
          </w:tcPr>
          <w:p w:rsidR="0039535E" w:rsidRPr="00A51DA3" w:rsidRDefault="0039535E" w:rsidP="00067B42">
            <w:pPr>
              <w:jc w:val="right"/>
            </w:pPr>
          </w:p>
        </w:tc>
        <w:tc>
          <w:tcPr>
            <w:tcW w:w="1466" w:type="dxa"/>
            <w:tcBorders>
              <w:left w:val="nil"/>
              <w:bottom w:val="single" w:sz="4" w:space="0" w:color="auto"/>
              <w:right w:val="nil"/>
            </w:tcBorders>
            <w:vAlign w:val="bottom"/>
          </w:tcPr>
          <w:p w:rsidR="0039535E" w:rsidRPr="00A51DA3" w:rsidRDefault="0039535E" w:rsidP="00067B42">
            <w:pPr>
              <w:jc w:val="right"/>
            </w:pPr>
          </w:p>
        </w:tc>
      </w:tr>
      <w:tr w:rsidR="0039535E" w:rsidRPr="00A51DA3" w:rsidTr="004C238F">
        <w:trPr>
          <w:trHeight w:val="181"/>
        </w:trPr>
        <w:tc>
          <w:tcPr>
            <w:tcW w:w="4784" w:type="dxa"/>
            <w:tcBorders>
              <w:top w:val="nil"/>
              <w:left w:val="nil"/>
              <w:bottom w:val="nil"/>
              <w:right w:val="nil"/>
            </w:tcBorders>
            <w:vAlign w:val="bottom"/>
          </w:tcPr>
          <w:p w:rsidR="0039535E" w:rsidRPr="00A51DA3" w:rsidRDefault="0039535E" w:rsidP="00E21D93">
            <w:pPr>
              <w:rPr>
                <w:b/>
                <w:bCs/>
                <w:color w:val="000000"/>
                <w:lang w:eastAsia="bg-BG"/>
              </w:rPr>
            </w:pPr>
            <w:r>
              <w:rPr>
                <w:b/>
                <w:bCs/>
                <w:color w:val="000000"/>
                <w:lang w:eastAsia="bg-BG"/>
              </w:rPr>
              <w:t>Салдо към 3</w:t>
            </w:r>
            <w:r w:rsidR="00E21D93">
              <w:rPr>
                <w:b/>
                <w:bCs/>
                <w:color w:val="000000"/>
                <w:lang w:eastAsia="bg-BG"/>
              </w:rPr>
              <w:t>0</w:t>
            </w:r>
            <w:r>
              <w:rPr>
                <w:b/>
                <w:bCs/>
                <w:color w:val="000000"/>
                <w:lang w:eastAsia="bg-BG"/>
              </w:rPr>
              <w:t xml:space="preserve"> </w:t>
            </w:r>
            <w:r w:rsidR="00D624D6">
              <w:rPr>
                <w:b/>
                <w:bCs/>
                <w:color w:val="000000"/>
                <w:lang w:eastAsia="bg-BG"/>
              </w:rPr>
              <w:t>септември</w:t>
            </w:r>
            <w:r>
              <w:rPr>
                <w:b/>
                <w:bCs/>
                <w:color w:val="000000"/>
                <w:lang w:eastAsia="bg-BG"/>
              </w:rPr>
              <w:t xml:space="preserve"> 201</w:t>
            </w:r>
            <w:r w:rsidR="00E21D93">
              <w:rPr>
                <w:b/>
                <w:bCs/>
                <w:color w:val="000000"/>
                <w:lang w:eastAsia="bg-BG"/>
              </w:rPr>
              <w:t>6</w:t>
            </w:r>
            <w:r w:rsidRPr="00A51DA3">
              <w:rPr>
                <w:b/>
                <w:bCs/>
                <w:color w:val="000000"/>
                <w:lang w:eastAsia="bg-BG"/>
              </w:rPr>
              <w:t xml:space="preserve"> г.</w:t>
            </w:r>
          </w:p>
        </w:tc>
        <w:tc>
          <w:tcPr>
            <w:tcW w:w="1591" w:type="dxa"/>
            <w:tcBorders>
              <w:top w:val="single" w:sz="4" w:space="0" w:color="auto"/>
              <w:left w:val="nil"/>
              <w:bottom w:val="double" w:sz="4" w:space="0" w:color="auto"/>
              <w:right w:val="nil"/>
            </w:tcBorders>
            <w:vAlign w:val="bottom"/>
          </w:tcPr>
          <w:p w:rsidR="0039535E" w:rsidRPr="00A51DA3" w:rsidRDefault="0039535E" w:rsidP="00067B42">
            <w:pPr>
              <w:jc w:val="right"/>
              <w:rPr>
                <w:b/>
              </w:rPr>
            </w:pPr>
            <w:r w:rsidRPr="00A51DA3">
              <w:rPr>
                <w:b/>
              </w:rPr>
              <w:t xml:space="preserve"> 28 950     </w:t>
            </w:r>
          </w:p>
        </w:tc>
        <w:tc>
          <w:tcPr>
            <w:tcW w:w="2070" w:type="dxa"/>
            <w:tcBorders>
              <w:top w:val="single" w:sz="4" w:space="0" w:color="auto"/>
              <w:left w:val="nil"/>
              <w:bottom w:val="double" w:sz="4" w:space="0" w:color="auto"/>
              <w:right w:val="nil"/>
            </w:tcBorders>
            <w:vAlign w:val="bottom"/>
          </w:tcPr>
          <w:p w:rsidR="0039535E" w:rsidRPr="00A51DA3" w:rsidRDefault="0039535E" w:rsidP="00513E34">
            <w:pPr>
              <w:jc w:val="right"/>
              <w:rPr>
                <w:b/>
              </w:rPr>
            </w:pPr>
            <w:r w:rsidRPr="00A51DA3">
              <w:rPr>
                <w:b/>
              </w:rPr>
              <w:t xml:space="preserve"> </w:t>
            </w:r>
            <w:r>
              <w:rPr>
                <w:b/>
              </w:rPr>
              <w:t xml:space="preserve">12 </w:t>
            </w:r>
            <w:r w:rsidR="00513E34">
              <w:rPr>
                <w:b/>
              </w:rPr>
              <w:t>236</w:t>
            </w:r>
            <w:r w:rsidRPr="00A51DA3">
              <w:rPr>
                <w:b/>
              </w:rPr>
              <w:t xml:space="preserve">    </w:t>
            </w:r>
          </w:p>
        </w:tc>
        <w:tc>
          <w:tcPr>
            <w:tcW w:w="1800" w:type="dxa"/>
            <w:tcBorders>
              <w:top w:val="single" w:sz="4" w:space="0" w:color="auto"/>
              <w:left w:val="nil"/>
              <w:bottom w:val="double" w:sz="4" w:space="0" w:color="auto"/>
              <w:right w:val="nil"/>
            </w:tcBorders>
            <w:vAlign w:val="bottom"/>
          </w:tcPr>
          <w:p w:rsidR="0039535E" w:rsidRPr="00A51DA3" w:rsidRDefault="0039535E" w:rsidP="00067B42">
            <w:pPr>
              <w:jc w:val="right"/>
              <w:rPr>
                <w:b/>
              </w:rPr>
            </w:pPr>
            <w:r w:rsidRPr="00A51DA3">
              <w:rPr>
                <w:b/>
              </w:rPr>
              <w:t xml:space="preserve"> 138 351     </w:t>
            </w:r>
          </w:p>
        </w:tc>
        <w:tc>
          <w:tcPr>
            <w:tcW w:w="2250" w:type="dxa"/>
            <w:tcBorders>
              <w:top w:val="single" w:sz="4" w:space="0" w:color="auto"/>
              <w:left w:val="nil"/>
              <w:bottom w:val="double" w:sz="4" w:space="0" w:color="auto"/>
              <w:right w:val="nil"/>
            </w:tcBorders>
            <w:vAlign w:val="bottom"/>
          </w:tcPr>
          <w:p w:rsidR="0039535E" w:rsidRPr="00A51DA3" w:rsidRDefault="0039535E" w:rsidP="00513E34">
            <w:pPr>
              <w:jc w:val="right"/>
              <w:rPr>
                <w:b/>
              </w:rPr>
            </w:pPr>
            <w:r w:rsidRPr="00A51DA3">
              <w:rPr>
                <w:b/>
              </w:rPr>
              <w:t>(</w:t>
            </w:r>
            <w:r w:rsidR="00513E34">
              <w:rPr>
                <w:b/>
              </w:rPr>
              <w:t>135 185</w:t>
            </w:r>
            <w:r w:rsidRPr="00A51DA3">
              <w:rPr>
                <w:b/>
              </w:rPr>
              <w:t xml:space="preserve">)     </w:t>
            </w:r>
          </w:p>
        </w:tc>
        <w:tc>
          <w:tcPr>
            <w:tcW w:w="1466" w:type="dxa"/>
            <w:tcBorders>
              <w:top w:val="single" w:sz="4" w:space="0" w:color="auto"/>
              <w:left w:val="nil"/>
              <w:bottom w:val="double" w:sz="4" w:space="0" w:color="auto"/>
              <w:right w:val="nil"/>
            </w:tcBorders>
            <w:vAlign w:val="bottom"/>
          </w:tcPr>
          <w:p w:rsidR="0039535E" w:rsidRPr="00A51DA3" w:rsidRDefault="0039535E" w:rsidP="00513E34">
            <w:pPr>
              <w:jc w:val="right"/>
              <w:rPr>
                <w:b/>
              </w:rPr>
            </w:pPr>
            <w:r w:rsidRPr="00A51DA3">
              <w:rPr>
                <w:b/>
              </w:rPr>
              <w:t xml:space="preserve"> </w:t>
            </w:r>
            <w:r w:rsidR="00513E34">
              <w:rPr>
                <w:b/>
              </w:rPr>
              <w:t>44 352</w:t>
            </w:r>
            <w:r w:rsidRPr="00A51DA3">
              <w:rPr>
                <w:b/>
              </w:rPr>
              <w:t xml:space="preserve">     </w:t>
            </w:r>
          </w:p>
        </w:tc>
      </w:tr>
    </w:tbl>
    <w:p w:rsidR="00985719" w:rsidRPr="00A51DA3" w:rsidRDefault="00985719" w:rsidP="00915F74">
      <w:pPr>
        <w:rPr>
          <w:sz w:val="24"/>
          <w:szCs w:val="24"/>
          <w:lang w:val="en-GB"/>
        </w:rPr>
      </w:pPr>
    </w:p>
    <w:tbl>
      <w:tblPr>
        <w:tblW w:w="11000" w:type="dxa"/>
        <w:tblInd w:w="-106" w:type="dxa"/>
        <w:tblLayout w:type="fixed"/>
        <w:tblLook w:val="0000"/>
      </w:tblPr>
      <w:tblGrid>
        <w:gridCol w:w="4536"/>
        <w:gridCol w:w="6464"/>
      </w:tblGrid>
      <w:tr w:rsidR="00985719" w:rsidRPr="00A51DA3">
        <w:trPr>
          <w:trHeight w:val="113"/>
        </w:trPr>
        <w:tc>
          <w:tcPr>
            <w:tcW w:w="4536" w:type="dxa"/>
          </w:tcPr>
          <w:p w:rsidR="00985719" w:rsidRPr="00A51DA3" w:rsidRDefault="00985719" w:rsidP="007B7B33">
            <w:pPr>
              <w:autoSpaceDE w:val="0"/>
              <w:autoSpaceDN w:val="0"/>
              <w:adjustRightInd w:val="0"/>
              <w:rPr>
                <w:b/>
                <w:bCs/>
                <w:sz w:val="24"/>
                <w:szCs w:val="24"/>
              </w:rPr>
            </w:pPr>
          </w:p>
          <w:p w:rsidR="00985719" w:rsidRPr="00A51DA3" w:rsidRDefault="00985719" w:rsidP="007B7B33">
            <w:pPr>
              <w:autoSpaceDE w:val="0"/>
              <w:autoSpaceDN w:val="0"/>
              <w:adjustRightInd w:val="0"/>
              <w:rPr>
                <w:b/>
                <w:bCs/>
                <w:sz w:val="24"/>
                <w:szCs w:val="24"/>
              </w:rPr>
            </w:pPr>
          </w:p>
          <w:p w:rsidR="00985719" w:rsidRPr="00A51DA3" w:rsidRDefault="00985719" w:rsidP="007B7B33">
            <w:pPr>
              <w:autoSpaceDE w:val="0"/>
              <w:autoSpaceDN w:val="0"/>
              <w:adjustRightInd w:val="0"/>
              <w:rPr>
                <w:b/>
                <w:bCs/>
                <w:sz w:val="24"/>
                <w:szCs w:val="24"/>
              </w:rPr>
            </w:pPr>
            <w:r w:rsidRPr="00A51DA3">
              <w:rPr>
                <w:b/>
                <w:bCs/>
                <w:sz w:val="24"/>
                <w:szCs w:val="24"/>
              </w:rPr>
              <w:t>Съставил: ____________________</w:t>
            </w:r>
          </w:p>
          <w:p w:rsidR="00985719" w:rsidRPr="00A51DA3" w:rsidRDefault="00985719" w:rsidP="007B7B33">
            <w:pPr>
              <w:autoSpaceDE w:val="0"/>
              <w:autoSpaceDN w:val="0"/>
              <w:adjustRightInd w:val="0"/>
              <w:rPr>
                <w:b/>
                <w:bCs/>
                <w:sz w:val="24"/>
                <w:szCs w:val="24"/>
              </w:rPr>
            </w:pPr>
            <w:r w:rsidRPr="00A51DA3">
              <w:rPr>
                <w:b/>
                <w:bCs/>
                <w:sz w:val="24"/>
                <w:szCs w:val="24"/>
              </w:rPr>
              <w:t xml:space="preserve">                    /Димитър Михайлов/</w:t>
            </w:r>
          </w:p>
          <w:p w:rsidR="00985719" w:rsidRPr="00A51DA3" w:rsidRDefault="00985719" w:rsidP="007B7B33">
            <w:pPr>
              <w:autoSpaceDE w:val="0"/>
              <w:autoSpaceDN w:val="0"/>
              <w:adjustRightInd w:val="0"/>
              <w:rPr>
                <w:b/>
                <w:bCs/>
                <w:sz w:val="24"/>
                <w:szCs w:val="24"/>
              </w:rPr>
            </w:pPr>
          </w:p>
        </w:tc>
        <w:tc>
          <w:tcPr>
            <w:tcW w:w="6464" w:type="dxa"/>
          </w:tcPr>
          <w:p w:rsidR="00985719" w:rsidRPr="00A51DA3" w:rsidRDefault="00985719" w:rsidP="007B7B33">
            <w:pPr>
              <w:autoSpaceDE w:val="0"/>
              <w:autoSpaceDN w:val="0"/>
              <w:adjustRightInd w:val="0"/>
              <w:rPr>
                <w:b/>
                <w:bCs/>
                <w:sz w:val="24"/>
                <w:szCs w:val="24"/>
              </w:rPr>
            </w:pPr>
          </w:p>
          <w:p w:rsidR="00985719" w:rsidRPr="00A51DA3" w:rsidRDefault="00985719" w:rsidP="007B7B33">
            <w:pPr>
              <w:autoSpaceDE w:val="0"/>
              <w:autoSpaceDN w:val="0"/>
              <w:adjustRightInd w:val="0"/>
              <w:rPr>
                <w:b/>
                <w:bCs/>
                <w:sz w:val="24"/>
                <w:szCs w:val="24"/>
              </w:rPr>
            </w:pPr>
          </w:p>
          <w:p w:rsidR="00985719" w:rsidRPr="00A51DA3" w:rsidRDefault="00985719" w:rsidP="007B7B33">
            <w:pPr>
              <w:autoSpaceDE w:val="0"/>
              <w:autoSpaceDN w:val="0"/>
              <w:adjustRightInd w:val="0"/>
              <w:rPr>
                <w:b/>
                <w:bCs/>
                <w:sz w:val="24"/>
                <w:szCs w:val="24"/>
              </w:rPr>
            </w:pPr>
            <w:r w:rsidRPr="00A51DA3">
              <w:rPr>
                <w:b/>
                <w:bCs/>
                <w:sz w:val="24"/>
                <w:szCs w:val="24"/>
              </w:rPr>
              <w:t>Изпълнителен директор: ____________________</w:t>
            </w:r>
          </w:p>
          <w:p w:rsidR="00985719" w:rsidRPr="00A51DA3" w:rsidRDefault="00985719" w:rsidP="00A211F2">
            <w:pPr>
              <w:autoSpaceDE w:val="0"/>
              <w:autoSpaceDN w:val="0"/>
              <w:adjustRightInd w:val="0"/>
              <w:rPr>
                <w:b/>
                <w:bCs/>
                <w:sz w:val="24"/>
                <w:szCs w:val="24"/>
              </w:rPr>
            </w:pPr>
            <w:r w:rsidRPr="00A51DA3">
              <w:rPr>
                <w:b/>
                <w:bCs/>
                <w:sz w:val="24"/>
                <w:szCs w:val="24"/>
              </w:rPr>
              <w:t xml:space="preserve">                                             </w:t>
            </w:r>
            <w:r w:rsidR="00067B42" w:rsidRPr="00A51DA3">
              <w:rPr>
                <w:b/>
                <w:bCs/>
                <w:sz w:val="24"/>
                <w:szCs w:val="24"/>
              </w:rPr>
              <w:t>/</w:t>
            </w:r>
            <w:r w:rsidR="00A211F2">
              <w:rPr>
                <w:b/>
                <w:bCs/>
                <w:sz w:val="24"/>
                <w:szCs w:val="24"/>
              </w:rPr>
              <w:t>Владимир Владимиров</w:t>
            </w:r>
            <w:r w:rsidR="00067B42" w:rsidRPr="00A51DA3">
              <w:rPr>
                <w:b/>
                <w:bCs/>
                <w:sz w:val="24"/>
                <w:szCs w:val="24"/>
              </w:rPr>
              <w:t>/</w:t>
            </w:r>
          </w:p>
        </w:tc>
      </w:tr>
      <w:tr w:rsidR="0034710D" w:rsidRPr="00A51DA3">
        <w:trPr>
          <w:trHeight w:val="282"/>
        </w:trPr>
        <w:tc>
          <w:tcPr>
            <w:tcW w:w="11000" w:type="dxa"/>
            <w:gridSpan w:val="2"/>
          </w:tcPr>
          <w:p w:rsidR="0034710D" w:rsidRPr="0034710D" w:rsidRDefault="0034710D" w:rsidP="00EF7597">
            <w:pPr>
              <w:autoSpaceDE w:val="0"/>
              <w:autoSpaceDN w:val="0"/>
              <w:adjustRightInd w:val="0"/>
              <w:rPr>
                <w:b/>
                <w:bCs/>
              </w:rPr>
            </w:pPr>
          </w:p>
        </w:tc>
      </w:tr>
      <w:tr w:rsidR="0034710D" w:rsidRPr="00A51DA3">
        <w:trPr>
          <w:trHeight w:val="282"/>
        </w:trPr>
        <w:tc>
          <w:tcPr>
            <w:tcW w:w="11000" w:type="dxa"/>
            <w:gridSpan w:val="2"/>
          </w:tcPr>
          <w:p w:rsidR="0034710D" w:rsidRPr="0034710D" w:rsidRDefault="0034710D" w:rsidP="00EF7597">
            <w:pPr>
              <w:autoSpaceDE w:val="0"/>
              <w:autoSpaceDN w:val="0"/>
              <w:adjustRightInd w:val="0"/>
              <w:rPr>
                <w:b/>
                <w:bCs/>
              </w:rPr>
            </w:pPr>
          </w:p>
        </w:tc>
      </w:tr>
    </w:tbl>
    <w:p w:rsidR="00985719" w:rsidRDefault="00985719" w:rsidP="000F05BE">
      <w:pPr>
        <w:pStyle w:val="SectionTitle"/>
        <w:spacing w:before="120" w:after="0"/>
        <w:rPr>
          <w:sz w:val="36"/>
          <w:szCs w:val="36"/>
          <w:lang w:val="bg-BG"/>
        </w:rPr>
      </w:pPr>
      <w:r w:rsidRPr="00A51DA3">
        <w:rPr>
          <w:lang w:val="bg-BG"/>
        </w:rPr>
        <w:br w:type="page"/>
      </w:r>
      <w:r w:rsidR="00E21D93" w:rsidRPr="00E21D93">
        <w:rPr>
          <w:sz w:val="36"/>
          <w:szCs w:val="36"/>
          <w:lang w:val="bg-BG"/>
        </w:rPr>
        <w:lastRenderedPageBreak/>
        <w:t xml:space="preserve">Междинен съкратен </w:t>
      </w:r>
      <w:r w:rsidRPr="00A51DA3">
        <w:rPr>
          <w:sz w:val="36"/>
          <w:szCs w:val="36"/>
          <w:lang w:val="bg-BG"/>
        </w:rPr>
        <w:t xml:space="preserve">Отчет за промените в собствения капитал </w:t>
      </w:r>
    </w:p>
    <w:p w:rsidR="00985719" w:rsidRDefault="00985719" w:rsidP="00CF72C5">
      <w:pPr>
        <w:spacing w:after="120"/>
        <w:rPr>
          <w:sz w:val="36"/>
          <w:szCs w:val="36"/>
        </w:rPr>
      </w:pPr>
      <w:r w:rsidRPr="00A51DA3">
        <w:rPr>
          <w:sz w:val="36"/>
          <w:szCs w:val="36"/>
        </w:rPr>
        <w:t xml:space="preserve"> (продължение)</w:t>
      </w:r>
    </w:p>
    <w:p w:rsidR="00E21D93" w:rsidRPr="00A51DA3" w:rsidRDefault="00E21D93" w:rsidP="00CF72C5">
      <w:pPr>
        <w:spacing w:after="120"/>
        <w:rPr>
          <w:sz w:val="36"/>
          <w:szCs w:val="36"/>
        </w:rPr>
      </w:pPr>
    </w:p>
    <w:tbl>
      <w:tblPr>
        <w:tblW w:w="14170" w:type="dxa"/>
        <w:tblInd w:w="-68" w:type="dxa"/>
        <w:tblCellMar>
          <w:left w:w="70" w:type="dxa"/>
          <w:right w:w="70" w:type="dxa"/>
        </w:tblCellMar>
        <w:tblLook w:val="00A0"/>
      </w:tblPr>
      <w:tblGrid>
        <w:gridCol w:w="4784"/>
        <w:gridCol w:w="1800"/>
        <w:gridCol w:w="2070"/>
        <w:gridCol w:w="1800"/>
        <w:gridCol w:w="2250"/>
        <w:gridCol w:w="1466"/>
      </w:tblGrid>
      <w:tr w:rsidR="002C6667" w:rsidRPr="00A51DA3" w:rsidTr="006E0EE2">
        <w:trPr>
          <w:trHeight w:val="181"/>
        </w:trPr>
        <w:tc>
          <w:tcPr>
            <w:tcW w:w="4784" w:type="dxa"/>
            <w:tcBorders>
              <w:top w:val="nil"/>
              <w:left w:val="nil"/>
              <w:bottom w:val="nil"/>
              <w:right w:val="nil"/>
            </w:tcBorders>
            <w:shd w:val="clear" w:color="000000" w:fill="FFFFFF"/>
          </w:tcPr>
          <w:p w:rsidR="002C6667" w:rsidRPr="00A51DA3" w:rsidRDefault="002C6667" w:rsidP="006E0EE2">
            <w:pPr>
              <w:rPr>
                <w:color w:val="000000"/>
                <w:lang w:eastAsia="bg-BG"/>
              </w:rPr>
            </w:pPr>
            <w:r w:rsidRPr="00A51DA3">
              <w:rPr>
                <w:b/>
                <w:bCs/>
              </w:rPr>
              <w:t>Всички суми са представени в ‘000 лв.</w:t>
            </w:r>
          </w:p>
        </w:tc>
        <w:tc>
          <w:tcPr>
            <w:tcW w:w="1800" w:type="dxa"/>
            <w:tcBorders>
              <w:top w:val="nil"/>
              <w:left w:val="nil"/>
              <w:bottom w:val="nil"/>
              <w:right w:val="nil"/>
            </w:tcBorders>
            <w:shd w:val="clear" w:color="000000" w:fill="FFFFFF"/>
          </w:tcPr>
          <w:p w:rsidR="002C6667" w:rsidRPr="00A51DA3" w:rsidRDefault="002C6667" w:rsidP="006E0EE2">
            <w:pPr>
              <w:jc w:val="right"/>
              <w:rPr>
                <w:b/>
                <w:bCs/>
                <w:lang w:eastAsia="bg-BG"/>
              </w:rPr>
            </w:pPr>
            <w:r w:rsidRPr="00A51DA3">
              <w:rPr>
                <w:b/>
                <w:bCs/>
              </w:rPr>
              <w:t>Акционерен капитал</w:t>
            </w:r>
          </w:p>
        </w:tc>
        <w:tc>
          <w:tcPr>
            <w:tcW w:w="2070" w:type="dxa"/>
            <w:tcBorders>
              <w:top w:val="nil"/>
              <w:left w:val="nil"/>
              <w:bottom w:val="nil"/>
              <w:right w:val="nil"/>
            </w:tcBorders>
            <w:shd w:val="clear" w:color="000000" w:fill="FFFFFF"/>
          </w:tcPr>
          <w:p w:rsidR="002C6667" w:rsidRPr="00A51DA3" w:rsidRDefault="002C6667" w:rsidP="006E0EE2">
            <w:pPr>
              <w:jc w:val="right"/>
              <w:rPr>
                <w:b/>
                <w:bCs/>
                <w:lang w:eastAsia="bg-BG"/>
              </w:rPr>
            </w:pPr>
            <w:r w:rsidRPr="00A51DA3">
              <w:rPr>
                <w:b/>
                <w:bCs/>
                <w:lang w:eastAsia="bg-BG"/>
              </w:rPr>
              <w:t>Преоценъчен  резерв</w:t>
            </w:r>
          </w:p>
        </w:tc>
        <w:tc>
          <w:tcPr>
            <w:tcW w:w="1800" w:type="dxa"/>
            <w:tcBorders>
              <w:top w:val="nil"/>
              <w:left w:val="nil"/>
              <w:bottom w:val="nil"/>
              <w:right w:val="nil"/>
            </w:tcBorders>
            <w:shd w:val="clear" w:color="000000" w:fill="FFFFFF"/>
          </w:tcPr>
          <w:p w:rsidR="002C6667" w:rsidRPr="00A51DA3" w:rsidRDefault="002C6667" w:rsidP="006E0EE2">
            <w:pPr>
              <w:jc w:val="right"/>
              <w:rPr>
                <w:b/>
                <w:bCs/>
                <w:lang w:eastAsia="bg-BG"/>
              </w:rPr>
            </w:pPr>
            <w:r w:rsidRPr="00A51DA3">
              <w:rPr>
                <w:b/>
                <w:bCs/>
                <w:lang w:eastAsia="bg-BG"/>
              </w:rPr>
              <w:t>Други резерви</w:t>
            </w:r>
          </w:p>
        </w:tc>
        <w:tc>
          <w:tcPr>
            <w:tcW w:w="2250" w:type="dxa"/>
            <w:tcBorders>
              <w:top w:val="nil"/>
              <w:left w:val="nil"/>
              <w:bottom w:val="nil"/>
              <w:right w:val="nil"/>
            </w:tcBorders>
            <w:shd w:val="clear" w:color="000000" w:fill="FFFFFF"/>
          </w:tcPr>
          <w:p w:rsidR="002C6667" w:rsidRPr="00A51DA3" w:rsidRDefault="002C6667" w:rsidP="006E0EE2">
            <w:pPr>
              <w:jc w:val="right"/>
              <w:rPr>
                <w:b/>
                <w:bCs/>
                <w:lang w:eastAsia="bg-BG"/>
              </w:rPr>
            </w:pPr>
            <w:r w:rsidRPr="00A51DA3">
              <w:rPr>
                <w:b/>
                <w:bCs/>
                <w:lang w:eastAsia="bg-BG"/>
              </w:rPr>
              <w:t xml:space="preserve"> Натрупана загуба</w:t>
            </w:r>
          </w:p>
        </w:tc>
        <w:tc>
          <w:tcPr>
            <w:tcW w:w="1466" w:type="dxa"/>
            <w:tcBorders>
              <w:top w:val="nil"/>
              <w:left w:val="nil"/>
              <w:bottom w:val="nil"/>
              <w:right w:val="nil"/>
            </w:tcBorders>
            <w:shd w:val="clear" w:color="000000" w:fill="FFFFFF"/>
          </w:tcPr>
          <w:p w:rsidR="002C6667" w:rsidRPr="00A51DA3" w:rsidRDefault="002C6667" w:rsidP="006E0EE2">
            <w:pPr>
              <w:jc w:val="right"/>
              <w:rPr>
                <w:b/>
                <w:bCs/>
                <w:lang w:eastAsia="bg-BG"/>
              </w:rPr>
            </w:pPr>
            <w:r w:rsidRPr="00A51DA3">
              <w:rPr>
                <w:b/>
                <w:bCs/>
                <w:lang w:eastAsia="bg-BG"/>
              </w:rPr>
              <w:t xml:space="preserve">Общо </w:t>
            </w:r>
            <w:r w:rsidRPr="00A51DA3">
              <w:rPr>
                <w:b/>
                <w:bCs/>
              </w:rPr>
              <w:t xml:space="preserve">собствен капитал </w:t>
            </w:r>
          </w:p>
        </w:tc>
      </w:tr>
      <w:tr w:rsidR="00454095" w:rsidRPr="00A51DA3" w:rsidTr="008169E5">
        <w:trPr>
          <w:trHeight w:val="181"/>
        </w:trPr>
        <w:tc>
          <w:tcPr>
            <w:tcW w:w="4784" w:type="dxa"/>
            <w:tcBorders>
              <w:top w:val="nil"/>
              <w:left w:val="nil"/>
              <w:bottom w:val="nil"/>
              <w:right w:val="nil"/>
            </w:tcBorders>
            <w:vAlign w:val="bottom"/>
          </w:tcPr>
          <w:p w:rsidR="00454095" w:rsidRDefault="00454095" w:rsidP="00E85CCE">
            <w:pPr>
              <w:rPr>
                <w:b/>
                <w:bCs/>
              </w:rPr>
            </w:pPr>
          </w:p>
          <w:p w:rsidR="00454095" w:rsidRPr="00A51DA3" w:rsidRDefault="00454095" w:rsidP="00E85CCE">
            <w:pPr>
              <w:rPr>
                <w:b/>
                <w:bCs/>
              </w:rPr>
            </w:pPr>
          </w:p>
        </w:tc>
        <w:tc>
          <w:tcPr>
            <w:tcW w:w="1800" w:type="dxa"/>
            <w:tcBorders>
              <w:top w:val="nil"/>
              <w:left w:val="nil"/>
              <w:right w:val="nil"/>
            </w:tcBorders>
            <w:vAlign w:val="bottom"/>
          </w:tcPr>
          <w:p w:rsidR="00454095" w:rsidRPr="00A51DA3" w:rsidRDefault="00454095" w:rsidP="00454095">
            <w:pPr>
              <w:jc w:val="right"/>
              <w:rPr>
                <w:b/>
              </w:rPr>
            </w:pPr>
            <w:r w:rsidRPr="00A51DA3">
              <w:rPr>
                <w:b/>
              </w:rPr>
              <w:t xml:space="preserve"> 28 950     </w:t>
            </w:r>
          </w:p>
        </w:tc>
        <w:tc>
          <w:tcPr>
            <w:tcW w:w="2070" w:type="dxa"/>
            <w:tcBorders>
              <w:top w:val="nil"/>
              <w:left w:val="nil"/>
              <w:right w:val="nil"/>
            </w:tcBorders>
            <w:vAlign w:val="bottom"/>
          </w:tcPr>
          <w:p w:rsidR="00454095" w:rsidRPr="00A51DA3" w:rsidRDefault="00454095" w:rsidP="00454095">
            <w:pPr>
              <w:jc w:val="right"/>
              <w:rPr>
                <w:b/>
              </w:rPr>
            </w:pPr>
            <w:r w:rsidRPr="00A51DA3">
              <w:rPr>
                <w:b/>
              </w:rPr>
              <w:t xml:space="preserve"> 15 </w:t>
            </w:r>
            <w:r>
              <w:rPr>
                <w:b/>
              </w:rPr>
              <w:t>562</w:t>
            </w:r>
            <w:r w:rsidRPr="00A51DA3">
              <w:rPr>
                <w:b/>
              </w:rPr>
              <w:t xml:space="preserve">     </w:t>
            </w:r>
          </w:p>
        </w:tc>
        <w:tc>
          <w:tcPr>
            <w:tcW w:w="1800" w:type="dxa"/>
            <w:tcBorders>
              <w:top w:val="nil"/>
              <w:left w:val="nil"/>
              <w:right w:val="nil"/>
            </w:tcBorders>
            <w:vAlign w:val="bottom"/>
          </w:tcPr>
          <w:p w:rsidR="00454095" w:rsidRPr="00A51DA3" w:rsidRDefault="00454095" w:rsidP="00454095">
            <w:pPr>
              <w:jc w:val="right"/>
              <w:rPr>
                <w:b/>
              </w:rPr>
            </w:pPr>
            <w:r w:rsidRPr="00A51DA3">
              <w:rPr>
                <w:b/>
              </w:rPr>
              <w:t xml:space="preserve"> 138 351     </w:t>
            </w:r>
          </w:p>
        </w:tc>
        <w:tc>
          <w:tcPr>
            <w:tcW w:w="2250" w:type="dxa"/>
            <w:tcBorders>
              <w:top w:val="nil"/>
              <w:left w:val="nil"/>
              <w:right w:val="nil"/>
            </w:tcBorders>
            <w:vAlign w:val="bottom"/>
          </w:tcPr>
          <w:p w:rsidR="00454095" w:rsidRPr="00A51DA3" w:rsidRDefault="00454095" w:rsidP="00454095">
            <w:pPr>
              <w:jc w:val="right"/>
              <w:rPr>
                <w:b/>
              </w:rPr>
            </w:pPr>
            <w:r w:rsidRPr="00A51DA3">
              <w:rPr>
                <w:b/>
              </w:rPr>
              <w:t>(</w:t>
            </w:r>
            <w:r>
              <w:rPr>
                <w:b/>
              </w:rPr>
              <w:t>126 468</w:t>
            </w:r>
            <w:r w:rsidRPr="00A51DA3">
              <w:rPr>
                <w:b/>
              </w:rPr>
              <w:t xml:space="preserve">)     </w:t>
            </w:r>
          </w:p>
        </w:tc>
        <w:tc>
          <w:tcPr>
            <w:tcW w:w="1466" w:type="dxa"/>
            <w:tcBorders>
              <w:top w:val="nil"/>
              <w:left w:val="nil"/>
              <w:right w:val="nil"/>
            </w:tcBorders>
            <w:vAlign w:val="bottom"/>
          </w:tcPr>
          <w:p w:rsidR="00454095" w:rsidRPr="00A51DA3" w:rsidRDefault="00454095" w:rsidP="00454095">
            <w:pPr>
              <w:jc w:val="right"/>
              <w:rPr>
                <w:b/>
              </w:rPr>
            </w:pPr>
            <w:r>
              <w:rPr>
                <w:b/>
              </w:rPr>
              <w:t>56 395</w:t>
            </w:r>
            <w:r w:rsidRPr="00A51DA3">
              <w:rPr>
                <w:b/>
              </w:rPr>
              <w:t xml:space="preserve">     </w:t>
            </w:r>
          </w:p>
        </w:tc>
      </w:tr>
      <w:tr w:rsidR="00B23795" w:rsidRPr="00A51DA3" w:rsidTr="008169E5">
        <w:trPr>
          <w:trHeight w:val="181"/>
        </w:trPr>
        <w:tc>
          <w:tcPr>
            <w:tcW w:w="4784" w:type="dxa"/>
            <w:tcBorders>
              <w:top w:val="nil"/>
              <w:left w:val="nil"/>
              <w:bottom w:val="nil"/>
              <w:right w:val="nil"/>
            </w:tcBorders>
            <w:vAlign w:val="bottom"/>
          </w:tcPr>
          <w:p w:rsidR="00B23795" w:rsidRPr="00A51DA3" w:rsidRDefault="00B23795" w:rsidP="006E0EE2">
            <w:pPr>
              <w:rPr>
                <w:b/>
                <w:bCs/>
              </w:rPr>
            </w:pPr>
            <w:r w:rsidRPr="00A51DA3">
              <w:rPr>
                <w:b/>
                <w:bCs/>
              </w:rPr>
              <w:t>Корекция на грешки от предходни периоди (пояснение 5)</w:t>
            </w:r>
          </w:p>
        </w:tc>
        <w:tc>
          <w:tcPr>
            <w:tcW w:w="1800" w:type="dxa"/>
            <w:tcBorders>
              <w:top w:val="nil"/>
              <w:left w:val="nil"/>
              <w:bottom w:val="single" w:sz="4" w:space="0" w:color="auto"/>
              <w:right w:val="nil"/>
            </w:tcBorders>
            <w:vAlign w:val="bottom"/>
          </w:tcPr>
          <w:p w:rsidR="00B23795" w:rsidRPr="00A51DA3" w:rsidRDefault="00B23795" w:rsidP="008169E5">
            <w:pPr>
              <w:jc w:val="right"/>
              <w:rPr>
                <w:color w:val="000000"/>
              </w:rPr>
            </w:pPr>
            <w:r w:rsidRPr="00A51DA3">
              <w:rPr>
                <w:color w:val="000000"/>
              </w:rPr>
              <w:t>-</w:t>
            </w:r>
          </w:p>
        </w:tc>
        <w:tc>
          <w:tcPr>
            <w:tcW w:w="2070" w:type="dxa"/>
            <w:tcBorders>
              <w:top w:val="nil"/>
              <w:left w:val="nil"/>
              <w:bottom w:val="single" w:sz="4" w:space="0" w:color="auto"/>
              <w:right w:val="nil"/>
            </w:tcBorders>
            <w:vAlign w:val="bottom"/>
          </w:tcPr>
          <w:p w:rsidR="00B23795" w:rsidRPr="00454095" w:rsidRDefault="00513E34" w:rsidP="00A115D1">
            <w:pPr>
              <w:jc w:val="right"/>
              <w:rPr>
                <w:color w:val="000000"/>
              </w:rPr>
            </w:pPr>
            <w:r>
              <w:rPr>
                <w:color w:val="000000"/>
              </w:rPr>
              <w:t>9</w:t>
            </w:r>
          </w:p>
        </w:tc>
        <w:tc>
          <w:tcPr>
            <w:tcW w:w="1800" w:type="dxa"/>
            <w:tcBorders>
              <w:top w:val="nil"/>
              <w:left w:val="nil"/>
              <w:bottom w:val="single" w:sz="4" w:space="0" w:color="auto"/>
              <w:right w:val="nil"/>
            </w:tcBorders>
            <w:vAlign w:val="bottom"/>
          </w:tcPr>
          <w:p w:rsidR="00B23795" w:rsidRPr="00A51DA3" w:rsidRDefault="00B23795" w:rsidP="008169E5">
            <w:pPr>
              <w:jc w:val="right"/>
              <w:rPr>
                <w:color w:val="000000"/>
              </w:rPr>
            </w:pPr>
            <w:r w:rsidRPr="00A51DA3">
              <w:rPr>
                <w:color w:val="000000"/>
              </w:rPr>
              <w:t>-</w:t>
            </w:r>
          </w:p>
        </w:tc>
        <w:tc>
          <w:tcPr>
            <w:tcW w:w="2250" w:type="dxa"/>
            <w:tcBorders>
              <w:top w:val="nil"/>
              <w:left w:val="nil"/>
              <w:bottom w:val="single" w:sz="4" w:space="0" w:color="auto"/>
              <w:right w:val="nil"/>
            </w:tcBorders>
            <w:vAlign w:val="bottom"/>
          </w:tcPr>
          <w:p w:rsidR="00B23795" w:rsidRPr="00A51DA3" w:rsidRDefault="003D4A43" w:rsidP="00513E34">
            <w:pPr>
              <w:jc w:val="right"/>
              <w:rPr>
                <w:color w:val="000000"/>
              </w:rPr>
            </w:pPr>
            <w:r>
              <w:rPr>
                <w:color w:val="000000"/>
              </w:rPr>
              <w:t>(</w:t>
            </w:r>
            <w:r w:rsidR="00513E34">
              <w:rPr>
                <w:color w:val="000000"/>
              </w:rPr>
              <w:t>14</w:t>
            </w:r>
            <w:r>
              <w:rPr>
                <w:color w:val="000000"/>
              </w:rPr>
              <w:t>)</w:t>
            </w:r>
          </w:p>
        </w:tc>
        <w:tc>
          <w:tcPr>
            <w:tcW w:w="1466" w:type="dxa"/>
            <w:tcBorders>
              <w:top w:val="nil"/>
              <w:left w:val="nil"/>
              <w:bottom w:val="single" w:sz="4" w:space="0" w:color="auto"/>
              <w:right w:val="nil"/>
            </w:tcBorders>
            <w:vAlign w:val="bottom"/>
          </w:tcPr>
          <w:p w:rsidR="00B23795" w:rsidRPr="00A51DA3" w:rsidRDefault="003D4A43" w:rsidP="00A115D1">
            <w:pPr>
              <w:jc w:val="right"/>
              <w:rPr>
                <w:color w:val="000000"/>
              </w:rPr>
            </w:pPr>
            <w:r>
              <w:rPr>
                <w:color w:val="000000"/>
              </w:rPr>
              <w:t>(5)</w:t>
            </w:r>
          </w:p>
        </w:tc>
      </w:tr>
      <w:tr w:rsidR="00B23795" w:rsidRPr="00A51DA3" w:rsidTr="008169E5">
        <w:trPr>
          <w:trHeight w:val="181"/>
        </w:trPr>
        <w:tc>
          <w:tcPr>
            <w:tcW w:w="4784" w:type="dxa"/>
            <w:tcBorders>
              <w:top w:val="nil"/>
              <w:left w:val="nil"/>
              <w:bottom w:val="nil"/>
              <w:right w:val="nil"/>
            </w:tcBorders>
            <w:vAlign w:val="bottom"/>
          </w:tcPr>
          <w:p w:rsidR="00B23795" w:rsidRPr="00A51DA3" w:rsidRDefault="00B23795" w:rsidP="00454095">
            <w:pPr>
              <w:rPr>
                <w:b/>
                <w:bCs/>
              </w:rPr>
            </w:pPr>
            <w:r w:rsidRPr="00A51DA3">
              <w:rPr>
                <w:b/>
                <w:bCs/>
              </w:rPr>
              <w:t>Преизчислено салдо към 1 януари 201</w:t>
            </w:r>
            <w:r w:rsidR="00454095">
              <w:rPr>
                <w:b/>
                <w:bCs/>
              </w:rPr>
              <w:t>5</w:t>
            </w:r>
            <w:r w:rsidRPr="00A51DA3">
              <w:rPr>
                <w:b/>
                <w:bCs/>
              </w:rPr>
              <w:t xml:space="preserve"> г.</w:t>
            </w:r>
          </w:p>
        </w:tc>
        <w:tc>
          <w:tcPr>
            <w:tcW w:w="1800" w:type="dxa"/>
            <w:tcBorders>
              <w:top w:val="single" w:sz="4" w:space="0" w:color="auto"/>
              <w:left w:val="nil"/>
              <w:bottom w:val="single" w:sz="2" w:space="0" w:color="auto"/>
              <w:right w:val="nil"/>
            </w:tcBorders>
            <w:vAlign w:val="bottom"/>
          </w:tcPr>
          <w:p w:rsidR="00B23795" w:rsidRPr="00A51DA3" w:rsidRDefault="00B23795" w:rsidP="008169E5">
            <w:pPr>
              <w:jc w:val="right"/>
              <w:rPr>
                <w:b/>
                <w:color w:val="000000"/>
              </w:rPr>
            </w:pPr>
            <w:r w:rsidRPr="00A51DA3">
              <w:rPr>
                <w:b/>
                <w:color w:val="000000"/>
              </w:rPr>
              <w:t>28 950</w:t>
            </w:r>
          </w:p>
        </w:tc>
        <w:tc>
          <w:tcPr>
            <w:tcW w:w="2070" w:type="dxa"/>
            <w:tcBorders>
              <w:top w:val="single" w:sz="4" w:space="0" w:color="auto"/>
              <w:left w:val="nil"/>
              <w:bottom w:val="single" w:sz="2" w:space="0" w:color="auto"/>
              <w:right w:val="nil"/>
            </w:tcBorders>
            <w:vAlign w:val="bottom"/>
          </w:tcPr>
          <w:p w:rsidR="00B23795" w:rsidRPr="00A115D1" w:rsidRDefault="00A115D1" w:rsidP="00513E34">
            <w:pPr>
              <w:jc w:val="right"/>
              <w:rPr>
                <w:b/>
                <w:color w:val="000000"/>
              </w:rPr>
            </w:pPr>
            <w:r>
              <w:rPr>
                <w:b/>
                <w:color w:val="000000"/>
              </w:rPr>
              <w:t xml:space="preserve">15 </w:t>
            </w:r>
            <w:r w:rsidR="003D4A43">
              <w:rPr>
                <w:b/>
                <w:color w:val="000000"/>
              </w:rPr>
              <w:t>5</w:t>
            </w:r>
            <w:r w:rsidR="00513E34">
              <w:rPr>
                <w:b/>
                <w:color w:val="000000"/>
              </w:rPr>
              <w:t>71</w:t>
            </w:r>
          </w:p>
        </w:tc>
        <w:tc>
          <w:tcPr>
            <w:tcW w:w="1800" w:type="dxa"/>
            <w:tcBorders>
              <w:top w:val="single" w:sz="4" w:space="0" w:color="auto"/>
              <w:left w:val="nil"/>
              <w:bottom w:val="single" w:sz="2" w:space="0" w:color="auto"/>
              <w:right w:val="nil"/>
            </w:tcBorders>
            <w:vAlign w:val="bottom"/>
          </w:tcPr>
          <w:p w:rsidR="00B23795" w:rsidRPr="00A51DA3" w:rsidRDefault="00B23795" w:rsidP="008169E5">
            <w:pPr>
              <w:jc w:val="right"/>
              <w:rPr>
                <w:b/>
                <w:color w:val="000000"/>
              </w:rPr>
            </w:pPr>
            <w:r w:rsidRPr="00A51DA3">
              <w:rPr>
                <w:b/>
                <w:color w:val="000000"/>
              </w:rPr>
              <w:t>138 351</w:t>
            </w:r>
          </w:p>
        </w:tc>
        <w:tc>
          <w:tcPr>
            <w:tcW w:w="2250" w:type="dxa"/>
            <w:tcBorders>
              <w:top w:val="single" w:sz="4" w:space="0" w:color="auto"/>
              <w:left w:val="nil"/>
              <w:bottom w:val="single" w:sz="2" w:space="0" w:color="auto"/>
              <w:right w:val="nil"/>
            </w:tcBorders>
            <w:vAlign w:val="bottom"/>
          </w:tcPr>
          <w:p w:rsidR="00B23795" w:rsidRPr="00A51DA3" w:rsidRDefault="00B23795" w:rsidP="00513E34">
            <w:pPr>
              <w:jc w:val="right"/>
              <w:rPr>
                <w:b/>
                <w:color w:val="000000"/>
              </w:rPr>
            </w:pPr>
            <w:r w:rsidRPr="00A51DA3">
              <w:rPr>
                <w:b/>
                <w:color w:val="000000"/>
              </w:rPr>
              <w:t>(</w:t>
            </w:r>
            <w:r w:rsidR="003D4A43">
              <w:rPr>
                <w:b/>
                <w:color w:val="000000"/>
              </w:rPr>
              <w:t>126 4</w:t>
            </w:r>
            <w:r w:rsidR="00513E34">
              <w:rPr>
                <w:b/>
                <w:color w:val="000000"/>
              </w:rPr>
              <w:t>82</w:t>
            </w:r>
            <w:r w:rsidRPr="00A51DA3">
              <w:rPr>
                <w:b/>
                <w:color w:val="000000"/>
              </w:rPr>
              <w:t>)</w:t>
            </w:r>
          </w:p>
        </w:tc>
        <w:tc>
          <w:tcPr>
            <w:tcW w:w="1466" w:type="dxa"/>
            <w:tcBorders>
              <w:top w:val="single" w:sz="4" w:space="0" w:color="auto"/>
              <w:left w:val="nil"/>
              <w:bottom w:val="single" w:sz="2" w:space="0" w:color="auto"/>
              <w:right w:val="nil"/>
            </w:tcBorders>
            <w:vAlign w:val="bottom"/>
          </w:tcPr>
          <w:p w:rsidR="00B23795" w:rsidRPr="00A115D1" w:rsidRDefault="003D4A43" w:rsidP="0040267F">
            <w:pPr>
              <w:jc w:val="right"/>
              <w:rPr>
                <w:b/>
                <w:color w:val="000000"/>
              </w:rPr>
            </w:pPr>
            <w:r>
              <w:rPr>
                <w:b/>
                <w:color w:val="000000"/>
              </w:rPr>
              <w:t>56 390</w:t>
            </w:r>
          </w:p>
        </w:tc>
      </w:tr>
      <w:tr w:rsidR="00454095" w:rsidRPr="00A51DA3" w:rsidTr="008169E5">
        <w:trPr>
          <w:trHeight w:val="181"/>
        </w:trPr>
        <w:tc>
          <w:tcPr>
            <w:tcW w:w="4784" w:type="dxa"/>
            <w:tcBorders>
              <w:top w:val="nil"/>
              <w:left w:val="nil"/>
              <w:bottom w:val="nil"/>
              <w:right w:val="nil"/>
            </w:tcBorders>
            <w:vAlign w:val="bottom"/>
          </w:tcPr>
          <w:p w:rsidR="00454095" w:rsidRPr="00A51DA3" w:rsidRDefault="00454095" w:rsidP="006E0EE2">
            <w:pPr>
              <w:rPr>
                <w:color w:val="000000"/>
                <w:lang w:eastAsia="bg-BG"/>
              </w:rPr>
            </w:pPr>
            <w:r w:rsidRPr="00A51DA3">
              <w:rPr>
                <w:color w:val="000000"/>
                <w:lang w:eastAsia="bg-BG"/>
              </w:rPr>
              <w:t>Печалба</w:t>
            </w:r>
            <w:r w:rsidRPr="00A51DA3">
              <w:rPr>
                <w:color w:val="FF0000"/>
                <w:lang w:eastAsia="bg-BG"/>
              </w:rPr>
              <w:t xml:space="preserve"> </w:t>
            </w:r>
            <w:r w:rsidRPr="00A51DA3">
              <w:rPr>
                <w:color w:val="000000"/>
                <w:lang w:eastAsia="bg-BG"/>
              </w:rPr>
              <w:t>за годината</w:t>
            </w:r>
            <w:r>
              <w:rPr>
                <w:color w:val="000000"/>
                <w:lang w:eastAsia="bg-BG"/>
              </w:rPr>
              <w:t xml:space="preserve"> (преизчислена)</w:t>
            </w:r>
          </w:p>
        </w:tc>
        <w:tc>
          <w:tcPr>
            <w:tcW w:w="1800" w:type="dxa"/>
            <w:tcBorders>
              <w:top w:val="single" w:sz="2" w:space="0" w:color="auto"/>
              <w:left w:val="nil"/>
              <w:right w:val="nil"/>
            </w:tcBorders>
            <w:vAlign w:val="bottom"/>
          </w:tcPr>
          <w:p w:rsidR="00454095" w:rsidRPr="00A51DA3" w:rsidRDefault="00454095" w:rsidP="00454095">
            <w:pPr>
              <w:jc w:val="right"/>
            </w:pPr>
            <w:r w:rsidRPr="00A51DA3">
              <w:t xml:space="preserve"> -       </w:t>
            </w:r>
          </w:p>
        </w:tc>
        <w:tc>
          <w:tcPr>
            <w:tcW w:w="2070" w:type="dxa"/>
            <w:tcBorders>
              <w:top w:val="single" w:sz="2" w:space="0" w:color="auto"/>
              <w:left w:val="nil"/>
              <w:right w:val="nil"/>
            </w:tcBorders>
            <w:vAlign w:val="bottom"/>
          </w:tcPr>
          <w:p w:rsidR="00454095" w:rsidRPr="00A51DA3" w:rsidRDefault="00454095" w:rsidP="00454095">
            <w:pPr>
              <w:jc w:val="right"/>
            </w:pPr>
            <w:r w:rsidRPr="00A51DA3">
              <w:t xml:space="preserve"> -       </w:t>
            </w:r>
          </w:p>
        </w:tc>
        <w:tc>
          <w:tcPr>
            <w:tcW w:w="1800" w:type="dxa"/>
            <w:tcBorders>
              <w:top w:val="single" w:sz="2" w:space="0" w:color="auto"/>
              <w:left w:val="nil"/>
              <w:right w:val="nil"/>
            </w:tcBorders>
            <w:vAlign w:val="bottom"/>
          </w:tcPr>
          <w:p w:rsidR="00454095" w:rsidRPr="00A51DA3" w:rsidRDefault="00454095" w:rsidP="00454095">
            <w:pPr>
              <w:jc w:val="right"/>
            </w:pPr>
            <w:r w:rsidRPr="00A51DA3">
              <w:t xml:space="preserve"> -       </w:t>
            </w:r>
          </w:p>
        </w:tc>
        <w:tc>
          <w:tcPr>
            <w:tcW w:w="2250" w:type="dxa"/>
            <w:tcBorders>
              <w:top w:val="single" w:sz="2" w:space="0" w:color="auto"/>
              <w:left w:val="nil"/>
              <w:right w:val="nil"/>
            </w:tcBorders>
            <w:vAlign w:val="bottom"/>
          </w:tcPr>
          <w:p w:rsidR="00454095" w:rsidRPr="00A51DA3" w:rsidRDefault="00454095" w:rsidP="00513E34">
            <w:pPr>
              <w:jc w:val="right"/>
            </w:pPr>
            <w:r w:rsidRPr="00A51DA3">
              <w:t>(</w:t>
            </w:r>
            <w:r>
              <w:t>5 09</w:t>
            </w:r>
            <w:r w:rsidR="00513E34">
              <w:t>5</w:t>
            </w:r>
            <w:r w:rsidRPr="00A51DA3">
              <w:t xml:space="preserve">)     </w:t>
            </w:r>
          </w:p>
        </w:tc>
        <w:tc>
          <w:tcPr>
            <w:tcW w:w="1466" w:type="dxa"/>
            <w:tcBorders>
              <w:top w:val="single" w:sz="2" w:space="0" w:color="auto"/>
              <w:left w:val="nil"/>
              <w:right w:val="nil"/>
            </w:tcBorders>
            <w:vAlign w:val="bottom"/>
          </w:tcPr>
          <w:p w:rsidR="00454095" w:rsidRPr="00A51DA3" w:rsidRDefault="00454095" w:rsidP="00513E34">
            <w:pPr>
              <w:jc w:val="right"/>
            </w:pPr>
            <w:r w:rsidRPr="00A51DA3">
              <w:t>(</w:t>
            </w:r>
            <w:r>
              <w:t>5 09</w:t>
            </w:r>
            <w:r w:rsidR="00513E34">
              <w:t>5</w:t>
            </w:r>
            <w:r w:rsidRPr="00A51DA3">
              <w:t xml:space="preserve">)     </w:t>
            </w:r>
          </w:p>
        </w:tc>
      </w:tr>
      <w:tr w:rsidR="002C6667" w:rsidRPr="00A51DA3" w:rsidTr="008169E5">
        <w:trPr>
          <w:trHeight w:val="181"/>
        </w:trPr>
        <w:tc>
          <w:tcPr>
            <w:tcW w:w="4784" w:type="dxa"/>
            <w:tcBorders>
              <w:top w:val="nil"/>
              <w:left w:val="nil"/>
              <w:bottom w:val="nil"/>
              <w:right w:val="nil"/>
            </w:tcBorders>
            <w:vAlign w:val="bottom"/>
          </w:tcPr>
          <w:p w:rsidR="002C6667" w:rsidRPr="00A51DA3" w:rsidRDefault="002C6667" w:rsidP="006E0EE2">
            <w:pPr>
              <w:rPr>
                <w:b/>
                <w:bCs/>
                <w:color w:val="000000"/>
                <w:lang w:eastAsia="bg-BG"/>
              </w:rPr>
            </w:pPr>
            <w:r w:rsidRPr="00A51DA3">
              <w:rPr>
                <w:color w:val="000000"/>
                <w:lang w:eastAsia="bg-BG"/>
              </w:rPr>
              <w:t>Друг всеобхватен доход:</w:t>
            </w:r>
          </w:p>
        </w:tc>
        <w:tc>
          <w:tcPr>
            <w:tcW w:w="1800" w:type="dxa"/>
            <w:tcBorders>
              <w:left w:val="nil"/>
              <w:bottom w:val="nil"/>
              <w:right w:val="nil"/>
            </w:tcBorders>
            <w:vAlign w:val="bottom"/>
          </w:tcPr>
          <w:p w:rsidR="002C6667" w:rsidRPr="00A51DA3" w:rsidRDefault="002C6667" w:rsidP="008169E5">
            <w:pPr>
              <w:jc w:val="right"/>
              <w:rPr>
                <w:color w:val="000000"/>
                <w:lang w:eastAsia="bg-BG"/>
              </w:rPr>
            </w:pPr>
          </w:p>
        </w:tc>
        <w:tc>
          <w:tcPr>
            <w:tcW w:w="2070" w:type="dxa"/>
            <w:tcBorders>
              <w:left w:val="nil"/>
              <w:bottom w:val="nil"/>
              <w:right w:val="nil"/>
            </w:tcBorders>
            <w:vAlign w:val="bottom"/>
          </w:tcPr>
          <w:p w:rsidR="002C6667" w:rsidRPr="00A51DA3" w:rsidRDefault="002C6667" w:rsidP="008169E5">
            <w:pPr>
              <w:jc w:val="right"/>
              <w:rPr>
                <w:color w:val="000000"/>
                <w:lang w:eastAsia="bg-BG"/>
              </w:rPr>
            </w:pPr>
          </w:p>
        </w:tc>
        <w:tc>
          <w:tcPr>
            <w:tcW w:w="1800" w:type="dxa"/>
            <w:tcBorders>
              <w:left w:val="nil"/>
              <w:bottom w:val="nil"/>
              <w:right w:val="nil"/>
            </w:tcBorders>
            <w:vAlign w:val="bottom"/>
          </w:tcPr>
          <w:p w:rsidR="002C6667" w:rsidRPr="00A51DA3" w:rsidRDefault="002C6667" w:rsidP="008169E5">
            <w:pPr>
              <w:jc w:val="right"/>
              <w:rPr>
                <w:color w:val="000000"/>
                <w:lang w:eastAsia="bg-BG"/>
              </w:rPr>
            </w:pPr>
          </w:p>
        </w:tc>
        <w:tc>
          <w:tcPr>
            <w:tcW w:w="2250" w:type="dxa"/>
            <w:tcBorders>
              <w:left w:val="nil"/>
              <w:bottom w:val="nil"/>
              <w:right w:val="nil"/>
            </w:tcBorders>
            <w:vAlign w:val="bottom"/>
          </w:tcPr>
          <w:p w:rsidR="002C6667" w:rsidRPr="00A51DA3" w:rsidRDefault="002C6667" w:rsidP="008169E5">
            <w:pPr>
              <w:jc w:val="right"/>
              <w:rPr>
                <w:color w:val="000000"/>
                <w:lang w:eastAsia="bg-BG"/>
              </w:rPr>
            </w:pPr>
          </w:p>
        </w:tc>
        <w:tc>
          <w:tcPr>
            <w:tcW w:w="1466" w:type="dxa"/>
            <w:tcBorders>
              <w:left w:val="nil"/>
              <w:bottom w:val="nil"/>
              <w:right w:val="nil"/>
            </w:tcBorders>
            <w:vAlign w:val="bottom"/>
          </w:tcPr>
          <w:p w:rsidR="002C6667" w:rsidRPr="00A51DA3" w:rsidRDefault="002C6667" w:rsidP="008169E5">
            <w:pPr>
              <w:jc w:val="right"/>
              <w:rPr>
                <w:color w:val="000000"/>
                <w:lang w:eastAsia="bg-BG"/>
              </w:rPr>
            </w:pPr>
          </w:p>
        </w:tc>
      </w:tr>
      <w:tr w:rsidR="00454095" w:rsidRPr="00A51DA3" w:rsidTr="008169E5">
        <w:trPr>
          <w:trHeight w:val="181"/>
        </w:trPr>
        <w:tc>
          <w:tcPr>
            <w:tcW w:w="4784" w:type="dxa"/>
            <w:tcBorders>
              <w:top w:val="nil"/>
              <w:left w:val="nil"/>
              <w:bottom w:val="nil"/>
              <w:right w:val="nil"/>
            </w:tcBorders>
            <w:vAlign w:val="bottom"/>
          </w:tcPr>
          <w:p w:rsidR="00454095" w:rsidRPr="00A51DA3" w:rsidRDefault="00454095" w:rsidP="006E0EE2">
            <w:pPr>
              <w:rPr>
                <w:color w:val="000000"/>
                <w:lang w:eastAsia="bg-BG"/>
              </w:rPr>
            </w:pPr>
            <w:r w:rsidRPr="00A51DA3">
              <w:rPr>
                <w:color w:val="000000"/>
                <w:lang w:eastAsia="bg-BG"/>
              </w:rPr>
              <w:t xml:space="preserve">Преоценка на </w:t>
            </w:r>
            <w:r w:rsidRPr="00A51DA3">
              <w:rPr>
                <w:lang w:eastAsia="bg-BG"/>
              </w:rPr>
              <w:t>нефинансови активи</w:t>
            </w:r>
          </w:p>
        </w:tc>
        <w:tc>
          <w:tcPr>
            <w:tcW w:w="1800" w:type="dxa"/>
            <w:tcBorders>
              <w:top w:val="nil"/>
              <w:left w:val="nil"/>
              <w:bottom w:val="nil"/>
              <w:right w:val="nil"/>
            </w:tcBorders>
            <w:vAlign w:val="bottom"/>
          </w:tcPr>
          <w:p w:rsidR="00454095" w:rsidRPr="00A51DA3" w:rsidRDefault="00454095" w:rsidP="00454095">
            <w:pPr>
              <w:jc w:val="right"/>
            </w:pPr>
          </w:p>
        </w:tc>
        <w:tc>
          <w:tcPr>
            <w:tcW w:w="2070" w:type="dxa"/>
            <w:tcBorders>
              <w:top w:val="nil"/>
              <w:left w:val="nil"/>
              <w:bottom w:val="nil"/>
              <w:right w:val="nil"/>
            </w:tcBorders>
            <w:vAlign w:val="bottom"/>
          </w:tcPr>
          <w:p w:rsidR="00454095" w:rsidRPr="00A51DA3" w:rsidRDefault="00454095" w:rsidP="00454095">
            <w:pPr>
              <w:jc w:val="right"/>
            </w:pPr>
            <w:r>
              <w:t>(102)</w:t>
            </w:r>
          </w:p>
        </w:tc>
        <w:tc>
          <w:tcPr>
            <w:tcW w:w="1800" w:type="dxa"/>
            <w:tcBorders>
              <w:top w:val="nil"/>
              <w:left w:val="nil"/>
              <w:bottom w:val="nil"/>
              <w:right w:val="nil"/>
            </w:tcBorders>
            <w:vAlign w:val="bottom"/>
          </w:tcPr>
          <w:p w:rsidR="00454095" w:rsidRPr="00A51DA3" w:rsidRDefault="00454095" w:rsidP="00454095">
            <w:pPr>
              <w:jc w:val="right"/>
            </w:pPr>
          </w:p>
        </w:tc>
        <w:tc>
          <w:tcPr>
            <w:tcW w:w="2250" w:type="dxa"/>
            <w:tcBorders>
              <w:top w:val="nil"/>
              <w:left w:val="nil"/>
              <w:bottom w:val="nil"/>
              <w:right w:val="nil"/>
            </w:tcBorders>
            <w:vAlign w:val="bottom"/>
          </w:tcPr>
          <w:p w:rsidR="00454095" w:rsidRPr="00A51DA3" w:rsidRDefault="00454095" w:rsidP="00454095">
            <w:pPr>
              <w:jc w:val="right"/>
            </w:pPr>
          </w:p>
        </w:tc>
        <w:tc>
          <w:tcPr>
            <w:tcW w:w="1466" w:type="dxa"/>
            <w:tcBorders>
              <w:top w:val="nil"/>
              <w:left w:val="nil"/>
              <w:bottom w:val="nil"/>
              <w:right w:val="nil"/>
            </w:tcBorders>
            <w:vAlign w:val="bottom"/>
          </w:tcPr>
          <w:p w:rsidR="00454095" w:rsidRPr="00A51DA3" w:rsidRDefault="00454095" w:rsidP="00454095">
            <w:pPr>
              <w:jc w:val="right"/>
            </w:pPr>
            <w:r>
              <w:t>(102)</w:t>
            </w:r>
          </w:p>
        </w:tc>
      </w:tr>
      <w:tr w:rsidR="00454095" w:rsidRPr="00A51DA3" w:rsidTr="008169E5">
        <w:trPr>
          <w:trHeight w:val="181"/>
        </w:trPr>
        <w:tc>
          <w:tcPr>
            <w:tcW w:w="4784" w:type="dxa"/>
            <w:tcBorders>
              <w:top w:val="nil"/>
              <w:left w:val="nil"/>
              <w:bottom w:val="nil"/>
              <w:right w:val="nil"/>
            </w:tcBorders>
            <w:vAlign w:val="bottom"/>
          </w:tcPr>
          <w:p w:rsidR="00454095" w:rsidRPr="00A51DA3" w:rsidRDefault="00454095" w:rsidP="006E0EE2">
            <w:pPr>
              <w:rPr>
                <w:color w:val="000000"/>
                <w:lang w:eastAsia="bg-BG"/>
              </w:rPr>
            </w:pPr>
            <w:r w:rsidRPr="00A51DA3">
              <w:rPr>
                <w:color w:val="000000"/>
                <w:lang w:eastAsia="bg-BG"/>
              </w:rPr>
              <w:t>Данък върху дохода, отнасящ се до компонентите на другия всеобхватен доход</w:t>
            </w:r>
          </w:p>
        </w:tc>
        <w:tc>
          <w:tcPr>
            <w:tcW w:w="1800" w:type="dxa"/>
            <w:tcBorders>
              <w:top w:val="nil"/>
              <w:left w:val="nil"/>
              <w:bottom w:val="single" w:sz="2" w:space="0" w:color="auto"/>
              <w:right w:val="nil"/>
            </w:tcBorders>
            <w:vAlign w:val="bottom"/>
          </w:tcPr>
          <w:p w:rsidR="00454095" w:rsidRPr="00A51DA3" w:rsidRDefault="00454095" w:rsidP="00454095">
            <w:pPr>
              <w:jc w:val="right"/>
            </w:pPr>
          </w:p>
        </w:tc>
        <w:tc>
          <w:tcPr>
            <w:tcW w:w="2070" w:type="dxa"/>
            <w:tcBorders>
              <w:top w:val="nil"/>
              <w:left w:val="nil"/>
              <w:bottom w:val="single" w:sz="2" w:space="0" w:color="auto"/>
              <w:right w:val="nil"/>
            </w:tcBorders>
            <w:vAlign w:val="bottom"/>
          </w:tcPr>
          <w:p w:rsidR="00454095" w:rsidRPr="00A51DA3" w:rsidRDefault="00454095" w:rsidP="00454095">
            <w:pPr>
              <w:jc w:val="right"/>
            </w:pPr>
            <w:r>
              <w:t>10</w:t>
            </w:r>
          </w:p>
        </w:tc>
        <w:tc>
          <w:tcPr>
            <w:tcW w:w="1800" w:type="dxa"/>
            <w:tcBorders>
              <w:top w:val="nil"/>
              <w:left w:val="nil"/>
              <w:bottom w:val="single" w:sz="2" w:space="0" w:color="auto"/>
              <w:right w:val="nil"/>
            </w:tcBorders>
            <w:vAlign w:val="bottom"/>
          </w:tcPr>
          <w:p w:rsidR="00454095" w:rsidRPr="00A51DA3" w:rsidRDefault="00454095" w:rsidP="00454095">
            <w:pPr>
              <w:jc w:val="right"/>
            </w:pPr>
          </w:p>
        </w:tc>
        <w:tc>
          <w:tcPr>
            <w:tcW w:w="2250" w:type="dxa"/>
            <w:tcBorders>
              <w:top w:val="nil"/>
              <w:left w:val="nil"/>
              <w:bottom w:val="single" w:sz="2" w:space="0" w:color="auto"/>
              <w:right w:val="nil"/>
            </w:tcBorders>
            <w:vAlign w:val="bottom"/>
          </w:tcPr>
          <w:p w:rsidR="00454095" w:rsidRPr="00A51DA3" w:rsidRDefault="00454095" w:rsidP="00454095">
            <w:pPr>
              <w:jc w:val="right"/>
            </w:pPr>
          </w:p>
        </w:tc>
        <w:tc>
          <w:tcPr>
            <w:tcW w:w="1466" w:type="dxa"/>
            <w:tcBorders>
              <w:top w:val="nil"/>
              <w:left w:val="nil"/>
              <w:bottom w:val="single" w:sz="2" w:space="0" w:color="auto"/>
              <w:right w:val="nil"/>
            </w:tcBorders>
            <w:vAlign w:val="bottom"/>
          </w:tcPr>
          <w:p w:rsidR="00454095" w:rsidRPr="00A51DA3" w:rsidRDefault="00454095" w:rsidP="00454095">
            <w:pPr>
              <w:jc w:val="right"/>
            </w:pPr>
            <w:r>
              <w:t>10</w:t>
            </w:r>
          </w:p>
        </w:tc>
      </w:tr>
      <w:tr w:rsidR="00454095" w:rsidRPr="00A51DA3" w:rsidTr="008169E5">
        <w:trPr>
          <w:trHeight w:val="181"/>
        </w:trPr>
        <w:tc>
          <w:tcPr>
            <w:tcW w:w="4784" w:type="dxa"/>
            <w:tcBorders>
              <w:top w:val="nil"/>
              <w:left w:val="nil"/>
              <w:bottom w:val="nil"/>
              <w:right w:val="nil"/>
            </w:tcBorders>
            <w:vAlign w:val="bottom"/>
          </w:tcPr>
          <w:p w:rsidR="00454095" w:rsidRPr="00A51DA3" w:rsidRDefault="00454095" w:rsidP="006E0EE2">
            <w:pPr>
              <w:rPr>
                <w:b/>
                <w:bCs/>
                <w:color w:val="000000"/>
                <w:lang w:eastAsia="bg-BG"/>
              </w:rPr>
            </w:pPr>
            <w:r w:rsidRPr="00A51DA3">
              <w:rPr>
                <w:b/>
                <w:bCs/>
                <w:color w:val="000000"/>
                <w:lang w:eastAsia="bg-BG"/>
              </w:rPr>
              <w:t>Общо всеобхватна загуба за годината</w:t>
            </w:r>
          </w:p>
        </w:tc>
        <w:tc>
          <w:tcPr>
            <w:tcW w:w="1800" w:type="dxa"/>
            <w:tcBorders>
              <w:top w:val="single" w:sz="2" w:space="0" w:color="auto"/>
              <w:left w:val="nil"/>
              <w:right w:val="nil"/>
            </w:tcBorders>
            <w:vAlign w:val="bottom"/>
          </w:tcPr>
          <w:p w:rsidR="00454095" w:rsidRPr="00A51DA3" w:rsidRDefault="00454095" w:rsidP="00454095">
            <w:pPr>
              <w:jc w:val="right"/>
              <w:rPr>
                <w:b/>
              </w:rPr>
            </w:pPr>
            <w:r w:rsidRPr="00A51DA3">
              <w:rPr>
                <w:b/>
              </w:rPr>
              <w:t xml:space="preserve"> -       </w:t>
            </w:r>
          </w:p>
        </w:tc>
        <w:tc>
          <w:tcPr>
            <w:tcW w:w="2070" w:type="dxa"/>
            <w:tcBorders>
              <w:top w:val="single" w:sz="2" w:space="0" w:color="auto"/>
              <w:left w:val="nil"/>
              <w:right w:val="nil"/>
            </w:tcBorders>
            <w:vAlign w:val="bottom"/>
          </w:tcPr>
          <w:p w:rsidR="00454095" w:rsidRPr="00A51DA3" w:rsidRDefault="00454095" w:rsidP="00454095">
            <w:pPr>
              <w:jc w:val="right"/>
              <w:rPr>
                <w:b/>
              </w:rPr>
            </w:pPr>
            <w:r>
              <w:rPr>
                <w:b/>
              </w:rPr>
              <w:t xml:space="preserve"> (92)</w:t>
            </w:r>
            <w:r w:rsidRPr="00A51DA3">
              <w:rPr>
                <w:b/>
              </w:rPr>
              <w:t xml:space="preserve">       </w:t>
            </w:r>
          </w:p>
        </w:tc>
        <w:tc>
          <w:tcPr>
            <w:tcW w:w="1800" w:type="dxa"/>
            <w:tcBorders>
              <w:top w:val="single" w:sz="2" w:space="0" w:color="auto"/>
              <w:left w:val="nil"/>
              <w:right w:val="nil"/>
            </w:tcBorders>
            <w:vAlign w:val="bottom"/>
          </w:tcPr>
          <w:p w:rsidR="00454095" w:rsidRPr="00A51DA3" w:rsidRDefault="00454095" w:rsidP="00454095">
            <w:pPr>
              <w:jc w:val="right"/>
              <w:rPr>
                <w:b/>
              </w:rPr>
            </w:pPr>
            <w:r w:rsidRPr="00A51DA3">
              <w:rPr>
                <w:b/>
              </w:rPr>
              <w:t xml:space="preserve"> -       </w:t>
            </w:r>
          </w:p>
        </w:tc>
        <w:tc>
          <w:tcPr>
            <w:tcW w:w="2250" w:type="dxa"/>
            <w:tcBorders>
              <w:top w:val="single" w:sz="2" w:space="0" w:color="auto"/>
              <w:left w:val="nil"/>
              <w:right w:val="nil"/>
            </w:tcBorders>
            <w:vAlign w:val="bottom"/>
          </w:tcPr>
          <w:p w:rsidR="00454095" w:rsidRPr="00A51DA3" w:rsidRDefault="00454095" w:rsidP="00513E34">
            <w:pPr>
              <w:jc w:val="right"/>
              <w:rPr>
                <w:b/>
              </w:rPr>
            </w:pPr>
            <w:r w:rsidRPr="00A51DA3">
              <w:rPr>
                <w:b/>
              </w:rPr>
              <w:t>(</w:t>
            </w:r>
            <w:r>
              <w:rPr>
                <w:b/>
              </w:rPr>
              <w:t>5 09</w:t>
            </w:r>
            <w:r w:rsidR="00513E34">
              <w:rPr>
                <w:b/>
              </w:rPr>
              <w:t>5</w:t>
            </w:r>
            <w:r w:rsidRPr="00A51DA3">
              <w:rPr>
                <w:b/>
              </w:rPr>
              <w:t xml:space="preserve">)     </w:t>
            </w:r>
          </w:p>
        </w:tc>
        <w:tc>
          <w:tcPr>
            <w:tcW w:w="1466" w:type="dxa"/>
            <w:tcBorders>
              <w:top w:val="single" w:sz="2" w:space="0" w:color="auto"/>
              <w:left w:val="nil"/>
              <w:right w:val="nil"/>
            </w:tcBorders>
            <w:vAlign w:val="bottom"/>
          </w:tcPr>
          <w:p w:rsidR="00454095" w:rsidRPr="00A51DA3" w:rsidRDefault="00454095" w:rsidP="00513E34">
            <w:pPr>
              <w:jc w:val="right"/>
              <w:rPr>
                <w:b/>
              </w:rPr>
            </w:pPr>
            <w:r w:rsidRPr="00A51DA3">
              <w:rPr>
                <w:b/>
              </w:rPr>
              <w:t>(</w:t>
            </w:r>
            <w:r>
              <w:rPr>
                <w:b/>
              </w:rPr>
              <w:t>5 18</w:t>
            </w:r>
            <w:r w:rsidR="00513E34">
              <w:rPr>
                <w:b/>
              </w:rPr>
              <w:t>7</w:t>
            </w:r>
            <w:r w:rsidRPr="00A51DA3">
              <w:rPr>
                <w:b/>
              </w:rPr>
              <w:t xml:space="preserve">)     </w:t>
            </w:r>
          </w:p>
        </w:tc>
      </w:tr>
      <w:tr w:rsidR="00454095" w:rsidRPr="00A51DA3" w:rsidTr="008169E5">
        <w:trPr>
          <w:trHeight w:val="181"/>
        </w:trPr>
        <w:tc>
          <w:tcPr>
            <w:tcW w:w="4784" w:type="dxa"/>
            <w:tcBorders>
              <w:top w:val="nil"/>
              <w:left w:val="nil"/>
              <w:bottom w:val="nil"/>
              <w:right w:val="nil"/>
            </w:tcBorders>
            <w:vAlign w:val="bottom"/>
          </w:tcPr>
          <w:p w:rsidR="00454095" w:rsidRPr="00A51DA3" w:rsidRDefault="00454095" w:rsidP="006E0EE2">
            <w:pPr>
              <w:rPr>
                <w:b/>
                <w:bCs/>
                <w:color w:val="000000"/>
                <w:lang w:eastAsia="bg-BG"/>
              </w:rPr>
            </w:pPr>
          </w:p>
        </w:tc>
        <w:tc>
          <w:tcPr>
            <w:tcW w:w="1800" w:type="dxa"/>
            <w:tcBorders>
              <w:left w:val="nil"/>
              <w:right w:val="nil"/>
            </w:tcBorders>
            <w:vAlign w:val="bottom"/>
          </w:tcPr>
          <w:p w:rsidR="00454095" w:rsidRPr="00A51DA3" w:rsidRDefault="00454095" w:rsidP="00454095">
            <w:pPr>
              <w:jc w:val="right"/>
            </w:pPr>
          </w:p>
        </w:tc>
        <w:tc>
          <w:tcPr>
            <w:tcW w:w="2070" w:type="dxa"/>
            <w:tcBorders>
              <w:left w:val="nil"/>
              <w:right w:val="nil"/>
            </w:tcBorders>
            <w:vAlign w:val="bottom"/>
          </w:tcPr>
          <w:p w:rsidR="00454095" w:rsidRPr="00A51DA3" w:rsidRDefault="00454095" w:rsidP="00454095">
            <w:pPr>
              <w:jc w:val="right"/>
            </w:pPr>
          </w:p>
        </w:tc>
        <w:tc>
          <w:tcPr>
            <w:tcW w:w="1800" w:type="dxa"/>
            <w:tcBorders>
              <w:left w:val="nil"/>
              <w:right w:val="nil"/>
            </w:tcBorders>
            <w:vAlign w:val="bottom"/>
          </w:tcPr>
          <w:p w:rsidR="00454095" w:rsidRPr="00A51DA3" w:rsidRDefault="00454095" w:rsidP="00454095">
            <w:pPr>
              <w:jc w:val="right"/>
            </w:pPr>
          </w:p>
        </w:tc>
        <w:tc>
          <w:tcPr>
            <w:tcW w:w="2250" w:type="dxa"/>
            <w:tcBorders>
              <w:left w:val="nil"/>
              <w:right w:val="nil"/>
            </w:tcBorders>
            <w:vAlign w:val="bottom"/>
          </w:tcPr>
          <w:p w:rsidR="00454095" w:rsidRPr="00A51DA3" w:rsidRDefault="00454095" w:rsidP="00454095">
            <w:pPr>
              <w:jc w:val="right"/>
            </w:pPr>
          </w:p>
        </w:tc>
        <w:tc>
          <w:tcPr>
            <w:tcW w:w="1466" w:type="dxa"/>
            <w:tcBorders>
              <w:left w:val="nil"/>
              <w:right w:val="nil"/>
            </w:tcBorders>
            <w:vAlign w:val="bottom"/>
          </w:tcPr>
          <w:p w:rsidR="00454095" w:rsidRPr="00A51DA3" w:rsidRDefault="00454095" w:rsidP="00454095">
            <w:pPr>
              <w:jc w:val="right"/>
            </w:pPr>
          </w:p>
        </w:tc>
      </w:tr>
      <w:tr w:rsidR="00454095" w:rsidRPr="00A51DA3" w:rsidTr="008169E5">
        <w:trPr>
          <w:trHeight w:val="181"/>
        </w:trPr>
        <w:tc>
          <w:tcPr>
            <w:tcW w:w="4784" w:type="dxa"/>
            <w:tcBorders>
              <w:top w:val="nil"/>
              <w:left w:val="nil"/>
              <w:bottom w:val="nil"/>
              <w:right w:val="nil"/>
            </w:tcBorders>
            <w:vAlign w:val="bottom"/>
          </w:tcPr>
          <w:p w:rsidR="00454095" w:rsidRPr="00A51DA3" w:rsidRDefault="00454095" w:rsidP="006E0EE2">
            <w:pPr>
              <w:rPr>
                <w:b/>
                <w:bCs/>
                <w:color w:val="000000"/>
                <w:lang w:eastAsia="bg-BG"/>
              </w:rPr>
            </w:pPr>
            <w:r w:rsidRPr="00A51DA3">
              <w:rPr>
                <w:color w:val="000000"/>
                <w:lang w:eastAsia="bg-BG"/>
              </w:rPr>
              <w:t>Прехвърляне на резерви</w:t>
            </w:r>
          </w:p>
        </w:tc>
        <w:tc>
          <w:tcPr>
            <w:tcW w:w="1800" w:type="dxa"/>
            <w:tcBorders>
              <w:left w:val="nil"/>
              <w:right w:val="nil"/>
            </w:tcBorders>
            <w:vAlign w:val="bottom"/>
          </w:tcPr>
          <w:p w:rsidR="00454095" w:rsidRPr="00A51DA3" w:rsidRDefault="00454095" w:rsidP="00454095">
            <w:pPr>
              <w:jc w:val="right"/>
            </w:pPr>
            <w:r w:rsidRPr="00A51DA3">
              <w:t xml:space="preserve"> -       </w:t>
            </w:r>
          </w:p>
        </w:tc>
        <w:tc>
          <w:tcPr>
            <w:tcW w:w="2070" w:type="dxa"/>
            <w:tcBorders>
              <w:left w:val="nil"/>
              <w:right w:val="nil"/>
            </w:tcBorders>
            <w:vAlign w:val="bottom"/>
          </w:tcPr>
          <w:p w:rsidR="00454095" w:rsidRPr="00A51DA3" w:rsidRDefault="00454095" w:rsidP="00454095">
            <w:pPr>
              <w:jc w:val="right"/>
            </w:pPr>
            <w:r w:rsidRPr="00A51DA3">
              <w:t>(</w:t>
            </w:r>
            <w:r>
              <w:t>2 621</w:t>
            </w:r>
            <w:r w:rsidRPr="00A51DA3">
              <w:t xml:space="preserve">)     </w:t>
            </w:r>
          </w:p>
        </w:tc>
        <w:tc>
          <w:tcPr>
            <w:tcW w:w="1800" w:type="dxa"/>
            <w:tcBorders>
              <w:left w:val="nil"/>
              <w:right w:val="nil"/>
            </w:tcBorders>
            <w:vAlign w:val="bottom"/>
          </w:tcPr>
          <w:p w:rsidR="00454095" w:rsidRPr="00A51DA3" w:rsidRDefault="00454095" w:rsidP="00454095">
            <w:pPr>
              <w:jc w:val="right"/>
            </w:pPr>
            <w:r w:rsidRPr="00A51DA3">
              <w:t xml:space="preserve"> -       </w:t>
            </w:r>
          </w:p>
        </w:tc>
        <w:tc>
          <w:tcPr>
            <w:tcW w:w="2250" w:type="dxa"/>
            <w:tcBorders>
              <w:left w:val="nil"/>
              <w:right w:val="nil"/>
            </w:tcBorders>
            <w:vAlign w:val="bottom"/>
          </w:tcPr>
          <w:p w:rsidR="00454095" w:rsidRPr="00A51DA3" w:rsidRDefault="00454095" w:rsidP="00454095">
            <w:pPr>
              <w:jc w:val="right"/>
            </w:pPr>
            <w:r w:rsidRPr="00A51DA3">
              <w:t xml:space="preserve"> </w:t>
            </w:r>
            <w:r>
              <w:t>2 914</w:t>
            </w:r>
            <w:r w:rsidRPr="00A51DA3">
              <w:t xml:space="preserve">     </w:t>
            </w:r>
          </w:p>
        </w:tc>
        <w:tc>
          <w:tcPr>
            <w:tcW w:w="1466" w:type="dxa"/>
            <w:tcBorders>
              <w:left w:val="nil"/>
              <w:right w:val="nil"/>
            </w:tcBorders>
            <w:vAlign w:val="bottom"/>
          </w:tcPr>
          <w:p w:rsidR="00454095" w:rsidRPr="00A51DA3" w:rsidRDefault="00454095" w:rsidP="00454095">
            <w:pPr>
              <w:jc w:val="right"/>
            </w:pPr>
            <w:r w:rsidRPr="00A51DA3">
              <w:t xml:space="preserve"> </w:t>
            </w:r>
            <w:r>
              <w:t>293</w:t>
            </w:r>
            <w:r w:rsidRPr="00A51DA3">
              <w:t xml:space="preserve">     </w:t>
            </w:r>
          </w:p>
        </w:tc>
      </w:tr>
      <w:tr w:rsidR="00454095" w:rsidRPr="00A51DA3" w:rsidTr="008169E5">
        <w:trPr>
          <w:trHeight w:val="181"/>
        </w:trPr>
        <w:tc>
          <w:tcPr>
            <w:tcW w:w="4784" w:type="dxa"/>
            <w:tcBorders>
              <w:top w:val="nil"/>
              <w:left w:val="nil"/>
              <w:bottom w:val="nil"/>
              <w:right w:val="nil"/>
            </w:tcBorders>
            <w:vAlign w:val="bottom"/>
          </w:tcPr>
          <w:p w:rsidR="00454095" w:rsidRPr="00A51DA3" w:rsidRDefault="00454095" w:rsidP="006E0EE2">
            <w:pPr>
              <w:rPr>
                <w:color w:val="000000"/>
                <w:lang w:eastAsia="bg-BG"/>
              </w:rPr>
            </w:pPr>
          </w:p>
        </w:tc>
        <w:tc>
          <w:tcPr>
            <w:tcW w:w="1800" w:type="dxa"/>
            <w:tcBorders>
              <w:left w:val="nil"/>
              <w:bottom w:val="single" w:sz="4" w:space="0" w:color="auto"/>
              <w:right w:val="nil"/>
            </w:tcBorders>
            <w:vAlign w:val="bottom"/>
          </w:tcPr>
          <w:p w:rsidR="00454095" w:rsidRPr="00A51DA3" w:rsidRDefault="00454095" w:rsidP="00454095">
            <w:pPr>
              <w:jc w:val="right"/>
            </w:pPr>
          </w:p>
        </w:tc>
        <w:tc>
          <w:tcPr>
            <w:tcW w:w="2070" w:type="dxa"/>
            <w:tcBorders>
              <w:left w:val="nil"/>
              <w:bottom w:val="single" w:sz="4" w:space="0" w:color="auto"/>
              <w:right w:val="nil"/>
            </w:tcBorders>
            <w:vAlign w:val="bottom"/>
          </w:tcPr>
          <w:p w:rsidR="00454095" w:rsidRPr="00A51DA3" w:rsidRDefault="00454095" w:rsidP="00454095">
            <w:pPr>
              <w:jc w:val="right"/>
            </w:pPr>
          </w:p>
        </w:tc>
        <w:tc>
          <w:tcPr>
            <w:tcW w:w="1800" w:type="dxa"/>
            <w:tcBorders>
              <w:left w:val="nil"/>
              <w:bottom w:val="single" w:sz="4" w:space="0" w:color="auto"/>
              <w:right w:val="nil"/>
            </w:tcBorders>
            <w:vAlign w:val="bottom"/>
          </w:tcPr>
          <w:p w:rsidR="00454095" w:rsidRPr="00A51DA3" w:rsidRDefault="00454095" w:rsidP="00454095">
            <w:pPr>
              <w:jc w:val="right"/>
            </w:pPr>
          </w:p>
        </w:tc>
        <w:tc>
          <w:tcPr>
            <w:tcW w:w="2250" w:type="dxa"/>
            <w:tcBorders>
              <w:left w:val="nil"/>
              <w:bottom w:val="single" w:sz="4" w:space="0" w:color="auto"/>
              <w:right w:val="nil"/>
            </w:tcBorders>
            <w:vAlign w:val="bottom"/>
          </w:tcPr>
          <w:p w:rsidR="00454095" w:rsidRPr="00A51DA3" w:rsidRDefault="00454095" w:rsidP="00454095">
            <w:pPr>
              <w:jc w:val="right"/>
            </w:pPr>
          </w:p>
        </w:tc>
        <w:tc>
          <w:tcPr>
            <w:tcW w:w="1466" w:type="dxa"/>
            <w:tcBorders>
              <w:left w:val="nil"/>
              <w:bottom w:val="single" w:sz="4" w:space="0" w:color="auto"/>
              <w:right w:val="nil"/>
            </w:tcBorders>
            <w:vAlign w:val="bottom"/>
          </w:tcPr>
          <w:p w:rsidR="00454095" w:rsidRPr="00A51DA3" w:rsidRDefault="00454095" w:rsidP="00454095">
            <w:pPr>
              <w:jc w:val="right"/>
            </w:pPr>
          </w:p>
        </w:tc>
      </w:tr>
      <w:tr w:rsidR="00454095" w:rsidRPr="00A51DA3" w:rsidTr="008169E5">
        <w:trPr>
          <w:trHeight w:val="181"/>
        </w:trPr>
        <w:tc>
          <w:tcPr>
            <w:tcW w:w="4784" w:type="dxa"/>
            <w:tcBorders>
              <w:top w:val="nil"/>
              <w:left w:val="nil"/>
              <w:bottom w:val="nil"/>
              <w:right w:val="nil"/>
            </w:tcBorders>
            <w:vAlign w:val="bottom"/>
          </w:tcPr>
          <w:p w:rsidR="00454095" w:rsidRPr="00A51DA3" w:rsidRDefault="00454095" w:rsidP="00454095">
            <w:pPr>
              <w:rPr>
                <w:b/>
                <w:bCs/>
                <w:color w:val="000000"/>
                <w:lang w:eastAsia="bg-BG"/>
              </w:rPr>
            </w:pPr>
            <w:r w:rsidRPr="00A51DA3">
              <w:rPr>
                <w:b/>
                <w:bCs/>
                <w:color w:val="000000"/>
                <w:lang w:eastAsia="bg-BG"/>
              </w:rPr>
              <w:t>Салдо към 31 декември 201</w:t>
            </w:r>
            <w:r>
              <w:rPr>
                <w:b/>
                <w:bCs/>
                <w:color w:val="000000"/>
                <w:lang w:eastAsia="bg-BG"/>
              </w:rPr>
              <w:t>5</w:t>
            </w:r>
            <w:r w:rsidRPr="00A51DA3">
              <w:rPr>
                <w:b/>
                <w:bCs/>
                <w:color w:val="000000"/>
                <w:lang w:eastAsia="bg-BG"/>
              </w:rPr>
              <w:t xml:space="preserve"> г.</w:t>
            </w:r>
          </w:p>
        </w:tc>
        <w:tc>
          <w:tcPr>
            <w:tcW w:w="1800" w:type="dxa"/>
            <w:tcBorders>
              <w:top w:val="single" w:sz="4" w:space="0" w:color="auto"/>
              <w:left w:val="nil"/>
              <w:bottom w:val="double" w:sz="4" w:space="0" w:color="auto"/>
              <w:right w:val="nil"/>
            </w:tcBorders>
            <w:vAlign w:val="bottom"/>
          </w:tcPr>
          <w:p w:rsidR="00454095" w:rsidRPr="00A51DA3" w:rsidRDefault="00454095" w:rsidP="00454095">
            <w:pPr>
              <w:jc w:val="right"/>
              <w:rPr>
                <w:b/>
              </w:rPr>
            </w:pPr>
            <w:r w:rsidRPr="00A51DA3">
              <w:rPr>
                <w:b/>
              </w:rPr>
              <w:t xml:space="preserve"> 28 950     </w:t>
            </w:r>
          </w:p>
        </w:tc>
        <w:tc>
          <w:tcPr>
            <w:tcW w:w="2070" w:type="dxa"/>
            <w:tcBorders>
              <w:top w:val="single" w:sz="4" w:space="0" w:color="auto"/>
              <w:left w:val="nil"/>
              <w:bottom w:val="double" w:sz="4" w:space="0" w:color="auto"/>
              <w:right w:val="nil"/>
            </w:tcBorders>
            <w:vAlign w:val="bottom"/>
          </w:tcPr>
          <w:p w:rsidR="00454095" w:rsidRPr="00A51DA3" w:rsidRDefault="00454095" w:rsidP="00513E34">
            <w:pPr>
              <w:jc w:val="right"/>
              <w:rPr>
                <w:b/>
              </w:rPr>
            </w:pPr>
            <w:r w:rsidRPr="00A51DA3">
              <w:rPr>
                <w:b/>
              </w:rPr>
              <w:t xml:space="preserve"> </w:t>
            </w:r>
            <w:r w:rsidR="00513E34">
              <w:rPr>
                <w:b/>
              </w:rPr>
              <w:t>12 858</w:t>
            </w:r>
            <w:r w:rsidRPr="00A51DA3">
              <w:rPr>
                <w:b/>
              </w:rPr>
              <w:t xml:space="preserve">     </w:t>
            </w:r>
          </w:p>
        </w:tc>
        <w:tc>
          <w:tcPr>
            <w:tcW w:w="1800" w:type="dxa"/>
            <w:tcBorders>
              <w:top w:val="single" w:sz="4" w:space="0" w:color="auto"/>
              <w:left w:val="nil"/>
              <w:bottom w:val="double" w:sz="4" w:space="0" w:color="auto"/>
              <w:right w:val="nil"/>
            </w:tcBorders>
            <w:vAlign w:val="bottom"/>
          </w:tcPr>
          <w:p w:rsidR="00454095" w:rsidRPr="00A51DA3" w:rsidRDefault="00454095" w:rsidP="00454095">
            <w:pPr>
              <w:jc w:val="right"/>
              <w:rPr>
                <w:b/>
              </w:rPr>
            </w:pPr>
            <w:r w:rsidRPr="00A51DA3">
              <w:rPr>
                <w:b/>
              </w:rPr>
              <w:t xml:space="preserve"> 138 351     </w:t>
            </w:r>
          </w:p>
        </w:tc>
        <w:tc>
          <w:tcPr>
            <w:tcW w:w="2250" w:type="dxa"/>
            <w:tcBorders>
              <w:top w:val="single" w:sz="4" w:space="0" w:color="auto"/>
              <w:left w:val="nil"/>
              <w:bottom w:val="double" w:sz="4" w:space="0" w:color="auto"/>
              <w:right w:val="nil"/>
            </w:tcBorders>
            <w:vAlign w:val="bottom"/>
          </w:tcPr>
          <w:p w:rsidR="00454095" w:rsidRPr="00A51DA3" w:rsidRDefault="00454095" w:rsidP="00513E34">
            <w:pPr>
              <w:jc w:val="right"/>
              <w:rPr>
                <w:b/>
              </w:rPr>
            </w:pPr>
            <w:r w:rsidRPr="00A51DA3">
              <w:rPr>
                <w:b/>
              </w:rPr>
              <w:t>(</w:t>
            </w:r>
            <w:r>
              <w:rPr>
                <w:b/>
                <w:lang w:val="en-US"/>
              </w:rPr>
              <w:t>1</w:t>
            </w:r>
            <w:r>
              <w:rPr>
                <w:b/>
              </w:rPr>
              <w:t>28 6</w:t>
            </w:r>
            <w:r w:rsidR="00513E34">
              <w:rPr>
                <w:b/>
              </w:rPr>
              <w:t>63</w:t>
            </w:r>
            <w:r w:rsidRPr="00A51DA3">
              <w:rPr>
                <w:b/>
              </w:rPr>
              <w:t xml:space="preserve">)     </w:t>
            </w:r>
          </w:p>
        </w:tc>
        <w:tc>
          <w:tcPr>
            <w:tcW w:w="1466" w:type="dxa"/>
            <w:tcBorders>
              <w:top w:val="single" w:sz="4" w:space="0" w:color="auto"/>
              <w:left w:val="nil"/>
              <w:bottom w:val="double" w:sz="4" w:space="0" w:color="auto"/>
              <w:right w:val="nil"/>
            </w:tcBorders>
            <w:vAlign w:val="bottom"/>
          </w:tcPr>
          <w:p w:rsidR="00454095" w:rsidRPr="00A51DA3" w:rsidRDefault="00454095" w:rsidP="00513E34">
            <w:pPr>
              <w:jc w:val="right"/>
              <w:rPr>
                <w:b/>
              </w:rPr>
            </w:pPr>
            <w:r w:rsidRPr="00A51DA3">
              <w:rPr>
                <w:b/>
              </w:rPr>
              <w:t xml:space="preserve"> </w:t>
            </w:r>
            <w:r>
              <w:rPr>
                <w:b/>
              </w:rPr>
              <w:t xml:space="preserve">51 </w:t>
            </w:r>
            <w:r w:rsidR="003D4A43">
              <w:rPr>
                <w:b/>
              </w:rPr>
              <w:t>49</w:t>
            </w:r>
            <w:r w:rsidR="00513E34">
              <w:rPr>
                <w:b/>
              </w:rPr>
              <w:t>6</w:t>
            </w:r>
            <w:r w:rsidRPr="00A51DA3">
              <w:rPr>
                <w:b/>
              </w:rPr>
              <w:t xml:space="preserve">     </w:t>
            </w:r>
          </w:p>
        </w:tc>
      </w:tr>
    </w:tbl>
    <w:p w:rsidR="00985719" w:rsidRPr="00A51DA3" w:rsidRDefault="00985719" w:rsidP="00056A2D">
      <w:pPr>
        <w:rPr>
          <w:vanish/>
          <w:lang w:val="en-GB"/>
        </w:rPr>
      </w:pPr>
    </w:p>
    <w:p w:rsidR="003E1102" w:rsidRPr="00A51DA3" w:rsidRDefault="003E1102" w:rsidP="00056A2D">
      <w:pPr>
        <w:rPr>
          <w:vanish/>
          <w:lang w:val="en-GB"/>
        </w:rPr>
      </w:pPr>
    </w:p>
    <w:p w:rsidR="00D96C2C" w:rsidRPr="00A51DA3" w:rsidRDefault="00D96C2C" w:rsidP="00056A2D">
      <w:pPr>
        <w:rPr>
          <w:vanish/>
          <w:lang w:val="en-GB"/>
        </w:rPr>
      </w:pPr>
    </w:p>
    <w:tbl>
      <w:tblPr>
        <w:tblW w:w="11110" w:type="dxa"/>
        <w:tblLayout w:type="fixed"/>
        <w:tblLook w:val="0000"/>
      </w:tblPr>
      <w:tblGrid>
        <w:gridCol w:w="4536"/>
        <w:gridCol w:w="6574"/>
      </w:tblGrid>
      <w:tr w:rsidR="00D96C2C" w:rsidRPr="00A51DA3" w:rsidTr="00D96C2C">
        <w:trPr>
          <w:trHeight w:val="113"/>
        </w:trPr>
        <w:tc>
          <w:tcPr>
            <w:tcW w:w="4536" w:type="dxa"/>
          </w:tcPr>
          <w:p w:rsidR="00D96C2C" w:rsidRPr="00A51DA3" w:rsidRDefault="00D96C2C" w:rsidP="00D96C2C">
            <w:pPr>
              <w:autoSpaceDE w:val="0"/>
              <w:autoSpaceDN w:val="0"/>
              <w:adjustRightInd w:val="0"/>
              <w:rPr>
                <w:b/>
                <w:bCs/>
                <w:sz w:val="24"/>
                <w:szCs w:val="24"/>
              </w:rPr>
            </w:pPr>
          </w:p>
          <w:p w:rsidR="00E21D93" w:rsidRDefault="00E21D93" w:rsidP="00D96C2C">
            <w:pPr>
              <w:autoSpaceDE w:val="0"/>
              <w:autoSpaceDN w:val="0"/>
              <w:adjustRightInd w:val="0"/>
              <w:rPr>
                <w:b/>
                <w:bCs/>
                <w:sz w:val="24"/>
                <w:szCs w:val="24"/>
              </w:rPr>
            </w:pPr>
          </w:p>
          <w:p w:rsidR="00E21D93" w:rsidRDefault="00E21D93" w:rsidP="00D96C2C">
            <w:pPr>
              <w:autoSpaceDE w:val="0"/>
              <w:autoSpaceDN w:val="0"/>
              <w:adjustRightInd w:val="0"/>
              <w:rPr>
                <w:b/>
                <w:bCs/>
                <w:sz w:val="24"/>
                <w:szCs w:val="24"/>
              </w:rPr>
            </w:pPr>
          </w:p>
          <w:p w:rsidR="00E21D93" w:rsidRDefault="00E21D93" w:rsidP="00D96C2C">
            <w:pPr>
              <w:autoSpaceDE w:val="0"/>
              <w:autoSpaceDN w:val="0"/>
              <w:adjustRightInd w:val="0"/>
              <w:rPr>
                <w:b/>
                <w:bCs/>
                <w:sz w:val="24"/>
                <w:szCs w:val="24"/>
              </w:rPr>
            </w:pPr>
          </w:p>
          <w:p w:rsidR="00D96C2C" w:rsidRPr="00A51DA3" w:rsidRDefault="00D96C2C" w:rsidP="00D96C2C">
            <w:pPr>
              <w:autoSpaceDE w:val="0"/>
              <w:autoSpaceDN w:val="0"/>
              <w:adjustRightInd w:val="0"/>
              <w:rPr>
                <w:b/>
                <w:bCs/>
                <w:sz w:val="24"/>
                <w:szCs w:val="24"/>
              </w:rPr>
            </w:pPr>
            <w:r w:rsidRPr="00A51DA3">
              <w:rPr>
                <w:b/>
                <w:bCs/>
                <w:sz w:val="24"/>
                <w:szCs w:val="24"/>
              </w:rPr>
              <w:t>Съставил: ____________________</w:t>
            </w:r>
          </w:p>
          <w:p w:rsidR="00D96C2C" w:rsidRPr="00A51DA3" w:rsidRDefault="00D96C2C" w:rsidP="00D96C2C">
            <w:pPr>
              <w:autoSpaceDE w:val="0"/>
              <w:autoSpaceDN w:val="0"/>
              <w:adjustRightInd w:val="0"/>
              <w:rPr>
                <w:b/>
                <w:bCs/>
                <w:sz w:val="24"/>
                <w:szCs w:val="24"/>
              </w:rPr>
            </w:pPr>
            <w:r w:rsidRPr="00A51DA3">
              <w:rPr>
                <w:b/>
                <w:bCs/>
                <w:sz w:val="24"/>
                <w:szCs w:val="24"/>
              </w:rPr>
              <w:t xml:space="preserve">                    /Димитър Михайлов/</w:t>
            </w:r>
          </w:p>
          <w:p w:rsidR="00D96C2C" w:rsidRPr="00A51DA3" w:rsidRDefault="00D96C2C" w:rsidP="00D96C2C">
            <w:pPr>
              <w:autoSpaceDE w:val="0"/>
              <w:autoSpaceDN w:val="0"/>
              <w:adjustRightInd w:val="0"/>
              <w:rPr>
                <w:b/>
                <w:bCs/>
                <w:sz w:val="24"/>
                <w:szCs w:val="24"/>
              </w:rPr>
            </w:pPr>
          </w:p>
        </w:tc>
        <w:tc>
          <w:tcPr>
            <w:tcW w:w="6574" w:type="dxa"/>
          </w:tcPr>
          <w:p w:rsidR="00D96C2C" w:rsidRPr="00A51DA3" w:rsidRDefault="00D96C2C" w:rsidP="00D96C2C">
            <w:pPr>
              <w:autoSpaceDE w:val="0"/>
              <w:autoSpaceDN w:val="0"/>
              <w:adjustRightInd w:val="0"/>
              <w:rPr>
                <w:b/>
                <w:bCs/>
                <w:sz w:val="24"/>
                <w:szCs w:val="24"/>
              </w:rPr>
            </w:pPr>
          </w:p>
          <w:p w:rsidR="00D96C2C" w:rsidRPr="00A51DA3" w:rsidRDefault="00D96C2C" w:rsidP="00D96C2C">
            <w:pPr>
              <w:autoSpaceDE w:val="0"/>
              <w:autoSpaceDN w:val="0"/>
              <w:adjustRightInd w:val="0"/>
              <w:rPr>
                <w:b/>
                <w:bCs/>
                <w:sz w:val="24"/>
                <w:szCs w:val="24"/>
              </w:rPr>
            </w:pPr>
          </w:p>
          <w:p w:rsidR="00E21D93" w:rsidRDefault="00E21D93" w:rsidP="00D96C2C">
            <w:pPr>
              <w:autoSpaceDE w:val="0"/>
              <w:autoSpaceDN w:val="0"/>
              <w:adjustRightInd w:val="0"/>
              <w:rPr>
                <w:b/>
                <w:bCs/>
                <w:sz w:val="24"/>
                <w:szCs w:val="24"/>
              </w:rPr>
            </w:pPr>
          </w:p>
          <w:p w:rsidR="00E21D93" w:rsidRDefault="00E21D93" w:rsidP="00D96C2C">
            <w:pPr>
              <w:autoSpaceDE w:val="0"/>
              <w:autoSpaceDN w:val="0"/>
              <w:adjustRightInd w:val="0"/>
              <w:rPr>
                <w:b/>
                <w:bCs/>
                <w:sz w:val="24"/>
                <w:szCs w:val="24"/>
              </w:rPr>
            </w:pPr>
          </w:p>
          <w:p w:rsidR="00D96C2C" w:rsidRPr="00A51DA3" w:rsidRDefault="00D96C2C" w:rsidP="00D96C2C">
            <w:pPr>
              <w:autoSpaceDE w:val="0"/>
              <w:autoSpaceDN w:val="0"/>
              <w:adjustRightInd w:val="0"/>
              <w:rPr>
                <w:b/>
                <w:bCs/>
                <w:sz w:val="24"/>
                <w:szCs w:val="24"/>
              </w:rPr>
            </w:pPr>
            <w:r w:rsidRPr="00A51DA3">
              <w:rPr>
                <w:b/>
                <w:bCs/>
                <w:sz w:val="24"/>
                <w:szCs w:val="24"/>
              </w:rPr>
              <w:t>Изпълнителен директор: ____________________</w:t>
            </w:r>
          </w:p>
          <w:p w:rsidR="00D96C2C" w:rsidRPr="00A51DA3" w:rsidRDefault="00D96C2C" w:rsidP="00A211F2">
            <w:pPr>
              <w:autoSpaceDE w:val="0"/>
              <w:autoSpaceDN w:val="0"/>
              <w:adjustRightInd w:val="0"/>
              <w:rPr>
                <w:b/>
                <w:bCs/>
                <w:sz w:val="24"/>
                <w:szCs w:val="24"/>
              </w:rPr>
            </w:pPr>
            <w:r w:rsidRPr="00A51DA3">
              <w:rPr>
                <w:b/>
                <w:bCs/>
                <w:sz w:val="24"/>
                <w:szCs w:val="24"/>
              </w:rPr>
              <w:t xml:space="preserve">                                             </w:t>
            </w:r>
            <w:r w:rsidR="008169E5" w:rsidRPr="00A51DA3">
              <w:rPr>
                <w:b/>
                <w:bCs/>
                <w:sz w:val="24"/>
                <w:szCs w:val="24"/>
              </w:rPr>
              <w:t>/</w:t>
            </w:r>
            <w:r w:rsidR="00A211F2">
              <w:rPr>
                <w:b/>
                <w:bCs/>
                <w:sz w:val="24"/>
                <w:szCs w:val="24"/>
              </w:rPr>
              <w:t>Владимир Владимиров</w:t>
            </w:r>
            <w:r w:rsidR="008169E5" w:rsidRPr="00A51DA3">
              <w:rPr>
                <w:b/>
                <w:bCs/>
                <w:sz w:val="24"/>
                <w:szCs w:val="24"/>
              </w:rPr>
              <w:t>/</w:t>
            </w:r>
          </w:p>
        </w:tc>
      </w:tr>
    </w:tbl>
    <w:p w:rsidR="0034710D" w:rsidRPr="000B6A69" w:rsidRDefault="0034710D" w:rsidP="00915F74">
      <w:pPr>
        <w:sectPr w:rsidR="0034710D" w:rsidRPr="000B6A69" w:rsidSect="009163FF">
          <w:pgSz w:w="16839" w:h="11907" w:orient="landscape" w:code="9"/>
          <w:pgMar w:top="1417" w:right="1728" w:bottom="1440" w:left="1440" w:header="709" w:footer="567" w:gutter="0"/>
          <w:cols w:space="708"/>
          <w:docGrid w:linePitch="360"/>
        </w:sectPr>
      </w:pPr>
    </w:p>
    <w:p w:rsidR="00985719" w:rsidRPr="00A51DA3" w:rsidRDefault="00985719" w:rsidP="003A67EC">
      <w:pPr>
        <w:pStyle w:val="SectionTitle"/>
        <w:spacing w:after="0"/>
        <w:rPr>
          <w:sz w:val="40"/>
          <w:szCs w:val="40"/>
          <w:lang w:val="bg-BG"/>
        </w:rPr>
      </w:pPr>
      <w:r w:rsidRPr="00A51DA3">
        <w:rPr>
          <w:sz w:val="40"/>
          <w:szCs w:val="40"/>
          <w:lang w:val="bg-BG"/>
        </w:rPr>
        <w:lastRenderedPageBreak/>
        <w:t xml:space="preserve">Отчет за паричните потоци </w:t>
      </w:r>
    </w:p>
    <w:p w:rsidR="00985719" w:rsidRPr="00702A8D" w:rsidRDefault="00985719" w:rsidP="00E21D93">
      <w:pPr>
        <w:pStyle w:val="SectionTitle"/>
        <w:spacing w:after="0"/>
        <w:rPr>
          <w:sz w:val="40"/>
          <w:szCs w:val="40"/>
          <w:lang w:val="bg-BG"/>
        </w:rPr>
      </w:pPr>
      <w:r w:rsidRPr="00702A8D">
        <w:rPr>
          <w:sz w:val="40"/>
          <w:szCs w:val="40"/>
          <w:lang w:val="bg-BG"/>
        </w:rPr>
        <w:t xml:space="preserve">за </w:t>
      </w:r>
      <w:r w:rsidR="00E21D93" w:rsidRPr="00702A8D">
        <w:rPr>
          <w:sz w:val="40"/>
          <w:szCs w:val="40"/>
          <w:lang w:val="bg-BG"/>
        </w:rPr>
        <w:t>период</w:t>
      </w:r>
      <w:r w:rsidRPr="00702A8D">
        <w:rPr>
          <w:sz w:val="40"/>
          <w:szCs w:val="40"/>
          <w:lang w:val="bg-BG"/>
        </w:rPr>
        <w:t>, приключващ на 3</w:t>
      </w:r>
      <w:r w:rsidR="00E21D93" w:rsidRPr="00702A8D">
        <w:rPr>
          <w:sz w:val="40"/>
          <w:szCs w:val="40"/>
          <w:lang w:val="bg-BG"/>
        </w:rPr>
        <w:t>0</w:t>
      </w:r>
      <w:r w:rsidRPr="00702A8D">
        <w:rPr>
          <w:sz w:val="40"/>
          <w:szCs w:val="40"/>
          <w:lang w:val="bg-BG"/>
        </w:rPr>
        <w:t xml:space="preserve"> </w:t>
      </w:r>
      <w:r w:rsidR="00D624D6">
        <w:rPr>
          <w:sz w:val="40"/>
          <w:szCs w:val="40"/>
          <w:lang w:val="bg-BG"/>
        </w:rPr>
        <w:t>септември</w:t>
      </w:r>
    </w:p>
    <w:tbl>
      <w:tblPr>
        <w:tblpPr w:leftFromText="180" w:rightFromText="180" w:vertAnchor="text" w:horzAnchor="margin" w:tblpX="108" w:tblpY="156"/>
        <w:tblW w:w="9180" w:type="dxa"/>
        <w:tblLayout w:type="fixed"/>
        <w:tblLook w:val="0000"/>
      </w:tblPr>
      <w:tblGrid>
        <w:gridCol w:w="5148"/>
        <w:gridCol w:w="1350"/>
        <w:gridCol w:w="1407"/>
        <w:gridCol w:w="1275"/>
      </w:tblGrid>
      <w:tr w:rsidR="00706719" w:rsidRPr="0042566A" w:rsidTr="00E21D93">
        <w:trPr>
          <w:trHeight w:val="181"/>
        </w:trPr>
        <w:tc>
          <w:tcPr>
            <w:tcW w:w="5148" w:type="dxa"/>
          </w:tcPr>
          <w:p w:rsidR="00706719" w:rsidRPr="00702A8D" w:rsidRDefault="00706719" w:rsidP="003777F4">
            <w:pPr>
              <w:autoSpaceDE w:val="0"/>
              <w:autoSpaceDN w:val="0"/>
              <w:adjustRightInd w:val="0"/>
            </w:pPr>
          </w:p>
        </w:tc>
        <w:tc>
          <w:tcPr>
            <w:tcW w:w="1350" w:type="dxa"/>
            <w:vAlign w:val="bottom"/>
          </w:tcPr>
          <w:p w:rsidR="00706719" w:rsidRPr="0042566A" w:rsidRDefault="00706719" w:rsidP="003777F4">
            <w:pPr>
              <w:pStyle w:val="TableHeading"/>
              <w:jc w:val="right"/>
              <w:rPr>
                <w:rFonts w:ascii="Garamond" w:hAnsi="Garamond" w:cs="Garamond"/>
                <w:sz w:val="22"/>
                <w:szCs w:val="22"/>
                <w:lang w:val="bg-BG" w:eastAsia="en-GB"/>
              </w:rPr>
            </w:pPr>
            <w:r w:rsidRPr="0042566A">
              <w:rPr>
                <w:rFonts w:ascii="Garamond" w:hAnsi="Garamond" w:cs="Garamond"/>
                <w:sz w:val="22"/>
                <w:szCs w:val="22"/>
                <w:lang w:val="bg-BG" w:eastAsia="en-GB"/>
              </w:rPr>
              <w:t>Пояснение</w:t>
            </w:r>
          </w:p>
        </w:tc>
        <w:tc>
          <w:tcPr>
            <w:tcW w:w="1407" w:type="dxa"/>
            <w:vAlign w:val="bottom"/>
          </w:tcPr>
          <w:p w:rsidR="00706719" w:rsidRPr="0042566A" w:rsidRDefault="00D624D6" w:rsidP="00D624D6">
            <w:pPr>
              <w:jc w:val="right"/>
              <w:rPr>
                <w:b/>
                <w:bCs/>
                <w:color w:val="000000"/>
                <w:lang w:val="en-US" w:eastAsia="bg-BG"/>
              </w:rPr>
            </w:pPr>
            <w:r w:rsidRPr="0042566A">
              <w:rPr>
                <w:b/>
                <w:bCs/>
                <w:color w:val="000000"/>
                <w:lang w:eastAsia="bg-BG"/>
              </w:rPr>
              <w:t>30.09</w:t>
            </w:r>
            <w:r w:rsidR="00E21D93" w:rsidRPr="0042566A">
              <w:rPr>
                <w:b/>
                <w:bCs/>
                <w:color w:val="000000"/>
                <w:lang w:eastAsia="bg-BG"/>
              </w:rPr>
              <w:t>.</w:t>
            </w:r>
            <w:r w:rsidR="00706719" w:rsidRPr="0042566A">
              <w:rPr>
                <w:b/>
                <w:bCs/>
                <w:color w:val="000000"/>
                <w:lang w:eastAsia="bg-BG"/>
              </w:rPr>
              <w:t>201</w:t>
            </w:r>
            <w:r w:rsidRPr="0042566A">
              <w:rPr>
                <w:b/>
                <w:bCs/>
                <w:color w:val="000000"/>
                <w:lang w:eastAsia="bg-BG"/>
              </w:rPr>
              <w:t>6</w:t>
            </w:r>
          </w:p>
        </w:tc>
        <w:tc>
          <w:tcPr>
            <w:tcW w:w="1275" w:type="dxa"/>
          </w:tcPr>
          <w:p w:rsidR="00706719" w:rsidRPr="0042566A" w:rsidRDefault="00E21D93" w:rsidP="00D624D6">
            <w:pPr>
              <w:jc w:val="right"/>
              <w:rPr>
                <w:b/>
                <w:bCs/>
                <w:color w:val="000000"/>
                <w:lang w:val="en-US" w:eastAsia="bg-BG"/>
              </w:rPr>
            </w:pPr>
            <w:r w:rsidRPr="0042566A">
              <w:rPr>
                <w:b/>
                <w:bCs/>
                <w:color w:val="000000"/>
                <w:lang w:eastAsia="bg-BG"/>
              </w:rPr>
              <w:t>30.0</w:t>
            </w:r>
            <w:r w:rsidR="00D624D6" w:rsidRPr="0042566A">
              <w:rPr>
                <w:b/>
                <w:bCs/>
                <w:color w:val="000000"/>
                <w:lang w:eastAsia="bg-BG"/>
              </w:rPr>
              <w:t>9</w:t>
            </w:r>
            <w:r w:rsidRPr="0042566A">
              <w:rPr>
                <w:b/>
                <w:bCs/>
                <w:color w:val="000000"/>
                <w:lang w:eastAsia="bg-BG"/>
              </w:rPr>
              <w:t>.</w:t>
            </w:r>
            <w:r w:rsidR="00706719" w:rsidRPr="0042566A">
              <w:rPr>
                <w:b/>
                <w:bCs/>
                <w:color w:val="000000"/>
                <w:lang w:eastAsia="bg-BG"/>
              </w:rPr>
              <w:t>201</w:t>
            </w:r>
            <w:r w:rsidR="00D624D6" w:rsidRPr="0042566A">
              <w:rPr>
                <w:b/>
                <w:bCs/>
                <w:color w:val="000000"/>
                <w:lang w:eastAsia="bg-BG"/>
              </w:rPr>
              <w:t>5</w:t>
            </w:r>
          </w:p>
        </w:tc>
      </w:tr>
      <w:tr w:rsidR="00706719" w:rsidRPr="0042566A" w:rsidTr="00E21D93">
        <w:trPr>
          <w:trHeight w:val="181"/>
        </w:trPr>
        <w:tc>
          <w:tcPr>
            <w:tcW w:w="5148" w:type="dxa"/>
          </w:tcPr>
          <w:p w:rsidR="00706719" w:rsidRPr="0042566A" w:rsidRDefault="00706719" w:rsidP="003777F4">
            <w:pPr>
              <w:autoSpaceDE w:val="0"/>
              <w:autoSpaceDN w:val="0"/>
              <w:adjustRightInd w:val="0"/>
            </w:pPr>
          </w:p>
        </w:tc>
        <w:tc>
          <w:tcPr>
            <w:tcW w:w="1350" w:type="dxa"/>
            <w:vAlign w:val="bottom"/>
          </w:tcPr>
          <w:p w:rsidR="00706719" w:rsidRPr="0042566A" w:rsidRDefault="00706719" w:rsidP="003777F4">
            <w:pPr>
              <w:autoSpaceDE w:val="0"/>
              <w:autoSpaceDN w:val="0"/>
              <w:adjustRightInd w:val="0"/>
              <w:jc w:val="right"/>
              <w:rPr>
                <w:b/>
                <w:bCs/>
              </w:rPr>
            </w:pPr>
          </w:p>
        </w:tc>
        <w:tc>
          <w:tcPr>
            <w:tcW w:w="1407" w:type="dxa"/>
            <w:vAlign w:val="bottom"/>
          </w:tcPr>
          <w:p w:rsidR="00706719" w:rsidRPr="0042566A" w:rsidRDefault="00706719" w:rsidP="003777F4">
            <w:pPr>
              <w:autoSpaceDE w:val="0"/>
              <w:autoSpaceDN w:val="0"/>
              <w:adjustRightInd w:val="0"/>
              <w:jc w:val="right"/>
              <w:rPr>
                <w:b/>
                <w:bCs/>
              </w:rPr>
            </w:pPr>
            <w:r w:rsidRPr="0042566A">
              <w:rPr>
                <w:b/>
                <w:bCs/>
              </w:rPr>
              <w:t>‘000 лв.</w:t>
            </w:r>
          </w:p>
        </w:tc>
        <w:tc>
          <w:tcPr>
            <w:tcW w:w="1275" w:type="dxa"/>
          </w:tcPr>
          <w:p w:rsidR="00706719" w:rsidRPr="0042566A" w:rsidRDefault="00706719" w:rsidP="003777F4">
            <w:pPr>
              <w:autoSpaceDE w:val="0"/>
              <w:autoSpaceDN w:val="0"/>
              <w:adjustRightInd w:val="0"/>
              <w:jc w:val="right"/>
              <w:rPr>
                <w:b/>
                <w:bCs/>
              </w:rPr>
            </w:pPr>
            <w:r w:rsidRPr="0042566A">
              <w:rPr>
                <w:b/>
                <w:bCs/>
              </w:rPr>
              <w:t>‘000 лв.</w:t>
            </w:r>
          </w:p>
        </w:tc>
      </w:tr>
      <w:tr w:rsidR="00706719" w:rsidRPr="0042566A" w:rsidTr="00E21D93">
        <w:trPr>
          <w:trHeight w:val="181"/>
        </w:trPr>
        <w:tc>
          <w:tcPr>
            <w:tcW w:w="5148" w:type="dxa"/>
          </w:tcPr>
          <w:p w:rsidR="00706719" w:rsidRPr="0042566A" w:rsidRDefault="00706719" w:rsidP="003777F4">
            <w:pPr>
              <w:autoSpaceDE w:val="0"/>
              <w:autoSpaceDN w:val="0"/>
              <w:adjustRightInd w:val="0"/>
              <w:rPr>
                <w:b/>
                <w:bCs/>
                <w:color w:val="000000"/>
              </w:rPr>
            </w:pPr>
            <w:r w:rsidRPr="0042566A">
              <w:rPr>
                <w:b/>
                <w:bCs/>
              </w:rPr>
              <w:t>Оперативна дейност</w:t>
            </w:r>
          </w:p>
        </w:tc>
        <w:tc>
          <w:tcPr>
            <w:tcW w:w="1350" w:type="dxa"/>
            <w:vAlign w:val="bottom"/>
          </w:tcPr>
          <w:p w:rsidR="00706719" w:rsidRPr="0042566A" w:rsidRDefault="00706719" w:rsidP="003777F4">
            <w:pPr>
              <w:autoSpaceDE w:val="0"/>
              <w:autoSpaceDN w:val="0"/>
              <w:adjustRightInd w:val="0"/>
              <w:jc w:val="right"/>
            </w:pPr>
          </w:p>
        </w:tc>
        <w:tc>
          <w:tcPr>
            <w:tcW w:w="1407" w:type="dxa"/>
            <w:vAlign w:val="bottom"/>
          </w:tcPr>
          <w:p w:rsidR="00706719" w:rsidRPr="0042566A" w:rsidRDefault="00706719" w:rsidP="003777F4">
            <w:pPr>
              <w:autoSpaceDE w:val="0"/>
              <w:autoSpaceDN w:val="0"/>
              <w:adjustRightInd w:val="0"/>
              <w:jc w:val="right"/>
            </w:pPr>
          </w:p>
        </w:tc>
        <w:tc>
          <w:tcPr>
            <w:tcW w:w="1275" w:type="dxa"/>
          </w:tcPr>
          <w:p w:rsidR="00706719" w:rsidRPr="0042566A" w:rsidRDefault="00706719" w:rsidP="003777F4">
            <w:pPr>
              <w:autoSpaceDE w:val="0"/>
              <w:autoSpaceDN w:val="0"/>
              <w:adjustRightInd w:val="0"/>
              <w:jc w:val="right"/>
            </w:pPr>
          </w:p>
        </w:tc>
      </w:tr>
      <w:tr w:rsidR="00B127F4" w:rsidRPr="0042566A" w:rsidTr="00E21D93">
        <w:trPr>
          <w:trHeight w:val="181"/>
        </w:trPr>
        <w:tc>
          <w:tcPr>
            <w:tcW w:w="5148" w:type="dxa"/>
          </w:tcPr>
          <w:p w:rsidR="00B127F4" w:rsidRPr="0042566A" w:rsidRDefault="00B127F4" w:rsidP="00B127F4">
            <w:pPr>
              <w:autoSpaceDE w:val="0"/>
              <w:autoSpaceDN w:val="0"/>
              <w:adjustRightInd w:val="0"/>
              <w:rPr>
                <w:color w:val="000000"/>
              </w:rPr>
            </w:pPr>
            <w:r w:rsidRPr="0042566A">
              <w:rPr>
                <w:color w:val="000000"/>
              </w:rPr>
              <w:t>Постъпления от клиенти</w:t>
            </w:r>
          </w:p>
        </w:tc>
        <w:tc>
          <w:tcPr>
            <w:tcW w:w="1350" w:type="dxa"/>
            <w:vAlign w:val="bottom"/>
          </w:tcPr>
          <w:p w:rsidR="00B127F4" w:rsidRPr="0042566A" w:rsidRDefault="00B127F4" w:rsidP="00B127F4">
            <w:pPr>
              <w:autoSpaceDE w:val="0"/>
              <w:autoSpaceDN w:val="0"/>
              <w:adjustRightInd w:val="0"/>
              <w:jc w:val="right"/>
            </w:pPr>
          </w:p>
        </w:tc>
        <w:tc>
          <w:tcPr>
            <w:tcW w:w="1407" w:type="dxa"/>
            <w:vAlign w:val="bottom"/>
          </w:tcPr>
          <w:p w:rsidR="00B127F4" w:rsidRPr="0042566A" w:rsidRDefault="0042566A" w:rsidP="001372DA">
            <w:pPr>
              <w:jc w:val="right"/>
            </w:pPr>
            <w:r w:rsidRPr="0042566A">
              <w:t>3 935</w:t>
            </w:r>
          </w:p>
        </w:tc>
        <w:tc>
          <w:tcPr>
            <w:tcW w:w="1275" w:type="dxa"/>
            <w:vAlign w:val="bottom"/>
          </w:tcPr>
          <w:p w:rsidR="00B127F4" w:rsidRPr="0042566A" w:rsidRDefault="0042566A" w:rsidP="00B127F4">
            <w:pPr>
              <w:jc w:val="right"/>
            </w:pPr>
            <w:r w:rsidRPr="0042566A">
              <w:t>4 884</w:t>
            </w:r>
          </w:p>
        </w:tc>
      </w:tr>
      <w:tr w:rsidR="00B127F4" w:rsidRPr="0042566A" w:rsidTr="00E21D93">
        <w:trPr>
          <w:trHeight w:val="181"/>
        </w:trPr>
        <w:tc>
          <w:tcPr>
            <w:tcW w:w="5148" w:type="dxa"/>
          </w:tcPr>
          <w:p w:rsidR="00B127F4" w:rsidRPr="0042566A" w:rsidRDefault="00B127F4" w:rsidP="00B127F4">
            <w:pPr>
              <w:autoSpaceDE w:val="0"/>
              <w:autoSpaceDN w:val="0"/>
              <w:adjustRightInd w:val="0"/>
              <w:rPr>
                <w:color w:val="000000"/>
              </w:rPr>
            </w:pPr>
            <w:r w:rsidRPr="0042566A">
              <w:rPr>
                <w:color w:val="000000"/>
              </w:rPr>
              <w:t>Плащания към доставчици</w:t>
            </w:r>
          </w:p>
        </w:tc>
        <w:tc>
          <w:tcPr>
            <w:tcW w:w="1350" w:type="dxa"/>
            <w:vAlign w:val="bottom"/>
          </w:tcPr>
          <w:p w:rsidR="00B127F4" w:rsidRPr="0042566A" w:rsidRDefault="00B127F4" w:rsidP="00B127F4">
            <w:pPr>
              <w:autoSpaceDE w:val="0"/>
              <w:autoSpaceDN w:val="0"/>
              <w:adjustRightInd w:val="0"/>
              <w:jc w:val="right"/>
            </w:pPr>
          </w:p>
        </w:tc>
        <w:tc>
          <w:tcPr>
            <w:tcW w:w="1407" w:type="dxa"/>
            <w:vAlign w:val="bottom"/>
          </w:tcPr>
          <w:p w:rsidR="00B127F4" w:rsidRPr="0042566A" w:rsidRDefault="00B127F4" w:rsidP="0042566A">
            <w:pPr>
              <w:jc w:val="right"/>
            </w:pPr>
            <w:r w:rsidRPr="0042566A">
              <w:t>(</w:t>
            </w:r>
            <w:r w:rsidR="0042566A" w:rsidRPr="0042566A">
              <w:t>2 255</w:t>
            </w:r>
            <w:r w:rsidRPr="0042566A">
              <w:t>)</w:t>
            </w:r>
          </w:p>
        </w:tc>
        <w:tc>
          <w:tcPr>
            <w:tcW w:w="1275" w:type="dxa"/>
            <w:vAlign w:val="bottom"/>
          </w:tcPr>
          <w:p w:rsidR="00B127F4" w:rsidRPr="0042566A" w:rsidRDefault="00B127F4" w:rsidP="0042566A">
            <w:pPr>
              <w:jc w:val="right"/>
              <w:rPr>
                <w:lang w:val="en-US"/>
              </w:rPr>
            </w:pPr>
            <w:r w:rsidRPr="0042566A">
              <w:rPr>
                <w:lang w:val="en-US"/>
              </w:rPr>
              <w:t>(</w:t>
            </w:r>
            <w:r w:rsidR="0042566A" w:rsidRPr="0042566A">
              <w:t>2 330)</w:t>
            </w:r>
          </w:p>
        </w:tc>
      </w:tr>
      <w:tr w:rsidR="00B127F4" w:rsidRPr="0042566A" w:rsidTr="00E21D93">
        <w:trPr>
          <w:trHeight w:val="181"/>
        </w:trPr>
        <w:tc>
          <w:tcPr>
            <w:tcW w:w="5148" w:type="dxa"/>
          </w:tcPr>
          <w:p w:rsidR="00B127F4" w:rsidRPr="0042566A" w:rsidRDefault="00B127F4" w:rsidP="00B127F4">
            <w:pPr>
              <w:autoSpaceDE w:val="0"/>
              <w:autoSpaceDN w:val="0"/>
              <w:adjustRightInd w:val="0"/>
              <w:rPr>
                <w:color w:val="000000"/>
              </w:rPr>
            </w:pPr>
            <w:r w:rsidRPr="0042566A">
              <w:rPr>
                <w:color w:val="000000"/>
              </w:rPr>
              <w:t>Плащания към персонал и осигурителни институции</w:t>
            </w:r>
          </w:p>
        </w:tc>
        <w:tc>
          <w:tcPr>
            <w:tcW w:w="1350" w:type="dxa"/>
            <w:vAlign w:val="bottom"/>
          </w:tcPr>
          <w:p w:rsidR="00B127F4" w:rsidRPr="0042566A" w:rsidRDefault="00B127F4" w:rsidP="00B127F4">
            <w:pPr>
              <w:autoSpaceDE w:val="0"/>
              <w:autoSpaceDN w:val="0"/>
              <w:adjustRightInd w:val="0"/>
              <w:jc w:val="right"/>
            </w:pPr>
          </w:p>
        </w:tc>
        <w:tc>
          <w:tcPr>
            <w:tcW w:w="1407" w:type="dxa"/>
            <w:vAlign w:val="bottom"/>
          </w:tcPr>
          <w:p w:rsidR="00B127F4" w:rsidRPr="0042566A" w:rsidRDefault="00B127F4" w:rsidP="0042566A">
            <w:pPr>
              <w:jc w:val="right"/>
            </w:pPr>
            <w:r w:rsidRPr="0042566A">
              <w:t>(</w:t>
            </w:r>
            <w:r w:rsidR="00702A8D" w:rsidRPr="0042566A">
              <w:t xml:space="preserve">1 </w:t>
            </w:r>
            <w:r w:rsidR="0042566A" w:rsidRPr="0042566A">
              <w:t>585</w:t>
            </w:r>
            <w:r w:rsidRPr="0042566A">
              <w:t>)</w:t>
            </w:r>
          </w:p>
        </w:tc>
        <w:tc>
          <w:tcPr>
            <w:tcW w:w="1275" w:type="dxa"/>
            <w:vAlign w:val="bottom"/>
          </w:tcPr>
          <w:p w:rsidR="00B127F4" w:rsidRPr="0042566A" w:rsidRDefault="00B127F4" w:rsidP="0042566A">
            <w:pPr>
              <w:jc w:val="right"/>
              <w:rPr>
                <w:lang w:val="en-US"/>
              </w:rPr>
            </w:pPr>
            <w:r w:rsidRPr="0042566A">
              <w:rPr>
                <w:lang w:val="en-US"/>
              </w:rPr>
              <w:t>(</w:t>
            </w:r>
            <w:r w:rsidR="0042566A" w:rsidRPr="0042566A">
              <w:t>2 147</w:t>
            </w:r>
            <w:r w:rsidRPr="0042566A">
              <w:rPr>
                <w:lang w:val="en-US"/>
              </w:rPr>
              <w:t>)</w:t>
            </w:r>
          </w:p>
        </w:tc>
      </w:tr>
      <w:tr w:rsidR="00B127F4" w:rsidRPr="0042566A" w:rsidTr="00E21D93">
        <w:trPr>
          <w:trHeight w:val="181"/>
        </w:trPr>
        <w:tc>
          <w:tcPr>
            <w:tcW w:w="5148" w:type="dxa"/>
          </w:tcPr>
          <w:p w:rsidR="00B127F4" w:rsidRPr="0042566A" w:rsidRDefault="00B127F4" w:rsidP="00B127F4">
            <w:pPr>
              <w:autoSpaceDE w:val="0"/>
              <w:autoSpaceDN w:val="0"/>
              <w:adjustRightInd w:val="0"/>
              <w:rPr>
                <w:color w:val="000000"/>
              </w:rPr>
            </w:pPr>
            <w:r w:rsidRPr="0042566A">
              <w:rPr>
                <w:color w:val="000000"/>
              </w:rPr>
              <w:t>Други парични потоци от основна дейност</w:t>
            </w:r>
          </w:p>
        </w:tc>
        <w:tc>
          <w:tcPr>
            <w:tcW w:w="1350" w:type="dxa"/>
            <w:vAlign w:val="bottom"/>
          </w:tcPr>
          <w:p w:rsidR="00B127F4" w:rsidRPr="0042566A" w:rsidRDefault="00B127F4" w:rsidP="00B127F4">
            <w:pPr>
              <w:autoSpaceDE w:val="0"/>
              <w:autoSpaceDN w:val="0"/>
              <w:adjustRightInd w:val="0"/>
              <w:jc w:val="right"/>
            </w:pPr>
          </w:p>
        </w:tc>
        <w:tc>
          <w:tcPr>
            <w:tcW w:w="1407" w:type="dxa"/>
            <w:tcBorders>
              <w:bottom w:val="single" w:sz="4" w:space="0" w:color="auto"/>
            </w:tcBorders>
            <w:vAlign w:val="bottom"/>
          </w:tcPr>
          <w:p w:rsidR="00B127F4" w:rsidRPr="0042566A" w:rsidRDefault="00B127F4" w:rsidP="0042566A">
            <w:pPr>
              <w:jc w:val="right"/>
            </w:pPr>
            <w:r w:rsidRPr="0042566A">
              <w:t>(</w:t>
            </w:r>
            <w:r w:rsidR="00702A8D" w:rsidRPr="0042566A">
              <w:t xml:space="preserve">1 </w:t>
            </w:r>
            <w:r w:rsidR="0042566A" w:rsidRPr="0042566A">
              <w:t>918</w:t>
            </w:r>
            <w:r w:rsidRPr="0042566A">
              <w:t>)</w:t>
            </w:r>
          </w:p>
        </w:tc>
        <w:tc>
          <w:tcPr>
            <w:tcW w:w="1275" w:type="dxa"/>
            <w:tcBorders>
              <w:bottom w:val="single" w:sz="4" w:space="0" w:color="auto"/>
            </w:tcBorders>
            <w:vAlign w:val="bottom"/>
          </w:tcPr>
          <w:p w:rsidR="00B127F4" w:rsidRPr="0042566A" w:rsidRDefault="00B127F4" w:rsidP="0042566A">
            <w:pPr>
              <w:jc w:val="right"/>
              <w:rPr>
                <w:lang w:val="en-US"/>
              </w:rPr>
            </w:pPr>
            <w:r w:rsidRPr="0042566A">
              <w:rPr>
                <w:lang w:val="en-US"/>
              </w:rPr>
              <w:t>(</w:t>
            </w:r>
            <w:r w:rsidR="0042566A" w:rsidRPr="0042566A">
              <w:t>1 514</w:t>
            </w:r>
            <w:r w:rsidRPr="0042566A">
              <w:rPr>
                <w:lang w:val="en-US"/>
              </w:rPr>
              <w:t>)</w:t>
            </w:r>
          </w:p>
        </w:tc>
      </w:tr>
      <w:tr w:rsidR="00B127F4" w:rsidRPr="0042566A" w:rsidTr="00E21D93">
        <w:trPr>
          <w:trHeight w:val="181"/>
        </w:trPr>
        <w:tc>
          <w:tcPr>
            <w:tcW w:w="5148" w:type="dxa"/>
          </w:tcPr>
          <w:p w:rsidR="00B127F4" w:rsidRPr="0042566A" w:rsidRDefault="00B127F4" w:rsidP="00B127F4">
            <w:pPr>
              <w:autoSpaceDE w:val="0"/>
              <w:autoSpaceDN w:val="0"/>
              <w:adjustRightInd w:val="0"/>
              <w:rPr>
                <w:b/>
                <w:bCs/>
                <w:color w:val="000000"/>
              </w:rPr>
            </w:pPr>
            <w:r w:rsidRPr="0042566A">
              <w:rPr>
                <w:b/>
                <w:bCs/>
                <w:color w:val="000000"/>
              </w:rPr>
              <w:t>Нетен паричен поток от оперативна дейност</w:t>
            </w:r>
          </w:p>
        </w:tc>
        <w:tc>
          <w:tcPr>
            <w:tcW w:w="1350" w:type="dxa"/>
            <w:vAlign w:val="bottom"/>
          </w:tcPr>
          <w:p w:rsidR="00B127F4" w:rsidRPr="0042566A" w:rsidRDefault="00B127F4" w:rsidP="00B127F4">
            <w:pPr>
              <w:autoSpaceDE w:val="0"/>
              <w:autoSpaceDN w:val="0"/>
              <w:adjustRightInd w:val="0"/>
              <w:jc w:val="right"/>
              <w:rPr>
                <w:b/>
                <w:bCs/>
              </w:rPr>
            </w:pPr>
          </w:p>
        </w:tc>
        <w:tc>
          <w:tcPr>
            <w:tcW w:w="1407" w:type="dxa"/>
            <w:tcBorders>
              <w:top w:val="single" w:sz="4" w:space="0" w:color="auto"/>
              <w:bottom w:val="single" w:sz="4" w:space="0" w:color="auto"/>
            </w:tcBorders>
            <w:vAlign w:val="bottom"/>
          </w:tcPr>
          <w:p w:rsidR="00B127F4" w:rsidRPr="0042566A" w:rsidRDefault="001372DA" w:rsidP="0042566A">
            <w:pPr>
              <w:jc w:val="right"/>
              <w:rPr>
                <w:b/>
              </w:rPr>
            </w:pPr>
            <w:r w:rsidRPr="0042566A">
              <w:rPr>
                <w:b/>
              </w:rPr>
              <w:t>(1 </w:t>
            </w:r>
            <w:r w:rsidR="0042566A" w:rsidRPr="0042566A">
              <w:rPr>
                <w:b/>
              </w:rPr>
              <w:t>823</w:t>
            </w:r>
            <w:r w:rsidR="00B127F4" w:rsidRPr="0042566A">
              <w:rPr>
                <w:b/>
              </w:rPr>
              <w:t>)</w:t>
            </w:r>
          </w:p>
        </w:tc>
        <w:tc>
          <w:tcPr>
            <w:tcW w:w="1275" w:type="dxa"/>
            <w:tcBorders>
              <w:top w:val="single" w:sz="4" w:space="0" w:color="auto"/>
              <w:bottom w:val="single" w:sz="4" w:space="0" w:color="auto"/>
            </w:tcBorders>
            <w:vAlign w:val="bottom"/>
          </w:tcPr>
          <w:p w:rsidR="00B127F4" w:rsidRPr="0042566A" w:rsidRDefault="00B127F4" w:rsidP="0042566A">
            <w:pPr>
              <w:jc w:val="right"/>
              <w:rPr>
                <w:b/>
                <w:lang w:val="en-US"/>
              </w:rPr>
            </w:pPr>
            <w:r w:rsidRPr="0042566A">
              <w:rPr>
                <w:b/>
                <w:lang w:val="en-US"/>
              </w:rPr>
              <w:t>(</w:t>
            </w:r>
            <w:r w:rsidR="0042566A" w:rsidRPr="0042566A">
              <w:rPr>
                <w:b/>
              </w:rPr>
              <w:t>1 107</w:t>
            </w:r>
            <w:r w:rsidRPr="0042566A">
              <w:rPr>
                <w:b/>
                <w:lang w:val="en-US"/>
              </w:rPr>
              <w:t>)</w:t>
            </w:r>
          </w:p>
        </w:tc>
      </w:tr>
      <w:tr w:rsidR="00B127F4" w:rsidRPr="0042566A" w:rsidTr="00E21D93">
        <w:trPr>
          <w:trHeight w:val="181"/>
        </w:trPr>
        <w:tc>
          <w:tcPr>
            <w:tcW w:w="5148" w:type="dxa"/>
          </w:tcPr>
          <w:p w:rsidR="00B127F4" w:rsidRPr="0042566A" w:rsidRDefault="00B127F4" w:rsidP="00B127F4">
            <w:pPr>
              <w:autoSpaceDE w:val="0"/>
              <w:autoSpaceDN w:val="0"/>
              <w:adjustRightInd w:val="0"/>
            </w:pPr>
          </w:p>
        </w:tc>
        <w:tc>
          <w:tcPr>
            <w:tcW w:w="1350" w:type="dxa"/>
            <w:vAlign w:val="bottom"/>
          </w:tcPr>
          <w:p w:rsidR="00B127F4" w:rsidRPr="0042566A" w:rsidRDefault="00B127F4" w:rsidP="00B127F4">
            <w:pPr>
              <w:autoSpaceDE w:val="0"/>
              <w:autoSpaceDN w:val="0"/>
              <w:adjustRightInd w:val="0"/>
              <w:jc w:val="right"/>
            </w:pPr>
          </w:p>
        </w:tc>
        <w:tc>
          <w:tcPr>
            <w:tcW w:w="1407" w:type="dxa"/>
            <w:tcBorders>
              <w:top w:val="single" w:sz="4" w:space="0" w:color="auto"/>
            </w:tcBorders>
            <w:vAlign w:val="bottom"/>
          </w:tcPr>
          <w:p w:rsidR="00B127F4" w:rsidRPr="0042566A" w:rsidRDefault="00B127F4" w:rsidP="00B127F4">
            <w:pPr>
              <w:autoSpaceDE w:val="0"/>
              <w:autoSpaceDN w:val="0"/>
              <w:adjustRightInd w:val="0"/>
              <w:jc w:val="right"/>
            </w:pPr>
          </w:p>
        </w:tc>
        <w:tc>
          <w:tcPr>
            <w:tcW w:w="1275" w:type="dxa"/>
            <w:tcBorders>
              <w:top w:val="single" w:sz="4" w:space="0" w:color="auto"/>
            </w:tcBorders>
            <w:vAlign w:val="bottom"/>
          </w:tcPr>
          <w:p w:rsidR="00B127F4" w:rsidRPr="0042566A" w:rsidRDefault="00B127F4" w:rsidP="00B127F4">
            <w:pPr>
              <w:autoSpaceDE w:val="0"/>
              <w:autoSpaceDN w:val="0"/>
              <w:adjustRightInd w:val="0"/>
              <w:jc w:val="right"/>
            </w:pPr>
          </w:p>
        </w:tc>
      </w:tr>
      <w:tr w:rsidR="00B127F4" w:rsidRPr="0042566A" w:rsidTr="00E21D93">
        <w:trPr>
          <w:trHeight w:val="181"/>
        </w:trPr>
        <w:tc>
          <w:tcPr>
            <w:tcW w:w="5148" w:type="dxa"/>
          </w:tcPr>
          <w:p w:rsidR="00B127F4" w:rsidRPr="0042566A" w:rsidRDefault="00B127F4" w:rsidP="00B127F4">
            <w:pPr>
              <w:autoSpaceDE w:val="0"/>
              <w:autoSpaceDN w:val="0"/>
              <w:adjustRightInd w:val="0"/>
              <w:rPr>
                <w:b/>
                <w:bCs/>
                <w:color w:val="000000"/>
              </w:rPr>
            </w:pPr>
            <w:r w:rsidRPr="0042566A">
              <w:rPr>
                <w:b/>
                <w:bCs/>
              </w:rPr>
              <w:t>Инвестиционна дейност</w:t>
            </w:r>
          </w:p>
        </w:tc>
        <w:tc>
          <w:tcPr>
            <w:tcW w:w="1350" w:type="dxa"/>
            <w:vAlign w:val="bottom"/>
          </w:tcPr>
          <w:p w:rsidR="00B127F4" w:rsidRPr="0042566A" w:rsidRDefault="00B127F4" w:rsidP="00B127F4">
            <w:pPr>
              <w:autoSpaceDE w:val="0"/>
              <w:autoSpaceDN w:val="0"/>
              <w:adjustRightInd w:val="0"/>
              <w:jc w:val="right"/>
            </w:pPr>
          </w:p>
        </w:tc>
        <w:tc>
          <w:tcPr>
            <w:tcW w:w="1407" w:type="dxa"/>
            <w:vAlign w:val="bottom"/>
          </w:tcPr>
          <w:p w:rsidR="00B127F4" w:rsidRPr="0042566A" w:rsidRDefault="00B127F4" w:rsidP="00B127F4">
            <w:pPr>
              <w:autoSpaceDE w:val="0"/>
              <w:autoSpaceDN w:val="0"/>
              <w:adjustRightInd w:val="0"/>
              <w:jc w:val="right"/>
            </w:pPr>
          </w:p>
        </w:tc>
        <w:tc>
          <w:tcPr>
            <w:tcW w:w="1275" w:type="dxa"/>
            <w:vAlign w:val="bottom"/>
          </w:tcPr>
          <w:p w:rsidR="00B127F4" w:rsidRPr="0042566A" w:rsidRDefault="00B127F4" w:rsidP="00B127F4">
            <w:pPr>
              <w:autoSpaceDE w:val="0"/>
              <w:autoSpaceDN w:val="0"/>
              <w:adjustRightInd w:val="0"/>
              <w:jc w:val="right"/>
            </w:pPr>
          </w:p>
        </w:tc>
      </w:tr>
      <w:tr w:rsidR="00B127F4" w:rsidRPr="0042566A" w:rsidTr="00E21D93">
        <w:trPr>
          <w:trHeight w:val="181"/>
        </w:trPr>
        <w:tc>
          <w:tcPr>
            <w:tcW w:w="5148" w:type="dxa"/>
          </w:tcPr>
          <w:p w:rsidR="00B127F4" w:rsidRPr="0042566A" w:rsidRDefault="00B127F4" w:rsidP="00B127F4">
            <w:pPr>
              <w:autoSpaceDE w:val="0"/>
              <w:autoSpaceDN w:val="0"/>
              <w:adjustRightInd w:val="0"/>
              <w:rPr>
                <w:color w:val="000000"/>
              </w:rPr>
            </w:pPr>
            <w:r w:rsidRPr="0042566A">
              <w:rPr>
                <w:color w:val="000000"/>
              </w:rPr>
              <w:t>Придобиване на имоти, машини и съоръжения</w:t>
            </w:r>
          </w:p>
        </w:tc>
        <w:tc>
          <w:tcPr>
            <w:tcW w:w="1350" w:type="dxa"/>
            <w:vAlign w:val="bottom"/>
          </w:tcPr>
          <w:p w:rsidR="00B127F4" w:rsidRPr="0042566A" w:rsidRDefault="00B127F4" w:rsidP="00B127F4">
            <w:pPr>
              <w:autoSpaceDE w:val="0"/>
              <w:autoSpaceDN w:val="0"/>
              <w:adjustRightInd w:val="0"/>
              <w:jc w:val="right"/>
            </w:pPr>
          </w:p>
        </w:tc>
        <w:tc>
          <w:tcPr>
            <w:tcW w:w="1407" w:type="dxa"/>
            <w:vAlign w:val="bottom"/>
          </w:tcPr>
          <w:p w:rsidR="00B127F4" w:rsidRPr="0042566A" w:rsidRDefault="00B127F4" w:rsidP="00702A8D">
            <w:pPr>
              <w:jc w:val="right"/>
            </w:pPr>
            <w:r w:rsidRPr="0042566A">
              <w:t>(</w:t>
            </w:r>
            <w:r w:rsidR="00702A8D" w:rsidRPr="0042566A">
              <w:t>63</w:t>
            </w:r>
            <w:r w:rsidRPr="0042566A">
              <w:t>)</w:t>
            </w:r>
          </w:p>
        </w:tc>
        <w:tc>
          <w:tcPr>
            <w:tcW w:w="1275" w:type="dxa"/>
            <w:vAlign w:val="bottom"/>
          </w:tcPr>
          <w:p w:rsidR="00B127F4" w:rsidRPr="0042566A" w:rsidRDefault="00B127F4" w:rsidP="00702A8D">
            <w:pPr>
              <w:jc w:val="right"/>
              <w:rPr>
                <w:lang w:val="en-US"/>
              </w:rPr>
            </w:pPr>
            <w:r w:rsidRPr="0042566A">
              <w:rPr>
                <w:lang w:val="en-US"/>
              </w:rPr>
              <w:t>(</w:t>
            </w:r>
            <w:r w:rsidR="00702A8D" w:rsidRPr="0042566A">
              <w:t>147</w:t>
            </w:r>
            <w:r w:rsidRPr="0042566A">
              <w:rPr>
                <w:lang w:val="en-US"/>
              </w:rPr>
              <w:t>)</w:t>
            </w:r>
          </w:p>
        </w:tc>
      </w:tr>
      <w:tr w:rsidR="00B127F4" w:rsidRPr="0042566A" w:rsidTr="00E21D93">
        <w:trPr>
          <w:trHeight w:val="181"/>
        </w:trPr>
        <w:tc>
          <w:tcPr>
            <w:tcW w:w="5148" w:type="dxa"/>
          </w:tcPr>
          <w:p w:rsidR="00B127F4" w:rsidRPr="0042566A" w:rsidRDefault="00B127F4" w:rsidP="00B127F4">
            <w:pPr>
              <w:autoSpaceDE w:val="0"/>
              <w:autoSpaceDN w:val="0"/>
              <w:adjustRightInd w:val="0"/>
              <w:rPr>
                <w:color w:val="000000"/>
              </w:rPr>
            </w:pPr>
            <w:r w:rsidRPr="0042566A">
              <w:rPr>
                <w:color w:val="000000"/>
              </w:rPr>
              <w:t>Постъпления от продажба на имоти, машини и съоръжения</w:t>
            </w:r>
          </w:p>
        </w:tc>
        <w:tc>
          <w:tcPr>
            <w:tcW w:w="1350" w:type="dxa"/>
            <w:vAlign w:val="bottom"/>
          </w:tcPr>
          <w:p w:rsidR="00B127F4" w:rsidRPr="0042566A" w:rsidRDefault="00B127F4" w:rsidP="00B127F4">
            <w:pPr>
              <w:autoSpaceDE w:val="0"/>
              <w:autoSpaceDN w:val="0"/>
              <w:adjustRightInd w:val="0"/>
              <w:jc w:val="right"/>
            </w:pPr>
          </w:p>
        </w:tc>
        <w:tc>
          <w:tcPr>
            <w:tcW w:w="1407" w:type="dxa"/>
            <w:vAlign w:val="bottom"/>
          </w:tcPr>
          <w:p w:rsidR="00B127F4" w:rsidRPr="0042566A" w:rsidRDefault="001372DA" w:rsidP="0042566A">
            <w:pPr>
              <w:jc w:val="right"/>
            </w:pPr>
            <w:r w:rsidRPr="0042566A">
              <w:t xml:space="preserve">3 </w:t>
            </w:r>
            <w:r w:rsidR="0042566A" w:rsidRPr="0042566A">
              <w:t>812</w:t>
            </w:r>
          </w:p>
        </w:tc>
        <w:tc>
          <w:tcPr>
            <w:tcW w:w="1275" w:type="dxa"/>
            <w:vAlign w:val="bottom"/>
          </w:tcPr>
          <w:p w:rsidR="00B127F4" w:rsidRPr="0042566A" w:rsidRDefault="0042566A" w:rsidP="00B127F4">
            <w:pPr>
              <w:jc w:val="right"/>
            </w:pPr>
            <w:r w:rsidRPr="0042566A">
              <w:t>8 371</w:t>
            </w:r>
          </w:p>
        </w:tc>
      </w:tr>
      <w:tr w:rsidR="00B127F4" w:rsidRPr="0042566A" w:rsidTr="00E21D93">
        <w:trPr>
          <w:trHeight w:val="181"/>
        </w:trPr>
        <w:tc>
          <w:tcPr>
            <w:tcW w:w="5148" w:type="dxa"/>
          </w:tcPr>
          <w:p w:rsidR="00B127F4" w:rsidRPr="0042566A" w:rsidRDefault="00B127F4" w:rsidP="00B127F4">
            <w:pPr>
              <w:autoSpaceDE w:val="0"/>
              <w:autoSpaceDN w:val="0"/>
              <w:adjustRightInd w:val="0"/>
            </w:pPr>
            <w:r w:rsidRPr="0042566A">
              <w:t>Парични потоци от инвестиции в дъщерни предприятия</w:t>
            </w:r>
          </w:p>
        </w:tc>
        <w:tc>
          <w:tcPr>
            <w:tcW w:w="1350" w:type="dxa"/>
            <w:vAlign w:val="bottom"/>
          </w:tcPr>
          <w:p w:rsidR="00B127F4" w:rsidRPr="0042566A" w:rsidRDefault="00B127F4" w:rsidP="00B127F4">
            <w:pPr>
              <w:autoSpaceDE w:val="0"/>
              <w:autoSpaceDN w:val="0"/>
              <w:adjustRightInd w:val="0"/>
              <w:jc w:val="right"/>
            </w:pPr>
          </w:p>
        </w:tc>
        <w:tc>
          <w:tcPr>
            <w:tcW w:w="1407" w:type="dxa"/>
            <w:vAlign w:val="bottom"/>
          </w:tcPr>
          <w:p w:rsidR="00B127F4" w:rsidRPr="0042566A" w:rsidRDefault="00702A8D" w:rsidP="00B127F4">
            <w:pPr>
              <w:jc w:val="right"/>
            </w:pPr>
            <w:r w:rsidRPr="0042566A">
              <w:t>-</w:t>
            </w:r>
          </w:p>
        </w:tc>
        <w:tc>
          <w:tcPr>
            <w:tcW w:w="1275" w:type="dxa"/>
            <w:vAlign w:val="bottom"/>
          </w:tcPr>
          <w:p w:rsidR="00B127F4" w:rsidRPr="0042566A" w:rsidRDefault="00702A8D" w:rsidP="00B127F4">
            <w:pPr>
              <w:jc w:val="right"/>
            </w:pPr>
            <w:r w:rsidRPr="0042566A">
              <w:t>4 174</w:t>
            </w:r>
          </w:p>
        </w:tc>
      </w:tr>
      <w:tr w:rsidR="00B127F4" w:rsidRPr="0042566A" w:rsidTr="00E21D93">
        <w:trPr>
          <w:trHeight w:val="181"/>
        </w:trPr>
        <w:tc>
          <w:tcPr>
            <w:tcW w:w="5148" w:type="dxa"/>
          </w:tcPr>
          <w:p w:rsidR="00B127F4" w:rsidRPr="0042566A" w:rsidRDefault="00B127F4" w:rsidP="00B127F4">
            <w:pPr>
              <w:autoSpaceDE w:val="0"/>
              <w:autoSpaceDN w:val="0"/>
              <w:adjustRightInd w:val="0"/>
              <w:rPr>
                <w:color w:val="000000"/>
              </w:rPr>
            </w:pPr>
            <w:r w:rsidRPr="0042566A">
              <w:t>Други парични потоци от инвестиционна дейност</w:t>
            </w:r>
          </w:p>
        </w:tc>
        <w:tc>
          <w:tcPr>
            <w:tcW w:w="1350" w:type="dxa"/>
            <w:vAlign w:val="bottom"/>
          </w:tcPr>
          <w:p w:rsidR="00B127F4" w:rsidRPr="0042566A" w:rsidRDefault="00B127F4" w:rsidP="00B127F4">
            <w:pPr>
              <w:autoSpaceDE w:val="0"/>
              <w:autoSpaceDN w:val="0"/>
              <w:adjustRightInd w:val="0"/>
              <w:jc w:val="right"/>
            </w:pPr>
          </w:p>
        </w:tc>
        <w:tc>
          <w:tcPr>
            <w:tcW w:w="1407" w:type="dxa"/>
            <w:vAlign w:val="bottom"/>
          </w:tcPr>
          <w:p w:rsidR="00B127F4" w:rsidRPr="0042566A" w:rsidRDefault="00B127F4" w:rsidP="00B127F4">
            <w:pPr>
              <w:jc w:val="right"/>
            </w:pPr>
            <w:r w:rsidRPr="0042566A">
              <w:t>-</w:t>
            </w:r>
          </w:p>
        </w:tc>
        <w:tc>
          <w:tcPr>
            <w:tcW w:w="1275" w:type="dxa"/>
            <w:vAlign w:val="bottom"/>
          </w:tcPr>
          <w:p w:rsidR="00B127F4" w:rsidRPr="0042566A" w:rsidRDefault="00702A8D" w:rsidP="00B127F4">
            <w:pPr>
              <w:jc w:val="right"/>
            </w:pPr>
            <w:r w:rsidRPr="0042566A">
              <w:t>-</w:t>
            </w:r>
          </w:p>
        </w:tc>
      </w:tr>
      <w:tr w:rsidR="00B127F4" w:rsidRPr="0042566A" w:rsidTr="00E21D93">
        <w:trPr>
          <w:trHeight w:val="181"/>
        </w:trPr>
        <w:tc>
          <w:tcPr>
            <w:tcW w:w="5148" w:type="dxa"/>
          </w:tcPr>
          <w:p w:rsidR="00B127F4" w:rsidRPr="0042566A" w:rsidRDefault="00B127F4" w:rsidP="00B127F4">
            <w:pPr>
              <w:autoSpaceDE w:val="0"/>
              <w:autoSpaceDN w:val="0"/>
              <w:adjustRightInd w:val="0"/>
              <w:rPr>
                <w:b/>
                <w:bCs/>
                <w:color w:val="000000"/>
              </w:rPr>
            </w:pPr>
            <w:r w:rsidRPr="0042566A">
              <w:rPr>
                <w:b/>
                <w:bCs/>
                <w:color w:val="000000"/>
              </w:rPr>
              <w:t>Нетен паричен поток от инвестиционна дейност</w:t>
            </w:r>
          </w:p>
        </w:tc>
        <w:tc>
          <w:tcPr>
            <w:tcW w:w="1350" w:type="dxa"/>
            <w:vAlign w:val="bottom"/>
          </w:tcPr>
          <w:p w:rsidR="00B127F4" w:rsidRPr="0042566A" w:rsidRDefault="00B127F4" w:rsidP="00B127F4">
            <w:pPr>
              <w:autoSpaceDE w:val="0"/>
              <w:autoSpaceDN w:val="0"/>
              <w:adjustRightInd w:val="0"/>
              <w:jc w:val="right"/>
              <w:rPr>
                <w:b/>
                <w:bCs/>
              </w:rPr>
            </w:pPr>
          </w:p>
        </w:tc>
        <w:tc>
          <w:tcPr>
            <w:tcW w:w="1407" w:type="dxa"/>
            <w:tcBorders>
              <w:top w:val="single" w:sz="4" w:space="0" w:color="auto"/>
              <w:bottom w:val="single" w:sz="4" w:space="0" w:color="auto"/>
            </w:tcBorders>
            <w:vAlign w:val="bottom"/>
          </w:tcPr>
          <w:p w:rsidR="00B127F4" w:rsidRPr="0042566A" w:rsidRDefault="0042566A" w:rsidP="00B127F4">
            <w:pPr>
              <w:jc w:val="right"/>
              <w:rPr>
                <w:b/>
              </w:rPr>
            </w:pPr>
            <w:r w:rsidRPr="0042566A">
              <w:rPr>
                <w:b/>
              </w:rPr>
              <w:t>3 749</w:t>
            </w:r>
          </w:p>
        </w:tc>
        <w:tc>
          <w:tcPr>
            <w:tcW w:w="1275" w:type="dxa"/>
            <w:tcBorders>
              <w:top w:val="single" w:sz="4" w:space="0" w:color="auto"/>
              <w:bottom w:val="single" w:sz="4" w:space="0" w:color="auto"/>
            </w:tcBorders>
            <w:vAlign w:val="bottom"/>
          </w:tcPr>
          <w:p w:rsidR="00B127F4" w:rsidRPr="0042566A" w:rsidRDefault="0042566A" w:rsidP="00B127F4">
            <w:pPr>
              <w:jc w:val="right"/>
              <w:rPr>
                <w:b/>
              </w:rPr>
            </w:pPr>
            <w:r w:rsidRPr="0042566A">
              <w:rPr>
                <w:b/>
              </w:rPr>
              <w:t>12 398</w:t>
            </w:r>
          </w:p>
        </w:tc>
      </w:tr>
      <w:tr w:rsidR="00B127F4" w:rsidRPr="0042566A" w:rsidTr="00E21D93">
        <w:trPr>
          <w:trHeight w:val="181"/>
        </w:trPr>
        <w:tc>
          <w:tcPr>
            <w:tcW w:w="5148" w:type="dxa"/>
          </w:tcPr>
          <w:p w:rsidR="00B127F4" w:rsidRPr="0042566A" w:rsidRDefault="00B127F4" w:rsidP="00B127F4">
            <w:pPr>
              <w:autoSpaceDE w:val="0"/>
              <w:autoSpaceDN w:val="0"/>
              <w:adjustRightInd w:val="0"/>
            </w:pPr>
          </w:p>
        </w:tc>
        <w:tc>
          <w:tcPr>
            <w:tcW w:w="1350" w:type="dxa"/>
            <w:vAlign w:val="bottom"/>
          </w:tcPr>
          <w:p w:rsidR="00B127F4" w:rsidRPr="0042566A" w:rsidRDefault="00B127F4" w:rsidP="00B127F4">
            <w:pPr>
              <w:autoSpaceDE w:val="0"/>
              <w:autoSpaceDN w:val="0"/>
              <w:adjustRightInd w:val="0"/>
              <w:jc w:val="right"/>
            </w:pPr>
          </w:p>
        </w:tc>
        <w:tc>
          <w:tcPr>
            <w:tcW w:w="1407" w:type="dxa"/>
            <w:tcBorders>
              <w:top w:val="single" w:sz="4" w:space="0" w:color="auto"/>
            </w:tcBorders>
            <w:vAlign w:val="bottom"/>
          </w:tcPr>
          <w:p w:rsidR="00B127F4" w:rsidRPr="0042566A" w:rsidRDefault="00B127F4" w:rsidP="00B127F4">
            <w:pPr>
              <w:autoSpaceDE w:val="0"/>
              <w:autoSpaceDN w:val="0"/>
              <w:adjustRightInd w:val="0"/>
              <w:jc w:val="right"/>
            </w:pPr>
          </w:p>
        </w:tc>
        <w:tc>
          <w:tcPr>
            <w:tcW w:w="1275" w:type="dxa"/>
            <w:tcBorders>
              <w:top w:val="single" w:sz="4" w:space="0" w:color="auto"/>
            </w:tcBorders>
            <w:vAlign w:val="bottom"/>
          </w:tcPr>
          <w:p w:rsidR="00B127F4" w:rsidRPr="0042566A" w:rsidRDefault="00B127F4" w:rsidP="00B127F4">
            <w:pPr>
              <w:autoSpaceDE w:val="0"/>
              <w:autoSpaceDN w:val="0"/>
              <w:adjustRightInd w:val="0"/>
              <w:jc w:val="right"/>
            </w:pPr>
          </w:p>
        </w:tc>
      </w:tr>
      <w:tr w:rsidR="00B127F4" w:rsidRPr="0042566A" w:rsidTr="00E21D93">
        <w:trPr>
          <w:trHeight w:val="181"/>
        </w:trPr>
        <w:tc>
          <w:tcPr>
            <w:tcW w:w="5148" w:type="dxa"/>
          </w:tcPr>
          <w:p w:rsidR="00B127F4" w:rsidRPr="0042566A" w:rsidRDefault="00B127F4" w:rsidP="00B127F4">
            <w:pPr>
              <w:autoSpaceDE w:val="0"/>
              <w:autoSpaceDN w:val="0"/>
              <w:adjustRightInd w:val="0"/>
              <w:rPr>
                <w:b/>
                <w:bCs/>
                <w:color w:val="000000"/>
              </w:rPr>
            </w:pPr>
            <w:r w:rsidRPr="0042566A">
              <w:rPr>
                <w:b/>
                <w:bCs/>
              </w:rPr>
              <w:t>Финансова дейност</w:t>
            </w:r>
          </w:p>
        </w:tc>
        <w:tc>
          <w:tcPr>
            <w:tcW w:w="1350" w:type="dxa"/>
            <w:vAlign w:val="bottom"/>
          </w:tcPr>
          <w:p w:rsidR="00B127F4" w:rsidRPr="0042566A" w:rsidRDefault="00B127F4" w:rsidP="00B127F4">
            <w:pPr>
              <w:autoSpaceDE w:val="0"/>
              <w:autoSpaceDN w:val="0"/>
              <w:adjustRightInd w:val="0"/>
              <w:jc w:val="right"/>
            </w:pPr>
          </w:p>
        </w:tc>
        <w:tc>
          <w:tcPr>
            <w:tcW w:w="1407" w:type="dxa"/>
            <w:vAlign w:val="bottom"/>
          </w:tcPr>
          <w:p w:rsidR="00B127F4" w:rsidRPr="0042566A" w:rsidRDefault="00B127F4" w:rsidP="00B127F4">
            <w:pPr>
              <w:autoSpaceDE w:val="0"/>
              <w:autoSpaceDN w:val="0"/>
              <w:adjustRightInd w:val="0"/>
              <w:jc w:val="right"/>
            </w:pPr>
          </w:p>
        </w:tc>
        <w:tc>
          <w:tcPr>
            <w:tcW w:w="1275" w:type="dxa"/>
            <w:vAlign w:val="bottom"/>
          </w:tcPr>
          <w:p w:rsidR="00B127F4" w:rsidRPr="0042566A" w:rsidRDefault="00B127F4" w:rsidP="00B127F4">
            <w:pPr>
              <w:autoSpaceDE w:val="0"/>
              <w:autoSpaceDN w:val="0"/>
              <w:adjustRightInd w:val="0"/>
              <w:jc w:val="right"/>
            </w:pPr>
          </w:p>
        </w:tc>
      </w:tr>
      <w:tr w:rsidR="00B127F4" w:rsidRPr="0042566A" w:rsidTr="00E21D93">
        <w:trPr>
          <w:trHeight w:val="181"/>
        </w:trPr>
        <w:tc>
          <w:tcPr>
            <w:tcW w:w="5148" w:type="dxa"/>
          </w:tcPr>
          <w:p w:rsidR="00B127F4" w:rsidRPr="0042566A" w:rsidRDefault="00D835D6" w:rsidP="00B127F4">
            <w:pPr>
              <w:autoSpaceDE w:val="0"/>
              <w:autoSpaceDN w:val="0"/>
              <w:adjustRightInd w:val="0"/>
              <w:rPr>
                <w:color w:val="000000"/>
              </w:rPr>
            </w:pPr>
            <w:r w:rsidRPr="0042566A">
              <w:rPr>
                <w:color w:val="000000"/>
              </w:rPr>
              <w:t>Постъпления от дъщерни дружества във връзка с поети ангажименти за изплащане на заеми</w:t>
            </w:r>
          </w:p>
        </w:tc>
        <w:tc>
          <w:tcPr>
            <w:tcW w:w="1350" w:type="dxa"/>
            <w:vAlign w:val="bottom"/>
          </w:tcPr>
          <w:p w:rsidR="00B127F4" w:rsidRPr="0042566A" w:rsidRDefault="00B127F4" w:rsidP="00B127F4">
            <w:pPr>
              <w:autoSpaceDE w:val="0"/>
              <w:autoSpaceDN w:val="0"/>
              <w:adjustRightInd w:val="0"/>
              <w:jc w:val="right"/>
            </w:pPr>
          </w:p>
        </w:tc>
        <w:tc>
          <w:tcPr>
            <w:tcW w:w="1407" w:type="dxa"/>
            <w:vAlign w:val="bottom"/>
          </w:tcPr>
          <w:p w:rsidR="00B127F4" w:rsidRPr="0042566A" w:rsidRDefault="0042566A" w:rsidP="00B127F4">
            <w:pPr>
              <w:jc w:val="right"/>
            </w:pPr>
            <w:r w:rsidRPr="0042566A">
              <w:t>46 785</w:t>
            </w:r>
          </w:p>
        </w:tc>
        <w:tc>
          <w:tcPr>
            <w:tcW w:w="1275" w:type="dxa"/>
            <w:vAlign w:val="bottom"/>
          </w:tcPr>
          <w:p w:rsidR="00B127F4" w:rsidRPr="0042566A" w:rsidRDefault="0042566A" w:rsidP="00B127F4">
            <w:pPr>
              <w:jc w:val="right"/>
            </w:pPr>
            <w:r w:rsidRPr="0042566A">
              <w:t>51 480</w:t>
            </w:r>
          </w:p>
        </w:tc>
      </w:tr>
      <w:tr w:rsidR="00B127F4" w:rsidRPr="0042566A" w:rsidTr="00E21D93">
        <w:trPr>
          <w:trHeight w:val="181"/>
        </w:trPr>
        <w:tc>
          <w:tcPr>
            <w:tcW w:w="5148" w:type="dxa"/>
          </w:tcPr>
          <w:p w:rsidR="00B127F4" w:rsidRPr="0042566A" w:rsidRDefault="00B127F4" w:rsidP="00B127F4">
            <w:pPr>
              <w:autoSpaceDE w:val="0"/>
              <w:autoSpaceDN w:val="0"/>
              <w:adjustRightInd w:val="0"/>
              <w:rPr>
                <w:color w:val="000000"/>
              </w:rPr>
            </w:pPr>
            <w:r w:rsidRPr="0042566A">
              <w:rPr>
                <w:color w:val="000000"/>
              </w:rPr>
              <w:t>Плащания по получени заеми</w:t>
            </w:r>
          </w:p>
        </w:tc>
        <w:tc>
          <w:tcPr>
            <w:tcW w:w="1350" w:type="dxa"/>
            <w:vAlign w:val="bottom"/>
          </w:tcPr>
          <w:p w:rsidR="00B127F4" w:rsidRPr="0042566A" w:rsidRDefault="00B127F4" w:rsidP="00B127F4">
            <w:pPr>
              <w:autoSpaceDE w:val="0"/>
              <w:autoSpaceDN w:val="0"/>
              <w:adjustRightInd w:val="0"/>
              <w:jc w:val="right"/>
            </w:pPr>
          </w:p>
        </w:tc>
        <w:tc>
          <w:tcPr>
            <w:tcW w:w="1407" w:type="dxa"/>
            <w:vAlign w:val="bottom"/>
          </w:tcPr>
          <w:p w:rsidR="00B127F4" w:rsidRPr="0042566A" w:rsidRDefault="00B127F4" w:rsidP="0042566A">
            <w:pPr>
              <w:jc w:val="right"/>
            </w:pPr>
            <w:r w:rsidRPr="0042566A">
              <w:t>(</w:t>
            </w:r>
            <w:r w:rsidR="0042566A" w:rsidRPr="0042566A">
              <w:t>47 872</w:t>
            </w:r>
            <w:r w:rsidRPr="0042566A">
              <w:t>)</w:t>
            </w:r>
          </w:p>
        </w:tc>
        <w:tc>
          <w:tcPr>
            <w:tcW w:w="1275" w:type="dxa"/>
            <w:vAlign w:val="bottom"/>
          </w:tcPr>
          <w:p w:rsidR="00B127F4" w:rsidRPr="0042566A" w:rsidRDefault="00B127F4" w:rsidP="0042566A">
            <w:pPr>
              <w:jc w:val="right"/>
              <w:rPr>
                <w:lang w:val="en-US"/>
              </w:rPr>
            </w:pPr>
            <w:r w:rsidRPr="0042566A">
              <w:rPr>
                <w:lang w:val="en-US"/>
              </w:rPr>
              <w:t>(</w:t>
            </w:r>
            <w:r w:rsidR="0042566A" w:rsidRPr="0042566A">
              <w:t>56 350</w:t>
            </w:r>
            <w:r w:rsidRPr="0042566A">
              <w:rPr>
                <w:lang w:val="en-US"/>
              </w:rPr>
              <w:t>)</w:t>
            </w:r>
          </w:p>
        </w:tc>
      </w:tr>
      <w:tr w:rsidR="00B127F4" w:rsidRPr="0042566A" w:rsidTr="00E21D93">
        <w:trPr>
          <w:trHeight w:val="181"/>
        </w:trPr>
        <w:tc>
          <w:tcPr>
            <w:tcW w:w="5148" w:type="dxa"/>
          </w:tcPr>
          <w:p w:rsidR="00B127F4" w:rsidRPr="0042566A" w:rsidRDefault="00B127F4" w:rsidP="00B127F4">
            <w:pPr>
              <w:autoSpaceDE w:val="0"/>
              <w:autoSpaceDN w:val="0"/>
              <w:adjustRightInd w:val="0"/>
              <w:rPr>
                <w:color w:val="000000"/>
              </w:rPr>
            </w:pPr>
            <w:r w:rsidRPr="0042566A">
              <w:rPr>
                <w:color w:val="000000"/>
              </w:rPr>
              <w:t>Плащания по финансов лизинг</w:t>
            </w:r>
          </w:p>
        </w:tc>
        <w:tc>
          <w:tcPr>
            <w:tcW w:w="1350" w:type="dxa"/>
            <w:vAlign w:val="bottom"/>
          </w:tcPr>
          <w:p w:rsidR="00B127F4" w:rsidRPr="0042566A" w:rsidRDefault="00B127F4" w:rsidP="00B127F4">
            <w:pPr>
              <w:autoSpaceDE w:val="0"/>
              <w:autoSpaceDN w:val="0"/>
              <w:adjustRightInd w:val="0"/>
              <w:jc w:val="right"/>
            </w:pPr>
          </w:p>
        </w:tc>
        <w:tc>
          <w:tcPr>
            <w:tcW w:w="1407" w:type="dxa"/>
            <w:vAlign w:val="bottom"/>
          </w:tcPr>
          <w:p w:rsidR="00B127F4" w:rsidRPr="0042566A" w:rsidRDefault="00B127F4" w:rsidP="00B127F4">
            <w:pPr>
              <w:jc w:val="right"/>
            </w:pPr>
            <w:r w:rsidRPr="0042566A">
              <w:t>-</w:t>
            </w:r>
          </w:p>
        </w:tc>
        <w:tc>
          <w:tcPr>
            <w:tcW w:w="1275" w:type="dxa"/>
            <w:vAlign w:val="bottom"/>
          </w:tcPr>
          <w:p w:rsidR="00B127F4" w:rsidRPr="0042566A" w:rsidRDefault="00702A8D" w:rsidP="00B127F4">
            <w:pPr>
              <w:jc w:val="right"/>
            </w:pPr>
            <w:r w:rsidRPr="0042566A">
              <w:t>-</w:t>
            </w:r>
          </w:p>
        </w:tc>
      </w:tr>
      <w:tr w:rsidR="00B127F4" w:rsidRPr="0042566A" w:rsidTr="00E21D93">
        <w:trPr>
          <w:trHeight w:val="181"/>
        </w:trPr>
        <w:tc>
          <w:tcPr>
            <w:tcW w:w="5148" w:type="dxa"/>
          </w:tcPr>
          <w:p w:rsidR="00B127F4" w:rsidRPr="0042566A" w:rsidRDefault="00B127F4" w:rsidP="00B127F4">
            <w:pPr>
              <w:autoSpaceDE w:val="0"/>
              <w:autoSpaceDN w:val="0"/>
              <w:adjustRightInd w:val="0"/>
              <w:rPr>
                <w:color w:val="000000"/>
              </w:rPr>
            </w:pPr>
            <w:r w:rsidRPr="0042566A">
              <w:rPr>
                <w:color w:val="000000"/>
              </w:rPr>
              <w:t>Плащания на лихви</w:t>
            </w:r>
          </w:p>
        </w:tc>
        <w:tc>
          <w:tcPr>
            <w:tcW w:w="1350" w:type="dxa"/>
            <w:vAlign w:val="bottom"/>
          </w:tcPr>
          <w:p w:rsidR="00B127F4" w:rsidRPr="0042566A" w:rsidRDefault="00B127F4" w:rsidP="00B127F4">
            <w:pPr>
              <w:autoSpaceDE w:val="0"/>
              <w:autoSpaceDN w:val="0"/>
              <w:adjustRightInd w:val="0"/>
              <w:jc w:val="right"/>
            </w:pPr>
          </w:p>
        </w:tc>
        <w:tc>
          <w:tcPr>
            <w:tcW w:w="1407" w:type="dxa"/>
            <w:vAlign w:val="bottom"/>
          </w:tcPr>
          <w:p w:rsidR="00B127F4" w:rsidRPr="0042566A" w:rsidRDefault="00B127F4" w:rsidP="0042566A">
            <w:pPr>
              <w:jc w:val="right"/>
            </w:pPr>
            <w:r w:rsidRPr="0042566A">
              <w:t>(</w:t>
            </w:r>
            <w:r w:rsidR="0042566A" w:rsidRPr="0042566A">
              <w:t>818</w:t>
            </w:r>
            <w:r w:rsidRPr="0042566A">
              <w:t>)</w:t>
            </w:r>
          </w:p>
        </w:tc>
        <w:tc>
          <w:tcPr>
            <w:tcW w:w="1275" w:type="dxa"/>
            <w:vAlign w:val="bottom"/>
          </w:tcPr>
          <w:p w:rsidR="00B127F4" w:rsidRPr="0042566A" w:rsidRDefault="00B127F4" w:rsidP="0042566A">
            <w:pPr>
              <w:jc w:val="right"/>
              <w:rPr>
                <w:lang w:val="en-US"/>
              </w:rPr>
            </w:pPr>
            <w:r w:rsidRPr="0042566A">
              <w:rPr>
                <w:lang w:val="en-US"/>
              </w:rPr>
              <w:t>(</w:t>
            </w:r>
            <w:r w:rsidR="0042566A" w:rsidRPr="0042566A">
              <w:t>6 477</w:t>
            </w:r>
            <w:r w:rsidRPr="0042566A">
              <w:rPr>
                <w:lang w:val="en-US"/>
              </w:rPr>
              <w:t>)</w:t>
            </w:r>
          </w:p>
        </w:tc>
      </w:tr>
      <w:tr w:rsidR="00B127F4" w:rsidRPr="0042566A" w:rsidTr="00E21D93">
        <w:trPr>
          <w:trHeight w:val="181"/>
        </w:trPr>
        <w:tc>
          <w:tcPr>
            <w:tcW w:w="5148" w:type="dxa"/>
          </w:tcPr>
          <w:p w:rsidR="00B127F4" w:rsidRPr="0042566A" w:rsidRDefault="00B127F4" w:rsidP="00B127F4">
            <w:pPr>
              <w:autoSpaceDE w:val="0"/>
              <w:autoSpaceDN w:val="0"/>
              <w:adjustRightInd w:val="0"/>
              <w:rPr>
                <w:b/>
                <w:bCs/>
                <w:color w:val="000000"/>
              </w:rPr>
            </w:pPr>
            <w:r w:rsidRPr="0042566A">
              <w:rPr>
                <w:b/>
                <w:bCs/>
                <w:color w:val="000000"/>
              </w:rPr>
              <w:t>Нетен паричен  поток от финансова дейност</w:t>
            </w:r>
          </w:p>
        </w:tc>
        <w:tc>
          <w:tcPr>
            <w:tcW w:w="1350" w:type="dxa"/>
            <w:vAlign w:val="bottom"/>
          </w:tcPr>
          <w:p w:rsidR="00B127F4" w:rsidRPr="0042566A" w:rsidRDefault="00B127F4" w:rsidP="00B127F4">
            <w:pPr>
              <w:autoSpaceDE w:val="0"/>
              <w:autoSpaceDN w:val="0"/>
              <w:adjustRightInd w:val="0"/>
              <w:jc w:val="right"/>
              <w:rPr>
                <w:b/>
                <w:bCs/>
              </w:rPr>
            </w:pPr>
          </w:p>
        </w:tc>
        <w:tc>
          <w:tcPr>
            <w:tcW w:w="1407" w:type="dxa"/>
            <w:tcBorders>
              <w:top w:val="single" w:sz="4" w:space="0" w:color="auto"/>
              <w:bottom w:val="single" w:sz="4" w:space="0" w:color="auto"/>
            </w:tcBorders>
            <w:vAlign w:val="bottom"/>
          </w:tcPr>
          <w:p w:rsidR="00B127F4" w:rsidRPr="0042566A" w:rsidRDefault="00B127F4" w:rsidP="00702A8D">
            <w:pPr>
              <w:jc w:val="right"/>
              <w:rPr>
                <w:b/>
              </w:rPr>
            </w:pPr>
            <w:r w:rsidRPr="0042566A">
              <w:rPr>
                <w:b/>
              </w:rPr>
              <w:t>(1</w:t>
            </w:r>
            <w:r w:rsidR="00702A8D" w:rsidRPr="0042566A">
              <w:rPr>
                <w:b/>
              </w:rPr>
              <w:t xml:space="preserve"> 905</w:t>
            </w:r>
            <w:r w:rsidRPr="0042566A">
              <w:rPr>
                <w:b/>
              </w:rPr>
              <w:t>)</w:t>
            </w:r>
          </w:p>
        </w:tc>
        <w:tc>
          <w:tcPr>
            <w:tcW w:w="1275" w:type="dxa"/>
            <w:tcBorders>
              <w:top w:val="single" w:sz="4" w:space="0" w:color="auto"/>
              <w:bottom w:val="single" w:sz="4" w:space="0" w:color="auto"/>
            </w:tcBorders>
            <w:vAlign w:val="bottom"/>
          </w:tcPr>
          <w:p w:rsidR="00B127F4" w:rsidRPr="0042566A" w:rsidRDefault="00B127F4" w:rsidP="0042566A">
            <w:pPr>
              <w:jc w:val="right"/>
              <w:rPr>
                <w:b/>
                <w:lang w:val="en-US"/>
              </w:rPr>
            </w:pPr>
            <w:r w:rsidRPr="0042566A">
              <w:rPr>
                <w:b/>
                <w:lang w:val="en-US"/>
              </w:rPr>
              <w:t>(</w:t>
            </w:r>
            <w:r w:rsidR="0042566A" w:rsidRPr="0042566A">
              <w:rPr>
                <w:b/>
              </w:rPr>
              <w:t>11 347</w:t>
            </w:r>
            <w:r w:rsidRPr="0042566A">
              <w:rPr>
                <w:b/>
                <w:lang w:val="en-US"/>
              </w:rPr>
              <w:t>)</w:t>
            </w:r>
          </w:p>
        </w:tc>
      </w:tr>
      <w:tr w:rsidR="00B127F4" w:rsidRPr="0042566A" w:rsidTr="00E21D93">
        <w:trPr>
          <w:trHeight w:val="181"/>
        </w:trPr>
        <w:tc>
          <w:tcPr>
            <w:tcW w:w="5148" w:type="dxa"/>
          </w:tcPr>
          <w:p w:rsidR="00B127F4" w:rsidRPr="0042566A" w:rsidRDefault="00B127F4" w:rsidP="00B127F4">
            <w:pPr>
              <w:autoSpaceDE w:val="0"/>
              <w:autoSpaceDN w:val="0"/>
              <w:adjustRightInd w:val="0"/>
              <w:rPr>
                <w:b/>
                <w:bCs/>
                <w:color w:val="000000"/>
              </w:rPr>
            </w:pPr>
          </w:p>
        </w:tc>
        <w:tc>
          <w:tcPr>
            <w:tcW w:w="1350" w:type="dxa"/>
            <w:vAlign w:val="bottom"/>
          </w:tcPr>
          <w:p w:rsidR="00B127F4" w:rsidRPr="0042566A" w:rsidRDefault="00B127F4" w:rsidP="00B127F4">
            <w:pPr>
              <w:autoSpaceDE w:val="0"/>
              <w:autoSpaceDN w:val="0"/>
              <w:adjustRightInd w:val="0"/>
              <w:jc w:val="right"/>
            </w:pPr>
          </w:p>
        </w:tc>
        <w:tc>
          <w:tcPr>
            <w:tcW w:w="1407" w:type="dxa"/>
            <w:tcBorders>
              <w:top w:val="single" w:sz="4" w:space="0" w:color="auto"/>
            </w:tcBorders>
            <w:vAlign w:val="bottom"/>
          </w:tcPr>
          <w:p w:rsidR="00B127F4" w:rsidRPr="0042566A" w:rsidRDefault="00B127F4" w:rsidP="00B127F4">
            <w:pPr>
              <w:autoSpaceDE w:val="0"/>
              <w:autoSpaceDN w:val="0"/>
              <w:adjustRightInd w:val="0"/>
              <w:jc w:val="right"/>
            </w:pPr>
          </w:p>
        </w:tc>
        <w:tc>
          <w:tcPr>
            <w:tcW w:w="1275" w:type="dxa"/>
            <w:tcBorders>
              <w:top w:val="single" w:sz="4" w:space="0" w:color="auto"/>
            </w:tcBorders>
            <w:vAlign w:val="bottom"/>
          </w:tcPr>
          <w:p w:rsidR="00B127F4" w:rsidRPr="0042566A" w:rsidRDefault="00B127F4" w:rsidP="00B127F4">
            <w:pPr>
              <w:autoSpaceDE w:val="0"/>
              <w:autoSpaceDN w:val="0"/>
              <w:adjustRightInd w:val="0"/>
              <w:jc w:val="right"/>
            </w:pPr>
          </w:p>
        </w:tc>
      </w:tr>
      <w:tr w:rsidR="00B127F4" w:rsidRPr="0042566A" w:rsidTr="00E21D93">
        <w:trPr>
          <w:trHeight w:val="181"/>
        </w:trPr>
        <w:tc>
          <w:tcPr>
            <w:tcW w:w="5148" w:type="dxa"/>
          </w:tcPr>
          <w:p w:rsidR="00B127F4" w:rsidRPr="0042566A" w:rsidRDefault="00B127F4" w:rsidP="00B127F4">
            <w:pPr>
              <w:autoSpaceDE w:val="0"/>
              <w:autoSpaceDN w:val="0"/>
              <w:adjustRightInd w:val="0"/>
              <w:rPr>
                <w:b/>
                <w:bCs/>
                <w:color w:val="000000"/>
              </w:rPr>
            </w:pPr>
            <w:r w:rsidRPr="0042566A">
              <w:t>Нетна промяна на пари и парични еквиваленти</w:t>
            </w:r>
          </w:p>
        </w:tc>
        <w:tc>
          <w:tcPr>
            <w:tcW w:w="1350" w:type="dxa"/>
            <w:vAlign w:val="bottom"/>
          </w:tcPr>
          <w:p w:rsidR="00B127F4" w:rsidRPr="0042566A" w:rsidRDefault="00B127F4" w:rsidP="00B127F4">
            <w:pPr>
              <w:autoSpaceDE w:val="0"/>
              <w:autoSpaceDN w:val="0"/>
              <w:adjustRightInd w:val="0"/>
              <w:jc w:val="right"/>
              <w:rPr>
                <w:b/>
                <w:bCs/>
              </w:rPr>
            </w:pPr>
          </w:p>
        </w:tc>
        <w:tc>
          <w:tcPr>
            <w:tcW w:w="1407" w:type="dxa"/>
            <w:tcBorders>
              <w:top w:val="single" w:sz="4" w:space="0" w:color="auto"/>
              <w:bottom w:val="single" w:sz="4" w:space="0" w:color="auto"/>
            </w:tcBorders>
            <w:vAlign w:val="bottom"/>
          </w:tcPr>
          <w:p w:rsidR="00B127F4" w:rsidRPr="0042566A" w:rsidRDefault="0042566A" w:rsidP="00B127F4">
            <w:pPr>
              <w:jc w:val="right"/>
            </w:pPr>
            <w:r w:rsidRPr="0042566A">
              <w:t>21</w:t>
            </w:r>
          </w:p>
        </w:tc>
        <w:tc>
          <w:tcPr>
            <w:tcW w:w="1275" w:type="dxa"/>
            <w:tcBorders>
              <w:top w:val="single" w:sz="4" w:space="0" w:color="auto"/>
              <w:bottom w:val="single" w:sz="4" w:space="0" w:color="auto"/>
            </w:tcBorders>
            <w:vAlign w:val="bottom"/>
          </w:tcPr>
          <w:p w:rsidR="00B127F4" w:rsidRPr="0042566A" w:rsidRDefault="00B127F4" w:rsidP="0042566A">
            <w:pPr>
              <w:jc w:val="right"/>
              <w:rPr>
                <w:lang w:val="en-US"/>
              </w:rPr>
            </w:pPr>
            <w:r w:rsidRPr="0042566A">
              <w:rPr>
                <w:lang w:val="en-US"/>
              </w:rPr>
              <w:t>(</w:t>
            </w:r>
            <w:r w:rsidR="0042566A" w:rsidRPr="0042566A">
              <w:t>56</w:t>
            </w:r>
            <w:r w:rsidRPr="0042566A">
              <w:rPr>
                <w:lang w:val="en-US"/>
              </w:rPr>
              <w:t>)</w:t>
            </w:r>
          </w:p>
        </w:tc>
      </w:tr>
      <w:tr w:rsidR="00B127F4" w:rsidRPr="0042566A" w:rsidTr="00E21D93">
        <w:trPr>
          <w:trHeight w:val="181"/>
        </w:trPr>
        <w:tc>
          <w:tcPr>
            <w:tcW w:w="5148" w:type="dxa"/>
          </w:tcPr>
          <w:p w:rsidR="00B127F4" w:rsidRPr="0042566A" w:rsidRDefault="00B127F4" w:rsidP="00B127F4">
            <w:pPr>
              <w:autoSpaceDE w:val="0"/>
              <w:autoSpaceDN w:val="0"/>
              <w:adjustRightInd w:val="0"/>
            </w:pPr>
            <w:r w:rsidRPr="0042566A">
              <w:rPr>
                <w:color w:val="000000"/>
              </w:rPr>
              <w:t>Пари и парични еквиваленти в началото на годината</w:t>
            </w:r>
          </w:p>
        </w:tc>
        <w:tc>
          <w:tcPr>
            <w:tcW w:w="1350" w:type="dxa"/>
            <w:vAlign w:val="bottom"/>
          </w:tcPr>
          <w:p w:rsidR="00B127F4" w:rsidRPr="0042566A" w:rsidRDefault="00B127F4" w:rsidP="00B127F4">
            <w:pPr>
              <w:autoSpaceDE w:val="0"/>
              <w:autoSpaceDN w:val="0"/>
              <w:adjustRightInd w:val="0"/>
              <w:jc w:val="right"/>
            </w:pPr>
          </w:p>
        </w:tc>
        <w:tc>
          <w:tcPr>
            <w:tcW w:w="1407" w:type="dxa"/>
            <w:tcBorders>
              <w:top w:val="single" w:sz="4" w:space="0" w:color="auto"/>
            </w:tcBorders>
            <w:vAlign w:val="bottom"/>
          </w:tcPr>
          <w:p w:rsidR="00B127F4" w:rsidRPr="0042566A" w:rsidRDefault="00702A8D" w:rsidP="00B127F4">
            <w:pPr>
              <w:jc w:val="right"/>
            </w:pPr>
            <w:r w:rsidRPr="0042566A">
              <w:t>1 240</w:t>
            </w:r>
          </w:p>
        </w:tc>
        <w:tc>
          <w:tcPr>
            <w:tcW w:w="1275" w:type="dxa"/>
            <w:tcBorders>
              <w:top w:val="single" w:sz="4" w:space="0" w:color="auto"/>
            </w:tcBorders>
            <w:vAlign w:val="bottom"/>
          </w:tcPr>
          <w:p w:rsidR="00B127F4" w:rsidRPr="0042566A" w:rsidRDefault="00702A8D" w:rsidP="00B127F4">
            <w:pPr>
              <w:jc w:val="right"/>
            </w:pPr>
            <w:r w:rsidRPr="0042566A">
              <w:t>401</w:t>
            </w:r>
          </w:p>
        </w:tc>
      </w:tr>
      <w:tr w:rsidR="00B127F4" w:rsidRPr="0042566A" w:rsidTr="00E21D93">
        <w:trPr>
          <w:trHeight w:val="181"/>
        </w:trPr>
        <w:tc>
          <w:tcPr>
            <w:tcW w:w="5148" w:type="dxa"/>
          </w:tcPr>
          <w:p w:rsidR="00B127F4" w:rsidRPr="0042566A" w:rsidRDefault="00B127F4" w:rsidP="00B127F4">
            <w:pPr>
              <w:pStyle w:val="NormalWeb"/>
              <w:autoSpaceDE w:val="0"/>
              <w:autoSpaceDN w:val="0"/>
              <w:adjustRightInd w:val="0"/>
              <w:spacing w:before="0" w:after="0"/>
              <w:rPr>
                <w:sz w:val="22"/>
                <w:szCs w:val="22"/>
                <w:lang w:val="bg-BG"/>
              </w:rPr>
            </w:pPr>
            <w:r w:rsidRPr="0042566A">
              <w:rPr>
                <w:sz w:val="22"/>
                <w:szCs w:val="22"/>
                <w:lang w:val="bg-BG"/>
              </w:rPr>
              <w:t>Печалба/(загуба) от валутна преоценка на пари и парични еквиваленти</w:t>
            </w:r>
          </w:p>
        </w:tc>
        <w:tc>
          <w:tcPr>
            <w:tcW w:w="1350" w:type="dxa"/>
            <w:vAlign w:val="bottom"/>
          </w:tcPr>
          <w:p w:rsidR="00B127F4" w:rsidRPr="0042566A" w:rsidRDefault="00B127F4" w:rsidP="00B127F4">
            <w:pPr>
              <w:autoSpaceDE w:val="0"/>
              <w:autoSpaceDN w:val="0"/>
              <w:adjustRightInd w:val="0"/>
              <w:jc w:val="right"/>
            </w:pPr>
          </w:p>
        </w:tc>
        <w:tc>
          <w:tcPr>
            <w:tcW w:w="1407" w:type="dxa"/>
            <w:tcBorders>
              <w:bottom w:val="single" w:sz="4" w:space="0" w:color="auto"/>
            </w:tcBorders>
            <w:vAlign w:val="bottom"/>
          </w:tcPr>
          <w:p w:rsidR="00B127F4" w:rsidRPr="0042566A" w:rsidRDefault="00B127F4" w:rsidP="00702A8D">
            <w:pPr>
              <w:jc w:val="right"/>
            </w:pPr>
            <w:r w:rsidRPr="0042566A">
              <w:t>(</w:t>
            </w:r>
            <w:r w:rsidR="00702A8D" w:rsidRPr="0042566A">
              <w:t>1</w:t>
            </w:r>
            <w:r w:rsidRPr="0042566A">
              <w:t>)</w:t>
            </w:r>
          </w:p>
        </w:tc>
        <w:tc>
          <w:tcPr>
            <w:tcW w:w="1275" w:type="dxa"/>
            <w:tcBorders>
              <w:bottom w:val="single" w:sz="4" w:space="0" w:color="auto"/>
            </w:tcBorders>
            <w:vAlign w:val="bottom"/>
          </w:tcPr>
          <w:p w:rsidR="00B127F4" w:rsidRPr="0042566A" w:rsidRDefault="00B127F4" w:rsidP="0042566A">
            <w:pPr>
              <w:jc w:val="right"/>
              <w:rPr>
                <w:lang w:val="en-US"/>
              </w:rPr>
            </w:pPr>
            <w:r w:rsidRPr="0042566A">
              <w:rPr>
                <w:lang w:val="en-US"/>
              </w:rPr>
              <w:t>(</w:t>
            </w:r>
            <w:r w:rsidR="0042566A" w:rsidRPr="0042566A">
              <w:t>7</w:t>
            </w:r>
            <w:r w:rsidRPr="0042566A">
              <w:rPr>
                <w:lang w:val="en-US"/>
              </w:rPr>
              <w:t>)</w:t>
            </w:r>
          </w:p>
        </w:tc>
      </w:tr>
      <w:tr w:rsidR="00B127F4" w:rsidRPr="0042566A" w:rsidTr="00E21D93">
        <w:trPr>
          <w:trHeight w:val="181"/>
        </w:trPr>
        <w:tc>
          <w:tcPr>
            <w:tcW w:w="5148" w:type="dxa"/>
          </w:tcPr>
          <w:p w:rsidR="00B127F4" w:rsidRPr="0042566A" w:rsidRDefault="00B127F4" w:rsidP="00BA2DE2">
            <w:pPr>
              <w:pStyle w:val="NormalWeb"/>
              <w:autoSpaceDE w:val="0"/>
              <w:autoSpaceDN w:val="0"/>
              <w:adjustRightInd w:val="0"/>
              <w:spacing w:before="0" w:after="0"/>
              <w:rPr>
                <w:sz w:val="22"/>
                <w:szCs w:val="22"/>
                <w:lang w:val="bg-BG"/>
              </w:rPr>
            </w:pPr>
            <w:r w:rsidRPr="0042566A">
              <w:rPr>
                <w:b/>
                <w:bCs/>
                <w:sz w:val="22"/>
                <w:szCs w:val="22"/>
                <w:lang w:val="bg-BG"/>
              </w:rPr>
              <w:t xml:space="preserve">Пари и парични еквиваленти в края на </w:t>
            </w:r>
            <w:r w:rsidR="00BA2DE2" w:rsidRPr="0042566A">
              <w:rPr>
                <w:b/>
                <w:bCs/>
                <w:sz w:val="22"/>
                <w:szCs w:val="22"/>
                <w:lang w:val="bg-BG"/>
              </w:rPr>
              <w:t>периода</w:t>
            </w:r>
          </w:p>
        </w:tc>
        <w:tc>
          <w:tcPr>
            <w:tcW w:w="1350" w:type="dxa"/>
            <w:vAlign w:val="bottom"/>
          </w:tcPr>
          <w:p w:rsidR="00B127F4" w:rsidRPr="0042566A" w:rsidRDefault="00B127F4" w:rsidP="00B127F4">
            <w:pPr>
              <w:autoSpaceDE w:val="0"/>
              <w:autoSpaceDN w:val="0"/>
              <w:adjustRightInd w:val="0"/>
              <w:jc w:val="right"/>
            </w:pPr>
          </w:p>
        </w:tc>
        <w:tc>
          <w:tcPr>
            <w:tcW w:w="1407" w:type="dxa"/>
            <w:tcBorders>
              <w:top w:val="single" w:sz="4" w:space="0" w:color="auto"/>
              <w:bottom w:val="double" w:sz="4" w:space="0" w:color="auto"/>
            </w:tcBorders>
            <w:vAlign w:val="bottom"/>
          </w:tcPr>
          <w:p w:rsidR="00B127F4" w:rsidRPr="0042566A" w:rsidRDefault="00702A8D" w:rsidP="0042566A">
            <w:pPr>
              <w:jc w:val="right"/>
              <w:rPr>
                <w:b/>
              </w:rPr>
            </w:pPr>
            <w:r w:rsidRPr="0042566A">
              <w:rPr>
                <w:b/>
              </w:rPr>
              <w:t xml:space="preserve">1 </w:t>
            </w:r>
            <w:r w:rsidR="0042566A" w:rsidRPr="0042566A">
              <w:rPr>
                <w:b/>
              </w:rPr>
              <w:t>260</w:t>
            </w:r>
          </w:p>
        </w:tc>
        <w:tc>
          <w:tcPr>
            <w:tcW w:w="1275" w:type="dxa"/>
            <w:tcBorders>
              <w:top w:val="single" w:sz="4" w:space="0" w:color="auto"/>
              <w:bottom w:val="double" w:sz="4" w:space="0" w:color="auto"/>
            </w:tcBorders>
            <w:vAlign w:val="bottom"/>
          </w:tcPr>
          <w:p w:rsidR="00B127F4" w:rsidRPr="0042566A" w:rsidRDefault="0042566A" w:rsidP="00B127F4">
            <w:pPr>
              <w:jc w:val="right"/>
              <w:rPr>
                <w:b/>
              </w:rPr>
            </w:pPr>
            <w:r w:rsidRPr="0042566A">
              <w:rPr>
                <w:b/>
              </w:rPr>
              <w:t>33</w:t>
            </w:r>
            <w:r w:rsidR="00702A8D" w:rsidRPr="0042566A">
              <w:rPr>
                <w:b/>
              </w:rPr>
              <w:t>8</w:t>
            </w:r>
          </w:p>
        </w:tc>
      </w:tr>
    </w:tbl>
    <w:p w:rsidR="00985719" w:rsidRPr="0042566A" w:rsidRDefault="00985719" w:rsidP="00706719">
      <w:pPr>
        <w:pStyle w:val="BodyText3"/>
        <w:spacing w:after="0"/>
        <w:rPr>
          <w:sz w:val="22"/>
          <w:szCs w:val="22"/>
        </w:rPr>
      </w:pPr>
    </w:p>
    <w:tbl>
      <w:tblPr>
        <w:tblpPr w:leftFromText="180" w:rightFromText="180" w:vertAnchor="text" w:horzAnchor="margin" w:tblpY="338"/>
        <w:tblW w:w="9453" w:type="dxa"/>
        <w:tblLayout w:type="fixed"/>
        <w:tblLook w:val="0000"/>
      </w:tblPr>
      <w:tblGrid>
        <w:gridCol w:w="4354"/>
        <w:gridCol w:w="5099"/>
      </w:tblGrid>
      <w:tr w:rsidR="003E3A85" w:rsidRPr="00A51DA3" w:rsidTr="005B6437">
        <w:trPr>
          <w:trHeight w:val="1140"/>
        </w:trPr>
        <w:tc>
          <w:tcPr>
            <w:tcW w:w="4354" w:type="dxa"/>
          </w:tcPr>
          <w:p w:rsidR="003E3A85" w:rsidRPr="0042566A" w:rsidRDefault="003E3A85" w:rsidP="005B6437">
            <w:pPr>
              <w:autoSpaceDE w:val="0"/>
              <w:autoSpaceDN w:val="0"/>
              <w:adjustRightInd w:val="0"/>
              <w:rPr>
                <w:b/>
                <w:bCs/>
                <w:sz w:val="24"/>
                <w:szCs w:val="24"/>
              </w:rPr>
            </w:pPr>
          </w:p>
          <w:p w:rsidR="003E3A85" w:rsidRPr="0042566A" w:rsidRDefault="003E3A85" w:rsidP="005B6437">
            <w:pPr>
              <w:autoSpaceDE w:val="0"/>
              <w:autoSpaceDN w:val="0"/>
              <w:adjustRightInd w:val="0"/>
              <w:rPr>
                <w:b/>
                <w:bCs/>
                <w:sz w:val="24"/>
                <w:szCs w:val="24"/>
              </w:rPr>
            </w:pPr>
          </w:p>
          <w:p w:rsidR="003E3A85" w:rsidRPr="0042566A" w:rsidRDefault="003E3A85" w:rsidP="005B6437">
            <w:pPr>
              <w:autoSpaceDE w:val="0"/>
              <w:autoSpaceDN w:val="0"/>
              <w:adjustRightInd w:val="0"/>
              <w:rPr>
                <w:b/>
                <w:bCs/>
                <w:sz w:val="24"/>
                <w:szCs w:val="24"/>
              </w:rPr>
            </w:pPr>
            <w:r w:rsidRPr="0042566A">
              <w:rPr>
                <w:b/>
                <w:bCs/>
                <w:sz w:val="24"/>
                <w:szCs w:val="24"/>
              </w:rPr>
              <w:t>Съставил: ____________________</w:t>
            </w:r>
          </w:p>
          <w:p w:rsidR="003E3A85" w:rsidRPr="0042566A" w:rsidRDefault="003E3A85" w:rsidP="005B6437">
            <w:pPr>
              <w:autoSpaceDE w:val="0"/>
              <w:autoSpaceDN w:val="0"/>
              <w:adjustRightInd w:val="0"/>
              <w:rPr>
                <w:b/>
                <w:bCs/>
                <w:sz w:val="24"/>
                <w:szCs w:val="24"/>
              </w:rPr>
            </w:pPr>
            <w:r w:rsidRPr="0042566A">
              <w:rPr>
                <w:b/>
                <w:bCs/>
                <w:sz w:val="24"/>
                <w:szCs w:val="24"/>
              </w:rPr>
              <w:t xml:space="preserve">                    /Димитър Михайлов/</w:t>
            </w:r>
          </w:p>
          <w:p w:rsidR="003E3A85" w:rsidRPr="0042566A" w:rsidRDefault="003E3A85" w:rsidP="005B6437">
            <w:pPr>
              <w:autoSpaceDE w:val="0"/>
              <w:autoSpaceDN w:val="0"/>
              <w:adjustRightInd w:val="0"/>
              <w:rPr>
                <w:b/>
                <w:bCs/>
                <w:sz w:val="24"/>
                <w:szCs w:val="24"/>
              </w:rPr>
            </w:pPr>
          </w:p>
          <w:p w:rsidR="003E3A85" w:rsidRPr="0042566A" w:rsidRDefault="003E3A85" w:rsidP="005B6437">
            <w:pPr>
              <w:autoSpaceDE w:val="0"/>
              <w:autoSpaceDN w:val="0"/>
              <w:adjustRightInd w:val="0"/>
              <w:rPr>
                <w:b/>
                <w:bCs/>
                <w:sz w:val="24"/>
                <w:szCs w:val="24"/>
              </w:rPr>
            </w:pPr>
          </w:p>
        </w:tc>
        <w:tc>
          <w:tcPr>
            <w:tcW w:w="5099" w:type="dxa"/>
          </w:tcPr>
          <w:p w:rsidR="003E3A85" w:rsidRPr="0042566A" w:rsidRDefault="003E3A85" w:rsidP="005B6437">
            <w:pPr>
              <w:autoSpaceDE w:val="0"/>
              <w:autoSpaceDN w:val="0"/>
              <w:adjustRightInd w:val="0"/>
              <w:rPr>
                <w:b/>
                <w:bCs/>
                <w:sz w:val="24"/>
                <w:szCs w:val="24"/>
              </w:rPr>
            </w:pPr>
          </w:p>
          <w:p w:rsidR="003E3A85" w:rsidRPr="0042566A" w:rsidRDefault="003E3A85" w:rsidP="005B6437">
            <w:pPr>
              <w:autoSpaceDE w:val="0"/>
              <w:autoSpaceDN w:val="0"/>
              <w:adjustRightInd w:val="0"/>
              <w:rPr>
                <w:b/>
                <w:bCs/>
                <w:sz w:val="24"/>
                <w:szCs w:val="24"/>
              </w:rPr>
            </w:pPr>
          </w:p>
          <w:p w:rsidR="003E3A85" w:rsidRPr="0042566A" w:rsidRDefault="003E3A85" w:rsidP="005B6437">
            <w:pPr>
              <w:autoSpaceDE w:val="0"/>
              <w:autoSpaceDN w:val="0"/>
              <w:adjustRightInd w:val="0"/>
              <w:rPr>
                <w:b/>
                <w:bCs/>
                <w:sz w:val="24"/>
                <w:szCs w:val="24"/>
              </w:rPr>
            </w:pPr>
            <w:r w:rsidRPr="0042566A">
              <w:rPr>
                <w:b/>
                <w:bCs/>
                <w:sz w:val="24"/>
                <w:szCs w:val="24"/>
              </w:rPr>
              <w:t>Изпълнителен директор:__________________</w:t>
            </w:r>
          </w:p>
          <w:p w:rsidR="003E3A85" w:rsidRPr="00A51DA3" w:rsidRDefault="003E3A85" w:rsidP="005B6437">
            <w:pPr>
              <w:autoSpaceDE w:val="0"/>
              <w:autoSpaceDN w:val="0"/>
              <w:adjustRightInd w:val="0"/>
              <w:rPr>
                <w:b/>
                <w:bCs/>
                <w:sz w:val="24"/>
                <w:szCs w:val="24"/>
              </w:rPr>
            </w:pPr>
            <w:r w:rsidRPr="0042566A">
              <w:rPr>
                <w:b/>
                <w:bCs/>
                <w:sz w:val="24"/>
                <w:szCs w:val="24"/>
              </w:rPr>
              <w:t xml:space="preserve">                                    /Владимир Владимиров/</w:t>
            </w:r>
          </w:p>
        </w:tc>
      </w:tr>
    </w:tbl>
    <w:p w:rsidR="000011C0" w:rsidRDefault="000011C0" w:rsidP="00792722">
      <w:pPr>
        <w:spacing w:before="120" w:after="120"/>
        <w:jc w:val="both"/>
        <w:rPr>
          <w:sz w:val="40"/>
          <w:szCs w:val="40"/>
        </w:rPr>
        <w:sectPr w:rsidR="000011C0" w:rsidSect="009163FF">
          <w:headerReference w:type="default" r:id="rId10"/>
          <w:footerReference w:type="default" r:id="rId11"/>
          <w:pgSz w:w="11907" w:h="16839" w:code="9"/>
          <w:pgMar w:top="1728" w:right="1417" w:bottom="1417" w:left="1440" w:header="706" w:footer="562" w:gutter="0"/>
          <w:cols w:space="708"/>
          <w:docGrid w:linePitch="360"/>
        </w:sectPr>
      </w:pPr>
    </w:p>
    <w:p w:rsidR="00985719" w:rsidRPr="001B5C43" w:rsidRDefault="00985719" w:rsidP="005F6DE6">
      <w:pPr>
        <w:pStyle w:val="Heading1"/>
        <w:numPr>
          <w:ilvl w:val="0"/>
          <w:numId w:val="10"/>
        </w:numPr>
        <w:spacing w:line="240" w:lineRule="auto"/>
        <w:ind w:left="0" w:firstLine="0"/>
        <w:jc w:val="both"/>
      </w:pPr>
      <w:bookmarkStart w:id="0" w:name="_Ref250323014"/>
      <w:r w:rsidRPr="001B5C43">
        <w:lastRenderedPageBreak/>
        <w:t>Предмет на дейност</w:t>
      </w:r>
      <w:bookmarkEnd w:id="0"/>
    </w:p>
    <w:p w:rsidR="00985719" w:rsidRPr="006A5220" w:rsidRDefault="00985719" w:rsidP="006A5220">
      <w:pPr>
        <w:spacing w:before="120" w:after="120"/>
        <w:jc w:val="both"/>
        <w:rPr>
          <w:sz w:val="24"/>
          <w:szCs w:val="24"/>
        </w:rPr>
      </w:pPr>
      <w:r w:rsidRPr="006A5220">
        <w:rPr>
          <w:sz w:val="24"/>
          <w:szCs w:val="24"/>
        </w:rPr>
        <w:t xml:space="preserve">Основната дейност на „ХОЛДИНГ БДЖ” ЕАД  се състои в </w:t>
      </w:r>
      <w:r w:rsidRPr="006B7720">
        <w:rPr>
          <w:sz w:val="24"/>
          <w:szCs w:val="24"/>
        </w:rPr>
        <w:t>придобиване, управление, оценка и продажба на участия в български и чуждестранни дружества; придобиване, управление и продажба на облигации; придобиване, оценка и продажба н</w:t>
      </w:r>
      <w:r w:rsidR="00996993">
        <w:rPr>
          <w:sz w:val="24"/>
          <w:szCs w:val="24"/>
        </w:rPr>
        <w:t>а патенти, отстъпване на лицензи</w:t>
      </w:r>
      <w:r w:rsidRPr="006B7720">
        <w:rPr>
          <w:sz w:val="24"/>
          <w:szCs w:val="24"/>
        </w:rPr>
        <w:t>и за използване на патенти на дружествата, в които холдинговото дружество участва; финансиране на дружества, в които холдинговото дружество участва; извършване на производствена дейност; всички други дейности, които не са забранени от закона.</w:t>
      </w:r>
    </w:p>
    <w:p w:rsidR="00985719" w:rsidRPr="006A5220" w:rsidRDefault="00985719" w:rsidP="006A5220">
      <w:pPr>
        <w:spacing w:before="120" w:after="120"/>
        <w:jc w:val="both"/>
        <w:rPr>
          <w:sz w:val="24"/>
          <w:szCs w:val="24"/>
        </w:rPr>
      </w:pPr>
      <w:r w:rsidRPr="006A5220">
        <w:rPr>
          <w:sz w:val="24"/>
          <w:szCs w:val="24"/>
        </w:rPr>
        <w:t xml:space="preserve">Дружеството е регистрирано в Република България с Решение на Софийски градски съд от 15 януари 2002 г.  в съответствие със Закона за железопътния </w:t>
      </w:r>
      <w:r>
        <w:rPr>
          <w:sz w:val="24"/>
          <w:szCs w:val="24"/>
        </w:rPr>
        <w:t xml:space="preserve">транспорт, който е в сила от 1 </w:t>
      </w:r>
      <w:r w:rsidRPr="006A5220">
        <w:rPr>
          <w:sz w:val="24"/>
          <w:szCs w:val="24"/>
        </w:rPr>
        <w:t>Януари 2002 г.</w:t>
      </w:r>
      <w:r>
        <w:rPr>
          <w:sz w:val="24"/>
          <w:szCs w:val="24"/>
        </w:rPr>
        <w:t>,</w:t>
      </w:r>
      <w:r w:rsidRPr="006A5220">
        <w:rPr>
          <w:sz w:val="24"/>
          <w:szCs w:val="24"/>
        </w:rPr>
        <w:t xml:space="preserve"> с Решение на Софийски градски съд от 15 Януари 2002 г. Седалището и адресът на управление е гр. София, ул. „Иван Вазов” №3.</w:t>
      </w:r>
    </w:p>
    <w:p w:rsidR="00985719" w:rsidRPr="006A5220" w:rsidRDefault="00985719" w:rsidP="006A5220">
      <w:pPr>
        <w:spacing w:before="120" w:after="120"/>
        <w:jc w:val="both"/>
        <w:rPr>
          <w:sz w:val="24"/>
          <w:szCs w:val="24"/>
        </w:rPr>
      </w:pPr>
      <w:r w:rsidRPr="006A5220">
        <w:rPr>
          <w:sz w:val="24"/>
          <w:szCs w:val="24"/>
        </w:rPr>
        <w:t>С преобразуване на Национална компания „Български държавни железници” (НК ”БДЖ”) е създадено „БДЖ” Е</w:t>
      </w:r>
      <w:r>
        <w:rPr>
          <w:sz w:val="24"/>
          <w:szCs w:val="24"/>
        </w:rPr>
        <w:t xml:space="preserve">АД чрез отделяне, считано от 1 </w:t>
      </w:r>
      <w:r w:rsidRPr="006A5220">
        <w:rPr>
          <w:sz w:val="24"/>
          <w:szCs w:val="24"/>
        </w:rPr>
        <w:t xml:space="preserve">Януари 2002 г. Дружеството е правоприемник на отделените активи и пасиви от НК ”БДЖ” в частта, отнасяща се до железопътните превози на пътници и товари съгласно разделителен баланс към 31 Декември 2001 г. </w:t>
      </w:r>
    </w:p>
    <w:p w:rsidR="00985719" w:rsidRDefault="00985719" w:rsidP="006A5220">
      <w:pPr>
        <w:spacing w:before="120" w:after="120"/>
        <w:jc w:val="both"/>
        <w:rPr>
          <w:sz w:val="24"/>
          <w:szCs w:val="24"/>
        </w:rPr>
      </w:pPr>
      <w:r w:rsidRPr="006A5220">
        <w:rPr>
          <w:sz w:val="24"/>
          <w:szCs w:val="24"/>
        </w:rPr>
        <w:t>С Решение № 14 от 12 ноември 2007 г. на Софийски градс</w:t>
      </w:r>
      <w:r w:rsidR="00402392">
        <w:rPr>
          <w:sz w:val="24"/>
          <w:szCs w:val="24"/>
        </w:rPr>
        <w:t>ки съд по фирмено дело  7/ 2002</w:t>
      </w:r>
      <w:r w:rsidR="008772F2" w:rsidRPr="000B6A69">
        <w:rPr>
          <w:sz w:val="24"/>
          <w:szCs w:val="24"/>
        </w:rPr>
        <w:t xml:space="preserve"> </w:t>
      </w:r>
      <w:r w:rsidRPr="006A5220">
        <w:rPr>
          <w:sz w:val="24"/>
          <w:szCs w:val="24"/>
        </w:rPr>
        <w:t>г. е вписано в Търговския регистър преобразуване на „БД</w:t>
      </w:r>
      <w:r w:rsidR="00402392">
        <w:rPr>
          <w:sz w:val="24"/>
          <w:szCs w:val="24"/>
        </w:rPr>
        <w:t>Ж” ЕАД при условията на чл. 262</w:t>
      </w:r>
      <w:r w:rsidRPr="006A5220">
        <w:rPr>
          <w:sz w:val="24"/>
          <w:szCs w:val="24"/>
        </w:rPr>
        <w:t xml:space="preserve">г от Търговския закон, чрез отделяне от него на новоучредените дъщерни дружества „БДЖ – Товарни превози” ЕООД, „БДЖ – Пътнически превози” ЕООД и „БДЖ – Тягов подвижен състав (Локомотиви)” ЕООД. Новоучредените дружества са правоприемници на съответната част от правата и задълженията на „БДЖ” ЕАД съгласно Плана за </w:t>
      </w:r>
      <w:r w:rsidR="00402392">
        <w:rPr>
          <w:sz w:val="24"/>
          <w:szCs w:val="24"/>
        </w:rPr>
        <w:t>преобразуване към 30 Април 2007</w:t>
      </w:r>
      <w:r w:rsidR="00210FB5">
        <w:rPr>
          <w:sz w:val="24"/>
          <w:szCs w:val="24"/>
        </w:rPr>
        <w:t xml:space="preserve"> </w:t>
      </w:r>
      <w:r w:rsidRPr="006A5220">
        <w:rPr>
          <w:sz w:val="24"/>
          <w:szCs w:val="24"/>
        </w:rPr>
        <w:t xml:space="preserve">г. „БДЖ” ЕАД е едноличен собственик на капитала на всяко едно от дружествата. </w:t>
      </w:r>
    </w:p>
    <w:p w:rsidR="00F444E6" w:rsidRPr="006A5220" w:rsidRDefault="00F444E6" w:rsidP="00F444E6">
      <w:pPr>
        <w:spacing w:before="120" w:after="120"/>
        <w:jc w:val="both"/>
        <w:rPr>
          <w:sz w:val="24"/>
          <w:szCs w:val="24"/>
        </w:rPr>
      </w:pPr>
      <w:r w:rsidRPr="006A5220">
        <w:rPr>
          <w:sz w:val="24"/>
          <w:szCs w:val="24"/>
        </w:rPr>
        <w:t xml:space="preserve">Съгласно Решение на Съвета на Директорите в качеството му на управителен орган на „БДЖ” ЕАД и на орган, упражняващ правата на „БДЖ” ЕАД като едноличен собственик на капитала на „БДЖ – Тягов подвижен състав (Локомотиви)” ЕООД в изпълнение на т. </w:t>
      </w:r>
      <w:r>
        <w:rPr>
          <w:sz w:val="24"/>
          <w:szCs w:val="24"/>
        </w:rPr>
        <w:t xml:space="preserve">1.1 от Протокол № 7/ 16.11.2009 </w:t>
      </w:r>
      <w:r w:rsidRPr="006A5220">
        <w:rPr>
          <w:sz w:val="24"/>
          <w:szCs w:val="24"/>
        </w:rPr>
        <w:t>г. и т. 2.3 о</w:t>
      </w:r>
      <w:r>
        <w:rPr>
          <w:sz w:val="24"/>
          <w:szCs w:val="24"/>
        </w:rPr>
        <w:t xml:space="preserve">т Протокол № 10/ 16.12.2009 </w:t>
      </w:r>
      <w:r w:rsidRPr="006A5220">
        <w:rPr>
          <w:sz w:val="24"/>
          <w:szCs w:val="24"/>
        </w:rPr>
        <w:t>г.</w:t>
      </w:r>
      <w:r w:rsidRPr="000B6A69">
        <w:rPr>
          <w:sz w:val="24"/>
          <w:szCs w:val="24"/>
        </w:rPr>
        <w:t>,</w:t>
      </w:r>
      <w:r w:rsidRPr="006A5220">
        <w:rPr>
          <w:sz w:val="24"/>
          <w:szCs w:val="24"/>
        </w:rPr>
        <w:t xml:space="preserve"> е предприета процедура по вливане на „БДЖ – Тягов подвижен състав (Локомотиви)” ЕООД в „БДЖ” ЕАД. Направено е вписване на преобразуването в Търговския регистър по реда на чл. 262в от</w:t>
      </w:r>
      <w:r>
        <w:rPr>
          <w:sz w:val="24"/>
          <w:szCs w:val="24"/>
        </w:rPr>
        <w:t xml:space="preserve"> Търговския закон на 24.09.2010 </w:t>
      </w:r>
      <w:r w:rsidRPr="006A5220">
        <w:rPr>
          <w:sz w:val="24"/>
          <w:szCs w:val="24"/>
        </w:rPr>
        <w:t>г. От Агенция по вписванията е издадено Удостоверение № 20101123151323/ 23.11.2010</w:t>
      </w:r>
      <w:r>
        <w:rPr>
          <w:sz w:val="24"/>
          <w:szCs w:val="24"/>
        </w:rPr>
        <w:t xml:space="preserve"> </w:t>
      </w:r>
      <w:r w:rsidRPr="006A5220">
        <w:rPr>
          <w:sz w:val="24"/>
          <w:szCs w:val="24"/>
        </w:rPr>
        <w:t>г</w:t>
      </w:r>
      <w:r>
        <w:rPr>
          <w:sz w:val="24"/>
          <w:szCs w:val="24"/>
        </w:rPr>
        <w:t>.</w:t>
      </w:r>
      <w:r w:rsidRPr="006A5220">
        <w:rPr>
          <w:sz w:val="24"/>
          <w:szCs w:val="24"/>
        </w:rPr>
        <w:t xml:space="preserve"> за вписване на Дружеството като Холдинг, промяна на устава и наименованието, а именно „ХОЛДИНГ БЪЛГАРСКИ ДЪРЖАВНИ ЖЕЛЕЗНИЦИ” ЕАД („ХОЛДИНГ БДЖ” ЕАД). </w:t>
      </w:r>
    </w:p>
    <w:p w:rsidR="00985719" w:rsidRPr="006A5220" w:rsidRDefault="00402392" w:rsidP="006A5220">
      <w:pPr>
        <w:spacing w:before="120" w:after="120"/>
        <w:jc w:val="both"/>
        <w:rPr>
          <w:sz w:val="24"/>
          <w:szCs w:val="24"/>
        </w:rPr>
      </w:pPr>
      <w:r>
        <w:rPr>
          <w:sz w:val="24"/>
          <w:szCs w:val="24"/>
        </w:rPr>
        <w:t>През 2010</w:t>
      </w:r>
      <w:r w:rsidR="00210FB5">
        <w:rPr>
          <w:sz w:val="24"/>
          <w:szCs w:val="24"/>
        </w:rPr>
        <w:t xml:space="preserve"> </w:t>
      </w:r>
      <w:r w:rsidR="00985719" w:rsidRPr="006A5220">
        <w:rPr>
          <w:sz w:val="24"/>
          <w:szCs w:val="24"/>
        </w:rPr>
        <w:t xml:space="preserve">г. „БДЖ” ЕАД възлага чрез договор извършването на товарни превози на „БДЖ – Товарни превози” ЕООД. Организирането и извършването на международни пътнически превози е възложено на „БДЖ – Пътнически превози” ЕООД. </w:t>
      </w:r>
    </w:p>
    <w:p w:rsidR="00985719" w:rsidRPr="006A5220" w:rsidRDefault="00985719" w:rsidP="006A5220">
      <w:pPr>
        <w:spacing w:before="120" w:after="120"/>
        <w:jc w:val="both"/>
        <w:rPr>
          <w:sz w:val="24"/>
          <w:szCs w:val="24"/>
        </w:rPr>
      </w:pPr>
      <w:r>
        <w:rPr>
          <w:sz w:val="24"/>
          <w:szCs w:val="24"/>
        </w:rPr>
        <w:t>В</w:t>
      </w:r>
      <w:r w:rsidRPr="006A5220">
        <w:rPr>
          <w:sz w:val="24"/>
          <w:szCs w:val="24"/>
        </w:rPr>
        <w:t xml:space="preserve"> изпълнение Решение на Съвета на Директорите на “Холдинг БДЖ” ЕАД съгласно т.1.4 от Протокол №100/12.04.2011</w:t>
      </w:r>
      <w:r w:rsidR="00210FB5">
        <w:rPr>
          <w:sz w:val="24"/>
          <w:szCs w:val="24"/>
        </w:rPr>
        <w:t xml:space="preserve"> </w:t>
      </w:r>
      <w:r w:rsidRPr="006A5220">
        <w:rPr>
          <w:sz w:val="24"/>
          <w:szCs w:val="24"/>
        </w:rPr>
        <w:t>г., получено решение за преобразуване от Министерството на транспорта, информационните технологии и съобщенията с Протокол №ПД – 45/ 04.04.2011</w:t>
      </w:r>
      <w:r w:rsidR="00210FB5">
        <w:rPr>
          <w:sz w:val="24"/>
          <w:szCs w:val="24"/>
        </w:rPr>
        <w:t xml:space="preserve"> </w:t>
      </w:r>
      <w:r w:rsidRPr="006A5220">
        <w:rPr>
          <w:sz w:val="24"/>
          <w:szCs w:val="24"/>
        </w:rPr>
        <w:t>г., както и даденото с писмо №92-00-07-45/07.04.2011</w:t>
      </w:r>
      <w:r w:rsidR="00210FB5">
        <w:rPr>
          <w:sz w:val="24"/>
          <w:szCs w:val="24"/>
        </w:rPr>
        <w:t xml:space="preserve"> </w:t>
      </w:r>
      <w:r w:rsidRPr="006A5220">
        <w:rPr>
          <w:sz w:val="24"/>
          <w:szCs w:val="24"/>
        </w:rPr>
        <w:t>г. съгласие на Агенцията за приватизация и следприватизационен контрол е извършено преобразуване на “Холдинг БДЖ” ЕАД по реда на чл.262в от Търговския закон, чрез отделяне на имущество, съгласно подписан Договор за преобразуване от 24.01.20</w:t>
      </w:r>
      <w:r w:rsidR="00402392">
        <w:rPr>
          <w:sz w:val="24"/>
          <w:szCs w:val="24"/>
        </w:rPr>
        <w:t>12</w:t>
      </w:r>
      <w:r w:rsidR="00210FB5">
        <w:rPr>
          <w:sz w:val="24"/>
          <w:szCs w:val="24"/>
        </w:rPr>
        <w:t xml:space="preserve"> </w:t>
      </w:r>
      <w:r w:rsidRPr="006A5220">
        <w:rPr>
          <w:sz w:val="24"/>
          <w:szCs w:val="24"/>
        </w:rPr>
        <w:t>г. между “Холдинг БДЖ” ЕАД, “БДЖ – Товарни превози” ЕООД и “БДЖ – Пътнически превози” ЕО</w:t>
      </w:r>
      <w:r w:rsidR="00107752">
        <w:rPr>
          <w:sz w:val="24"/>
          <w:szCs w:val="24"/>
        </w:rPr>
        <w:t xml:space="preserve">ОД. </w:t>
      </w:r>
      <w:r w:rsidRPr="006A5220">
        <w:rPr>
          <w:sz w:val="24"/>
          <w:szCs w:val="24"/>
        </w:rPr>
        <w:t>На 24.05.2011</w:t>
      </w:r>
      <w:r w:rsidR="00210FB5">
        <w:rPr>
          <w:sz w:val="24"/>
          <w:szCs w:val="24"/>
        </w:rPr>
        <w:t xml:space="preserve"> </w:t>
      </w:r>
      <w:r w:rsidRPr="006A5220">
        <w:rPr>
          <w:sz w:val="24"/>
          <w:szCs w:val="24"/>
        </w:rPr>
        <w:t xml:space="preserve">г. е вписано </w:t>
      </w:r>
      <w:r w:rsidR="00F444E6" w:rsidRPr="006A5220">
        <w:rPr>
          <w:sz w:val="24"/>
          <w:szCs w:val="24"/>
        </w:rPr>
        <w:t xml:space="preserve">преобразуване на „Холдинг БДЖ” ЕАД </w:t>
      </w:r>
      <w:r w:rsidRPr="006A5220">
        <w:rPr>
          <w:sz w:val="24"/>
          <w:szCs w:val="24"/>
        </w:rPr>
        <w:t xml:space="preserve">в Търговския регистър </w:t>
      </w:r>
      <w:r w:rsidRPr="006A5220">
        <w:rPr>
          <w:sz w:val="24"/>
          <w:szCs w:val="24"/>
        </w:rPr>
        <w:lastRenderedPageBreak/>
        <w:t>към Агенцията по вписвания, с което „БДЖ – Товарни превози” ЕООД и „БДЖ – Пътнически превози” ЕООД стават правоприемник на отделеното имущество от „Холдинг БДЖ” ЕАД. Критерият за отделяне на имуществото, правата и задълженията от „Х</w:t>
      </w:r>
      <w:r w:rsidR="00996993">
        <w:rPr>
          <w:sz w:val="24"/>
          <w:szCs w:val="24"/>
        </w:rPr>
        <w:t>олдинг</w:t>
      </w:r>
      <w:r w:rsidRPr="006A5220">
        <w:rPr>
          <w:sz w:val="24"/>
          <w:szCs w:val="24"/>
        </w:rPr>
        <w:t xml:space="preserve"> БДЖ” ЕАД към дъщерните дружества са определени от състоянието на активите и пасивите, които се използват и касаят съответната текуща дейност по реда установен в п</w:t>
      </w:r>
      <w:r w:rsidR="00402392">
        <w:rPr>
          <w:sz w:val="24"/>
          <w:szCs w:val="24"/>
        </w:rPr>
        <w:t>одписания Договор от 24.01.2011</w:t>
      </w:r>
      <w:r w:rsidR="00210FB5">
        <w:rPr>
          <w:sz w:val="24"/>
          <w:szCs w:val="24"/>
        </w:rPr>
        <w:t xml:space="preserve"> </w:t>
      </w:r>
      <w:r w:rsidRPr="006A5220">
        <w:rPr>
          <w:sz w:val="24"/>
          <w:szCs w:val="24"/>
        </w:rPr>
        <w:t>г.</w:t>
      </w:r>
    </w:p>
    <w:p w:rsidR="00985719" w:rsidRPr="006A5220" w:rsidRDefault="00985719" w:rsidP="006A5220">
      <w:pPr>
        <w:spacing w:before="120" w:after="120"/>
        <w:jc w:val="both"/>
        <w:rPr>
          <w:sz w:val="24"/>
          <w:szCs w:val="24"/>
        </w:rPr>
      </w:pPr>
      <w:r w:rsidRPr="006A5220">
        <w:rPr>
          <w:sz w:val="24"/>
          <w:szCs w:val="24"/>
        </w:rPr>
        <w:t>С нетната стойност на отделеното имущество към дата 24.05.2011</w:t>
      </w:r>
      <w:r w:rsidR="00210FB5">
        <w:rPr>
          <w:sz w:val="24"/>
          <w:szCs w:val="24"/>
        </w:rPr>
        <w:t xml:space="preserve"> </w:t>
      </w:r>
      <w:r w:rsidRPr="006A5220">
        <w:rPr>
          <w:sz w:val="24"/>
          <w:szCs w:val="24"/>
        </w:rPr>
        <w:t xml:space="preserve">г. са се увеличили инвестициите  на “Холдинг БДЖ” ЕАД в “БДЖ – Товарни превози” ЕООД и “БДЖ – Пътнически превози” ЕООД. </w:t>
      </w:r>
    </w:p>
    <w:p w:rsidR="00985719" w:rsidRDefault="00985719" w:rsidP="006A5220">
      <w:pPr>
        <w:spacing w:before="120" w:after="120"/>
        <w:jc w:val="both"/>
        <w:rPr>
          <w:sz w:val="24"/>
          <w:szCs w:val="24"/>
        </w:rPr>
      </w:pPr>
      <w:r w:rsidRPr="006A5220">
        <w:rPr>
          <w:sz w:val="24"/>
          <w:szCs w:val="24"/>
        </w:rPr>
        <w:t>На основание Решение на Министерството на транспорта</w:t>
      </w:r>
      <w:r w:rsidR="00354576" w:rsidRPr="000B6A69">
        <w:rPr>
          <w:sz w:val="24"/>
          <w:szCs w:val="24"/>
        </w:rPr>
        <w:t>,</w:t>
      </w:r>
      <w:r w:rsidRPr="006A5220">
        <w:rPr>
          <w:sz w:val="24"/>
          <w:szCs w:val="24"/>
        </w:rPr>
        <w:t xml:space="preserve"> информационните технологии и съобщеният</w:t>
      </w:r>
      <w:r w:rsidR="00402392">
        <w:rPr>
          <w:sz w:val="24"/>
          <w:szCs w:val="24"/>
        </w:rPr>
        <w:t>а с Протокол №ПД- 70/06.06.2011</w:t>
      </w:r>
      <w:r w:rsidR="00210FB5">
        <w:rPr>
          <w:sz w:val="24"/>
          <w:szCs w:val="24"/>
        </w:rPr>
        <w:t xml:space="preserve"> </w:t>
      </w:r>
      <w:r w:rsidRPr="006A5220">
        <w:rPr>
          <w:sz w:val="24"/>
          <w:szCs w:val="24"/>
        </w:rPr>
        <w:t>г. и в изпълнение на т.10.1 от Протокол №103/27.04.2011</w:t>
      </w:r>
      <w:r w:rsidR="00210FB5">
        <w:rPr>
          <w:sz w:val="24"/>
          <w:szCs w:val="24"/>
        </w:rPr>
        <w:t xml:space="preserve"> </w:t>
      </w:r>
      <w:r w:rsidRPr="006A5220">
        <w:rPr>
          <w:sz w:val="24"/>
          <w:szCs w:val="24"/>
        </w:rPr>
        <w:t>г</w:t>
      </w:r>
      <w:r w:rsidR="00210FB5">
        <w:rPr>
          <w:sz w:val="24"/>
          <w:szCs w:val="24"/>
        </w:rPr>
        <w:t>. на Съвета на директорите на „</w:t>
      </w:r>
      <w:r w:rsidRPr="006A5220">
        <w:rPr>
          <w:sz w:val="24"/>
          <w:szCs w:val="24"/>
        </w:rPr>
        <w:t>Холдинг БДЖ” ЕАД е вписан</w:t>
      </w:r>
      <w:r w:rsidR="00F444E6">
        <w:rPr>
          <w:sz w:val="24"/>
          <w:szCs w:val="24"/>
        </w:rPr>
        <w:t>а</w:t>
      </w:r>
      <w:r w:rsidRPr="006A5220">
        <w:rPr>
          <w:sz w:val="24"/>
          <w:szCs w:val="24"/>
        </w:rPr>
        <w:t xml:space="preserve"> в партидата на дружеството в Търговския регистър про</w:t>
      </w:r>
      <w:r w:rsidR="00402392">
        <w:rPr>
          <w:sz w:val="24"/>
          <w:szCs w:val="24"/>
        </w:rPr>
        <w:t>мяна в предмета на дейност на „</w:t>
      </w:r>
      <w:r w:rsidRPr="006A5220">
        <w:rPr>
          <w:sz w:val="24"/>
          <w:szCs w:val="24"/>
        </w:rPr>
        <w:t>Холдинг БДЖ” ЕАД, като се преустановява извършване на дейности по предоставяне на железопътни транспортни услуги за превоз на пътници и/или товари във вътрешни и/или международно съобщение, поддръжка и ремонт на железопътни возила.</w:t>
      </w:r>
    </w:p>
    <w:p w:rsidR="00A12DCF" w:rsidRDefault="00A12DCF" w:rsidP="006A5220">
      <w:pPr>
        <w:spacing w:before="120" w:after="120"/>
        <w:jc w:val="both"/>
        <w:rPr>
          <w:sz w:val="24"/>
          <w:szCs w:val="24"/>
        </w:rPr>
      </w:pPr>
      <w:r>
        <w:rPr>
          <w:sz w:val="24"/>
          <w:szCs w:val="24"/>
        </w:rPr>
        <w:t>Съгласно  Решение, взето с т.2.3 от Протокол №83 на заседания на Съвета на директорите на „Холдинг БДЖ” ЕАД, проведено на 07.12.2015 г. е утвърдена нова организационно – управ</w:t>
      </w:r>
      <w:r w:rsidR="008C3897">
        <w:rPr>
          <w:sz w:val="24"/>
          <w:szCs w:val="24"/>
        </w:rPr>
        <w:t>ленска структура на поделенията на дружеството</w:t>
      </w:r>
      <w:r w:rsidR="00B014EC">
        <w:rPr>
          <w:sz w:val="24"/>
          <w:szCs w:val="24"/>
        </w:rPr>
        <w:t xml:space="preserve">, включваща </w:t>
      </w:r>
      <w:r w:rsidR="008C3897">
        <w:rPr>
          <w:sz w:val="24"/>
          <w:szCs w:val="24"/>
        </w:rPr>
        <w:t>Поделение за почивна дейност</w:t>
      </w:r>
      <w:r w:rsidR="00B014EC">
        <w:rPr>
          <w:sz w:val="24"/>
          <w:szCs w:val="24"/>
        </w:rPr>
        <w:t>,</w:t>
      </w:r>
      <w:r w:rsidR="008C3897">
        <w:rPr>
          <w:sz w:val="24"/>
          <w:szCs w:val="24"/>
        </w:rPr>
        <w:t xml:space="preserve"> поделение „Център за професионално обучение” и поделение „Център за атестации”.</w:t>
      </w:r>
    </w:p>
    <w:p w:rsidR="00985719" w:rsidRPr="006A5220" w:rsidRDefault="00985719" w:rsidP="006A5220">
      <w:pPr>
        <w:spacing w:before="120" w:after="120"/>
        <w:jc w:val="both"/>
        <w:rPr>
          <w:sz w:val="24"/>
          <w:szCs w:val="24"/>
        </w:rPr>
      </w:pPr>
      <w:r w:rsidRPr="006A5220">
        <w:rPr>
          <w:sz w:val="24"/>
          <w:szCs w:val="24"/>
        </w:rPr>
        <w:t>Едноличен собственик на капитала на Дружеството е българската държава. Правата на едноличния собственик на капитала се упражняват от Министерство на транспорта, информационните технологии и съобщенията.</w:t>
      </w:r>
    </w:p>
    <w:p w:rsidR="00985719" w:rsidRPr="00A36D5C" w:rsidRDefault="00985719" w:rsidP="006A5220">
      <w:pPr>
        <w:spacing w:before="120" w:after="120"/>
        <w:jc w:val="both"/>
        <w:rPr>
          <w:sz w:val="24"/>
          <w:szCs w:val="24"/>
        </w:rPr>
      </w:pPr>
      <w:r w:rsidRPr="00A36D5C">
        <w:rPr>
          <w:sz w:val="24"/>
          <w:szCs w:val="24"/>
        </w:rPr>
        <w:t>Към 3</w:t>
      </w:r>
      <w:r w:rsidR="005F35ED">
        <w:rPr>
          <w:sz w:val="24"/>
          <w:szCs w:val="24"/>
        </w:rPr>
        <w:t>0</w:t>
      </w:r>
      <w:r w:rsidRPr="00A36D5C">
        <w:rPr>
          <w:sz w:val="24"/>
          <w:szCs w:val="24"/>
        </w:rPr>
        <w:t>.</w:t>
      </w:r>
      <w:r w:rsidR="005F35ED">
        <w:rPr>
          <w:sz w:val="24"/>
          <w:szCs w:val="24"/>
        </w:rPr>
        <w:t>0</w:t>
      </w:r>
      <w:r w:rsidR="00D83853">
        <w:rPr>
          <w:sz w:val="24"/>
          <w:szCs w:val="24"/>
        </w:rPr>
        <w:t>9</w:t>
      </w:r>
      <w:r w:rsidRPr="00A36D5C">
        <w:rPr>
          <w:sz w:val="24"/>
          <w:szCs w:val="24"/>
        </w:rPr>
        <w:t>.201</w:t>
      </w:r>
      <w:r w:rsidR="005F35ED">
        <w:rPr>
          <w:sz w:val="24"/>
          <w:szCs w:val="24"/>
        </w:rPr>
        <w:t>6</w:t>
      </w:r>
      <w:r w:rsidR="00210FB5" w:rsidRPr="00A36D5C">
        <w:rPr>
          <w:sz w:val="24"/>
          <w:szCs w:val="24"/>
        </w:rPr>
        <w:t xml:space="preserve"> </w:t>
      </w:r>
      <w:r w:rsidR="00402392" w:rsidRPr="00A36D5C">
        <w:rPr>
          <w:sz w:val="24"/>
          <w:szCs w:val="24"/>
        </w:rPr>
        <w:t>г.</w:t>
      </w:r>
      <w:r w:rsidRPr="00A36D5C">
        <w:rPr>
          <w:sz w:val="24"/>
          <w:szCs w:val="24"/>
        </w:rPr>
        <w:t xml:space="preserve"> Съветът на директорите на Дружеството е в състав</w:t>
      </w:r>
      <w:r w:rsidR="00402392" w:rsidRPr="00A36D5C">
        <w:rPr>
          <w:sz w:val="24"/>
          <w:szCs w:val="24"/>
        </w:rPr>
        <w:t>:</w:t>
      </w:r>
      <w:r w:rsidRPr="00A36D5C">
        <w:rPr>
          <w:sz w:val="24"/>
          <w:szCs w:val="24"/>
        </w:rPr>
        <w:t xml:space="preserve"> членове</w:t>
      </w:r>
      <w:r w:rsidR="00402392" w:rsidRPr="00A36D5C">
        <w:rPr>
          <w:sz w:val="24"/>
          <w:szCs w:val="24"/>
        </w:rPr>
        <w:t xml:space="preserve"> </w:t>
      </w:r>
      <w:r w:rsidR="00E54A8C" w:rsidRPr="00A36D5C">
        <w:rPr>
          <w:sz w:val="24"/>
          <w:szCs w:val="24"/>
        </w:rPr>
        <w:t>–</w:t>
      </w:r>
      <w:r w:rsidR="00402392" w:rsidRPr="00A36D5C">
        <w:rPr>
          <w:sz w:val="24"/>
          <w:szCs w:val="24"/>
        </w:rPr>
        <w:t xml:space="preserve"> </w:t>
      </w:r>
      <w:r w:rsidR="001B7BFC">
        <w:rPr>
          <w:sz w:val="24"/>
          <w:szCs w:val="24"/>
        </w:rPr>
        <w:t>Филип Алексиев</w:t>
      </w:r>
      <w:r w:rsidR="000D196E" w:rsidRPr="00A36D5C">
        <w:rPr>
          <w:sz w:val="24"/>
          <w:szCs w:val="24"/>
        </w:rPr>
        <w:t xml:space="preserve"> </w:t>
      </w:r>
      <w:r w:rsidRPr="00A36D5C">
        <w:rPr>
          <w:sz w:val="24"/>
          <w:szCs w:val="24"/>
        </w:rPr>
        <w:t>и</w:t>
      </w:r>
      <w:r w:rsidR="00402392" w:rsidRPr="00A36D5C">
        <w:rPr>
          <w:sz w:val="24"/>
          <w:szCs w:val="24"/>
        </w:rPr>
        <w:t xml:space="preserve"> </w:t>
      </w:r>
      <w:r w:rsidR="001B7BFC">
        <w:rPr>
          <w:sz w:val="24"/>
          <w:szCs w:val="24"/>
        </w:rPr>
        <w:t>Владимир Владимиров</w:t>
      </w:r>
      <w:r w:rsidR="00402392" w:rsidRPr="00A36D5C">
        <w:rPr>
          <w:sz w:val="24"/>
          <w:szCs w:val="24"/>
        </w:rPr>
        <w:t xml:space="preserve"> и председател </w:t>
      </w:r>
      <w:r w:rsidR="001B7BFC">
        <w:rPr>
          <w:sz w:val="24"/>
          <w:szCs w:val="24"/>
        </w:rPr>
        <w:t>–</w:t>
      </w:r>
      <w:r w:rsidRPr="00A36D5C">
        <w:rPr>
          <w:sz w:val="24"/>
          <w:szCs w:val="24"/>
        </w:rPr>
        <w:t xml:space="preserve"> </w:t>
      </w:r>
      <w:r w:rsidR="001B7BFC">
        <w:rPr>
          <w:sz w:val="24"/>
          <w:szCs w:val="24"/>
        </w:rPr>
        <w:t>Велик Занчев</w:t>
      </w:r>
      <w:r w:rsidR="000D196E" w:rsidRPr="000B6A69">
        <w:rPr>
          <w:sz w:val="24"/>
          <w:szCs w:val="24"/>
        </w:rPr>
        <w:t>,</w:t>
      </w:r>
      <w:r w:rsidR="000D196E" w:rsidRPr="00A36D5C">
        <w:rPr>
          <w:sz w:val="24"/>
          <w:szCs w:val="24"/>
        </w:rPr>
        <w:t xml:space="preserve"> </w:t>
      </w:r>
      <w:r w:rsidRPr="00A36D5C">
        <w:rPr>
          <w:sz w:val="24"/>
          <w:szCs w:val="24"/>
        </w:rPr>
        <w:t xml:space="preserve">Дружеството се представлява от изпълнителния директор </w:t>
      </w:r>
      <w:r w:rsidR="001B7BFC">
        <w:rPr>
          <w:sz w:val="24"/>
          <w:szCs w:val="24"/>
        </w:rPr>
        <w:t>Владимир Владимиров</w:t>
      </w:r>
      <w:r w:rsidRPr="00A36D5C">
        <w:rPr>
          <w:sz w:val="24"/>
          <w:szCs w:val="24"/>
        </w:rPr>
        <w:t xml:space="preserve">. </w:t>
      </w:r>
    </w:p>
    <w:p w:rsidR="00985719" w:rsidRPr="00A36D5C" w:rsidRDefault="00985719" w:rsidP="006A5220">
      <w:pPr>
        <w:spacing w:before="120" w:after="120"/>
        <w:jc w:val="both"/>
        <w:rPr>
          <w:sz w:val="24"/>
          <w:szCs w:val="24"/>
        </w:rPr>
      </w:pPr>
      <w:r w:rsidRPr="004C561F">
        <w:rPr>
          <w:sz w:val="24"/>
          <w:szCs w:val="24"/>
        </w:rPr>
        <w:t xml:space="preserve">Средносписъчният брой на персонала </w:t>
      </w:r>
      <w:r w:rsidR="005F35ED">
        <w:rPr>
          <w:sz w:val="24"/>
          <w:szCs w:val="24"/>
        </w:rPr>
        <w:t>към</w:t>
      </w:r>
      <w:r w:rsidRPr="004C561F">
        <w:rPr>
          <w:sz w:val="24"/>
          <w:szCs w:val="24"/>
        </w:rPr>
        <w:t xml:space="preserve"> </w:t>
      </w:r>
      <w:r w:rsidR="00D83853">
        <w:rPr>
          <w:sz w:val="24"/>
          <w:szCs w:val="24"/>
        </w:rPr>
        <w:t>30.09</w:t>
      </w:r>
      <w:r w:rsidR="005F35ED">
        <w:rPr>
          <w:sz w:val="24"/>
          <w:szCs w:val="24"/>
        </w:rPr>
        <w:t>.</w:t>
      </w:r>
      <w:r w:rsidR="00402392" w:rsidRPr="004C561F">
        <w:rPr>
          <w:sz w:val="24"/>
          <w:szCs w:val="24"/>
        </w:rPr>
        <w:t>201</w:t>
      </w:r>
      <w:r w:rsidR="005F35ED">
        <w:rPr>
          <w:sz w:val="24"/>
          <w:szCs w:val="24"/>
        </w:rPr>
        <w:t>6</w:t>
      </w:r>
      <w:r w:rsidR="00210FB5" w:rsidRPr="004C561F">
        <w:rPr>
          <w:sz w:val="24"/>
          <w:szCs w:val="24"/>
        </w:rPr>
        <w:t xml:space="preserve"> </w:t>
      </w:r>
      <w:r w:rsidRPr="00DC71F6">
        <w:rPr>
          <w:sz w:val="24"/>
          <w:szCs w:val="24"/>
        </w:rPr>
        <w:t>г</w:t>
      </w:r>
      <w:r w:rsidRPr="007D189E">
        <w:rPr>
          <w:sz w:val="24"/>
          <w:szCs w:val="24"/>
        </w:rPr>
        <w:t xml:space="preserve">. е </w:t>
      </w:r>
      <w:r w:rsidR="003842C0" w:rsidRPr="007D189E">
        <w:rPr>
          <w:sz w:val="24"/>
          <w:szCs w:val="24"/>
        </w:rPr>
        <w:t>13</w:t>
      </w:r>
      <w:r w:rsidR="007D189E" w:rsidRPr="007D189E">
        <w:rPr>
          <w:sz w:val="24"/>
          <w:szCs w:val="24"/>
        </w:rPr>
        <w:t>2</w:t>
      </w:r>
      <w:r w:rsidRPr="007D189E">
        <w:rPr>
          <w:sz w:val="24"/>
          <w:szCs w:val="24"/>
        </w:rPr>
        <w:t xml:space="preserve"> души.</w:t>
      </w:r>
    </w:p>
    <w:p w:rsidR="00985719" w:rsidRPr="001B5C43" w:rsidRDefault="00985719" w:rsidP="00E67AA7">
      <w:pPr>
        <w:pStyle w:val="Heading1"/>
        <w:numPr>
          <w:ilvl w:val="0"/>
          <w:numId w:val="10"/>
        </w:numPr>
        <w:spacing w:before="240" w:line="240" w:lineRule="auto"/>
        <w:ind w:left="0" w:firstLine="0"/>
        <w:jc w:val="both"/>
      </w:pPr>
      <w:r w:rsidRPr="001B5C43">
        <w:t xml:space="preserve">Основа за изготвяне на </w:t>
      </w:r>
      <w:r w:rsidR="005F35ED">
        <w:t xml:space="preserve">междиния съкратен </w:t>
      </w:r>
      <w:r w:rsidRPr="001B5C43">
        <w:t>финансов отчет</w:t>
      </w:r>
    </w:p>
    <w:p w:rsidR="00985719" w:rsidRDefault="00B61AF8" w:rsidP="006A5220">
      <w:pPr>
        <w:spacing w:before="120" w:after="120"/>
        <w:jc w:val="both"/>
        <w:rPr>
          <w:sz w:val="24"/>
          <w:szCs w:val="24"/>
        </w:rPr>
      </w:pPr>
      <w:r>
        <w:rPr>
          <w:sz w:val="24"/>
          <w:szCs w:val="24"/>
        </w:rPr>
        <w:t xml:space="preserve">Този междинен съкратен финанов отчет за период от </w:t>
      </w:r>
      <w:r w:rsidR="00D83853">
        <w:rPr>
          <w:sz w:val="24"/>
          <w:szCs w:val="24"/>
        </w:rPr>
        <w:t>девет</w:t>
      </w:r>
      <w:r>
        <w:rPr>
          <w:sz w:val="24"/>
          <w:szCs w:val="24"/>
        </w:rPr>
        <w:t xml:space="preserve"> месеца до 30 </w:t>
      </w:r>
      <w:r w:rsidR="00D83853">
        <w:rPr>
          <w:sz w:val="24"/>
          <w:szCs w:val="24"/>
        </w:rPr>
        <w:t>септември</w:t>
      </w:r>
      <w:r>
        <w:rPr>
          <w:sz w:val="24"/>
          <w:szCs w:val="24"/>
        </w:rPr>
        <w:t xml:space="preserve"> 2016 г. е изготвен в съотвествие с МСС 34 „Междинно финансово отчитане”. Той несъдържа цялата информация, която се изисква за изготвяне на пълни годишни финансови отчети съгласно Международните стандарти за финансово отчитане и следва да се чете заедно с годишния финансов отчет на Дружеството към 31 декември 2015 г.,</w:t>
      </w:r>
      <w:r w:rsidR="00985719" w:rsidRPr="006A5220">
        <w:rPr>
          <w:sz w:val="24"/>
          <w:szCs w:val="24"/>
        </w:rPr>
        <w:t xml:space="preserve"> съставен в съответствие с Международните стандарти за финансово отчитане (МСФО), разработени и публикувани от Съвета по международни счетоводни стандарти (СМСС) и приети от Европейския съюз (ЕС).</w:t>
      </w:r>
    </w:p>
    <w:p w:rsidR="00985719" w:rsidRPr="006A5220" w:rsidRDefault="00B61AF8" w:rsidP="006A5220">
      <w:pPr>
        <w:spacing w:before="120" w:after="120"/>
        <w:jc w:val="both"/>
        <w:rPr>
          <w:sz w:val="24"/>
          <w:szCs w:val="24"/>
        </w:rPr>
      </w:pPr>
      <w:r>
        <w:rPr>
          <w:sz w:val="24"/>
          <w:szCs w:val="24"/>
        </w:rPr>
        <w:t>Междинният  съкратен ф</w:t>
      </w:r>
      <w:r w:rsidR="00985719" w:rsidRPr="006A5220">
        <w:rPr>
          <w:sz w:val="24"/>
          <w:szCs w:val="24"/>
        </w:rPr>
        <w:t>инансов отчет е съставен в български лева, което е функционалната валута на Дружеството. Всички суми са представени в хиляди лева (‘000 лв.)</w:t>
      </w:r>
      <w:r w:rsidR="00985719" w:rsidRPr="006A5220">
        <w:rPr>
          <w:b/>
          <w:bCs/>
          <w:sz w:val="24"/>
          <w:szCs w:val="24"/>
        </w:rPr>
        <w:t xml:space="preserve"> </w:t>
      </w:r>
      <w:r w:rsidR="00985719" w:rsidRPr="006A5220">
        <w:rPr>
          <w:sz w:val="24"/>
          <w:szCs w:val="24"/>
        </w:rPr>
        <w:t xml:space="preserve">(включително сравнителната информация), освен ако не е посочено друго. </w:t>
      </w:r>
    </w:p>
    <w:p w:rsidR="00985719" w:rsidRPr="006A5220" w:rsidRDefault="00985719" w:rsidP="006A5220">
      <w:pPr>
        <w:spacing w:before="120" w:after="120"/>
        <w:jc w:val="both"/>
        <w:rPr>
          <w:color w:val="FF0000"/>
          <w:sz w:val="24"/>
          <w:szCs w:val="24"/>
        </w:rPr>
      </w:pPr>
      <w:r w:rsidRPr="006A5220">
        <w:rPr>
          <w:sz w:val="24"/>
          <w:szCs w:val="24"/>
        </w:rPr>
        <w:t xml:space="preserve">Този финансов отчет е индивидуален. Дружеството съставя и консолидиран финансов отчет в съответствие с Международните стандарти за финансово отчитане (МСФО), разработени и публикувани от Съвета по международни счетоводни стандарти (СМСС) и приети от Европейския съюз (ЕС), в който инвестициите в дъщерни предприятия са </w:t>
      </w:r>
      <w:r w:rsidRPr="006A5220">
        <w:rPr>
          <w:sz w:val="24"/>
          <w:szCs w:val="24"/>
        </w:rPr>
        <w:lastRenderedPageBreak/>
        <w:t>отчетени и оповестени в съответствие с МСС 27 „Консолидирани и индивидуални финансови отчети”.</w:t>
      </w:r>
    </w:p>
    <w:p w:rsidR="00A870E6" w:rsidRPr="00FE6AC6" w:rsidRDefault="00985719" w:rsidP="00A870E6">
      <w:pPr>
        <w:spacing w:line="240" w:lineRule="atLeast"/>
        <w:jc w:val="both"/>
        <w:rPr>
          <w:sz w:val="24"/>
          <w:szCs w:val="24"/>
          <w:highlight w:val="yellow"/>
        </w:rPr>
      </w:pPr>
      <w:r w:rsidRPr="00D83853">
        <w:rPr>
          <w:sz w:val="24"/>
          <w:szCs w:val="24"/>
        </w:rPr>
        <w:t xml:space="preserve">Дружеството отчита </w:t>
      </w:r>
      <w:r w:rsidR="00E54A8C" w:rsidRPr="00D83853">
        <w:rPr>
          <w:sz w:val="24"/>
          <w:szCs w:val="24"/>
        </w:rPr>
        <w:t>загуба</w:t>
      </w:r>
      <w:r w:rsidRPr="00D83853">
        <w:rPr>
          <w:sz w:val="24"/>
          <w:szCs w:val="24"/>
        </w:rPr>
        <w:t xml:space="preserve"> за периода в размер на </w:t>
      </w:r>
      <w:r w:rsidR="00D83853" w:rsidRPr="00D83853">
        <w:rPr>
          <w:sz w:val="24"/>
          <w:szCs w:val="24"/>
        </w:rPr>
        <w:t>7 089</w:t>
      </w:r>
      <w:r w:rsidRPr="00D83853">
        <w:rPr>
          <w:sz w:val="24"/>
          <w:szCs w:val="24"/>
        </w:rPr>
        <w:t xml:space="preserve"> хил. лв.</w:t>
      </w:r>
      <w:r w:rsidR="00E54A8C" w:rsidRPr="00D83853">
        <w:rPr>
          <w:sz w:val="24"/>
          <w:szCs w:val="24"/>
        </w:rPr>
        <w:t xml:space="preserve"> </w:t>
      </w:r>
      <w:r w:rsidRPr="00D83853">
        <w:rPr>
          <w:sz w:val="24"/>
          <w:szCs w:val="24"/>
        </w:rPr>
        <w:t>Натрупаната загуба към 3</w:t>
      </w:r>
      <w:r w:rsidR="00B61AF8" w:rsidRPr="00D83853">
        <w:rPr>
          <w:sz w:val="24"/>
          <w:szCs w:val="24"/>
        </w:rPr>
        <w:t>0</w:t>
      </w:r>
      <w:r w:rsidRPr="00D83853">
        <w:rPr>
          <w:sz w:val="24"/>
          <w:szCs w:val="24"/>
        </w:rPr>
        <w:t xml:space="preserve"> </w:t>
      </w:r>
      <w:r w:rsidR="00D83853" w:rsidRPr="00D83853">
        <w:rPr>
          <w:sz w:val="24"/>
          <w:szCs w:val="24"/>
        </w:rPr>
        <w:t>септември</w:t>
      </w:r>
      <w:r w:rsidRPr="00D83853">
        <w:rPr>
          <w:sz w:val="24"/>
          <w:szCs w:val="24"/>
        </w:rPr>
        <w:t xml:space="preserve"> 201</w:t>
      </w:r>
      <w:r w:rsidR="00B61AF8" w:rsidRPr="00D83853">
        <w:rPr>
          <w:sz w:val="24"/>
          <w:szCs w:val="24"/>
        </w:rPr>
        <w:t>6</w:t>
      </w:r>
      <w:r w:rsidRPr="00D83853">
        <w:rPr>
          <w:sz w:val="24"/>
          <w:szCs w:val="24"/>
        </w:rPr>
        <w:t xml:space="preserve"> г. е в размер на </w:t>
      </w:r>
      <w:r w:rsidR="00D83853" w:rsidRPr="00D83853">
        <w:rPr>
          <w:sz w:val="24"/>
          <w:szCs w:val="24"/>
        </w:rPr>
        <w:t>135 185</w:t>
      </w:r>
      <w:r w:rsidRPr="00D83853">
        <w:rPr>
          <w:sz w:val="24"/>
          <w:szCs w:val="24"/>
        </w:rPr>
        <w:t xml:space="preserve"> хил. лв., а текущите пасиви надвишават текущите активи със </w:t>
      </w:r>
      <w:r w:rsidR="00D83853" w:rsidRPr="00D83853">
        <w:rPr>
          <w:sz w:val="24"/>
          <w:szCs w:val="24"/>
        </w:rPr>
        <w:t>127 941</w:t>
      </w:r>
      <w:r w:rsidRPr="00D83853">
        <w:rPr>
          <w:sz w:val="24"/>
          <w:szCs w:val="24"/>
        </w:rPr>
        <w:t xml:space="preserve"> хил. лв.</w:t>
      </w:r>
      <w:r w:rsidR="00996993" w:rsidRPr="00D83853">
        <w:rPr>
          <w:sz w:val="24"/>
          <w:szCs w:val="24"/>
        </w:rPr>
        <w:t xml:space="preserve"> (201</w:t>
      </w:r>
      <w:r w:rsidR="0060728D" w:rsidRPr="00D83853">
        <w:rPr>
          <w:sz w:val="24"/>
          <w:szCs w:val="24"/>
        </w:rPr>
        <w:t>5</w:t>
      </w:r>
      <w:r w:rsidR="00996993" w:rsidRPr="00D83853">
        <w:rPr>
          <w:sz w:val="24"/>
          <w:szCs w:val="24"/>
        </w:rPr>
        <w:t xml:space="preserve"> г.: </w:t>
      </w:r>
      <w:r w:rsidR="0060728D" w:rsidRPr="00D83853">
        <w:rPr>
          <w:sz w:val="24"/>
          <w:szCs w:val="24"/>
        </w:rPr>
        <w:t>150 85</w:t>
      </w:r>
      <w:r w:rsidR="00D83853" w:rsidRPr="00D83853">
        <w:rPr>
          <w:sz w:val="24"/>
          <w:szCs w:val="24"/>
        </w:rPr>
        <w:t>6</w:t>
      </w:r>
      <w:r w:rsidR="00996993" w:rsidRPr="00D83853">
        <w:rPr>
          <w:sz w:val="24"/>
          <w:szCs w:val="24"/>
        </w:rPr>
        <w:t xml:space="preserve"> хил.лв.)</w:t>
      </w:r>
      <w:r w:rsidR="00FE5AD4" w:rsidRPr="00D83853">
        <w:rPr>
          <w:sz w:val="24"/>
          <w:szCs w:val="24"/>
        </w:rPr>
        <w:t>, без да с</w:t>
      </w:r>
      <w:r w:rsidR="0080113C" w:rsidRPr="00D83853">
        <w:rPr>
          <w:sz w:val="24"/>
          <w:szCs w:val="24"/>
        </w:rPr>
        <w:t>е вземат в предвид активите квал</w:t>
      </w:r>
      <w:r w:rsidR="00FE5AD4" w:rsidRPr="00D83853">
        <w:rPr>
          <w:sz w:val="24"/>
          <w:szCs w:val="24"/>
        </w:rPr>
        <w:t xml:space="preserve">ифицирани като държани за продажба в размер на </w:t>
      </w:r>
      <w:r w:rsidR="00D83853" w:rsidRPr="00D83853">
        <w:rPr>
          <w:sz w:val="24"/>
          <w:szCs w:val="24"/>
        </w:rPr>
        <w:t>9 206</w:t>
      </w:r>
      <w:r w:rsidR="00FE5AD4" w:rsidRPr="00D83853">
        <w:rPr>
          <w:sz w:val="24"/>
          <w:szCs w:val="24"/>
        </w:rPr>
        <w:t xml:space="preserve"> хил. лева</w:t>
      </w:r>
      <w:r w:rsidR="00996993" w:rsidRPr="00D83853">
        <w:rPr>
          <w:sz w:val="24"/>
          <w:szCs w:val="24"/>
        </w:rPr>
        <w:t>.</w:t>
      </w:r>
      <w:r w:rsidRPr="00D83853">
        <w:rPr>
          <w:sz w:val="24"/>
          <w:szCs w:val="24"/>
        </w:rPr>
        <w:t xml:space="preserve"> </w:t>
      </w:r>
      <w:r w:rsidR="00E07D69" w:rsidRPr="009F32D1">
        <w:rPr>
          <w:sz w:val="24"/>
          <w:szCs w:val="24"/>
        </w:rPr>
        <w:t>П</w:t>
      </w:r>
      <w:r w:rsidR="00615D35" w:rsidRPr="009F32D1">
        <w:rPr>
          <w:sz w:val="24"/>
          <w:szCs w:val="24"/>
        </w:rPr>
        <w:t>росрочени</w:t>
      </w:r>
      <w:r w:rsidR="00E07D69" w:rsidRPr="009F32D1">
        <w:rPr>
          <w:sz w:val="24"/>
          <w:szCs w:val="24"/>
        </w:rPr>
        <w:t>те</w:t>
      </w:r>
      <w:r w:rsidRPr="009F32D1">
        <w:rPr>
          <w:sz w:val="24"/>
          <w:szCs w:val="24"/>
        </w:rPr>
        <w:t xml:space="preserve"> </w:t>
      </w:r>
      <w:r w:rsidR="003B693F" w:rsidRPr="009F32D1">
        <w:rPr>
          <w:sz w:val="24"/>
          <w:szCs w:val="24"/>
        </w:rPr>
        <w:t xml:space="preserve">търговски </w:t>
      </w:r>
      <w:r w:rsidR="00F6127B" w:rsidRPr="009F32D1">
        <w:rPr>
          <w:sz w:val="24"/>
          <w:szCs w:val="24"/>
        </w:rPr>
        <w:t xml:space="preserve">и други </w:t>
      </w:r>
      <w:r w:rsidRPr="009F32D1">
        <w:rPr>
          <w:sz w:val="24"/>
          <w:szCs w:val="24"/>
        </w:rPr>
        <w:t>задължения</w:t>
      </w:r>
      <w:r w:rsidR="00320071" w:rsidRPr="009F32D1">
        <w:rPr>
          <w:sz w:val="24"/>
          <w:szCs w:val="24"/>
        </w:rPr>
        <w:t>,</w:t>
      </w:r>
      <w:r w:rsidR="00BD1A34" w:rsidRPr="009F32D1">
        <w:rPr>
          <w:sz w:val="24"/>
          <w:szCs w:val="24"/>
        </w:rPr>
        <w:t xml:space="preserve"> </w:t>
      </w:r>
      <w:r w:rsidR="00F6127B" w:rsidRPr="009F32D1">
        <w:rPr>
          <w:sz w:val="24"/>
          <w:szCs w:val="24"/>
        </w:rPr>
        <w:t xml:space="preserve">и </w:t>
      </w:r>
      <w:r w:rsidR="00BD1A34" w:rsidRPr="009F32D1">
        <w:rPr>
          <w:sz w:val="24"/>
          <w:szCs w:val="24"/>
        </w:rPr>
        <w:t>задължения към свързани лица</w:t>
      </w:r>
      <w:r w:rsidRPr="009F32D1">
        <w:rPr>
          <w:sz w:val="24"/>
          <w:szCs w:val="24"/>
        </w:rPr>
        <w:t xml:space="preserve"> на Дружеството са</w:t>
      </w:r>
      <w:r w:rsidR="00E54A8C" w:rsidRPr="009F32D1">
        <w:rPr>
          <w:sz w:val="24"/>
          <w:szCs w:val="24"/>
        </w:rPr>
        <w:t xml:space="preserve"> в размер на</w:t>
      </w:r>
      <w:r w:rsidRPr="009F32D1">
        <w:rPr>
          <w:sz w:val="24"/>
          <w:szCs w:val="24"/>
        </w:rPr>
        <w:t xml:space="preserve"> </w:t>
      </w:r>
      <w:r w:rsidR="009F32D1" w:rsidRPr="009F32D1">
        <w:rPr>
          <w:sz w:val="24"/>
          <w:szCs w:val="24"/>
        </w:rPr>
        <w:t>72 327</w:t>
      </w:r>
      <w:r w:rsidR="00402392" w:rsidRPr="009F32D1">
        <w:rPr>
          <w:sz w:val="24"/>
          <w:szCs w:val="24"/>
        </w:rPr>
        <w:t xml:space="preserve"> хил.</w:t>
      </w:r>
      <w:r w:rsidR="00210FB5" w:rsidRPr="009F32D1">
        <w:rPr>
          <w:sz w:val="24"/>
          <w:szCs w:val="24"/>
        </w:rPr>
        <w:t xml:space="preserve"> </w:t>
      </w:r>
      <w:r w:rsidR="00402392" w:rsidRPr="009F32D1">
        <w:rPr>
          <w:sz w:val="24"/>
          <w:szCs w:val="24"/>
        </w:rPr>
        <w:t>лв.</w:t>
      </w:r>
      <w:r w:rsidR="00615D35" w:rsidRPr="009F32D1">
        <w:rPr>
          <w:sz w:val="24"/>
          <w:szCs w:val="24"/>
        </w:rPr>
        <w:t xml:space="preserve"> към 3</w:t>
      </w:r>
      <w:r w:rsidR="0060728D" w:rsidRPr="009F32D1">
        <w:rPr>
          <w:sz w:val="24"/>
          <w:szCs w:val="24"/>
        </w:rPr>
        <w:t>0.0</w:t>
      </w:r>
      <w:r w:rsidR="00D83853" w:rsidRPr="009F32D1">
        <w:rPr>
          <w:sz w:val="24"/>
          <w:szCs w:val="24"/>
        </w:rPr>
        <w:t>9</w:t>
      </w:r>
      <w:r w:rsidR="00615D35" w:rsidRPr="009F32D1">
        <w:rPr>
          <w:sz w:val="24"/>
          <w:szCs w:val="24"/>
        </w:rPr>
        <w:t>.201</w:t>
      </w:r>
      <w:r w:rsidR="0060728D" w:rsidRPr="009F32D1">
        <w:rPr>
          <w:sz w:val="24"/>
          <w:szCs w:val="24"/>
        </w:rPr>
        <w:t>6</w:t>
      </w:r>
      <w:r w:rsidR="00615D35" w:rsidRPr="009F32D1">
        <w:rPr>
          <w:sz w:val="24"/>
          <w:szCs w:val="24"/>
        </w:rPr>
        <w:t xml:space="preserve"> г.</w:t>
      </w:r>
      <w:r w:rsidR="00402392" w:rsidRPr="00D83853">
        <w:rPr>
          <w:sz w:val="24"/>
          <w:szCs w:val="24"/>
        </w:rPr>
        <w:t xml:space="preserve"> </w:t>
      </w:r>
      <w:r w:rsidR="00F6127B" w:rsidRPr="00D83853">
        <w:rPr>
          <w:sz w:val="24"/>
          <w:szCs w:val="24"/>
        </w:rPr>
        <w:t xml:space="preserve"> В сумата е включена </w:t>
      </w:r>
      <w:r w:rsidR="008B4066" w:rsidRPr="00D83853">
        <w:rPr>
          <w:sz w:val="24"/>
          <w:szCs w:val="24"/>
        </w:rPr>
        <w:t xml:space="preserve">активирана държавна гаранция, във връзка с погасените заеми от Министерство на финансите по получени от „Международната банка за възстановяване и развитие“ и „Европейската банка за възстановяване и развитие“  в размер на </w:t>
      </w:r>
      <w:r w:rsidR="00D83853" w:rsidRPr="00D83853">
        <w:rPr>
          <w:sz w:val="24"/>
          <w:szCs w:val="24"/>
        </w:rPr>
        <w:t>40 391</w:t>
      </w:r>
      <w:r w:rsidR="008B4066" w:rsidRPr="00D83853">
        <w:rPr>
          <w:sz w:val="24"/>
          <w:szCs w:val="24"/>
        </w:rPr>
        <w:t xml:space="preserve"> хил. лв. </w:t>
      </w:r>
      <w:r w:rsidR="00416F0C" w:rsidRPr="009F32D1">
        <w:rPr>
          <w:sz w:val="24"/>
          <w:szCs w:val="24"/>
        </w:rPr>
        <w:t>Просрочените задължения по з</w:t>
      </w:r>
      <w:r w:rsidR="003B693F" w:rsidRPr="009F32D1">
        <w:rPr>
          <w:sz w:val="24"/>
          <w:szCs w:val="24"/>
        </w:rPr>
        <w:t xml:space="preserve">аеми са в размер на </w:t>
      </w:r>
      <w:r w:rsidR="009F32D1" w:rsidRPr="009F32D1">
        <w:rPr>
          <w:sz w:val="24"/>
          <w:szCs w:val="24"/>
        </w:rPr>
        <w:t>137 143</w:t>
      </w:r>
      <w:r w:rsidR="00E467DD" w:rsidRPr="009F32D1">
        <w:rPr>
          <w:sz w:val="24"/>
          <w:szCs w:val="24"/>
        </w:rPr>
        <w:t xml:space="preserve"> </w:t>
      </w:r>
      <w:r w:rsidR="003B693F" w:rsidRPr="009F32D1">
        <w:rPr>
          <w:sz w:val="24"/>
          <w:szCs w:val="24"/>
        </w:rPr>
        <w:t>хил.</w:t>
      </w:r>
      <w:r w:rsidR="00C068D5" w:rsidRPr="009F32D1">
        <w:rPr>
          <w:sz w:val="24"/>
          <w:szCs w:val="24"/>
        </w:rPr>
        <w:t xml:space="preserve"> </w:t>
      </w:r>
      <w:r w:rsidR="003B693F" w:rsidRPr="009F32D1">
        <w:rPr>
          <w:sz w:val="24"/>
          <w:szCs w:val="24"/>
        </w:rPr>
        <w:t>лв.</w:t>
      </w:r>
      <w:r w:rsidR="00D76A59" w:rsidRPr="009F32D1">
        <w:rPr>
          <w:sz w:val="24"/>
          <w:szCs w:val="24"/>
        </w:rPr>
        <w:t xml:space="preserve"> </w:t>
      </w:r>
      <w:r w:rsidR="00947EC0" w:rsidRPr="009F32D1">
        <w:rPr>
          <w:sz w:val="24"/>
          <w:szCs w:val="24"/>
        </w:rPr>
        <w:t>В</w:t>
      </w:r>
      <w:r w:rsidR="000E3052" w:rsidRPr="009F32D1">
        <w:rPr>
          <w:sz w:val="24"/>
          <w:szCs w:val="24"/>
        </w:rPr>
        <w:t xml:space="preserve">ъв връзка с продължаващо </w:t>
      </w:r>
      <w:r w:rsidR="00626951" w:rsidRPr="009F32D1">
        <w:rPr>
          <w:sz w:val="24"/>
          <w:szCs w:val="24"/>
        </w:rPr>
        <w:t>неизпълнение на договорните условия по емитира</w:t>
      </w:r>
      <w:r w:rsidR="00947EC0" w:rsidRPr="009F32D1">
        <w:rPr>
          <w:sz w:val="24"/>
          <w:szCs w:val="24"/>
        </w:rPr>
        <w:t xml:space="preserve">ната втора облигационна емисия, </w:t>
      </w:r>
      <w:r w:rsidR="000E3052" w:rsidRPr="009F32D1">
        <w:rPr>
          <w:sz w:val="24"/>
          <w:szCs w:val="24"/>
        </w:rPr>
        <w:t xml:space="preserve">заема е обявен за </w:t>
      </w:r>
      <w:r w:rsidR="00626951" w:rsidRPr="009F32D1">
        <w:rPr>
          <w:sz w:val="24"/>
          <w:szCs w:val="24"/>
        </w:rPr>
        <w:t>предсрочн</w:t>
      </w:r>
      <w:r w:rsidR="000E3052" w:rsidRPr="009F32D1">
        <w:rPr>
          <w:sz w:val="24"/>
          <w:szCs w:val="24"/>
        </w:rPr>
        <w:t>о</w:t>
      </w:r>
      <w:r w:rsidR="00626951" w:rsidRPr="009F32D1">
        <w:rPr>
          <w:sz w:val="24"/>
          <w:szCs w:val="24"/>
        </w:rPr>
        <w:t xml:space="preserve"> изискуем</w:t>
      </w:r>
      <w:r w:rsidR="00975385" w:rsidRPr="009F32D1">
        <w:rPr>
          <w:sz w:val="24"/>
          <w:szCs w:val="24"/>
        </w:rPr>
        <w:t xml:space="preserve"> през 2014 г.</w:t>
      </w:r>
      <w:r w:rsidR="00996993" w:rsidRPr="009F32D1">
        <w:rPr>
          <w:sz w:val="24"/>
          <w:szCs w:val="24"/>
        </w:rPr>
        <w:t xml:space="preserve"> П</w:t>
      </w:r>
      <w:r w:rsidR="001A4B0A" w:rsidRPr="009F32D1">
        <w:rPr>
          <w:sz w:val="24"/>
          <w:szCs w:val="24"/>
        </w:rPr>
        <w:t>редприети са действия от страна на облигационерите за</w:t>
      </w:r>
      <w:r w:rsidR="00626951" w:rsidRPr="009F32D1">
        <w:rPr>
          <w:sz w:val="24"/>
          <w:szCs w:val="24"/>
        </w:rPr>
        <w:t xml:space="preserve"> </w:t>
      </w:r>
      <w:r w:rsidR="001A4B0A" w:rsidRPr="009F32D1">
        <w:rPr>
          <w:sz w:val="24"/>
          <w:szCs w:val="24"/>
        </w:rPr>
        <w:t xml:space="preserve">пристъпване към </w:t>
      </w:r>
      <w:r w:rsidR="00626951" w:rsidRPr="009F32D1">
        <w:rPr>
          <w:sz w:val="24"/>
          <w:szCs w:val="24"/>
        </w:rPr>
        <w:t xml:space="preserve">разпродажба на </w:t>
      </w:r>
      <w:r w:rsidR="00436882" w:rsidRPr="009F32D1">
        <w:rPr>
          <w:sz w:val="24"/>
          <w:szCs w:val="24"/>
        </w:rPr>
        <w:t>част от</w:t>
      </w:r>
      <w:r w:rsidR="00F8513F" w:rsidRPr="009F32D1">
        <w:rPr>
          <w:sz w:val="24"/>
          <w:szCs w:val="24"/>
        </w:rPr>
        <w:t xml:space="preserve"> предоставеното обезпечение по </w:t>
      </w:r>
      <w:r w:rsidR="00D47E94" w:rsidRPr="009F32D1">
        <w:rPr>
          <w:sz w:val="24"/>
          <w:szCs w:val="24"/>
        </w:rPr>
        <w:t>Д</w:t>
      </w:r>
      <w:r w:rsidR="00F8513F" w:rsidRPr="009F32D1">
        <w:rPr>
          <w:sz w:val="24"/>
          <w:szCs w:val="24"/>
        </w:rPr>
        <w:t xml:space="preserve">оговор </w:t>
      </w:r>
      <w:r w:rsidR="00D47E94" w:rsidRPr="009F32D1">
        <w:rPr>
          <w:sz w:val="24"/>
          <w:szCs w:val="24"/>
        </w:rPr>
        <w:t xml:space="preserve">за учредяване на особен залог от 09.11.2007 г., представляващо 3 402 броя товарни вагони, както и налагане на възбрани върху недвижими имоти, собственост на дружеството. През </w:t>
      </w:r>
      <w:r w:rsidR="00D83853" w:rsidRPr="009F32D1">
        <w:rPr>
          <w:sz w:val="24"/>
          <w:szCs w:val="24"/>
        </w:rPr>
        <w:t>третото тримесечие</w:t>
      </w:r>
      <w:r w:rsidR="0060728D" w:rsidRPr="009F32D1">
        <w:rPr>
          <w:sz w:val="24"/>
          <w:szCs w:val="24"/>
        </w:rPr>
        <w:t xml:space="preserve"> на </w:t>
      </w:r>
      <w:r w:rsidR="00D47E94" w:rsidRPr="009F32D1">
        <w:rPr>
          <w:sz w:val="24"/>
          <w:szCs w:val="24"/>
        </w:rPr>
        <w:t>201</w:t>
      </w:r>
      <w:r w:rsidR="0060728D" w:rsidRPr="009F32D1">
        <w:rPr>
          <w:sz w:val="24"/>
          <w:szCs w:val="24"/>
        </w:rPr>
        <w:t>6</w:t>
      </w:r>
      <w:r w:rsidR="00D47E94" w:rsidRPr="009F32D1">
        <w:rPr>
          <w:sz w:val="24"/>
          <w:szCs w:val="24"/>
        </w:rPr>
        <w:t xml:space="preserve"> г. по реда  на Глава седма от Закона за особените залози е осъществена продажба на </w:t>
      </w:r>
      <w:r w:rsidR="00292646" w:rsidRPr="009F32D1">
        <w:rPr>
          <w:sz w:val="24"/>
          <w:szCs w:val="24"/>
        </w:rPr>
        <w:t>56</w:t>
      </w:r>
      <w:r w:rsidR="00D47E94" w:rsidRPr="009F32D1">
        <w:rPr>
          <w:sz w:val="24"/>
          <w:szCs w:val="24"/>
        </w:rPr>
        <w:t xml:space="preserve"> боя товарни вагони от „Българската банка за развитие” АД, като довереник на облигационерите. Останалите </w:t>
      </w:r>
      <w:r w:rsidR="00436882" w:rsidRPr="009F32D1">
        <w:rPr>
          <w:sz w:val="24"/>
          <w:szCs w:val="24"/>
        </w:rPr>
        <w:t xml:space="preserve"> </w:t>
      </w:r>
      <w:r w:rsidR="00BF7735" w:rsidRPr="009F32D1">
        <w:rPr>
          <w:sz w:val="24"/>
          <w:szCs w:val="24"/>
        </w:rPr>
        <w:t xml:space="preserve">от заложените </w:t>
      </w:r>
      <w:r w:rsidR="00B5291D" w:rsidRPr="009F32D1">
        <w:rPr>
          <w:sz w:val="24"/>
          <w:szCs w:val="24"/>
        </w:rPr>
        <w:t>3 2</w:t>
      </w:r>
      <w:r w:rsidR="00292646" w:rsidRPr="009F32D1">
        <w:rPr>
          <w:sz w:val="24"/>
          <w:szCs w:val="24"/>
        </w:rPr>
        <w:t>08</w:t>
      </w:r>
      <w:r w:rsidR="00626951" w:rsidRPr="009F32D1">
        <w:rPr>
          <w:sz w:val="24"/>
          <w:szCs w:val="24"/>
        </w:rPr>
        <w:t xml:space="preserve"> броя товарни вагони с</w:t>
      </w:r>
      <w:r w:rsidR="00D47E94" w:rsidRPr="009F32D1">
        <w:rPr>
          <w:sz w:val="24"/>
          <w:szCs w:val="24"/>
        </w:rPr>
        <w:t>а с</w:t>
      </w:r>
      <w:r w:rsidR="00626951" w:rsidRPr="009F32D1">
        <w:rPr>
          <w:sz w:val="24"/>
          <w:szCs w:val="24"/>
        </w:rPr>
        <w:t xml:space="preserve"> балансова стойност 1 </w:t>
      </w:r>
      <w:r w:rsidR="00292646" w:rsidRPr="009F32D1">
        <w:rPr>
          <w:sz w:val="24"/>
          <w:szCs w:val="24"/>
        </w:rPr>
        <w:t>392</w:t>
      </w:r>
      <w:r w:rsidR="00626951" w:rsidRPr="009F32D1">
        <w:rPr>
          <w:sz w:val="24"/>
          <w:szCs w:val="24"/>
        </w:rPr>
        <w:t xml:space="preserve"> хил. лв</w:t>
      </w:r>
      <w:r w:rsidR="00D47E94" w:rsidRPr="009F32D1">
        <w:rPr>
          <w:sz w:val="24"/>
          <w:szCs w:val="24"/>
        </w:rPr>
        <w:t>. към 3</w:t>
      </w:r>
      <w:r w:rsidR="00292646" w:rsidRPr="009F32D1">
        <w:rPr>
          <w:sz w:val="24"/>
          <w:szCs w:val="24"/>
        </w:rPr>
        <w:t>0</w:t>
      </w:r>
      <w:r w:rsidR="00D47E94" w:rsidRPr="009F32D1">
        <w:rPr>
          <w:sz w:val="24"/>
          <w:szCs w:val="24"/>
        </w:rPr>
        <w:t>.</w:t>
      </w:r>
      <w:r w:rsidR="00292646" w:rsidRPr="009F32D1">
        <w:rPr>
          <w:sz w:val="24"/>
          <w:szCs w:val="24"/>
        </w:rPr>
        <w:t>0</w:t>
      </w:r>
      <w:r w:rsidR="00D83853" w:rsidRPr="009F32D1">
        <w:rPr>
          <w:sz w:val="24"/>
          <w:szCs w:val="24"/>
        </w:rPr>
        <w:t>9</w:t>
      </w:r>
      <w:r w:rsidR="00D47E94" w:rsidRPr="009F32D1">
        <w:rPr>
          <w:sz w:val="24"/>
          <w:szCs w:val="24"/>
        </w:rPr>
        <w:t>.201</w:t>
      </w:r>
      <w:r w:rsidR="00292646" w:rsidRPr="009F32D1">
        <w:rPr>
          <w:sz w:val="24"/>
          <w:szCs w:val="24"/>
        </w:rPr>
        <w:t>6</w:t>
      </w:r>
      <w:r w:rsidR="00D47E94" w:rsidRPr="009F32D1">
        <w:rPr>
          <w:sz w:val="24"/>
          <w:szCs w:val="24"/>
        </w:rPr>
        <w:t xml:space="preserve"> г.</w:t>
      </w:r>
    </w:p>
    <w:p w:rsidR="00985719" w:rsidRPr="00292646" w:rsidRDefault="007C0DAF" w:rsidP="00D7334B">
      <w:pPr>
        <w:spacing w:before="120" w:after="120" w:line="240" w:lineRule="atLeast"/>
        <w:jc w:val="both"/>
        <w:rPr>
          <w:sz w:val="24"/>
          <w:szCs w:val="24"/>
        </w:rPr>
      </w:pPr>
      <w:r w:rsidRPr="00292646">
        <w:rPr>
          <w:sz w:val="24"/>
          <w:szCs w:val="24"/>
        </w:rPr>
        <w:t xml:space="preserve">С цел решаване на дълговите проблеми на групата на „Холдинг БДЖ” ЕАД и поставянето й на една стабилна финансова основа, която да осигури бъдещето й развитие </w:t>
      </w:r>
      <w:r w:rsidR="005333FD" w:rsidRPr="00292646">
        <w:rPr>
          <w:sz w:val="24"/>
          <w:szCs w:val="24"/>
        </w:rPr>
        <w:t xml:space="preserve">Ръководството е предприело следните по-значими </w:t>
      </w:r>
      <w:r w:rsidR="00985719" w:rsidRPr="00292646">
        <w:rPr>
          <w:sz w:val="24"/>
          <w:szCs w:val="24"/>
        </w:rPr>
        <w:t>мерки за подобряване на финансовото състояние на Дружеството:</w:t>
      </w:r>
    </w:p>
    <w:p w:rsidR="00985719" w:rsidRPr="00292646" w:rsidRDefault="00985719" w:rsidP="006A5220">
      <w:pPr>
        <w:numPr>
          <w:ilvl w:val="0"/>
          <w:numId w:val="14"/>
        </w:numPr>
        <w:jc w:val="both"/>
        <w:rPr>
          <w:sz w:val="24"/>
          <w:szCs w:val="24"/>
        </w:rPr>
      </w:pPr>
      <w:r w:rsidRPr="00292646">
        <w:rPr>
          <w:sz w:val="24"/>
          <w:szCs w:val="24"/>
        </w:rPr>
        <w:t>Дружеството провежда политика на оптимизиране на разходите, материалните запаси и други елементи на оборотния капитал. Очакваният резултат от тези мерки е подобряване на ликвидната позиция и оборотния капитал на Дружеството.</w:t>
      </w:r>
    </w:p>
    <w:p w:rsidR="003B693F" w:rsidRPr="00292646" w:rsidRDefault="007C0DAF" w:rsidP="006A5220">
      <w:pPr>
        <w:numPr>
          <w:ilvl w:val="0"/>
          <w:numId w:val="14"/>
        </w:numPr>
        <w:jc w:val="both"/>
        <w:rPr>
          <w:sz w:val="24"/>
          <w:szCs w:val="24"/>
        </w:rPr>
      </w:pPr>
      <w:r w:rsidRPr="00292646">
        <w:rPr>
          <w:sz w:val="24"/>
          <w:szCs w:val="24"/>
        </w:rPr>
        <w:t>П</w:t>
      </w:r>
      <w:r w:rsidR="006E73F2" w:rsidRPr="00292646">
        <w:rPr>
          <w:sz w:val="24"/>
          <w:szCs w:val="24"/>
        </w:rPr>
        <w:t xml:space="preserve">остигнато принципно съгласие между Министерство на транспорта, информационните технологии и съобщенията и Министерството на финансите </w:t>
      </w:r>
      <w:r w:rsidR="00573B17" w:rsidRPr="00292646">
        <w:rPr>
          <w:sz w:val="24"/>
          <w:szCs w:val="24"/>
        </w:rPr>
        <w:t>съобразно</w:t>
      </w:r>
      <w:r w:rsidR="006E73F2" w:rsidRPr="00292646">
        <w:rPr>
          <w:sz w:val="24"/>
          <w:szCs w:val="24"/>
        </w:rPr>
        <w:t xml:space="preserve"> р</w:t>
      </w:r>
      <w:r w:rsidR="003B693F" w:rsidRPr="00292646">
        <w:rPr>
          <w:sz w:val="24"/>
          <w:szCs w:val="24"/>
        </w:rPr>
        <w:t>азработен</w:t>
      </w:r>
      <w:r w:rsidR="006E73F2" w:rsidRPr="00292646">
        <w:rPr>
          <w:sz w:val="24"/>
          <w:szCs w:val="24"/>
        </w:rPr>
        <w:t xml:space="preserve">ия </w:t>
      </w:r>
      <w:r w:rsidR="003B693F" w:rsidRPr="00292646">
        <w:rPr>
          <w:sz w:val="24"/>
          <w:szCs w:val="24"/>
        </w:rPr>
        <w:t xml:space="preserve"> </w:t>
      </w:r>
      <w:r w:rsidR="00996993" w:rsidRPr="00292646">
        <w:rPr>
          <w:sz w:val="24"/>
          <w:szCs w:val="24"/>
        </w:rPr>
        <w:t>„П</w:t>
      </w:r>
      <w:r w:rsidR="00317589" w:rsidRPr="00292646">
        <w:rPr>
          <w:sz w:val="24"/>
          <w:szCs w:val="24"/>
        </w:rPr>
        <w:t xml:space="preserve">лан за </w:t>
      </w:r>
      <w:r w:rsidR="00996993" w:rsidRPr="00292646">
        <w:rPr>
          <w:sz w:val="24"/>
          <w:szCs w:val="24"/>
        </w:rPr>
        <w:t>оздравяване и развитие на Групата на</w:t>
      </w:r>
      <w:r w:rsidR="003B693F" w:rsidRPr="00292646">
        <w:rPr>
          <w:sz w:val="24"/>
          <w:szCs w:val="24"/>
        </w:rPr>
        <w:t xml:space="preserve"> </w:t>
      </w:r>
      <w:r w:rsidR="00E528D5" w:rsidRPr="00292646">
        <w:rPr>
          <w:sz w:val="24"/>
          <w:szCs w:val="24"/>
        </w:rPr>
        <w:t>„</w:t>
      </w:r>
      <w:r w:rsidR="003B693F" w:rsidRPr="00292646">
        <w:rPr>
          <w:sz w:val="24"/>
          <w:szCs w:val="24"/>
        </w:rPr>
        <w:t>Холдинг</w:t>
      </w:r>
      <w:r w:rsidR="00E528D5" w:rsidRPr="00292646">
        <w:rPr>
          <w:sz w:val="24"/>
          <w:szCs w:val="24"/>
        </w:rPr>
        <w:t xml:space="preserve"> БДЖ“ </w:t>
      </w:r>
      <w:r w:rsidR="00317589" w:rsidRPr="00292646">
        <w:rPr>
          <w:sz w:val="24"/>
          <w:szCs w:val="24"/>
        </w:rPr>
        <w:t>за периода 201</w:t>
      </w:r>
      <w:r w:rsidR="00A211F2" w:rsidRPr="00292646">
        <w:rPr>
          <w:sz w:val="24"/>
          <w:szCs w:val="24"/>
        </w:rPr>
        <w:t>5</w:t>
      </w:r>
      <w:r w:rsidR="00317589" w:rsidRPr="00292646">
        <w:rPr>
          <w:sz w:val="24"/>
          <w:szCs w:val="24"/>
        </w:rPr>
        <w:t xml:space="preserve"> – 202</w:t>
      </w:r>
      <w:r w:rsidR="00A211F2" w:rsidRPr="00292646">
        <w:rPr>
          <w:sz w:val="24"/>
          <w:szCs w:val="24"/>
        </w:rPr>
        <w:t>2</w:t>
      </w:r>
      <w:r w:rsidR="00317589" w:rsidRPr="00292646">
        <w:rPr>
          <w:sz w:val="24"/>
          <w:szCs w:val="24"/>
        </w:rPr>
        <w:t xml:space="preserve"> г.</w:t>
      </w:r>
      <w:r w:rsidR="006E73F2" w:rsidRPr="00292646">
        <w:rPr>
          <w:sz w:val="24"/>
          <w:szCs w:val="24"/>
        </w:rPr>
        <w:t xml:space="preserve"> за предоставяне на </w:t>
      </w:r>
      <w:r w:rsidR="00831082" w:rsidRPr="00292646">
        <w:rPr>
          <w:sz w:val="24"/>
          <w:szCs w:val="24"/>
        </w:rPr>
        <w:t>държавна</w:t>
      </w:r>
      <w:r w:rsidR="006E73F2" w:rsidRPr="00292646">
        <w:rPr>
          <w:sz w:val="24"/>
          <w:szCs w:val="24"/>
        </w:rPr>
        <w:t xml:space="preserve"> помощ</w:t>
      </w:r>
      <w:r w:rsidR="00573B17" w:rsidRPr="00292646">
        <w:rPr>
          <w:sz w:val="24"/>
          <w:szCs w:val="24"/>
        </w:rPr>
        <w:t>,</w:t>
      </w:r>
      <w:r w:rsidR="006E73F2" w:rsidRPr="00292646">
        <w:rPr>
          <w:sz w:val="24"/>
          <w:szCs w:val="24"/>
        </w:rPr>
        <w:t xml:space="preserve"> </w:t>
      </w:r>
      <w:r w:rsidR="00573B17" w:rsidRPr="00292646">
        <w:rPr>
          <w:sz w:val="24"/>
          <w:szCs w:val="24"/>
        </w:rPr>
        <w:t xml:space="preserve">след получаване на положително становище от Европейската комисия за допустима държавна помощ по мярката за „анулиране на дългове”. Предвижда се </w:t>
      </w:r>
      <w:r w:rsidR="00831082" w:rsidRPr="00292646">
        <w:rPr>
          <w:sz w:val="24"/>
          <w:szCs w:val="24"/>
        </w:rPr>
        <w:t>финансовите</w:t>
      </w:r>
      <w:r w:rsidR="00573B17" w:rsidRPr="00292646">
        <w:rPr>
          <w:sz w:val="24"/>
          <w:szCs w:val="24"/>
        </w:rPr>
        <w:t xml:space="preserve"> средст</w:t>
      </w:r>
      <w:r w:rsidR="004868B6" w:rsidRPr="00292646">
        <w:rPr>
          <w:sz w:val="24"/>
          <w:szCs w:val="24"/>
        </w:rPr>
        <w:t>ва да бъдат осигурени с част от очакваното авансово плащане</w:t>
      </w:r>
      <w:r w:rsidR="00573B17" w:rsidRPr="00292646">
        <w:rPr>
          <w:sz w:val="24"/>
          <w:szCs w:val="24"/>
        </w:rPr>
        <w:t xml:space="preserve"> </w:t>
      </w:r>
      <w:r w:rsidR="004868B6" w:rsidRPr="00292646">
        <w:rPr>
          <w:sz w:val="24"/>
          <w:szCs w:val="24"/>
        </w:rPr>
        <w:t>по</w:t>
      </w:r>
      <w:r w:rsidR="00573B17" w:rsidRPr="00292646">
        <w:rPr>
          <w:sz w:val="24"/>
          <w:szCs w:val="24"/>
        </w:rPr>
        <w:t xml:space="preserve"> концесия</w:t>
      </w:r>
      <w:r w:rsidR="004868B6" w:rsidRPr="00292646">
        <w:rPr>
          <w:sz w:val="24"/>
          <w:szCs w:val="24"/>
        </w:rPr>
        <w:t>та</w:t>
      </w:r>
      <w:r w:rsidR="00573B17" w:rsidRPr="00292646">
        <w:rPr>
          <w:sz w:val="24"/>
          <w:szCs w:val="24"/>
        </w:rPr>
        <w:t xml:space="preserve"> на Летище София</w:t>
      </w:r>
      <w:r w:rsidR="004868B6" w:rsidRPr="00292646">
        <w:rPr>
          <w:sz w:val="24"/>
          <w:szCs w:val="24"/>
        </w:rPr>
        <w:t>.</w:t>
      </w:r>
    </w:p>
    <w:p w:rsidR="004868B6" w:rsidRPr="00292646" w:rsidRDefault="004868B6" w:rsidP="006A5220">
      <w:pPr>
        <w:numPr>
          <w:ilvl w:val="0"/>
          <w:numId w:val="14"/>
        </w:numPr>
        <w:jc w:val="both"/>
        <w:rPr>
          <w:sz w:val="24"/>
          <w:szCs w:val="24"/>
        </w:rPr>
      </w:pPr>
      <w:r w:rsidRPr="00292646">
        <w:rPr>
          <w:sz w:val="24"/>
          <w:szCs w:val="24"/>
        </w:rPr>
        <w:t xml:space="preserve">Направено писменно заявление до Главна дирекция „Конкуренция” към Европейската комисия за нотификация на мярка за „анулиране на дългове” на „Холдинг БДЖ” ЕАД в размер на </w:t>
      </w:r>
      <w:r w:rsidR="009F32D1">
        <w:rPr>
          <w:sz w:val="24"/>
          <w:szCs w:val="24"/>
        </w:rPr>
        <w:t>601 908</w:t>
      </w:r>
      <w:r w:rsidRPr="00292646">
        <w:rPr>
          <w:sz w:val="24"/>
          <w:szCs w:val="24"/>
        </w:rPr>
        <w:t xml:space="preserve"> хил. лева, натрупани преди присъединяване на Република България към Европейския съюз, изпълняващи условията от Насоките на Общността за държавна помощ за железопътните предприятия.</w:t>
      </w:r>
    </w:p>
    <w:p w:rsidR="00E467DD" w:rsidRPr="00292646" w:rsidRDefault="00E467DD" w:rsidP="006A5220">
      <w:pPr>
        <w:numPr>
          <w:ilvl w:val="0"/>
          <w:numId w:val="14"/>
        </w:numPr>
        <w:jc w:val="both"/>
        <w:rPr>
          <w:sz w:val="24"/>
          <w:szCs w:val="24"/>
        </w:rPr>
      </w:pPr>
      <w:r w:rsidRPr="00292646">
        <w:rPr>
          <w:sz w:val="24"/>
          <w:szCs w:val="24"/>
        </w:rPr>
        <w:t>Водят се преговори с кредиторите на Дружеството за разсрочване на задълженията.</w:t>
      </w:r>
      <w:r w:rsidR="009F32D1" w:rsidRPr="009F32D1">
        <w:rPr>
          <w:sz w:val="24"/>
          <w:szCs w:val="24"/>
        </w:rPr>
        <w:t xml:space="preserve"> </w:t>
      </w:r>
      <w:r w:rsidR="009F32D1">
        <w:rPr>
          <w:sz w:val="24"/>
          <w:szCs w:val="24"/>
        </w:rPr>
        <w:t>В тази връзка н</w:t>
      </w:r>
      <w:r w:rsidR="009F32D1" w:rsidRPr="00820442">
        <w:rPr>
          <w:sz w:val="24"/>
          <w:szCs w:val="24"/>
        </w:rPr>
        <w:t xml:space="preserve">а 22.07.2016 г.  е </w:t>
      </w:r>
      <w:r w:rsidR="009F32D1">
        <w:rPr>
          <w:sz w:val="24"/>
          <w:szCs w:val="24"/>
        </w:rPr>
        <w:t>п</w:t>
      </w:r>
      <w:r w:rsidR="009F32D1" w:rsidRPr="00820442">
        <w:rPr>
          <w:sz w:val="24"/>
          <w:szCs w:val="24"/>
        </w:rPr>
        <w:t xml:space="preserve">одписан  </w:t>
      </w:r>
      <w:r w:rsidR="009F32D1">
        <w:rPr>
          <w:sz w:val="24"/>
          <w:szCs w:val="24"/>
        </w:rPr>
        <w:t>с</w:t>
      </w:r>
      <w:r w:rsidR="009F32D1" w:rsidRPr="00820442">
        <w:rPr>
          <w:sz w:val="24"/>
          <w:szCs w:val="24"/>
        </w:rPr>
        <w:t xml:space="preserve">  </w:t>
      </w:r>
      <w:r w:rsidR="009F32D1" w:rsidRPr="00820442">
        <w:rPr>
          <w:sz w:val="24"/>
          <w:szCs w:val="24"/>
          <w:lang w:val="en-US"/>
        </w:rPr>
        <w:t>KFW</w:t>
      </w:r>
      <w:r w:rsidR="009F32D1" w:rsidRPr="00820442">
        <w:rPr>
          <w:sz w:val="24"/>
          <w:szCs w:val="24"/>
        </w:rPr>
        <w:t xml:space="preserve"> </w:t>
      </w:r>
      <w:r w:rsidR="009F32D1" w:rsidRPr="00820442">
        <w:rPr>
          <w:sz w:val="24"/>
          <w:szCs w:val="24"/>
          <w:lang w:val="en-US"/>
        </w:rPr>
        <w:t>IPEX</w:t>
      </w:r>
      <w:r w:rsidR="009F32D1" w:rsidRPr="00820442">
        <w:rPr>
          <w:sz w:val="24"/>
          <w:szCs w:val="24"/>
        </w:rPr>
        <w:t xml:space="preserve"> </w:t>
      </w:r>
      <w:r w:rsidR="009F32D1" w:rsidRPr="00820442">
        <w:rPr>
          <w:sz w:val="24"/>
          <w:szCs w:val="24"/>
          <w:lang w:val="en-US"/>
        </w:rPr>
        <w:t>Bank</w:t>
      </w:r>
      <w:r w:rsidR="009F32D1" w:rsidRPr="00820442">
        <w:rPr>
          <w:sz w:val="24"/>
          <w:szCs w:val="24"/>
        </w:rPr>
        <w:t xml:space="preserve"> </w:t>
      </w:r>
      <w:r w:rsidR="009F32D1" w:rsidRPr="00820442">
        <w:rPr>
          <w:sz w:val="24"/>
          <w:szCs w:val="24"/>
          <w:lang w:val="en-US"/>
        </w:rPr>
        <w:t>GmbH</w:t>
      </w:r>
      <w:r w:rsidR="009F32D1" w:rsidRPr="00820442">
        <w:rPr>
          <w:sz w:val="24"/>
          <w:szCs w:val="24"/>
        </w:rPr>
        <w:t xml:space="preserve"> Договор за изменение на Договор за финансиране </w:t>
      </w:r>
      <w:r w:rsidR="009F32D1" w:rsidRPr="00820442">
        <w:rPr>
          <w:sz w:val="24"/>
          <w:szCs w:val="24"/>
          <w:lang w:val="en-US"/>
        </w:rPr>
        <w:t>II</w:t>
      </w:r>
      <w:r w:rsidR="009F32D1">
        <w:rPr>
          <w:sz w:val="24"/>
          <w:szCs w:val="24"/>
        </w:rPr>
        <w:t>, с който е предоговорен нов погасителен план за изплащане на дълга на „Холдинг БДЖ” ЕАД към финансовата институция.</w:t>
      </w:r>
    </w:p>
    <w:p w:rsidR="0084590E" w:rsidRPr="00292646" w:rsidRDefault="0084590E" w:rsidP="0084590E">
      <w:pPr>
        <w:jc w:val="both"/>
        <w:rPr>
          <w:sz w:val="24"/>
          <w:szCs w:val="24"/>
        </w:rPr>
      </w:pPr>
    </w:p>
    <w:p w:rsidR="0084590E" w:rsidRPr="00B24ABE" w:rsidRDefault="0084590E" w:rsidP="0084590E">
      <w:pPr>
        <w:pStyle w:val="BodyText"/>
        <w:spacing w:line="0" w:lineRule="atLeast"/>
        <w:jc w:val="both"/>
        <w:rPr>
          <w:sz w:val="24"/>
          <w:szCs w:val="24"/>
        </w:rPr>
      </w:pPr>
      <w:r w:rsidRPr="00292646">
        <w:rPr>
          <w:sz w:val="24"/>
          <w:szCs w:val="24"/>
        </w:rPr>
        <w:t xml:space="preserve">Ръководството счита, че въз основа на направените прогнози за бъдещото развитие на „Холдинг БДЖ” ЕАД, дружеството ще успее да постигане финансова устойчивост и да </w:t>
      </w:r>
      <w:r w:rsidRPr="00292646">
        <w:rPr>
          <w:sz w:val="24"/>
          <w:szCs w:val="24"/>
        </w:rPr>
        <w:lastRenderedPageBreak/>
        <w:t>продължи своята дейност, чрез предприети мерки за продажба на притежаваните инвестиции в асоциирани предприятия, продажба на неоперативни активи, както и очакване за получаване на допълнителна финансова подкрепа от едноличния собственик на „Холдинг БДЖ” ЕАД по м</w:t>
      </w:r>
      <w:r w:rsidR="004868B6" w:rsidRPr="00292646">
        <w:rPr>
          <w:sz w:val="24"/>
          <w:szCs w:val="24"/>
        </w:rPr>
        <w:t xml:space="preserve">ярката – „опрощаване на дългове” </w:t>
      </w:r>
      <w:r w:rsidRPr="00292646">
        <w:rPr>
          <w:sz w:val="24"/>
          <w:szCs w:val="24"/>
        </w:rPr>
        <w:t>при постигане на взаимно изгодни споразумения с финансовите кредитори за разсрочване на дълговете.</w:t>
      </w:r>
    </w:p>
    <w:p w:rsidR="0044176F" w:rsidRPr="001B5C43" w:rsidRDefault="007A2FA1" w:rsidP="0044176F">
      <w:pPr>
        <w:pStyle w:val="Heading1"/>
        <w:numPr>
          <w:ilvl w:val="0"/>
          <w:numId w:val="10"/>
        </w:numPr>
        <w:spacing w:line="240" w:lineRule="auto"/>
        <w:ind w:left="0" w:firstLine="0"/>
        <w:jc w:val="both"/>
      </w:pPr>
      <w:bookmarkStart w:id="1" w:name="_Ref248334587"/>
      <w:bookmarkStart w:id="2" w:name="_Ref248331485"/>
      <w:r w:rsidRPr="003731A5">
        <w:rPr>
          <w:rFonts w:cs="Arial"/>
        </w:rPr>
        <w:t>Промени в счетоводната политика</w:t>
      </w:r>
      <w:bookmarkEnd w:id="1"/>
      <w:bookmarkEnd w:id="2"/>
    </w:p>
    <w:p w:rsidR="009F32D1" w:rsidRDefault="00C21794" w:rsidP="00F85954">
      <w:pPr>
        <w:pStyle w:val="BodyText"/>
        <w:jc w:val="both"/>
        <w:rPr>
          <w:sz w:val="24"/>
          <w:szCs w:val="24"/>
        </w:rPr>
      </w:pPr>
      <w:r>
        <w:rPr>
          <w:sz w:val="24"/>
          <w:szCs w:val="24"/>
        </w:rPr>
        <w:t>О</w:t>
      </w:r>
      <w:r w:rsidR="00F85954" w:rsidRPr="00664051">
        <w:rPr>
          <w:sz w:val="24"/>
          <w:szCs w:val="24"/>
        </w:rPr>
        <w:t xml:space="preserve">т 01.01.2016г. </w:t>
      </w:r>
      <w:r>
        <w:rPr>
          <w:sz w:val="24"/>
          <w:szCs w:val="24"/>
        </w:rPr>
        <w:t>Дружеството</w:t>
      </w:r>
      <w:r w:rsidR="00F85954" w:rsidRPr="00664051">
        <w:rPr>
          <w:sz w:val="24"/>
          <w:szCs w:val="24"/>
        </w:rPr>
        <w:t xml:space="preserve"> пром</w:t>
      </w:r>
      <w:r>
        <w:rPr>
          <w:sz w:val="24"/>
          <w:szCs w:val="24"/>
        </w:rPr>
        <w:t>ени</w:t>
      </w:r>
      <w:r w:rsidR="00F85954" w:rsidRPr="00664051">
        <w:rPr>
          <w:sz w:val="24"/>
          <w:szCs w:val="24"/>
        </w:rPr>
        <w:t xml:space="preserve"> счетоводната </w:t>
      </w:r>
      <w:r w:rsidR="0051496B">
        <w:rPr>
          <w:sz w:val="24"/>
          <w:szCs w:val="24"/>
        </w:rPr>
        <w:t xml:space="preserve">си </w:t>
      </w:r>
      <w:r w:rsidR="00F85954" w:rsidRPr="00664051">
        <w:rPr>
          <w:sz w:val="24"/>
          <w:szCs w:val="24"/>
        </w:rPr>
        <w:t>политика,</w:t>
      </w:r>
      <w:r>
        <w:rPr>
          <w:sz w:val="24"/>
          <w:szCs w:val="24"/>
        </w:rPr>
        <w:t xml:space="preserve"> използвана по отношение на</w:t>
      </w:r>
      <w:r w:rsidR="00F85954" w:rsidRPr="00664051">
        <w:rPr>
          <w:sz w:val="24"/>
          <w:szCs w:val="24"/>
        </w:rPr>
        <w:t xml:space="preserve"> прилагания метод на амортизация на класа „Транспортни средства” - товарни вагони, включен</w:t>
      </w:r>
      <w:r w:rsidR="00F85954">
        <w:rPr>
          <w:sz w:val="24"/>
          <w:szCs w:val="24"/>
        </w:rPr>
        <w:t>и в раздел „Имоти машини и съоръ</w:t>
      </w:r>
      <w:r w:rsidR="00F85954" w:rsidRPr="00664051">
        <w:rPr>
          <w:sz w:val="24"/>
          <w:szCs w:val="24"/>
        </w:rPr>
        <w:t>жения”, като вместо линеен метод, се</w:t>
      </w:r>
      <w:r w:rsidR="000A00A3">
        <w:rPr>
          <w:sz w:val="24"/>
          <w:szCs w:val="24"/>
        </w:rPr>
        <w:t xml:space="preserve"> </w:t>
      </w:r>
      <w:r>
        <w:rPr>
          <w:sz w:val="24"/>
          <w:szCs w:val="24"/>
        </w:rPr>
        <w:t>използва метод</w:t>
      </w:r>
      <w:r w:rsidR="000A00A3">
        <w:rPr>
          <w:sz w:val="24"/>
          <w:szCs w:val="24"/>
        </w:rPr>
        <w:t>ът</w:t>
      </w:r>
      <w:r>
        <w:rPr>
          <w:sz w:val="24"/>
          <w:szCs w:val="24"/>
        </w:rPr>
        <w:t xml:space="preserve"> според </w:t>
      </w:r>
      <w:r w:rsidR="000A00A3">
        <w:rPr>
          <w:sz w:val="24"/>
          <w:szCs w:val="24"/>
        </w:rPr>
        <w:t xml:space="preserve">произведеното </w:t>
      </w:r>
      <w:r>
        <w:rPr>
          <w:sz w:val="24"/>
          <w:szCs w:val="24"/>
        </w:rPr>
        <w:t>ко</w:t>
      </w:r>
      <w:r w:rsidR="0051496B">
        <w:rPr>
          <w:sz w:val="24"/>
          <w:szCs w:val="24"/>
        </w:rPr>
        <w:t>личество услуги</w:t>
      </w:r>
      <w:r w:rsidR="000A00A3">
        <w:rPr>
          <w:sz w:val="24"/>
          <w:szCs w:val="24"/>
        </w:rPr>
        <w:t xml:space="preserve">. </w:t>
      </w:r>
      <w:r w:rsidR="00DC159D">
        <w:rPr>
          <w:sz w:val="24"/>
          <w:szCs w:val="24"/>
        </w:rPr>
        <w:t xml:space="preserve">Възприет е като </w:t>
      </w:r>
      <w:r w:rsidR="000A00A3">
        <w:rPr>
          <w:sz w:val="24"/>
          <w:szCs w:val="24"/>
        </w:rPr>
        <w:t xml:space="preserve"> обемен показател за извършена работа </w:t>
      </w:r>
      <w:r w:rsidR="000A00A3" w:rsidRPr="00664051">
        <w:rPr>
          <w:sz w:val="24"/>
          <w:szCs w:val="24"/>
        </w:rPr>
        <w:t>отчетени</w:t>
      </w:r>
      <w:r w:rsidR="000A00A3">
        <w:rPr>
          <w:sz w:val="24"/>
          <w:szCs w:val="24"/>
        </w:rPr>
        <w:t xml:space="preserve"> брутотон километри</w:t>
      </w:r>
    </w:p>
    <w:p w:rsidR="000A00A3" w:rsidRDefault="007A3538" w:rsidP="00F85954">
      <w:pPr>
        <w:pStyle w:val="BodyText"/>
        <w:jc w:val="both"/>
        <w:rPr>
          <w:sz w:val="24"/>
          <w:szCs w:val="24"/>
        </w:rPr>
      </w:pPr>
      <w:r>
        <w:rPr>
          <w:sz w:val="24"/>
          <w:szCs w:val="24"/>
        </w:rPr>
        <w:t>Ръководството счита, че използването на този метод на амортизация отразява най-добре консумирането на икономи</w:t>
      </w:r>
      <w:r w:rsidR="00477EA1">
        <w:rPr>
          <w:sz w:val="24"/>
          <w:szCs w:val="24"/>
        </w:rPr>
        <w:t>ч</w:t>
      </w:r>
      <w:r>
        <w:rPr>
          <w:sz w:val="24"/>
          <w:szCs w:val="24"/>
        </w:rPr>
        <w:t xml:space="preserve">еската изгода от товарните вагони, тъй като амортизационната норма се определя въз основа на количеството услуга, което Дружеството очаква да реализира с активите, изразени в натурални измерители. </w:t>
      </w:r>
      <w:r w:rsidR="008105DC">
        <w:rPr>
          <w:sz w:val="24"/>
          <w:szCs w:val="24"/>
        </w:rPr>
        <w:t>О</w:t>
      </w:r>
      <w:r>
        <w:rPr>
          <w:sz w:val="24"/>
          <w:szCs w:val="24"/>
        </w:rPr>
        <w:t xml:space="preserve">тчислените разходи за амортизация </w:t>
      </w:r>
      <w:r w:rsidR="008105DC">
        <w:rPr>
          <w:sz w:val="24"/>
          <w:szCs w:val="24"/>
        </w:rPr>
        <w:t xml:space="preserve">чрез този метод </w:t>
      </w:r>
      <w:r>
        <w:rPr>
          <w:sz w:val="24"/>
          <w:szCs w:val="24"/>
        </w:rPr>
        <w:t>показват конкретното участие на нетекущия материален актив в стопанската дейност на предприятието</w:t>
      </w:r>
      <w:r w:rsidR="008105DC">
        <w:rPr>
          <w:sz w:val="24"/>
          <w:szCs w:val="24"/>
        </w:rPr>
        <w:t xml:space="preserve"> и са обвързани с обема на произведените чрез него услуги.</w:t>
      </w:r>
    </w:p>
    <w:p w:rsidR="00E7582B" w:rsidRPr="00A16194" w:rsidRDefault="00E7582B" w:rsidP="00E7582B">
      <w:pPr>
        <w:pStyle w:val="Heading1"/>
      </w:pPr>
      <w:r>
        <w:tab/>
        <w:t xml:space="preserve">3.1. </w:t>
      </w:r>
      <w:bookmarkStart w:id="3" w:name="_Ref369274668"/>
      <w:r w:rsidRPr="00A16194">
        <w:t>Нови стандарти, изменения и разяснения към МСФО, които са влезли в сила от 1 януари 201</w:t>
      </w:r>
      <w:r>
        <w:t>5</w:t>
      </w:r>
      <w:r w:rsidRPr="00A16194">
        <w:t xml:space="preserve"> г.</w:t>
      </w:r>
      <w:bookmarkEnd w:id="3"/>
    </w:p>
    <w:p w:rsidR="00E7582B" w:rsidRDefault="00E7582B" w:rsidP="00E7582B">
      <w:pPr>
        <w:autoSpaceDE w:val="0"/>
        <w:autoSpaceDN w:val="0"/>
        <w:adjustRightInd w:val="0"/>
        <w:jc w:val="both"/>
        <w:rPr>
          <w:color w:val="000000"/>
          <w:sz w:val="24"/>
          <w:szCs w:val="24"/>
        </w:rPr>
      </w:pPr>
    </w:p>
    <w:p w:rsidR="00E7582B" w:rsidRPr="005B6437" w:rsidRDefault="00E7582B" w:rsidP="00E7582B">
      <w:pPr>
        <w:autoSpaceDE w:val="0"/>
        <w:autoSpaceDN w:val="0"/>
        <w:adjustRightInd w:val="0"/>
        <w:jc w:val="both"/>
        <w:rPr>
          <w:sz w:val="24"/>
          <w:szCs w:val="24"/>
        </w:rPr>
      </w:pPr>
      <w:r w:rsidRPr="005B6437">
        <w:rPr>
          <w:sz w:val="24"/>
          <w:szCs w:val="24"/>
        </w:rPr>
        <w:t>Приетата счетоводна политика на Дружеството е в съответствие със счетоводната политика от предходната финансова година,  с изключение на следните нови и изменени МСС/МСФО и разяснения, разработени и публикувани от Съвета по международни счетоводни стандарти в сила от 1 януари  2015 г., които дружеството е приложило и които имат ефект върху финансовия отчет и са задължителни за прилагане от годишния период, започващ на 1 януари 2015 г.:</w:t>
      </w:r>
    </w:p>
    <w:p w:rsidR="00E7582B" w:rsidRPr="005B6437" w:rsidRDefault="00E7582B" w:rsidP="00E7582B">
      <w:pPr>
        <w:pStyle w:val="BodyText"/>
        <w:autoSpaceDE w:val="0"/>
        <w:autoSpaceDN w:val="0"/>
        <w:adjustRightInd w:val="0"/>
        <w:spacing w:before="120" w:after="0" w:line="240" w:lineRule="auto"/>
        <w:jc w:val="both"/>
        <w:rPr>
          <w:b/>
          <w:sz w:val="24"/>
          <w:szCs w:val="24"/>
        </w:rPr>
      </w:pPr>
      <w:r w:rsidRPr="005B6437">
        <w:rPr>
          <w:b/>
          <w:sz w:val="24"/>
          <w:szCs w:val="24"/>
        </w:rPr>
        <w:t>МСС 19 „Доходи на наети лица“ (изменен) – Вноски на служители, в сила от 1 юли 2015 г., приет от ЕС за годишни периоди, започващи на или след 1 февруари 2015 г.</w:t>
      </w:r>
    </w:p>
    <w:p w:rsidR="00E7582B" w:rsidRPr="005B6437" w:rsidRDefault="00E7582B" w:rsidP="00E7582B">
      <w:pPr>
        <w:autoSpaceDE w:val="0"/>
        <w:autoSpaceDN w:val="0"/>
        <w:adjustRightInd w:val="0"/>
        <w:jc w:val="both"/>
        <w:rPr>
          <w:sz w:val="24"/>
          <w:szCs w:val="24"/>
        </w:rPr>
      </w:pPr>
      <w:r w:rsidRPr="005B6437">
        <w:rPr>
          <w:sz w:val="24"/>
          <w:szCs w:val="24"/>
        </w:rPr>
        <w:t>Измененията в МСС 19 „Доходи на наети лица“ поясняват изискванията и дават възможност, вноскитеи на служители или трети лица, които не зависят от броя на годините за предоставяне на услугите, да бъдат третирани като намаление на разходите за текущ стаж в периода, в който съответните услуги са предоставени.</w:t>
      </w:r>
    </w:p>
    <w:p w:rsidR="00E7582B" w:rsidRPr="005B6437" w:rsidRDefault="00E7582B" w:rsidP="00E7582B">
      <w:pPr>
        <w:pStyle w:val="BodyText"/>
        <w:autoSpaceDE w:val="0"/>
        <w:autoSpaceDN w:val="0"/>
        <w:adjustRightInd w:val="0"/>
        <w:spacing w:before="120" w:after="0" w:line="240" w:lineRule="auto"/>
        <w:jc w:val="both"/>
        <w:rPr>
          <w:b/>
          <w:sz w:val="24"/>
          <w:szCs w:val="24"/>
        </w:rPr>
      </w:pPr>
      <w:r w:rsidRPr="005B6437">
        <w:rPr>
          <w:sz w:val="24"/>
          <w:szCs w:val="24"/>
        </w:rPr>
        <w:t xml:space="preserve">Годишни подобрения 2012 г. в сила от </w:t>
      </w:r>
      <w:r w:rsidRPr="005B6437">
        <w:rPr>
          <w:b/>
          <w:sz w:val="24"/>
          <w:szCs w:val="24"/>
        </w:rPr>
        <w:t>1 юли 201</w:t>
      </w:r>
      <w:r>
        <w:rPr>
          <w:b/>
          <w:sz w:val="24"/>
          <w:szCs w:val="24"/>
        </w:rPr>
        <w:t>4</w:t>
      </w:r>
      <w:r w:rsidRPr="005B6437">
        <w:rPr>
          <w:b/>
          <w:sz w:val="24"/>
          <w:szCs w:val="24"/>
        </w:rPr>
        <w:t xml:space="preserve"> г., приети от ЕС за годишни периоди, започващи на или след 1 февруари 2015 г.</w:t>
      </w:r>
    </w:p>
    <w:p w:rsidR="00E7582B" w:rsidRPr="005B6437" w:rsidRDefault="00E7582B" w:rsidP="00E7582B">
      <w:pPr>
        <w:pStyle w:val="BodyText"/>
        <w:spacing w:before="120" w:after="0" w:line="240" w:lineRule="auto"/>
        <w:jc w:val="both"/>
        <w:rPr>
          <w:sz w:val="24"/>
          <w:szCs w:val="24"/>
        </w:rPr>
      </w:pPr>
      <w:r w:rsidRPr="005B6437">
        <w:rPr>
          <w:sz w:val="24"/>
          <w:szCs w:val="24"/>
        </w:rPr>
        <w:t>Тези изменения включват промени от цикъла 2010-2012 на проекта за годишни подобрения, които засягат 7 стандарта:</w:t>
      </w:r>
    </w:p>
    <w:p w:rsidR="00E7582B" w:rsidRPr="005B6437" w:rsidRDefault="00E7582B" w:rsidP="00E7582B">
      <w:pPr>
        <w:pStyle w:val="BodyText"/>
        <w:numPr>
          <w:ilvl w:val="0"/>
          <w:numId w:val="35"/>
        </w:numPr>
        <w:autoSpaceDE w:val="0"/>
        <w:autoSpaceDN w:val="0"/>
        <w:adjustRightInd w:val="0"/>
        <w:spacing w:after="0" w:line="240" w:lineRule="auto"/>
        <w:jc w:val="both"/>
        <w:rPr>
          <w:sz w:val="24"/>
          <w:szCs w:val="24"/>
        </w:rPr>
      </w:pPr>
      <w:r w:rsidRPr="005B6437">
        <w:rPr>
          <w:sz w:val="24"/>
          <w:szCs w:val="24"/>
        </w:rPr>
        <w:t>МСФО 2 „Плащане на базата на акции“;</w:t>
      </w:r>
    </w:p>
    <w:p w:rsidR="00E7582B" w:rsidRPr="005B6437" w:rsidRDefault="00E7582B" w:rsidP="00E7582B">
      <w:pPr>
        <w:pStyle w:val="BodyText"/>
        <w:numPr>
          <w:ilvl w:val="0"/>
          <w:numId w:val="35"/>
        </w:numPr>
        <w:autoSpaceDE w:val="0"/>
        <w:autoSpaceDN w:val="0"/>
        <w:adjustRightInd w:val="0"/>
        <w:spacing w:after="0" w:line="240" w:lineRule="auto"/>
        <w:jc w:val="both"/>
        <w:rPr>
          <w:sz w:val="24"/>
          <w:szCs w:val="24"/>
        </w:rPr>
      </w:pPr>
      <w:r w:rsidRPr="005B6437">
        <w:rPr>
          <w:sz w:val="24"/>
          <w:szCs w:val="24"/>
        </w:rPr>
        <w:t>МСФО 3 „Бизнес комбинации“;</w:t>
      </w:r>
    </w:p>
    <w:p w:rsidR="00E7582B" w:rsidRPr="005B6437" w:rsidRDefault="00E7582B" w:rsidP="00E7582B">
      <w:pPr>
        <w:pStyle w:val="BodyText"/>
        <w:numPr>
          <w:ilvl w:val="0"/>
          <w:numId w:val="35"/>
        </w:numPr>
        <w:autoSpaceDE w:val="0"/>
        <w:autoSpaceDN w:val="0"/>
        <w:adjustRightInd w:val="0"/>
        <w:spacing w:after="0" w:line="240" w:lineRule="auto"/>
        <w:jc w:val="both"/>
        <w:rPr>
          <w:sz w:val="24"/>
          <w:szCs w:val="24"/>
        </w:rPr>
      </w:pPr>
      <w:r w:rsidRPr="005B6437">
        <w:rPr>
          <w:sz w:val="24"/>
          <w:szCs w:val="24"/>
        </w:rPr>
        <w:t>МСФО 8 „Оперативни сегменти“;</w:t>
      </w:r>
    </w:p>
    <w:p w:rsidR="00E7582B" w:rsidRPr="005B6437" w:rsidRDefault="00E7582B" w:rsidP="00E7582B">
      <w:pPr>
        <w:pStyle w:val="BodyText"/>
        <w:numPr>
          <w:ilvl w:val="0"/>
          <w:numId w:val="35"/>
        </w:numPr>
        <w:autoSpaceDE w:val="0"/>
        <w:autoSpaceDN w:val="0"/>
        <w:adjustRightInd w:val="0"/>
        <w:spacing w:after="0" w:line="240" w:lineRule="auto"/>
        <w:jc w:val="both"/>
        <w:rPr>
          <w:sz w:val="24"/>
          <w:szCs w:val="24"/>
        </w:rPr>
      </w:pPr>
      <w:r w:rsidRPr="005B6437">
        <w:rPr>
          <w:sz w:val="24"/>
          <w:szCs w:val="24"/>
        </w:rPr>
        <w:t>МСФО 13 „Оценяване на справедлива стойност“;</w:t>
      </w:r>
    </w:p>
    <w:p w:rsidR="00E7582B" w:rsidRPr="005B6437" w:rsidRDefault="00E7582B" w:rsidP="00E7582B">
      <w:pPr>
        <w:pStyle w:val="BodyText"/>
        <w:numPr>
          <w:ilvl w:val="0"/>
          <w:numId w:val="35"/>
        </w:numPr>
        <w:autoSpaceDE w:val="0"/>
        <w:autoSpaceDN w:val="0"/>
        <w:adjustRightInd w:val="0"/>
        <w:spacing w:after="0" w:line="240" w:lineRule="auto"/>
        <w:jc w:val="both"/>
        <w:rPr>
          <w:sz w:val="24"/>
          <w:szCs w:val="24"/>
        </w:rPr>
      </w:pPr>
      <w:r w:rsidRPr="005B6437">
        <w:rPr>
          <w:sz w:val="24"/>
          <w:szCs w:val="24"/>
        </w:rPr>
        <w:t>МСС 16 „Имоти, машини и съоръжения“ и МСС 38 „Нематериални активи“;</w:t>
      </w:r>
    </w:p>
    <w:p w:rsidR="00E7582B" w:rsidRPr="005B6437" w:rsidRDefault="00E7582B" w:rsidP="00E7582B">
      <w:pPr>
        <w:pStyle w:val="BodyText"/>
        <w:numPr>
          <w:ilvl w:val="0"/>
          <w:numId w:val="35"/>
        </w:numPr>
        <w:autoSpaceDE w:val="0"/>
        <w:autoSpaceDN w:val="0"/>
        <w:adjustRightInd w:val="0"/>
        <w:spacing w:after="0" w:line="240" w:lineRule="auto"/>
        <w:jc w:val="both"/>
        <w:rPr>
          <w:sz w:val="24"/>
          <w:szCs w:val="24"/>
        </w:rPr>
      </w:pPr>
      <w:r w:rsidRPr="005B6437">
        <w:rPr>
          <w:sz w:val="24"/>
          <w:szCs w:val="24"/>
        </w:rPr>
        <w:t>МСФО 9 „Финансови инструменти“ и МСС 37 „Провизии, условни пасиви и условни активи“;</w:t>
      </w:r>
    </w:p>
    <w:p w:rsidR="00E7582B" w:rsidRPr="005B6437" w:rsidRDefault="00E7582B" w:rsidP="00E7582B">
      <w:pPr>
        <w:pStyle w:val="BodyText"/>
        <w:numPr>
          <w:ilvl w:val="0"/>
          <w:numId w:val="35"/>
        </w:numPr>
        <w:autoSpaceDE w:val="0"/>
        <w:autoSpaceDN w:val="0"/>
        <w:adjustRightInd w:val="0"/>
        <w:spacing w:after="0" w:line="240" w:lineRule="auto"/>
        <w:jc w:val="both"/>
        <w:rPr>
          <w:sz w:val="24"/>
          <w:szCs w:val="24"/>
        </w:rPr>
      </w:pPr>
      <w:r w:rsidRPr="005B6437">
        <w:rPr>
          <w:sz w:val="24"/>
          <w:szCs w:val="24"/>
        </w:rPr>
        <w:lastRenderedPageBreak/>
        <w:t>МСС 39 „Финансови инструменти: признаване и оценяване“.</w:t>
      </w:r>
    </w:p>
    <w:p w:rsidR="00E7582B" w:rsidRDefault="00E7582B" w:rsidP="00E7582B">
      <w:pPr>
        <w:autoSpaceDE w:val="0"/>
        <w:autoSpaceDN w:val="0"/>
        <w:adjustRightInd w:val="0"/>
        <w:jc w:val="both"/>
        <w:rPr>
          <w:b/>
          <w:sz w:val="24"/>
          <w:szCs w:val="24"/>
        </w:rPr>
      </w:pPr>
    </w:p>
    <w:p w:rsidR="00E7582B" w:rsidRPr="005B6437" w:rsidRDefault="00E7582B" w:rsidP="00E7582B">
      <w:pPr>
        <w:autoSpaceDE w:val="0"/>
        <w:autoSpaceDN w:val="0"/>
        <w:adjustRightInd w:val="0"/>
        <w:jc w:val="both"/>
        <w:rPr>
          <w:b/>
          <w:sz w:val="24"/>
          <w:szCs w:val="24"/>
        </w:rPr>
      </w:pPr>
      <w:r w:rsidRPr="005B6437">
        <w:rPr>
          <w:b/>
          <w:sz w:val="24"/>
          <w:szCs w:val="24"/>
        </w:rPr>
        <w:t>Годишни подобрения 2013 г. в сила от 1 юли 201</w:t>
      </w:r>
      <w:r>
        <w:rPr>
          <w:b/>
          <w:sz w:val="24"/>
          <w:szCs w:val="24"/>
        </w:rPr>
        <w:t>4</w:t>
      </w:r>
      <w:r w:rsidRPr="005B6437">
        <w:rPr>
          <w:b/>
          <w:sz w:val="24"/>
          <w:szCs w:val="24"/>
        </w:rPr>
        <w:t xml:space="preserve"> г., приети от ЕС за годишни периоди, започващи на или след 1 Януари 2015 г.</w:t>
      </w:r>
    </w:p>
    <w:p w:rsidR="00E7582B" w:rsidRPr="005B6437" w:rsidRDefault="00E7582B" w:rsidP="00E7582B">
      <w:pPr>
        <w:autoSpaceDE w:val="0"/>
        <w:autoSpaceDN w:val="0"/>
        <w:adjustRightInd w:val="0"/>
        <w:jc w:val="both"/>
        <w:rPr>
          <w:sz w:val="24"/>
          <w:szCs w:val="24"/>
        </w:rPr>
      </w:pPr>
      <w:r w:rsidRPr="005B6437">
        <w:rPr>
          <w:sz w:val="24"/>
          <w:szCs w:val="24"/>
        </w:rPr>
        <w:t>Тези изменения включват промени от цикъла 2010-2012 на проекта за годишни подобрения, които засягат 4 стандарта:</w:t>
      </w:r>
    </w:p>
    <w:p w:rsidR="00E7582B" w:rsidRPr="005B6437" w:rsidRDefault="00E7582B" w:rsidP="00E7582B">
      <w:pPr>
        <w:autoSpaceDE w:val="0"/>
        <w:autoSpaceDN w:val="0"/>
        <w:adjustRightInd w:val="0"/>
        <w:jc w:val="both"/>
        <w:rPr>
          <w:sz w:val="24"/>
          <w:szCs w:val="24"/>
        </w:rPr>
      </w:pPr>
      <w:r w:rsidRPr="005B6437">
        <w:rPr>
          <w:sz w:val="24"/>
          <w:szCs w:val="24"/>
        </w:rPr>
        <w:t>МСФО 1 „Прилагане за първи път на МСФО“;</w:t>
      </w:r>
    </w:p>
    <w:p w:rsidR="00E7582B" w:rsidRPr="005B6437" w:rsidRDefault="00E7582B" w:rsidP="00E7582B">
      <w:pPr>
        <w:autoSpaceDE w:val="0"/>
        <w:autoSpaceDN w:val="0"/>
        <w:adjustRightInd w:val="0"/>
        <w:jc w:val="both"/>
        <w:rPr>
          <w:sz w:val="24"/>
          <w:szCs w:val="24"/>
        </w:rPr>
      </w:pPr>
      <w:r w:rsidRPr="005B6437">
        <w:rPr>
          <w:sz w:val="24"/>
          <w:szCs w:val="24"/>
        </w:rPr>
        <w:t>МСФО 3 „Бизнес комбинации“;</w:t>
      </w:r>
    </w:p>
    <w:p w:rsidR="00E7582B" w:rsidRPr="005B6437" w:rsidRDefault="00E7582B" w:rsidP="00E7582B">
      <w:pPr>
        <w:autoSpaceDE w:val="0"/>
        <w:autoSpaceDN w:val="0"/>
        <w:adjustRightInd w:val="0"/>
        <w:jc w:val="both"/>
        <w:rPr>
          <w:sz w:val="24"/>
          <w:szCs w:val="24"/>
        </w:rPr>
      </w:pPr>
      <w:r w:rsidRPr="005B6437">
        <w:rPr>
          <w:sz w:val="24"/>
          <w:szCs w:val="24"/>
        </w:rPr>
        <w:t>МСФО 13 „Оценяване на справедлива стойност“;</w:t>
      </w:r>
    </w:p>
    <w:p w:rsidR="00E7582B" w:rsidRPr="005B6437" w:rsidRDefault="00E7582B" w:rsidP="00E7582B">
      <w:pPr>
        <w:autoSpaceDE w:val="0"/>
        <w:autoSpaceDN w:val="0"/>
        <w:adjustRightInd w:val="0"/>
        <w:jc w:val="both"/>
        <w:rPr>
          <w:sz w:val="24"/>
          <w:szCs w:val="24"/>
        </w:rPr>
      </w:pPr>
      <w:r w:rsidRPr="005B6437">
        <w:rPr>
          <w:sz w:val="24"/>
          <w:szCs w:val="24"/>
        </w:rPr>
        <w:t>МСС 40 „Инвестиционни имоти“.</w:t>
      </w:r>
    </w:p>
    <w:p w:rsidR="00E7582B" w:rsidRDefault="00E7582B" w:rsidP="0044176F">
      <w:pPr>
        <w:autoSpaceDE w:val="0"/>
        <w:autoSpaceDN w:val="0"/>
        <w:adjustRightInd w:val="0"/>
        <w:spacing w:before="120" w:after="120"/>
        <w:jc w:val="both"/>
        <w:rPr>
          <w:sz w:val="24"/>
          <w:szCs w:val="24"/>
        </w:rPr>
      </w:pPr>
    </w:p>
    <w:p w:rsidR="006652D8" w:rsidRPr="00E7582B" w:rsidRDefault="00E7582B" w:rsidP="00E7582B">
      <w:pPr>
        <w:pStyle w:val="Heading1"/>
        <w:spacing w:before="240" w:line="240" w:lineRule="auto"/>
        <w:ind w:firstLine="720"/>
        <w:jc w:val="both"/>
        <w:rPr>
          <w:iCs/>
        </w:rPr>
      </w:pPr>
      <w:r w:rsidRPr="00E7582B">
        <w:rPr>
          <w:iCs/>
        </w:rPr>
        <w:t xml:space="preserve">3.2. </w:t>
      </w:r>
      <w:r w:rsidR="006652D8" w:rsidRPr="00E7582B">
        <w:rPr>
          <w:iCs/>
        </w:rPr>
        <w:t>Следните нови стандарти, изменения и разяснения към съществуващи вече стандарти са публикувани, но не са влезли в сила и не са прилагани на по-ранна дата от Дружеството:</w:t>
      </w:r>
    </w:p>
    <w:p w:rsidR="005B6437" w:rsidRPr="005B6437" w:rsidRDefault="005B6437" w:rsidP="005B6437">
      <w:pPr>
        <w:spacing w:before="120"/>
        <w:jc w:val="both"/>
        <w:rPr>
          <w:rStyle w:val="Emphasis"/>
          <w:b/>
          <w:i w:val="0"/>
          <w:sz w:val="24"/>
          <w:szCs w:val="24"/>
        </w:rPr>
      </w:pPr>
      <w:r w:rsidRPr="005B6437">
        <w:rPr>
          <w:rStyle w:val="Emphasis"/>
          <w:b/>
          <w:i w:val="0"/>
          <w:sz w:val="24"/>
          <w:szCs w:val="24"/>
        </w:rPr>
        <w:t>МСФО 9 „Финансови инструменти” в сила от 1 януари 2018 г., все още не е приет от ЕС</w:t>
      </w:r>
    </w:p>
    <w:p w:rsidR="005B6437" w:rsidRPr="005B6437" w:rsidRDefault="005B6437" w:rsidP="005B6437">
      <w:pPr>
        <w:spacing w:before="120"/>
        <w:jc w:val="both"/>
        <w:rPr>
          <w:rStyle w:val="Emphasis"/>
          <w:i w:val="0"/>
          <w:sz w:val="24"/>
          <w:szCs w:val="24"/>
        </w:rPr>
      </w:pPr>
      <w:r w:rsidRPr="005B6437">
        <w:rPr>
          <w:rStyle w:val="Emphasis"/>
          <w:i w:val="0"/>
          <w:sz w:val="24"/>
          <w:szCs w:val="24"/>
        </w:rPr>
        <w:t xml:space="preserve">Съветът по международни счетоводни стандарти (СМСС) издаде МСФО 9 „Финансови инструменти“, за замяна на МСС 39 „Финансови инструменти: признаване и оценяване”. Новият стандарт въвежда значителни промени в класификацията и оценяването на финансови активи и нов модел на очакваната загуба за обезценка на финансови активи. МСФО 9 включва и ново ръководство за отчитане на хеджирането. </w:t>
      </w:r>
    </w:p>
    <w:p w:rsidR="005B6437" w:rsidRPr="005B6437" w:rsidRDefault="005B6437" w:rsidP="005B6437">
      <w:pPr>
        <w:spacing w:before="120"/>
        <w:jc w:val="both"/>
        <w:rPr>
          <w:rStyle w:val="Emphasis"/>
          <w:b/>
          <w:i w:val="0"/>
          <w:sz w:val="24"/>
          <w:szCs w:val="24"/>
        </w:rPr>
      </w:pPr>
      <w:r w:rsidRPr="005B6437">
        <w:rPr>
          <w:rStyle w:val="Emphasis"/>
          <w:b/>
          <w:i w:val="0"/>
          <w:sz w:val="24"/>
          <w:szCs w:val="24"/>
        </w:rPr>
        <w:t>МСФО 9 „Финансови инструменти” (изменен) – Отчитане на хеджирането,  в сила от 1 януари 2018 г., все още не е приет от ЕС</w:t>
      </w:r>
    </w:p>
    <w:p w:rsidR="005B6437" w:rsidRPr="005B6437" w:rsidRDefault="005B6437" w:rsidP="005B6437">
      <w:pPr>
        <w:spacing w:before="120"/>
        <w:jc w:val="both"/>
        <w:rPr>
          <w:rStyle w:val="Emphasis"/>
          <w:i w:val="0"/>
          <w:sz w:val="24"/>
          <w:szCs w:val="24"/>
        </w:rPr>
      </w:pPr>
      <w:r w:rsidRPr="005B6437">
        <w:rPr>
          <w:rStyle w:val="Emphasis"/>
          <w:i w:val="0"/>
          <w:sz w:val="24"/>
          <w:szCs w:val="24"/>
        </w:rPr>
        <w:t>Измененията водят до съществена промяна в отчитането на хеджирането, която позволява на дружествата да отразяват техните дейности по-добре във финансовите отчети във връзка с управлението на риска.</w:t>
      </w:r>
    </w:p>
    <w:p w:rsidR="005B6437" w:rsidRPr="005B6437" w:rsidRDefault="005B6437" w:rsidP="005B6437">
      <w:pPr>
        <w:spacing w:before="120"/>
        <w:jc w:val="both"/>
        <w:rPr>
          <w:rStyle w:val="Emphasis"/>
          <w:b/>
          <w:i w:val="0"/>
          <w:sz w:val="24"/>
          <w:szCs w:val="24"/>
        </w:rPr>
      </w:pPr>
      <w:r w:rsidRPr="005B6437">
        <w:rPr>
          <w:rStyle w:val="Emphasis"/>
          <w:b/>
          <w:i w:val="0"/>
          <w:sz w:val="24"/>
          <w:szCs w:val="24"/>
        </w:rPr>
        <w:t>МСФО 10 „Консолидирани финансови отчети” и МСС 28 „Инвестиции в асоциирани предприятия и съвместни предприятия“ (изменени), в сила от 1 януари 2016 г., все още не са приети от ЕС</w:t>
      </w:r>
    </w:p>
    <w:p w:rsidR="005B6437" w:rsidRPr="005B6437" w:rsidRDefault="005B6437" w:rsidP="005B6437">
      <w:pPr>
        <w:spacing w:before="120"/>
        <w:jc w:val="both"/>
        <w:rPr>
          <w:rStyle w:val="Emphasis"/>
          <w:i w:val="0"/>
          <w:sz w:val="24"/>
          <w:szCs w:val="24"/>
        </w:rPr>
      </w:pPr>
      <w:r w:rsidRPr="005B6437">
        <w:rPr>
          <w:rStyle w:val="Emphasis"/>
          <w:i w:val="0"/>
          <w:sz w:val="24"/>
          <w:szCs w:val="24"/>
        </w:rPr>
        <w:t>Тези изменения са в резултат на несъответствието между изискванията на МСФО 10 и МСС 28 относно третирането на продажба или апортна вноска на активи между инвеститора и асоциираното предприятие или съвместното предприятие. Вследствие на тези изменения когато сделката включва бизнес независимо дали бизнесът е отделен в дъщерно предприятие се признава печалба или загуба в пълен разме. Частична печалба или загуба се признава, само когато сделката включва активи, които не представляват бизнес, дори и тези активи да са собственост на дъщерно предприятие.</w:t>
      </w:r>
    </w:p>
    <w:p w:rsidR="005B6437" w:rsidRPr="005B6437" w:rsidRDefault="005B6437" w:rsidP="005B6437">
      <w:pPr>
        <w:spacing w:before="120"/>
        <w:jc w:val="both"/>
        <w:rPr>
          <w:rStyle w:val="Emphasis"/>
          <w:b/>
          <w:i w:val="0"/>
          <w:sz w:val="24"/>
          <w:szCs w:val="24"/>
        </w:rPr>
      </w:pPr>
      <w:r w:rsidRPr="005B6437">
        <w:rPr>
          <w:rStyle w:val="Emphasis"/>
          <w:b/>
          <w:i w:val="0"/>
          <w:sz w:val="24"/>
          <w:szCs w:val="24"/>
        </w:rPr>
        <w:t>МСФО 10 „Консолидирани финансови отчети”, МСФО 12 „Оповестяване на дялови участия и други предпприятия и МСС 28 „Инвестиции в асоциирани предприятия и съвместни предприятия“ - Инвестиционни дружества (изменени), в сила от 1 януари 2016 г., все още не са приети от ЕС</w:t>
      </w:r>
    </w:p>
    <w:p w:rsidR="005B6437" w:rsidRPr="005B6437" w:rsidRDefault="005B6437" w:rsidP="005B6437">
      <w:pPr>
        <w:spacing w:before="120"/>
        <w:jc w:val="both"/>
        <w:rPr>
          <w:rStyle w:val="Emphasis"/>
          <w:i w:val="0"/>
          <w:sz w:val="24"/>
          <w:szCs w:val="24"/>
        </w:rPr>
      </w:pPr>
      <w:r w:rsidRPr="005B6437">
        <w:rPr>
          <w:rStyle w:val="Emphasis"/>
          <w:i w:val="0"/>
          <w:sz w:val="24"/>
          <w:szCs w:val="24"/>
        </w:rPr>
        <w:t xml:space="preserve">Тези изменения поясняват прилагането на изключенията, относно консолидация на финансовите отчети на инвестиционни дружества и техни дъщерни предприятия. Изключенията важат за и междинни предприятия майки, които са дъщерни на инвестиционни дружества. Изключенията се прилагат в случай, че инвестиционните </w:t>
      </w:r>
      <w:r w:rsidRPr="005B6437">
        <w:rPr>
          <w:rStyle w:val="Emphasis"/>
          <w:i w:val="0"/>
          <w:sz w:val="24"/>
          <w:szCs w:val="24"/>
        </w:rPr>
        <w:lastRenderedPageBreak/>
        <w:t>дружества майки оценяват дърщерните си предприятия по справедлива стойност, а междинното предприятие майка е задължено да отговори и на критериите в МСФО 10.</w:t>
      </w:r>
    </w:p>
    <w:p w:rsidR="005B6437" w:rsidRDefault="005B6437" w:rsidP="005B6437">
      <w:pPr>
        <w:jc w:val="both"/>
        <w:rPr>
          <w:rStyle w:val="Emphasis"/>
          <w:i w:val="0"/>
          <w:sz w:val="24"/>
          <w:szCs w:val="24"/>
        </w:rPr>
      </w:pPr>
    </w:p>
    <w:p w:rsidR="005B6437" w:rsidRPr="005B6437" w:rsidRDefault="005B6437" w:rsidP="005B6437">
      <w:pPr>
        <w:pStyle w:val="BodyText"/>
        <w:autoSpaceDE w:val="0"/>
        <w:autoSpaceDN w:val="0"/>
        <w:adjustRightInd w:val="0"/>
        <w:spacing w:before="120" w:after="0" w:line="240" w:lineRule="auto"/>
        <w:jc w:val="both"/>
        <w:rPr>
          <w:rStyle w:val="Emphasis"/>
          <w:b/>
          <w:i w:val="0"/>
          <w:sz w:val="24"/>
          <w:szCs w:val="24"/>
        </w:rPr>
      </w:pPr>
      <w:r w:rsidRPr="005B6437">
        <w:rPr>
          <w:rStyle w:val="Emphasis"/>
          <w:b/>
          <w:i w:val="0"/>
          <w:sz w:val="24"/>
          <w:szCs w:val="24"/>
        </w:rPr>
        <w:t>МСФО 11 „Съвместни ангажименти” (изменен) – Придобиване на дял в съвместна дейност, в сила от 1 януари 2016 г., все още не е приет от ЕС</w:t>
      </w:r>
    </w:p>
    <w:p w:rsidR="005B6437" w:rsidRPr="005B6437" w:rsidRDefault="005B6437" w:rsidP="005B6437">
      <w:pPr>
        <w:pStyle w:val="BodyText"/>
        <w:autoSpaceDE w:val="0"/>
        <w:autoSpaceDN w:val="0"/>
        <w:adjustRightInd w:val="0"/>
        <w:spacing w:before="120" w:after="0" w:line="240" w:lineRule="auto"/>
        <w:jc w:val="both"/>
        <w:rPr>
          <w:rStyle w:val="Emphasis"/>
          <w:i w:val="0"/>
          <w:sz w:val="24"/>
          <w:szCs w:val="24"/>
        </w:rPr>
      </w:pPr>
      <w:r w:rsidRPr="005B6437">
        <w:rPr>
          <w:rStyle w:val="Emphasis"/>
          <w:i w:val="0"/>
          <w:sz w:val="24"/>
          <w:szCs w:val="24"/>
        </w:rPr>
        <w:t>Това изменение дава насоки относно подходящото счетоводно третиране на придобиването на дял в съвместна дейност, която представлява бизнес.</w:t>
      </w:r>
    </w:p>
    <w:p w:rsidR="005B6437" w:rsidRPr="005B6437" w:rsidRDefault="005B6437" w:rsidP="005B6437">
      <w:pPr>
        <w:pStyle w:val="BodyText"/>
        <w:autoSpaceDE w:val="0"/>
        <w:autoSpaceDN w:val="0"/>
        <w:adjustRightInd w:val="0"/>
        <w:spacing w:before="120" w:after="0" w:line="240" w:lineRule="auto"/>
        <w:jc w:val="both"/>
        <w:rPr>
          <w:rStyle w:val="Emphasis"/>
          <w:b/>
          <w:i w:val="0"/>
          <w:sz w:val="24"/>
          <w:szCs w:val="24"/>
        </w:rPr>
      </w:pPr>
      <w:r w:rsidRPr="005B6437">
        <w:rPr>
          <w:rStyle w:val="Emphasis"/>
          <w:b/>
          <w:i w:val="0"/>
          <w:sz w:val="24"/>
          <w:szCs w:val="24"/>
        </w:rPr>
        <w:t>МСФО 14 „Отсрочени сметки при регулирани цени” в сила от 1 януари 2016 г., все още не е приет от ЕС</w:t>
      </w:r>
    </w:p>
    <w:p w:rsidR="005B6437" w:rsidRPr="005B6437" w:rsidRDefault="005B6437" w:rsidP="005B6437">
      <w:pPr>
        <w:pStyle w:val="BodyText"/>
        <w:autoSpaceDE w:val="0"/>
        <w:autoSpaceDN w:val="0"/>
        <w:adjustRightInd w:val="0"/>
        <w:spacing w:before="120" w:after="0" w:line="240" w:lineRule="auto"/>
        <w:jc w:val="both"/>
        <w:rPr>
          <w:rStyle w:val="Emphasis"/>
          <w:i w:val="0"/>
          <w:sz w:val="24"/>
          <w:szCs w:val="24"/>
        </w:rPr>
      </w:pPr>
      <w:r w:rsidRPr="005B6437">
        <w:rPr>
          <w:rStyle w:val="Emphasis"/>
          <w:i w:val="0"/>
          <w:sz w:val="24"/>
          <w:szCs w:val="24"/>
        </w:rPr>
        <w:t>МСФО 14 позволява на дружества, прилагащи за първи път МСФО,  да продължат признаването на суми, свързани с регулирани цени в съответствие с изискванията на тяхната предишна счетоводна база, когато прилагат МСФО. С цел подобряване на съпоставимостта с отчети на дружества, които вече прилагат МСФО и не признават такива суми, стандартът изисква да бъде представен отделно ефекта от регулираните цени.</w:t>
      </w:r>
    </w:p>
    <w:p w:rsidR="005B6437" w:rsidRPr="005B6437" w:rsidRDefault="005B6437" w:rsidP="005B6437">
      <w:pPr>
        <w:pStyle w:val="BodyText"/>
        <w:autoSpaceDE w:val="0"/>
        <w:autoSpaceDN w:val="0"/>
        <w:adjustRightInd w:val="0"/>
        <w:spacing w:before="120" w:after="0" w:line="240" w:lineRule="auto"/>
        <w:jc w:val="both"/>
        <w:rPr>
          <w:rStyle w:val="Emphasis"/>
          <w:b/>
          <w:i w:val="0"/>
          <w:sz w:val="24"/>
          <w:szCs w:val="24"/>
        </w:rPr>
      </w:pPr>
      <w:r w:rsidRPr="005B6437">
        <w:rPr>
          <w:rStyle w:val="Emphasis"/>
          <w:b/>
          <w:i w:val="0"/>
          <w:sz w:val="24"/>
          <w:szCs w:val="24"/>
        </w:rPr>
        <w:t>МСФО 15 „Приходи от договори с клиенти” в сила от 1 януари 2017 г., все още не е приет от ЕС</w:t>
      </w:r>
    </w:p>
    <w:p w:rsidR="005B6437" w:rsidRPr="005B6437" w:rsidRDefault="005B6437" w:rsidP="005B6437">
      <w:pPr>
        <w:pStyle w:val="BodyText"/>
        <w:autoSpaceDE w:val="0"/>
        <w:autoSpaceDN w:val="0"/>
        <w:adjustRightInd w:val="0"/>
        <w:spacing w:before="120" w:after="0" w:line="240" w:lineRule="auto"/>
        <w:jc w:val="both"/>
        <w:rPr>
          <w:rStyle w:val="Emphasis"/>
          <w:i w:val="0"/>
          <w:sz w:val="24"/>
          <w:szCs w:val="24"/>
        </w:rPr>
      </w:pPr>
      <w:r w:rsidRPr="005B6437">
        <w:rPr>
          <w:rStyle w:val="Emphasis"/>
          <w:i w:val="0"/>
          <w:sz w:val="24"/>
          <w:szCs w:val="24"/>
        </w:rPr>
        <w:t xml:space="preserve">МСФО 15 заменя МСС 18 „Приходи“, МСС 11 „Договори за строителство“ и свързани с тях разяснения и въвежда нов модел за признаване на приходите на базата на контрол.  Новият стандарт променя правилата за определяне дали приходите са признават към даден момент или през даден период от време и води до разширяване и подобряване на оповестяванията относно приходите.  МСФО 15 е базирано на основен принцип, който изисква дружеството да признава приход по начин, който отразява прехвърлянето на стоки или предоставянето на услуги на клиентите и в размер, който отразява очакваното възнаграждение, което дружеството ще получи в замяна на тези стоки или услуги.  Допуска се по-ранното прилагане на стандарта. Дружествата следва да прилагат стандарта ретроспективно за всеки представен предходен период или ретроспективно като кумулативният ефект от първоначалното признаване се отразява в текущия период. </w:t>
      </w:r>
    </w:p>
    <w:p w:rsidR="005B6437" w:rsidRPr="005B6437" w:rsidRDefault="005B6437" w:rsidP="005B6437">
      <w:pPr>
        <w:pStyle w:val="BodyText"/>
        <w:autoSpaceDE w:val="0"/>
        <w:autoSpaceDN w:val="0"/>
        <w:adjustRightInd w:val="0"/>
        <w:spacing w:before="120" w:after="0" w:line="240" w:lineRule="auto"/>
        <w:jc w:val="both"/>
        <w:rPr>
          <w:rStyle w:val="Emphasis"/>
          <w:b/>
          <w:i w:val="0"/>
          <w:sz w:val="24"/>
          <w:szCs w:val="24"/>
        </w:rPr>
      </w:pPr>
      <w:r w:rsidRPr="005B6437">
        <w:rPr>
          <w:rStyle w:val="Emphasis"/>
          <w:b/>
          <w:i w:val="0"/>
          <w:sz w:val="24"/>
          <w:szCs w:val="24"/>
        </w:rPr>
        <w:t>МСС 1 „Представяне на финансови отчети (изменен)- Оповестявания, в сила от 1 януари 2016, все още не е приет от ЕС</w:t>
      </w:r>
    </w:p>
    <w:p w:rsidR="005B6437" w:rsidRPr="005B6437" w:rsidRDefault="005B6437" w:rsidP="005B6437">
      <w:pPr>
        <w:pStyle w:val="BodyText"/>
        <w:autoSpaceDE w:val="0"/>
        <w:autoSpaceDN w:val="0"/>
        <w:adjustRightInd w:val="0"/>
        <w:spacing w:before="120" w:after="0" w:line="240" w:lineRule="auto"/>
        <w:jc w:val="both"/>
        <w:rPr>
          <w:rStyle w:val="Emphasis"/>
          <w:i w:val="0"/>
          <w:sz w:val="24"/>
          <w:szCs w:val="24"/>
        </w:rPr>
      </w:pPr>
      <w:r w:rsidRPr="005B6437">
        <w:rPr>
          <w:rStyle w:val="Emphasis"/>
          <w:i w:val="0"/>
          <w:sz w:val="24"/>
          <w:szCs w:val="24"/>
        </w:rPr>
        <w:t>Тези изменения изясняват определенията в МСС 1, относно същественост, обобщаване, представяне на междинни сборове, структура на финансовите отчети и оповестяване на счетоводната политика, като целта е подобряване на представянето и оповестяването във финансовите отчети.</w:t>
      </w:r>
    </w:p>
    <w:p w:rsidR="005B6437" w:rsidRPr="005B6437" w:rsidRDefault="005B6437" w:rsidP="005B6437">
      <w:pPr>
        <w:pStyle w:val="BodyText"/>
        <w:autoSpaceDE w:val="0"/>
        <w:autoSpaceDN w:val="0"/>
        <w:adjustRightInd w:val="0"/>
        <w:spacing w:before="120" w:after="0" w:line="240" w:lineRule="auto"/>
        <w:jc w:val="both"/>
        <w:rPr>
          <w:rStyle w:val="Emphasis"/>
          <w:b/>
          <w:i w:val="0"/>
          <w:sz w:val="24"/>
          <w:szCs w:val="24"/>
        </w:rPr>
      </w:pPr>
      <w:r w:rsidRPr="005B6437">
        <w:rPr>
          <w:rStyle w:val="Emphasis"/>
          <w:b/>
          <w:i w:val="0"/>
          <w:sz w:val="24"/>
          <w:szCs w:val="24"/>
        </w:rPr>
        <w:t>МСС 16 „Имоти, машини и съоръжения“ и МСС 38 „Нематериални активи“ (изменени), в сила от 1 януари 2016 г., все още не са приети от ЕС</w:t>
      </w:r>
    </w:p>
    <w:p w:rsidR="005B6437" w:rsidRPr="005B6437" w:rsidRDefault="005B6437" w:rsidP="005B6437">
      <w:pPr>
        <w:pStyle w:val="BodyText"/>
        <w:autoSpaceDE w:val="0"/>
        <w:autoSpaceDN w:val="0"/>
        <w:adjustRightInd w:val="0"/>
        <w:spacing w:before="120" w:after="0" w:line="240" w:lineRule="auto"/>
        <w:jc w:val="both"/>
        <w:rPr>
          <w:rStyle w:val="Emphasis"/>
          <w:i w:val="0"/>
          <w:sz w:val="24"/>
          <w:szCs w:val="24"/>
        </w:rPr>
      </w:pPr>
      <w:r w:rsidRPr="005B6437">
        <w:rPr>
          <w:rStyle w:val="Emphasis"/>
          <w:i w:val="0"/>
          <w:sz w:val="24"/>
          <w:szCs w:val="24"/>
        </w:rPr>
        <w:t>Тези изменения поясняват, че използването на методи за изчисляване на амортизации, базирани на приходи, не е подходящо, тъй като приходите, генерирани от определена дейност с дълготрайни материални или нематериални активи, не отразяват използването на икономическите ползи, които се очакват от активите.</w:t>
      </w:r>
    </w:p>
    <w:p w:rsidR="005B6437" w:rsidRDefault="005B6437" w:rsidP="005B6437">
      <w:pPr>
        <w:pStyle w:val="BodyText"/>
        <w:autoSpaceDE w:val="0"/>
        <w:autoSpaceDN w:val="0"/>
        <w:adjustRightInd w:val="0"/>
        <w:spacing w:before="120" w:after="0" w:line="240" w:lineRule="auto"/>
        <w:jc w:val="both"/>
        <w:rPr>
          <w:rStyle w:val="Emphasis"/>
          <w:b/>
          <w:i w:val="0"/>
          <w:sz w:val="24"/>
          <w:szCs w:val="24"/>
        </w:rPr>
      </w:pPr>
      <w:r w:rsidRPr="005B6437">
        <w:rPr>
          <w:rStyle w:val="Emphasis"/>
          <w:b/>
          <w:i w:val="0"/>
          <w:sz w:val="24"/>
          <w:szCs w:val="24"/>
        </w:rPr>
        <w:t>МСС 16 „Имоти, машини и съоръжения“ и МСС 41 „Земеделие“ (изменени) – Плодоносни растения, в сила от 1 януари 2016 г., все още не са приети от ЕС</w:t>
      </w:r>
    </w:p>
    <w:p w:rsidR="005B6437" w:rsidRPr="005B6437" w:rsidRDefault="005B6437" w:rsidP="005B6437">
      <w:pPr>
        <w:pStyle w:val="BodyText"/>
        <w:autoSpaceDE w:val="0"/>
        <w:autoSpaceDN w:val="0"/>
        <w:adjustRightInd w:val="0"/>
        <w:spacing w:before="120" w:after="0" w:line="240" w:lineRule="auto"/>
        <w:jc w:val="both"/>
        <w:rPr>
          <w:rStyle w:val="Emphasis"/>
          <w:i w:val="0"/>
          <w:sz w:val="24"/>
          <w:szCs w:val="24"/>
        </w:rPr>
      </w:pPr>
      <w:r w:rsidRPr="005B6437">
        <w:rPr>
          <w:rStyle w:val="Emphasis"/>
          <w:i w:val="0"/>
          <w:sz w:val="24"/>
          <w:szCs w:val="24"/>
        </w:rPr>
        <w:t xml:space="preserve">Тези изменения променят финансовото отчитане на плодоносни растения като лозя, каучукови дървета и маслодайни палми. Плодоносните растения следва да се третират като имоти, машини и съоръжения, тъй като техните процеси са подобни на производство. Вследствие на това те се включват съгласно тези изменения в обхвата на </w:t>
      </w:r>
      <w:r w:rsidRPr="005B6437">
        <w:rPr>
          <w:rStyle w:val="Emphasis"/>
          <w:i w:val="0"/>
          <w:sz w:val="24"/>
          <w:szCs w:val="24"/>
        </w:rPr>
        <w:lastRenderedPageBreak/>
        <w:t xml:space="preserve">МСС 16 вместо в обхвата на МСС 41. Отглеждането на плодоносни растения остава в обхвата на МСС 41. </w:t>
      </w:r>
    </w:p>
    <w:p w:rsidR="005B6437" w:rsidRPr="005B6437" w:rsidRDefault="005B6437" w:rsidP="005B6437">
      <w:pPr>
        <w:pStyle w:val="BodyText"/>
        <w:autoSpaceDE w:val="0"/>
        <w:autoSpaceDN w:val="0"/>
        <w:adjustRightInd w:val="0"/>
        <w:spacing w:before="120" w:after="0" w:line="240" w:lineRule="auto"/>
        <w:jc w:val="both"/>
        <w:rPr>
          <w:rStyle w:val="Emphasis"/>
          <w:b/>
          <w:i w:val="0"/>
          <w:sz w:val="24"/>
          <w:szCs w:val="24"/>
        </w:rPr>
      </w:pPr>
      <w:r w:rsidRPr="005B6437">
        <w:rPr>
          <w:rStyle w:val="Emphasis"/>
          <w:b/>
          <w:i w:val="0"/>
          <w:sz w:val="24"/>
          <w:szCs w:val="24"/>
        </w:rPr>
        <w:t>МСС 27 „Индивидуални финансови отчети“ (изменен), в сила от 1 януари 2016 г., все още не е приет от ЕС</w:t>
      </w:r>
    </w:p>
    <w:p w:rsidR="005B6437" w:rsidRPr="005B6437" w:rsidRDefault="005B6437" w:rsidP="005B6437">
      <w:pPr>
        <w:pStyle w:val="BodyText"/>
        <w:autoSpaceDE w:val="0"/>
        <w:autoSpaceDN w:val="0"/>
        <w:adjustRightInd w:val="0"/>
        <w:spacing w:after="0" w:line="240" w:lineRule="auto"/>
        <w:jc w:val="both"/>
        <w:rPr>
          <w:rStyle w:val="Emphasis"/>
          <w:i w:val="0"/>
          <w:sz w:val="24"/>
          <w:szCs w:val="24"/>
        </w:rPr>
      </w:pPr>
      <w:r w:rsidRPr="005B6437">
        <w:rPr>
          <w:rStyle w:val="Emphasis"/>
          <w:i w:val="0"/>
          <w:sz w:val="24"/>
          <w:szCs w:val="24"/>
        </w:rPr>
        <w:t xml:space="preserve">Това изменение позволява на дружествата да използват метода на собствения капитал при отчитането на инвестиции в дъщерни предприятия, съвместни и асоциирани предприятия в техните индивидуални финансови отчети. </w:t>
      </w:r>
    </w:p>
    <w:p w:rsidR="005B6437" w:rsidRPr="005B6437" w:rsidRDefault="005B6437" w:rsidP="005B6437">
      <w:pPr>
        <w:pStyle w:val="BodyText"/>
        <w:autoSpaceDE w:val="0"/>
        <w:autoSpaceDN w:val="0"/>
        <w:adjustRightInd w:val="0"/>
        <w:spacing w:before="120" w:after="0" w:line="240" w:lineRule="auto"/>
        <w:jc w:val="both"/>
        <w:rPr>
          <w:rStyle w:val="Emphasis"/>
          <w:b/>
          <w:i w:val="0"/>
          <w:sz w:val="24"/>
          <w:szCs w:val="24"/>
        </w:rPr>
      </w:pPr>
      <w:r w:rsidRPr="005B6437">
        <w:rPr>
          <w:rStyle w:val="Emphasis"/>
          <w:b/>
          <w:i w:val="0"/>
          <w:sz w:val="24"/>
          <w:szCs w:val="24"/>
        </w:rPr>
        <w:t>Годишни подобрения 2015 г. в сила от 1 януари 2016 г., които все още не са приети от ЕС</w:t>
      </w:r>
    </w:p>
    <w:p w:rsidR="005B6437" w:rsidRPr="005B6437" w:rsidRDefault="005B6437" w:rsidP="005B6437">
      <w:pPr>
        <w:pStyle w:val="BodyText"/>
        <w:autoSpaceDE w:val="0"/>
        <w:autoSpaceDN w:val="0"/>
        <w:adjustRightInd w:val="0"/>
        <w:spacing w:before="120" w:after="0" w:line="240" w:lineRule="auto"/>
        <w:jc w:val="both"/>
        <w:rPr>
          <w:rStyle w:val="Emphasis"/>
          <w:i w:val="0"/>
          <w:sz w:val="24"/>
          <w:szCs w:val="24"/>
        </w:rPr>
      </w:pPr>
      <w:r w:rsidRPr="005B6437">
        <w:rPr>
          <w:rStyle w:val="Emphasis"/>
          <w:i w:val="0"/>
          <w:sz w:val="24"/>
          <w:szCs w:val="24"/>
        </w:rPr>
        <w:t xml:space="preserve">Тези изменения засягат следни четири счетоводни стандарта: </w:t>
      </w:r>
    </w:p>
    <w:p w:rsidR="005B6437" w:rsidRPr="005B6437" w:rsidRDefault="005B6437" w:rsidP="005B6437">
      <w:pPr>
        <w:pStyle w:val="BodyText"/>
        <w:numPr>
          <w:ilvl w:val="0"/>
          <w:numId w:val="36"/>
        </w:numPr>
        <w:autoSpaceDE w:val="0"/>
        <w:autoSpaceDN w:val="0"/>
        <w:adjustRightInd w:val="0"/>
        <w:spacing w:after="0" w:line="240" w:lineRule="auto"/>
        <w:jc w:val="both"/>
        <w:rPr>
          <w:rStyle w:val="Emphasis"/>
          <w:i w:val="0"/>
          <w:sz w:val="24"/>
          <w:szCs w:val="24"/>
        </w:rPr>
      </w:pPr>
      <w:r w:rsidRPr="005B6437">
        <w:rPr>
          <w:rStyle w:val="Emphasis"/>
          <w:i w:val="0"/>
          <w:sz w:val="24"/>
          <w:szCs w:val="24"/>
        </w:rPr>
        <w:t>МСФО 5 „Нетекущи активи, държани за продажба, и преустановени дейности“ относно методи на отписване;</w:t>
      </w:r>
    </w:p>
    <w:p w:rsidR="005B6437" w:rsidRPr="005B6437" w:rsidRDefault="005B6437" w:rsidP="005B6437">
      <w:pPr>
        <w:pStyle w:val="BodyText"/>
        <w:numPr>
          <w:ilvl w:val="0"/>
          <w:numId w:val="36"/>
        </w:numPr>
        <w:autoSpaceDE w:val="0"/>
        <w:autoSpaceDN w:val="0"/>
        <w:adjustRightInd w:val="0"/>
        <w:spacing w:after="0" w:line="240" w:lineRule="auto"/>
        <w:jc w:val="both"/>
        <w:rPr>
          <w:rStyle w:val="Emphasis"/>
          <w:i w:val="0"/>
          <w:sz w:val="24"/>
          <w:szCs w:val="24"/>
        </w:rPr>
      </w:pPr>
      <w:r w:rsidRPr="005B6437">
        <w:rPr>
          <w:rStyle w:val="Emphasis"/>
          <w:i w:val="0"/>
          <w:sz w:val="24"/>
          <w:szCs w:val="24"/>
        </w:rPr>
        <w:t>МСФО 7 „Финансови инструменти: оповестяване“ относно договори за услуги;</w:t>
      </w:r>
    </w:p>
    <w:p w:rsidR="005B6437" w:rsidRPr="005B6437" w:rsidRDefault="005B6437" w:rsidP="005B6437">
      <w:pPr>
        <w:pStyle w:val="BodyText"/>
        <w:numPr>
          <w:ilvl w:val="0"/>
          <w:numId w:val="36"/>
        </w:numPr>
        <w:autoSpaceDE w:val="0"/>
        <w:autoSpaceDN w:val="0"/>
        <w:adjustRightInd w:val="0"/>
        <w:spacing w:after="0" w:line="240" w:lineRule="auto"/>
        <w:jc w:val="both"/>
        <w:rPr>
          <w:rStyle w:val="Emphasis"/>
          <w:i w:val="0"/>
          <w:sz w:val="24"/>
          <w:szCs w:val="24"/>
        </w:rPr>
      </w:pPr>
      <w:r w:rsidRPr="005B6437">
        <w:rPr>
          <w:rStyle w:val="Emphasis"/>
          <w:i w:val="0"/>
          <w:sz w:val="24"/>
          <w:szCs w:val="24"/>
        </w:rPr>
        <w:t>МСС 19 „Доходи на наети лица“ относно дисконтови проценти;</w:t>
      </w:r>
    </w:p>
    <w:p w:rsidR="005B6437" w:rsidRPr="005B6437" w:rsidRDefault="005B6437" w:rsidP="005B6437">
      <w:pPr>
        <w:pStyle w:val="BodyText"/>
        <w:numPr>
          <w:ilvl w:val="0"/>
          <w:numId w:val="36"/>
        </w:numPr>
        <w:autoSpaceDE w:val="0"/>
        <w:autoSpaceDN w:val="0"/>
        <w:adjustRightInd w:val="0"/>
        <w:spacing w:after="0" w:line="240" w:lineRule="auto"/>
        <w:jc w:val="both"/>
        <w:rPr>
          <w:rStyle w:val="Emphasis"/>
          <w:i w:val="0"/>
          <w:sz w:val="24"/>
          <w:szCs w:val="24"/>
        </w:rPr>
      </w:pPr>
      <w:r w:rsidRPr="005B6437">
        <w:rPr>
          <w:rStyle w:val="Emphasis"/>
          <w:i w:val="0"/>
          <w:sz w:val="24"/>
          <w:szCs w:val="24"/>
        </w:rPr>
        <w:t>МСС 34 „Междинно финансово отчитане“ относно оповестяване на информация.</w:t>
      </w:r>
    </w:p>
    <w:p w:rsidR="001104EF" w:rsidRDefault="001104EF" w:rsidP="009676C3">
      <w:pPr>
        <w:autoSpaceDE w:val="0"/>
        <w:autoSpaceDN w:val="0"/>
        <w:adjustRightInd w:val="0"/>
        <w:spacing w:before="120" w:after="120"/>
        <w:jc w:val="both"/>
        <w:rPr>
          <w:sz w:val="24"/>
          <w:szCs w:val="24"/>
        </w:rPr>
      </w:pPr>
    </w:p>
    <w:p w:rsidR="007A2FA1" w:rsidRPr="001B5C43" w:rsidRDefault="007A2FA1" w:rsidP="007A2FA1">
      <w:pPr>
        <w:pStyle w:val="Heading1"/>
        <w:numPr>
          <w:ilvl w:val="0"/>
          <w:numId w:val="10"/>
        </w:numPr>
        <w:spacing w:before="240" w:line="240" w:lineRule="auto"/>
        <w:ind w:left="0" w:firstLine="0"/>
        <w:jc w:val="both"/>
      </w:pPr>
      <w:r w:rsidRPr="001B5C43">
        <w:t>Счетоводна политика</w:t>
      </w:r>
    </w:p>
    <w:p w:rsidR="007A2FA1" w:rsidRPr="001B5C43" w:rsidRDefault="007A2FA1" w:rsidP="007A2FA1">
      <w:pPr>
        <w:pStyle w:val="Heading1"/>
        <w:numPr>
          <w:ilvl w:val="1"/>
          <w:numId w:val="10"/>
        </w:numPr>
        <w:spacing w:before="240" w:line="240" w:lineRule="auto"/>
        <w:ind w:left="0" w:firstLine="0"/>
        <w:jc w:val="both"/>
      </w:pPr>
      <w:r w:rsidRPr="001B5C43">
        <w:t>Общи положения</w:t>
      </w:r>
    </w:p>
    <w:p w:rsidR="007A2FA1" w:rsidRPr="001B5C43" w:rsidRDefault="007A2FA1" w:rsidP="007A2FA1">
      <w:pPr>
        <w:spacing w:before="120" w:after="120"/>
        <w:jc w:val="both"/>
        <w:rPr>
          <w:sz w:val="24"/>
          <w:szCs w:val="24"/>
        </w:rPr>
      </w:pPr>
      <w:r w:rsidRPr="001B5C43">
        <w:rPr>
          <w:sz w:val="24"/>
          <w:szCs w:val="24"/>
        </w:rPr>
        <w:t xml:space="preserve">Най-значимите cчетоводни политики, прилагани при изготвянето на този </w:t>
      </w:r>
      <w:r>
        <w:rPr>
          <w:sz w:val="24"/>
          <w:szCs w:val="24"/>
        </w:rPr>
        <w:t xml:space="preserve">индивидуален междинен съкратен </w:t>
      </w:r>
      <w:r w:rsidRPr="001B5C43">
        <w:rPr>
          <w:sz w:val="24"/>
          <w:szCs w:val="24"/>
        </w:rPr>
        <w:t xml:space="preserve">финанcов отчет, cа представени по-долу. </w:t>
      </w:r>
    </w:p>
    <w:p w:rsidR="007A2FA1" w:rsidRPr="001B5C43" w:rsidRDefault="007A2FA1" w:rsidP="007A2FA1">
      <w:pPr>
        <w:spacing w:before="120" w:after="120"/>
        <w:jc w:val="both"/>
        <w:rPr>
          <w:sz w:val="24"/>
          <w:szCs w:val="24"/>
        </w:rPr>
      </w:pPr>
      <w:r>
        <w:rPr>
          <w:sz w:val="24"/>
          <w:szCs w:val="24"/>
        </w:rPr>
        <w:t>Междиния съкратен ф</w:t>
      </w:r>
      <w:r w:rsidRPr="001B5C43">
        <w:rPr>
          <w:sz w:val="24"/>
          <w:szCs w:val="24"/>
        </w:rPr>
        <w:t xml:space="preserve">инансов отчет е изготвен при спазване на принципите за оценяване на всички видове активи, пасиви, приходи и разходи, cъглаcно МCФО. Базите за оценка са оповестени подробно по-нататък в счетоводната политика към финансовия отчет. </w:t>
      </w:r>
    </w:p>
    <w:p w:rsidR="007A2FA1" w:rsidRPr="007A2FA1" w:rsidRDefault="007A2FA1" w:rsidP="007A2FA1">
      <w:pPr>
        <w:autoSpaceDE w:val="0"/>
        <w:autoSpaceDN w:val="0"/>
        <w:adjustRightInd w:val="0"/>
        <w:spacing w:before="120" w:after="120"/>
        <w:jc w:val="both"/>
        <w:rPr>
          <w:sz w:val="24"/>
          <w:szCs w:val="24"/>
        </w:rPr>
      </w:pPr>
      <w:r w:rsidRPr="001B5C43">
        <w:rPr>
          <w:sz w:val="24"/>
          <w:szCs w:val="24"/>
        </w:rPr>
        <w:t xml:space="preserve">Следва да се отбележи, че при изготвянето на представения </w:t>
      </w:r>
      <w:r>
        <w:rPr>
          <w:sz w:val="24"/>
          <w:szCs w:val="24"/>
        </w:rPr>
        <w:t xml:space="preserve">индивидуален междинен съкратен </w:t>
      </w:r>
      <w:r w:rsidRPr="001B5C43">
        <w:rPr>
          <w:sz w:val="24"/>
          <w:szCs w:val="24"/>
        </w:rPr>
        <w:t xml:space="preserve">финансов отчет са използвани счетоводни оценки и допускания. Въпреки че те са базирани на информация, предоставена на ръководството към датата на изготвяне на финансовия отчет, реалните резултати могат да се различават от </w:t>
      </w:r>
      <w:r>
        <w:rPr>
          <w:sz w:val="24"/>
          <w:szCs w:val="24"/>
        </w:rPr>
        <w:t>направените оценки и допускания</w:t>
      </w:r>
    </w:p>
    <w:p w:rsidR="007A2FA1" w:rsidRPr="001B5C43" w:rsidRDefault="007A2FA1" w:rsidP="007A2FA1">
      <w:pPr>
        <w:pStyle w:val="Heading1"/>
        <w:numPr>
          <w:ilvl w:val="1"/>
          <w:numId w:val="10"/>
        </w:numPr>
        <w:spacing w:before="240" w:line="240" w:lineRule="auto"/>
        <w:ind w:left="0" w:firstLine="0"/>
        <w:jc w:val="both"/>
      </w:pPr>
      <w:r w:rsidRPr="001B5C43">
        <w:t xml:space="preserve">Инвестиции в дъщерни предприятия </w:t>
      </w:r>
    </w:p>
    <w:p w:rsidR="007A2FA1" w:rsidRPr="001B5C43" w:rsidRDefault="007A2FA1" w:rsidP="007A2FA1">
      <w:pPr>
        <w:spacing w:before="120" w:after="120"/>
        <w:jc w:val="both"/>
        <w:rPr>
          <w:sz w:val="24"/>
          <w:szCs w:val="24"/>
        </w:rPr>
      </w:pPr>
      <w:r w:rsidRPr="001B5C43">
        <w:rPr>
          <w:sz w:val="24"/>
          <w:szCs w:val="24"/>
        </w:rPr>
        <w:t>Дъщерни предприятия са всички предприятия, които се намират под контрола на Дружеството. Контролът върху дъщерните предприятия на Дружеството се изразява във възможността му да ръководи и определя финансовата и оперативната политика на дъщерните предприятия, така че да се извличат изгоди в резултат на дейността им. В индивидуалния финансов отчет на Дружеството инвестициите в дъщерни предприятия се отчитат по себестойност.</w:t>
      </w:r>
    </w:p>
    <w:p w:rsidR="007A2FA1" w:rsidRDefault="007A2FA1" w:rsidP="007A2FA1">
      <w:pPr>
        <w:autoSpaceDE w:val="0"/>
        <w:autoSpaceDN w:val="0"/>
        <w:adjustRightInd w:val="0"/>
        <w:jc w:val="both"/>
        <w:rPr>
          <w:sz w:val="24"/>
          <w:szCs w:val="24"/>
        </w:rPr>
      </w:pPr>
      <w:r w:rsidRPr="001B5C43">
        <w:rPr>
          <w:sz w:val="24"/>
          <w:szCs w:val="24"/>
        </w:rPr>
        <w:t>Дружеството признава дивидент от дъщерно предприятие в печалбата или загубата в своите индивидуални финансови отчети, когато бъде установено правото му да получи дивидента.</w:t>
      </w:r>
    </w:p>
    <w:p w:rsidR="007A2FA1" w:rsidRPr="001B5C43" w:rsidRDefault="007A2FA1" w:rsidP="007A2FA1">
      <w:pPr>
        <w:pStyle w:val="Heading1"/>
        <w:numPr>
          <w:ilvl w:val="1"/>
          <w:numId w:val="10"/>
        </w:numPr>
        <w:spacing w:before="240" w:line="240" w:lineRule="auto"/>
        <w:ind w:left="0" w:firstLine="0"/>
        <w:jc w:val="both"/>
      </w:pPr>
      <w:r w:rsidRPr="001B5C43">
        <w:t>Инв</w:t>
      </w:r>
      <w:r>
        <w:t>естиции в асоциирани</w:t>
      </w:r>
      <w:r w:rsidRPr="001B5C43">
        <w:t xml:space="preserve"> предприятия </w:t>
      </w:r>
    </w:p>
    <w:p w:rsidR="007A2FA1" w:rsidRPr="001B5C43" w:rsidRDefault="007A2FA1" w:rsidP="007A2FA1">
      <w:pPr>
        <w:spacing w:before="120" w:after="120"/>
        <w:jc w:val="both"/>
        <w:rPr>
          <w:sz w:val="24"/>
          <w:szCs w:val="24"/>
        </w:rPr>
      </w:pPr>
      <w:r w:rsidRPr="001B5C43">
        <w:rPr>
          <w:sz w:val="24"/>
          <w:szCs w:val="24"/>
        </w:rPr>
        <w:t>Инвестициите в съвместни предприятия се отчитат по себестойностния метод.</w:t>
      </w:r>
    </w:p>
    <w:p w:rsidR="007A2FA1" w:rsidRPr="001B5C43" w:rsidRDefault="007A2FA1" w:rsidP="007A2FA1">
      <w:pPr>
        <w:spacing w:before="120" w:after="120"/>
        <w:jc w:val="both"/>
        <w:rPr>
          <w:sz w:val="24"/>
          <w:szCs w:val="24"/>
        </w:rPr>
      </w:pPr>
      <w:r w:rsidRPr="001B5C43">
        <w:rPr>
          <w:sz w:val="24"/>
          <w:szCs w:val="24"/>
        </w:rPr>
        <w:t xml:space="preserve">Асоциирани са тези предприятия, върху които Дружеството е в състояние да оказва значително влияние, но които не са нито дъщерни предприятия, нито съвместно </w:t>
      </w:r>
      <w:r w:rsidRPr="001B5C43">
        <w:rPr>
          <w:sz w:val="24"/>
          <w:szCs w:val="24"/>
        </w:rPr>
        <w:lastRenderedPageBreak/>
        <w:t>контролирани предприятия. Инвестициите в асоциирани предприятия се отчитат по себестойностния метод.</w:t>
      </w:r>
    </w:p>
    <w:p w:rsidR="007A2FA1" w:rsidRPr="001B5C43" w:rsidRDefault="007A2FA1" w:rsidP="007A2FA1">
      <w:pPr>
        <w:autoSpaceDE w:val="0"/>
        <w:autoSpaceDN w:val="0"/>
        <w:adjustRightInd w:val="0"/>
        <w:jc w:val="both"/>
        <w:rPr>
          <w:sz w:val="24"/>
          <w:szCs w:val="24"/>
        </w:rPr>
      </w:pPr>
      <w:r w:rsidRPr="001B5C43">
        <w:rPr>
          <w:sz w:val="24"/>
          <w:szCs w:val="24"/>
        </w:rPr>
        <w:t>Дружеството признава дивидент от съвместно контролирано предприятие или асоциирано предприятие в печалбата или загубата в своите индивидуални финансови отчети, когато бъде установено правото му да получи дивидента.</w:t>
      </w:r>
    </w:p>
    <w:p w:rsidR="007A2FA1" w:rsidRPr="001B5C43" w:rsidRDefault="007A2FA1" w:rsidP="007A2FA1">
      <w:pPr>
        <w:pStyle w:val="Heading1"/>
        <w:numPr>
          <w:ilvl w:val="1"/>
          <w:numId w:val="10"/>
        </w:numPr>
        <w:spacing w:before="240" w:line="240" w:lineRule="auto"/>
        <w:ind w:left="0" w:firstLine="0"/>
        <w:jc w:val="both"/>
      </w:pPr>
      <w:bookmarkStart w:id="4" w:name="_Ref248330886"/>
      <w:r w:rsidRPr="001B5C43">
        <w:t>Сделки в чуждестранна валута</w:t>
      </w:r>
      <w:bookmarkEnd w:id="4"/>
    </w:p>
    <w:p w:rsidR="007A2FA1" w:rsidRPr="001B5C43" w:rsidRDefault="007A2FA1" w:rsidP="007A2FA1">
      <w:pPr>
        <w:spacing w:before="120" w:after="120"/>
        <w:jc w:val="both"/>
        <w:rPr>
          <w:sz w:val="24"/>
          <w:szCs w:val="24"/>
        </w:rPr>
      </w:pPr>
      <w:r w:rsidRPr="001B5C43">
        <w:rPr>
          <w:sz w:val="24"/>
          <w:szCs w:val="24"/>
        </w:rPr>
        <w:t>Сделките в чуждестранна валута се отчитат във функционалната валута на Дружеството по официалния обменен курс към датата на сделката (обявения фиксинг на Българска народна банка). Печалбите и загубите от курсови разлики, които възникват при уреждането на тези сделки и преоценяването на паричните позиции в чуждестранна валута към края на отчетния период, се признават в печалбата или загубата.</w:t>
      </w:r>
    </w:p>
    <w:p w:rsidR="007A2FA1" w:rsidRDefault="007A2FA1" w:rsidP="007A2FA1">
      <w:pPr>
        <w:spacing w:before="120" w:after="120"/>
        <w:jc w:val="both"/>
        <w:rPr>
          <w:sz w:val="24"/>
          <w:szCs w:val="24"/>
        </w:rPr>
      </w:pPr>
      <w:r w:rsidRPr="001B5C43">
        <w:rPr>
          <w:sz w:val="24"/>
          <w:szCs w:val="24"/>
        </w:rPr>
        <w:t>Непаричните позиции, оценявани по историческа цена в чуждестранна валута, се отчитат по обменния курс към дата</w:t>
      </w:r>
      <w:r>
        <w:rPr>
          <w:sz w:val="24"/>
          <w:szCs w:val="24"/>
        </w:rPr>
        <w:t>та на сделката (не се преоценяват</w:t>
      </w:r>
      <w:r w:rsidRPr="001B5C43">
        <w:rPr>
          <w:sz w:val="24"/>
          <w:szCs w:val="24"/>
        </w:rPr>
        <w:t>). Непаричните позиции, оценявани по справедлива стойност в чуждестранна валута, се отчитат по обменния курс към датата, на която е определена справедливата стойност.</w:t>
      </w:r>
    </w:p>
    <w:p w:rsidR="006B525D" w:rsidRPr="001B5C43" w:rsidRDefault="006B525D" w:rsidP="007A2FA1">
      <w:pPr>
        <w:spacing w:before="120" w:after="120"/>
        <w:jc w:val="both"/>
        <w:rPr>
          <w:sz w:val="24"/>
          <w:szCs w:val="24"/>
        </w:rPr>
      </w:pPr>
    </w:p>
    <w:p w:rsidR="007A2FA1" w:rsidRPr="001B5C43" w:rsidRDefault="007A2FA1" w:rsidP="007A2FA1">
      <w:pPr>
        <w:pStyle w:val="Heading1"/>
        <w:numPr>
          <w:ilvl w:val="1"/>
          <w:numId w:val="10"/>
        </w:numPr>
        <w:spacing w:before="240" w:line="240" w:lineRule="auto"/>
        <w:ind w:left="0" w:firstLine="0"/>
        <w:jc w:val="both"/>
      </w:pPr>
      <w:bookmarkStart w:id="5" w:name="_Ref248330782"/>
      <w:r w:rsidRPr="001B5C43">
        <w:t>Приходи</w:t>
      </w:r>
      <w:bookmarkEnd w:id="5"/>
    </w:p>
    <w:p w:rsidR="007A2FA1" w:rsidRPr="007E7E6A" w:rsidRDefault="007A2FA1" w:rsidP="007A2FA1">
      <w:pPr>
        <w:spacing w:before="120" w:after="120"/>
        <w:jc w:val="both"/>
        <w:rPr>
          <w:sz w:val="24"/>
          <w:szCs w:val="24"/>
        </w:rPr>
      </w:pPr>
      <w:r w:rsidRPr="007E7E6A">
        <w:rPr>
          <w:sz w:val="24"/>
          <w:szCs w:val="24"/>
        </w:rPr>
        <w:t xml:space="preserve">Приходите включват приходи от предоставяне на услуги </w:t>
      </w:r>
      <w:r>
        <w:rPr>
          <w:sz w:val="24"/>
          <w:szCs w:val="24"/>
        </w:rPr>
        <w:t xml:space="preserve">свързани с дейността на дъщерните дружества </w:t>
      </w:r>
      <w:r w:rsidRPr="007E7E6A">
        <w:rPr>
          <w:sz w:val="24"/>
          <w:szCs w:val="24"/>
        </w:rPr>
        <w:t>и продажба на стоки</w:t>
      </w:r>
      <w:r>
        <w:rPr>
          <w:sz w:val="24"/>
          <w:szCs w:val="24"/>
        </w:rPr>
        <w:t xml:space="preserve"> и дълготрайни материални активи</w:t>
      </w:r>
      <w:r w:rsidRPr="007E7E6A">
        <w:rPr>
          <w:sz w:val="24"/>
          <w:szCs w:val="24"/>
        </w:rPr>
        <w:t xml:space="preserve">. </w:t>
      </w:r>
    </w:p>
    <w:p w:rsidR="007A2FA1" w:rsidRPr="007E7E6A" w:rsidRDefault="007A2FA1" w:rsidP="007A2FA1">
      <w:pPr>
        <w:autoSpaceDE w:val="0"/>
        <w:autoSpaceDN w:val="0"/>
        <w:adjustRightInd w:val="0"/>
        <w:spacing w:before="120" w:after="120"/>
        <w:jc w:val="both"/>
        <w:rPr>
          <w:color w:val="FF0000"/>
          <w:sz w:val="24"/>
          <w:szCs w:val="24"/>
        </w:rPr>
      </w:pPr>
      <w:r w:rsidRPr="007E7E6A">
        <w:rPr>
          <w:sz w:val="24"/>
          <w:szCs w:val="24"/>
        </w:rPr>
        <w:t xml:space="preserve">Приходите се оценяват по справедлива стойност на полученото или подлежащото на получаване възнаграждение, като не се включват данък добавена стойност. </w:t>
      </w:r>
    </w:p>
    <w:p w:rsidR="007A2FA1" w:rsidRPr="007E7E6A" w:rsidRDefault="007A2FA1" w:rsidP="007A2FA1">
      <w:pPr>
        <w:autoSpaceDE w:val="0"/>
        <w:autoSpaceDN w:val="0"/>
        <w:adjustRightInd w:val="0"/>
        <w:spacing w:before="120" w:after="120"/>
        <w:jc w:val="both"/>
        <w:rPr>
          <w:sz w:val="24"/>
          <w:szCs w:val="24"/>
        </w:rPr>
      </w:pPr>
      <w:r w:rsidRPr="007E7E6A">
        <w:rPr>
          <w:sz w:val="24"/>
          <w:szCs w:val="24"/>
        </w:rPr>
        <w:t>Приходът се признава, когато са изпълнени следните условия:</w:t>
      </w:r>
    </w:p>
    <w:p w:rsidR="007A2FA1" w:rsidRPr="007E7E6A" w:rsidRDefault="007A2FA1" w:rsidP="007A2FA1">
      <w:pPr>
        <w:pStyle w:val="BodyText"/>
        <w:numPr>
          <w:ilvl w:val="0"/>
          <w:numId w:val="17"/>
        </w:numPr>
        <w:autoSpaceDE w:val="0"/>
        <w:autoSpaceDN w:val="0"/>
        <w:adjustRightInd w:val="0"/>
        <w:spacing w:after="0" w:line="240" w:lineRule="auto"/>
        <w:jc w:val="both"/>
        <w:rPr>
          <w:sz w:val="24"/>
          <w:szCs w:val="24"/>
        </w:rPr>
      </w:pPr>
      <w:r w:rsidRPr="007E7E6A">
        <w:rPr>
          <w:sz w:val="24"/>
          <w:szCs w:val="24"/>
        </w:rPr>
        <w:t>Сумата на прихода може да бъде надеждно оценена;</w:t>
      </w:r>
    </w:p>
    <w:p w:rsidR="007A2FA1" w:rsidRPr="007E7E6A" w:rsidRDefault="007A2FA1" w:rsidP="007A2FA1">
      <w:pPr>
        <w:pStyle w:val="BodyText"/>
        <w:numPr>
          <w:ilvl w:val="0"/>
          <w:numId w:val="17"/>
        </w:numPr>
        <w:autoSpaceDE w:val="0"/>
        <w:autoSpaceDN w:val="0"/>
        <w:adjustRightInd w:val="0"/>
        <w:spacing w:after="0" w:line="240" w:lineRule="auto"/>
        <w:jc w:val="both"/>
        <w:rPr>
          <w:sz w:val="24"/>
          <w:szCs w:val="24"/>
        </w:rPr>
      </w:pPr>
      <w:r w:rsidRPr="007E7E6A">
        <w:rPr>
          <w:sz w:val="24"/>
          <w:szCs w:val="24"/>
        </w:rPr>
        <w:t>Вероятно е икономическите ползи от сделката да бъдат получени;</w:t>
      </w:r>
    </w:p>
    <w:p w:rsidR="007A2FA1" w:rsidRPr="007E7E6A" w:rsidRDefault="007A2FA1" w:rsidP="007A2FA1">
      <w:pPr>
        <w:pStyle w:val="BodyText"/>
        <w:numPr>
          <w:ilvl w:val="0"/>
          <w:numId w:val="17"/>
        </w:numPr>
        <w:autoSpaceDE w:val="0"/>
        <w:autoSpaceDN w:val="0"/>
        <w:adjustRightInd w:val="0"/>
        <w:spacing w:after="0" w:line="240" w:lineRule="auto"/>
        <w:jc w:val="both"/>
        <w:rPr>
          <w:sz w:val="24"/>
          <w:szCs w:val="24"/>
        </w:rPr>
      </w:pPr>
      <w:r w:rsidRPr="007E7E6A">
        <w:rPr>
          <w:sz w:val="24"/>
          <w:szCs w:val="24"/>
        </w:rPr>
        <w:t>Направените разходи или тези, които предстои да бъдат направени, могат надеждно да бъдат оценени;</w:t>
      </w:r>
    </w:p>
    <w:p w:rsidR="007A2FA1" w:rsidRDefault="007A2FA1" w:rsidP="007A2FA1">
      <w:pPr>
        <w:pStyle w:val="BodyText"/>
        <w:numPr>
          <w:ilvl w:val="0"/>
          <w:numId w:val="17"/>
        </w:numPr>
        <w:autoSpaceDE w:val="0"/>
        <w:autoSpaceDN w:val="0"/>
        <w:adjustRightInd w:val="0"/>
        <w:spacing w:after="0" w:line="240" w:lineRule="auto"/>
        <w:jc w:val="both"/>
        <w:rPr>
          <w:sz w:val="24"/>
          <w:szCs w:val="24"/>
        </w:rPr>
      </w:pPr>
      <w:r w:rsidRPr="007E7E6A">
        <w:rPr>
          <w:sz w:val="24"/>
          <w:szCs w:val="24"/>
        </w:rPr>
        <w:t>Критериите за признаване, които са специфични за всяка отделна дейност на Дружеството, са изпълнени. Те са определени в зависимост от продуктите или услугите, предоставени на клиента, и на договорните условия, както са изложени по-долу.</w:t>
      </w:r>
    </w:p>
    <w:p w:rsidR="006B525D" w:rsidRPr="00A77BA6" w:rsidRDefault="006B525D" w:rsidP="006B525D">
      <w:pPr>
        <w:pStyle w:val="BodyText"/>
        <w:autoSpaceDE w:val="0"/>
        <w:autoSpaceDN w:val="0"/>
        <w:adjustRightInd w:val="0"/>
        <w:spacing w:after="0" w:line="240" w:lineRule="auto"/>
        <w:ind w:left="360"/>
        <w:jc w:val="both"/>
        <w:rPr>
          <w:sz w:val="24"/>
          <w:szCs w:val="24"/>
        </w:rPr>
      </w:pPr>
    </w:p>
    <w:p w:rsidR="007A2FA1" w:rsidRPr="00A971B8" w:rsidRDefault="007A2FA1" w:rsidP="007A2FA1">
      <w:pPr>
        <w:pStyle w:val="Heading1"/>
        <w:numPr>
          <w:ilvl w:val="2"/>
          <w:numId w:val="10"/>
        </w:numPr>
      </w:pPr>
      <w:r w:rsidRPr="00A971B8">
        <w:t>Предоставяне на услуги</w:t>
      </w:r>
    </w:p>
    <w:p w:rsidR="007A2FA1" w:rsidRPr="007E7E6A" w:rsidRDefault="007A2FA1" w:rsidP="007A2FA1">
      <w:pPr>
        <w:pStyle w:val="IAS"/>
        <w:spacing w:before="120"/>
        <w:jc w:val="both"/>
        <w:rPr>
          <w:rFonts w:ascii="Garamond" w:hAnsi="Garamond" w:cs="Garamond"/>
          <w:i w:val="0"/>
          <w:iCs w:val="0"/>
          <w:sz w:val="24"/>
          <w:szCs w:val="24"/>
          <w:lang w:val="bg-BG"/>
        </w:rPr>
      </w:pPr>
      <w:bookmarkStart w:id="6" w:name="_Ref248870012"/>
      <w:r w:rsidRPr="007E7E6A">
        <w:rPr>
          <w:rFonts w:ascii="Garamond" w:hAnsi="Garamond" w:cs="Garamond"/>
          <w:i w:val="0"/>
          <w:iCs w:val="0"/>
          <w:snapToGrid w:val="0"/>
          <w:sz w:val="24"/>
          <w:szCs w:val="24"/>
          <w:lang w:val="bg-BG"/>
        </w:rPr>
        <w:t>Приход</w:t>
      </w:r>
      <w:r>
        <w:rPr>
          <w:rFonts w:ascii="Garamond" w:hAnsi="Garamond" w:cs="Garamond"/>
          <w:i w:val="0"/>
          <w:iCs w:val="0"/>
          <w:snapToGrid w:val="0"/>
          <w:sz w:val="24"/>
          <w:szCs w:val="24"/>
          <w:lang w:val="bg-BG"/>
        </w:rPr>
        <w:t>ите</w:t>
      </w:r>
      <w:r w:rsidRPr="007E7E6A">
        <w:rPr>
          <w:rFonts w:ascii="Garamond" w:hAnsi="Garamond" w:cs="Garamond"/>
          <w:i w:val="0"/>
          <w:iCs w:val="0"/>
          <w:snapToGrid w:val="0"/>
          <w:sz w:val="24"/>
          <w:szCs w:val="24"/>
          <w:lang w:val="bg-BG"/>
        </w:rPr>
        <w:t xml:space="preserve"> от </w:t>
      </w:r>
      <w:r>
        <w:rPr>
          <w:rFonts w:ascii="Garamond" w:hAnsi="Garamond" w:cs="Garamond"/>
          <w:i w:val="0"/>
          <w:iCs w:val="0"/>
          <w:snapToGrid w:val="0"/>
          <w:sz w:val="24"/>
          <w:szCs w:val="24"/>
          <w:lang w:val="bg-BG"/>
        </w:rPr>
        <w:t xml:space="preserve">предоставени </w:t>
      </w:r>
      <w:r w:rsidRPr="007E7E6A">
        <w:rPr>
          <w:rFonts w:ascii="Garamond" w:hAnsi="Garamond" w:cs="Garamond"/>
          <w:i w:val="0"/>
          <w:iCs w:val="0"/>
          <w:snapToGrid w:val="0"/>
          <w:sz w:val="24"/>
          <w:szCs w:val="24"/>
          <w:lang w:val="bg-BG"/>
        </w:rPr>
        <w:t xml:space="preserve">услуги </w:t>
      </w:r>
      <w:r>
        <w:rPr>
          <w:rFonts w:ascii="Garamond" w:hAnsi="Garamond" w:cs="Garamond"/>
          <w:i w:val="0"/>
          <w:iCs w:val="0"/>
          <w:snapToGrid w:val="0"/>
          <w:sz w:val="24"/>
          <w:szCs w:val="24"/>
          <w:lang w:val="bg-BG"/>
        </w:rPr>
        <w:t xml:space="preserve">са свързани с дейността на дъщерните дружества и </w:t>
      </w:r>
      <w:r w:rsidRPr="007E7E6A">
        <w:rPr>
          <w:rFonts w:ascii="Garamond" w:hAnsi="Garamond" w:cs="Garamond"/>
          <w:i w:val="0"/>
          <w:iCs w:val="0"/>
          <w:snapToGrid w:val="0"/>
          <w:sz w:val="24"/>
          <w:szCs w:val="24"/>
          <w:lang w:val="bg-BG"/>
        </w:rPr>
        <w:t>се признава</w:t>
      </w:r>
      <w:r>
        <w:rPr>
          <w:rFonts w:ascii="Garamond" w:hAnsi="Garamond" w:cs="Garamond"/>
          <w:i w:val="0"/>
          <w:iCs w:val="0"/>
          <w:snapToGrid w:val="0"/>
          <w:sz w:val="24"/>
          <w:szCs w:val="24"/>
          <w:lang w:val="bg-BG"/>
        </w:rPr>
        <w:t>т</w:t>
      </w:r>
      <w:r w:rsidRPr="007E7E6A">
        <w:rPr>
          <w:rFonts w:ascii="Garamond" w:hAnsi="Garamond" w:cs="Garamond"/>
          <w:i w:val="0"/>
          <w:iCs w:val="0"/>
          <w:snapToGrid w:val="0"/>
          <w:sz w:val="24"/>
          <w:szCs w:val="24"/>
          <w:lang w:val="bg-BG"/>
        </w:rPr>
        <w:t xml:space="preserve"> в печалби и загуби за периода, когато те са предоставени, в случаите, когато резултатът от предоставената услуга може да бъде надеждно оценен, например когато услугата има фиксирана цена. Това е резултат от съгласието между двете страни. Приход не се признава, ако съществува значителна несигурност относно дължимото възнаграждение, свързаните разходи или възможно връщане на услуга.</w:t>
      </w:r>
    </w:p>
    <w:p w:rsidR="007A2FA1" w:rsidRPr="00822CE6" w:rsidRDefault="007A2FA1" w:rsidP="007A2FA1">
      <w:pPr>
        <w:pStyle w:val="IAS"/>
        <w:spacing w:before="120"/>
        <w:jc w:val="both"/>
        <w:rPr>
          <w:rFonts w:ascii="Garamond" w:hAnsi="Garamond" w:cs="Garamond"/>
          <w:i w:val="0"/>
          <w:iCs w:val="0"/>
          <w:snapToGrid w:val="0"/>
          <w:sz w:val="24"/>
          <w:szCs w:val="24"/>
          <w:lang w:val="bg-BG"/>
        </w:rPr>
      </w:pPr>
      <w:bookmarkStart w:id="7" w:name="_Ref248330789"/>
      <w:bookmarkEnd w:id="6"/>
      <w:r w:rsidRPr="00822CE6">
        <w:rPr>
          <w:rFonts w:ascii="Garamond" w:hAnsi="Garamond" w:cs="Garamond"/>
          <w:i w:val="0"/>
          <w:iCs w:val="0"/>
          <w:snapToGrid w:val="0"/>
          <w:sz w:val="24"/>
          <w:szCs w:val="24"/>
          <w:lang w:val="bg-BG"/>
        </w:rPr>
        <w:t>Дружеството отдава под наем някои активи или част от тях при условията на сключени договори, предоставя бази за отдих на работниците от системата на</w:t>
      </w:r>
      <w:r>
        <w:rPr>
          <w:rFonts w:ascii="Garamond" w:hAnsi="Garamond" w:cs="Garamond"/>
          <w:i w:val="0"/>
          <w:iCs w:val="0"/>
          <w:snapToGrid w:val="0"/>
          <w:sz w:val="24"/>
          <w:szCs w:val="24"/>
          <w:lang w:val="bg-BG"/>
        </w:rPr>
        <w:t xml:space="preserve"> холдинга и на външни клиенти,  изготвя печатни издания, осъществява експертно и административно подпомагане на дъщерните дружества.</w:t>
      </w:r>
    </w:p>
    <w:p w:rsidR="007A2FA1" w:rsidRPr="007B7B33" w:rsidRDefault="007A2FA1" w:rsidP="007A2FA1">
      <w:pPr>
        <w:pStyle w:val="Heading1"/>
        <w:numPr>
          <w:ilvl w:val="2"/>
          <w:numId w:val="10"/>
        </w:numPr>
        <w:spacing w:line="240" w:lineRule="auto"/>
        <w:jc w:val="both"/>
      </w:pPr>
      <w:r>
        <w:lastRenderedPageBreak/>
        <w:t>Продажба на стоки</w:t>
      </w:r>
    </w:p>
    <w:p w:rsidR="007A2FA1" w:rsidRPr="007E7E6A" w:rsidRDefault="007A2FA1" w:rsidP="007A2FA1">
      <w:pPr>
        <w:jc w:val="both"/>
        <w:rPr>
          <w:sz w:val="24"/>
          <w:szCs w:val="24"/>
        </w:rPr>
      </w:pPr>
      <w:r w:rsidRPr="007E7E6A">
        <w:rPr>
          <w:sz w:val="24"/>
          <w:szCs w:val="24"/>
        </w:rPr>
        <w:t>Приходите от продажбата на стоки, в хода на нормалната дейност, се признават по справедливата стойност на полученото, или което се очаква да се получи възнаграждение, намалено с въ</w:t>
      </w:r>
      <w:r>
        <w:rPr>
          <w:sz w:val="24"/>
          <w:szCs w:val="24"/>
        </w:rPr>
        <w:t>рнатите стоки, отстъпки или рабо</w:t>
      </w:r>
      <w:r w:rsidRPr="007E7E6A">
        <w:rPr>
          <w:sz w:val="24"/>
          <w:szCs w:val="24"/>
        </w:rPr>
        <w:t xml:space="preserve">ти. Приход от продажба на стоки се признава в момента, когато съществените рискове от собствеността се прехвърлят към купувача, получаването на възнаграждението е вероятно, свързаните разходи и възможните връщания на стоки могат да се определят надеждно, няма продължаващо участие на ръководството в управлението на стоките, и сумата на прихода може да се измери надеждно. Ако е вероятно, че ще бъдат дадени отстъпки и тяхната стойност може да бъде надеждно измерена, тогава отстъпките се признават като намаление на приходите, когато се признават приходите. Прехвърлянето на рисковете и изгодите варира според конкретните условия на договора за продажба. </w:t>
      </w:r>
    </w:p>
    <w:p w:rsidR="007A2FA1" w:rsidRPr="007E7E6A" w:rsidRDefault="007A2FA1" w:rsidP="007A2FA1">
      <w:pPr>
        <w:autoSpaceDE w:val="0"/>
        <w:autoSpaceDN w:val="0"/>
        <w:jc w:val="both"/>
        <w:rPr>
          <w:rStyle w:val="Heading1Char"/>
          <w:b w:val="0"/>
          <w:bCs w:val="0"/>
          <w:color w:val="auto"/>
          <w:kern w:val="0"/>
          <w:sz w:val="24"/>
          <w:szCs w:val="24"/>
        </w:rPr>
      </w:pPr>
      <w:r w:rsidRPr="007E7E6A">
        <w:rPr>
          <w:sz w:val="24"/>
          <w:szCs w:val="24"/>
        </w:rPr>
        <w:t>При замяна на сходни активи, които имат сходна цена, размяната не се разглежда като сделка, която генерира приходи.  Ако се разменят несходни активи,  приходът се признава по справедливата стойност на получените стоки или услуги. Когато справедливата стойност на получените стоки и услуги не може надеждно да бъде оценена, приходът се оценява по справедливата стойност на предадените стоки и услуги, коригирана със сумата на всички преведени парични средства или парични еквиваленти.</w:t>
      </w:r>
    </w:p>
    <w:p w:rsidR="007A2FA1" w:rsidRPr="007E7E6A" w:rsidRDefault="007A2FA1" w:rsidP="007A2FA1">
      <w:pPr>
        <w:numPr>
          <w:ilvl w:val="2"/>
          <w:numId w:val="10"/>
        </w:numPr>
        <w:spacing w:before="120" w:after="120"/>
        <w:jc w:val="both"/>
        <w:rPr>
          <w:rStyle w:val="Heading1Char"/>
          <w:sz w:val="24"/>
          <w:szCs w:val="24"/>
        </w:rPr>
      </w:pPr>
      <w:r w:rsidRPr="007E7E6A">
        <w:rPr>
          <w:rStyle w:val="Heading1Char"/>
          <w:sz w:val="24"/>
          <w:szCs w:val="24"/>
        </w:rPr>
        <w:t>Приходи от наеми</w:t>
      </w:r>
    </w:p>
    <w:p w:rsidR="007A2FA1" w:rsidRPr="007E7E6A" w:rsidRDefault="007A2FA1" w:rsidP="007A2FA1">
      <w:pPr>
        <w:autoSpaceDE w:val="0"/>
        <w:autoSpaceDN w:val="0"/>
        <w:adjustRightInd w:val="0"/>
        <w:jc w:val="both"/>
        <w:rPr>
          <w:rStyle w:val="Heading1Char"/>
          <w:b w:val="0"/>
          <w:bCs w:val="0"/>
          <w:color w:val="auto"/>
          <w:kern w:val="0"/>
          <w:sz w:val="24"/>
          <w:szCs w:val="24"/>
          <w:lang w:val="ru-RU"/>
        </w:rPr>
      </w:pPr>
      <w:r w:rsidRPr="007E7E6A">
        <w:rPr>
          <w:sz w:val="24"/>
          <w:szCs w:val="24"/>
        </w:rPr>
        <w:t>Приходите от наеми от части от сгради (помещения) се признават в печалби и загуби по линеен метод за периода на наема. Получени допълнителни плащания се признават като неделима част от общия приход от наем за периода на наема</w:t>
      </w:r>
      <w:r w:rsidRPr="007E7E6A">
        <w:rPr>
          <w:sz w:val="24"/>
          <w:szCs w:val="24"/>
          <w:lang w:val="ru-RU"/>
        </w:rPr>
        <w:t>.</w:t>
      </w:r>
    </w:p>
    <w:p w:rsidR="007A2FA1" w:rsidRPr="000C10CA" w:rsidRDefault="007A2FA1" w:rsidP="007A2FA1">
      <w:pPr>
        <w:numPr>
          <w:ilvl w:val="2"/>
          <w:numId w:val="10"/>
        </w:numPr>
        <w:spacing w:before="120" w:after="120"/>
        <w:jc w:val="both"/>
        <w:rPr>
          <w:rStyle w:val="Heading1Char"/>
          <w:sz w:val="24"/>
          <w:szCs w:val="24"/>
        </w:rPr>
      </w:pPr>
      <w:r w:rsidRPr="000C10CA">
        <w:rPr>
          <w:rStyle w:val="Heading1Char"/>
          <w:sz w:val="24"/>
          <w:szCs w:val="24"/>
        </w:rPr>
        <w:t>Приходи от лихви и дивиденти</w:t>
      </w:r>
    </w:p>
    <w:p w:rsidR="007A2FA1" w:rsidRPr="007E7E6A" w:rsidRDefault="007A2FA1" w:rsidP="007A2FA1">
      <w:pPr>
        <w:spacing w:before="120" w:after="120"/>
        <w:jc w:val="both"/>
        <w:rPr>
          <w:sz w:val="24"/>
          <w:szCs w:val="24"/>
        </w:rPr>
      </w:pPr>
      <w:r w:rsidRPr="007E7E6A">
        <w:rPr>
          <w:sz w:val="24"/>
          <w:szCs w:val="24"/>
        </w:rPr>
        <w:t xml:space="preserve">Приходите от лихви се отчитат текущо по метода на ефективния лихвен процент. Приходите от дивиденти се признават в момента на възникване на правото за </w:t>
      </w:r>
      <w:r w:rsidRPr="007E7E6A">
        <w:rPr>
          <w:rStyle w:val="Heading1Char"/>
          <w:b w:val="0"/>
          <w:bCs w:val="0"/>
          <w:color w:val="auto"/>
          <w:sz w:val="24"/>
          <w:szCs w:val="24"/>
        </w:rPr>
        <w:t>получаване</w:t>
      </w:r>
      <w:r w:rsidRPr="007E7E6A">
        <w:rPr>
          <w:sz w:val="24"/>
          <w:szCs w:val="24"/>
        </w:rPr>
        <w:t xml:space="preserve"> на плащането.</w:t>
      </w:r>
    </w:p>
    <w:p w:rsidR="007A2FA1" w:rsidRPr="000C10CA" w:rsidRDefault="007A2FA1" w:rsidP="007A2FA1">
      <w:pPr>
        <w:numPr>
          <w:ilvl w:val="2"/>
          <w:numId w:val="10"/>
        </w:numPr>
        <w:spacing w:before="120" w:after="120"/>
        <w:jc w:val="both"/>
        <w:rPr>
          <w:rStyle w:val="Heading1Char"/>
          <w:sz w:val="24"/>
          <w:szCs w:val="24"/>
        </w:rPr>
      </w:pPr>
      <w:r w:rsidRPr="007E7E6A">
        <w:rPr>
          <w:rStyle w:val="Heading1Char"/>
          <w:sz w:val="24"/>
          <w:szCs w:val="24"/>
        </w:rPr>
        <w:t>Приходи от финансиране</w:t>
      </w:r>
    </w:p>
    <w:p w:rsidR="007A2FA1" w:rsidRDefault="007A2FA1" w:rsidP="007A2FA1">
      <w:pPr>
        <w:jc w:val="both"/>
        <w:rPr>
          <w:sz w:val="24"/>
          <w:szCs w:val="24"/>
        </w:rPr>
      </w:pPr>
      <w:r w:rsidRPr="007E7E6A">
        <w:rPr>
          <w:sz w:val="24"/>
          <w:szCs w:val="24"/>
        </w:rPr>
        <w:t>Първоначално финансиранията се отчитат като приходи за бъдещи периоди (финансиране)</w:t>
      </w:r>
      <w:r>
        <w:rPr>
          <w:sz w:val="24"/>
          <w:szCs w:val="24"/>
        </w:rPr>
        <w:t>,</w:t>
      </w:r>
      <w:r w:rsidRPr="007E7E6A">
        <w:rPr>
          <w:sz w:val="24"/>
          <w:szCs w:val="24"/>
        </w:rPr>
        <w:t xml:space="preserve"> когато има значителна сигурност, че Друж</w:t>
      </w:r>
      <w:r>
        <w:rPr>
          <w:sz w:val="24"/>
          <w:szCs w:val="24"/>
        </w:rPr>
        <w:t>еството ще получи финансирането</w:t>
      </w:r>
      <w:r w:rsidRPr="007E7E6A">
        <w:rPr>
          <w:sz w:val="24"/>
          <w:szCs w:val="24"/>
        </w:rPr>
        <w:t xml:space="preserve"> и ще изпълни условията при които то е отпуснато. Финансиране, целящо да компенсира Дружеството за направени разходи по придобиване на активи, се признава като приход от финансиране</w:t>
      </w:r>
      <w:r>
        <w:rPr>
          <w:sz w:val="24"/>
          <w:szCs w:val="24"/>
        </w:rPr>
        <w:t>,</w:t>
      </w:r>
      <w:r w:rsidRPr="007E7E6A">
        <w:rPr>
          <w:sz w:val="24"/>
          <w:szCs w:val="24"/>
        </w:rPr>
        <w:t xml:space="preserve"> пропорционално на начислената за периода амортизация на активите, придо</w:t>
      </w:r>
      <w:r>
        <w:rPr>
          <w:sz w:val="24"/>
          <w:szCs w:val="24"/>
        </w:rPr>
        <w:t>бити с полученото финансиране. Когато финансирането е свързано с разходна позиция, то се признава като приход в периодите, необходими за съпоставяне на финансирането на систематична база с разходите, които то е предвидено да компенсира.</w:t>
      </w:r>
    </w:p>
    <w:p w:rsidR="007A2FA1" w:rsidRPr="001B5C43" w:rsidRDefault="007A2FA1" w:rsidP="007A2FA1">
      <w:pPr>
        <w:pStyle w:val="Heading1"/>
        <w:numPr>
          <w:ilvl w:val="1"/>
          <w:numId w:val="10"/>
        </w:numPr>
        <w:spacing w:before="240" w:line="240" w:lineRule="auto"/>
        <w:ind w:left="0" w:firstLine="0"/>
        <w:jc w:val="both"/>
      </w:pPr>
      <w:r w:rsidRPr="001B5C43">
        <w:t>Оперативни разходи</w:t>
      </w:r>
      <w:bookmarkEnd w:id="7"/>
    </w:p>
    <w:p w:rsidR="007A2FA1" w:rsidRPr="000C10CA" w:rsidRDefault="007A2FA1" w:rsidP="007A2FA1">
      <w:pPr>
        <w:spacing w:before="120" w:after="120"/>
        <w:jc w:val="both"/>
        <w:rPr>
          <w:sz w:val="24"/>
          <w:szCs w:val="24"/>
        </w:rPr>
      </w:pPr>
      <w:r w:rsidRPr="000C10CA">
        <w:rPr>
          <w:sz w:val="24"/>
          <w:szCs w:val="24"/>
        </w:rPr>
        <w:t>Оперативните разходи се признават в печалбата или загубата при ползването на услугите ил</w:t>
      </w:r>
      <w:r>
        <w:rPr>
          <w:sz w:val="24"/>
          <w:szCs w:val="24"/>
        </w:rPr>
        <w:t>и на датата на възникването им.</w:t>
      </w:r>
    </w:p>
    <w:p w:rsidR="007A2FA1" w:rsidRPr="001B5C43" w:rsidRDefault="007A2FA1" w:rsidP="007A2FA1">
      <w:pPr>
        <w:pStyle w:val="Heading1"/>
        <w:numPr>
          <w:ilvl w:val="1"/>
          <w:numId w:val="10"/>
        </w:numPr>
        <w:spacing w:before="240" w:line="240" w:lineRule="auto"/>
        <w:ind w:left="0" w:firstLine="0"/>
        <w:jc w:val="both"/>
      </w:pPr>
      <w:r w:rsidRPr="001B5C43">
        <w:t>Разходи за лихви и разходи по заеми</w:t>
      </w:r>
    </w:p>
    <w:p w:rsidR="007A2FA1" w:rsidRPr="001B5C43" w:rsidRDefault="007A2FA1" w:rsidP="007A2FA1">
      <w:pPr>
        <w:spacing w:before="120" w:after="120"/>
        <w:jc w:val="both"/>
        <w:rPr>
          <w:sz w:val="24"/>
          <w:szCs w:val="24"/>
        </w:rPr>
      </w:pPr>
      <w:r w:rsidRPr="001B5C43">
        <w:rPr>
          <w:sz w:val="24"/>
          <w:szCs w:val="24"/>
        </w:rPr>
        <w:t>Разходите за лихви се отчитат текущо по метода на ефективния лихвен процент.</w:t>
      </w:r>
    </w:p>
    <w:p w:rsidR="007A2FA1" w:rsidRDefault="007A2FA1" w:rsidP="007A2FA1">
      <w:pPr>
        <w:spacing w:before="120" w:after="120"/>
        <w:jc w:val="both"/>
        <w:rPr>
          <w:sz w:val="24"/>
          <w:szCs w:val="24"/>
        </w:rPr>
      </w:pPr>
      <w:r w:rsidRPr="001B5C43">
        <w:rPr>
          <w:sz w:val="24"/>
          <w:szCs w:val="24"/>
        </w:rPr>
        <w:t xml:space="preserve">Разходите по заеми основно представляват лихви по заемите на Дружеството. Всички разходи по заеми, които директно могат да бъдат отнесени към закупуването, строителството или производството на един отговарящ на условията актив, се капитализират през периода, в който се очаква активът да бъде завършен и приведен в </w:t>
      </w:r>
      <w:r w:rsidRPr="001B5C43">
        <w:rPr>
          <w:sz w:val="24"/>
          <w:szCs w:val="24"/>
        </w:rPr>
        <w:lastRenderedPageBreak/>
        <w:t xml:space="preserve">готовност за използване или продажба. Останалите разходи по заеми следва да се признават като разход за периода, в който са </w:t>
      </w:r>
      <w:r>
        <w:rPr>
          <w:sz w:val="24"/>
          <w:szCs w:val="24"/>
        </w:rPr>
        <w:t xml:space="preserve">възникнали, в </w:t>
      </w:r>
      <w:r w:rsidRPr="004154A1">
        <w:rPr>
          <w:sz w:val="24"/>
          <w:szCs w:val="24"/>
        </w:rPr>
        <w:t>отчета за печалбата или загубата и другия всеобхватен доход</w:t>
      </w:r>
      <w:r w:rsidRPr="00E93710">
        <w:rPr>
          <w:sz w:val="24"/>
          <w:szCs w:val="24"/>
        </w:rPr>
        <w:t xml:space="preserve"> </w:t>
      </w:r>
      <w:r w:rsidRPr="001B5C43">
        <w:rPr>
          <w:sz w:val="24"/>
          <w:szCs w:val="24"/>
        </w:rPr>
        <w:t xml:space="preserve">на ред „Финансови разходи”. </w:t>
      </w:r>
    </w:p>
    <w:p w:rsidR="007A2FA1" w:rsidRPr="004154A1" w:rsidRDefault="007A2FA1" w:rsidP="007A2FA1">
      <w:pPr>
        <w:jc w:val="both"/>
        <w:rPr>
          <w:sz w:val="24"/>
          <w:szCs w:val="24"/>
        </w:rPr>
      </w:pPr>
      <w:r w:rsidRPr="004154A1">
        <w:rPr>
          <w:sz w:val="24"/>
          <w:szCs w:val="24"/>
        </w:rPr>
        <w:t>Когато са получени заеми без конкретно целево предназначение и те са използвани за придобиването на един отговарящ на условията актив, размерът на разходите по заеми, които могат да се капитализират, се определя чрез прилагане на процент на капитализация към разходите по този актив. Процентът на капитализация е среднопретеглената величина на разходите по заеми, отнесени към заемите на Дружеството, които са непогасени през периода, като се изключат заемите, получени специално за целите на придобиване на един отговарящ на условията актив.</w:t>
      </w:r>
    </w:p>
    <w:p w:rsidR="007A2FA1" w:rsidRPr="001B5C43" w:rsidRDefault="007A2FA1" w:rsidP="007A2FA1">
      <w:pPr>
        <w:pStyle w:val="Heading1"/>
        <w:numPr>
          <w:ilvl w:val="1"/>
          <w:numId w:val="10"/>
        </w:numPr>
        <w:spacing w:before="240" w:line="240" w:lineRule="auto"/>
        <w:ind w:left="0" w:firstLine="0"/>
        <w:jc w:val="both"/>
      </w:pPr>
      <w:r w:rsidRPr="001B5C43">
        <w:t>Нематериални активи</w:t>
      </w:r>
    </w:p>
    <w:p w:rsidR="007A2FA1" w:rsidRPr="007E7E6A" w:rsidRDefault="007A2FA1" w:rsidP="007A2FA1">
      <w:pPr>
        <w:pStyle w:val="BodyText3"/>
        <w:widowControl w:val="0"/>
        <w:jc w:val="both"/>
        <w:rPr>
          <w:noProof/>
          <w:sz w:val="24"/>
          <w:szCs w:val="24"/>
        </w:rPr>
      </w:pPr>
      <w:r w:rsidRPr="007E7E6A">
        <w:rPr>
          <w:spacing w:val="-2"/>
          <w:sz w:val="24"/>
          <w:szCs w:val="24"/>
        </w:rPr>
        <w:t xml:space="preserve">Нематериалните активи придобити от Дружеството, и имащи ограничен срок на използване, се отчитат </w:t>
      </w:r>
      <w:r w:rsidRPr="007E7E6A">
        <w:rPr>
          <w:noProof/>
          <w:sz w:val="24"/>
          <w:szCs w:val="24"/>
        </w:rPr>
        <w:t>по цена на придобиване</w:t>
      </w:r>
      <w:r>
        <w:rPr>
          <w:noProof/>
          <w:sz w:val="24"/>
          <w:szCs w:val="24"/>
        </w:rPr>
        <w:t>,</w:t>
      </w:r>
      <w:r w:rsidRPr="007E7E6A">
        <w:rPr>
          <w:noProof/>
          <w:sz w:val="24"/>
          <w:szCs w:val="24"/>
        </w:rPr>
        <w:t xml:space="preserve"> намалена с натрупаната амортизация и натрупани загуби от обезценка.  </w:t>
      </w:r>
    </w:p>
    <w:p w:rsidR="007A2FA1" w:rsidRPr="007E7E6A" w:rsidRDefault="007A2FA1" w:rsidP="007A2FA1">
      <w:pPr>
        <w:autoSpaceDE w:val="0"/>
        <w:autoSpaceDN w:val="0"/>
        <w:adjustRightInd w:val="0"/>
        <w:jc w:val="both"/>
        <w:rPr>
          <w:noProof/>
          <w:sz w:val="24"/>
          <w:szCs w:val="24"/>
          <w:lang w:val="ru-RU"/>
        </w:rPr>
      </w:pPr>
      <w:r w:rsidRPr="007E7E6A">
        <w:rPr>
          <w:sz w:val="24"/>
          <w:szCs w:val="24"/>
          <w:lang w:val="ru-RU"/>
        </w:rPr>
        <w:t xml:space="preserve">Разходите свързани с поддръжката на нематериални активи се капитализират само когато се увеличава бъдещата </w:t>
      </w:r>
      <w:r>
        <w:rPr>
          <w:sz w:val="24"/>
          <w:szCs w:val="24"/>
          <w:lang w:val="ru-RU"/>
        </w:rPr>
        <w:t xml:space="preserve">икономическа изгода от актива. </w:t>
      </w:r>
      <w:r w:rsidRPr="007E7E6A">
        <w:rPr>
          <w:sz w:val="24"/>
          <w:szCs w:val="24"/>
          <w:lang w:val="ru-RU"/>
        </w:rPr>
        <w:t>Всички останали разходи се признават като разход в печалби и загуби в момента на тяхното възникване</w:t>
      </w:r>
      <w:r w:rsidRPr="007E7E6A">
        <w:rPr>
          <w:noProof/>
          <w:sz w:val="24"/>
          <w:szCs w:val="24"/>
          <w:lang w:val="ru-RU"/>
        </w:rPr>
        <w:t>.</w:t>
      </w:r>
    </w:p>
    <w:p w:rsidR="007A2FA1" w:rsidRPr="007E7E6A" w:rsidRDefault="007A2FA1" w:rsidP="007A2FA1">
      <w:pPr>
        <w:pStyle w:val="BodyText3"/>
        <w:widowControl w:val="0"/>
        <w:spacing w:before="120"/>
        <w:jc w:val="both"/>
        <w:rPr>
          <w:noProof/>
          <w:sz w:val="24"/>
          <w:szCs w:val="24"/>
        </w:rPr>
      </w:pPr>
      <w:r w:rsidRPr="007E7E6A">
        <w:rPr>
          <w:sz w:val="24"/>
          <w:szCs w:val="24"/>
        </w:rPr>
        <w:t>Амортизацията се начислява в печалби и загуби на база линейния метод въз основа на очаквания срок на полезен живот на нематериалните активи, тъй като това отразява очаквания начин на консумиране на бъдещите икономически ползи от актива.</w:t>
      </w:r>
      <w:r w:rsidRPr="007E7E6A">
        <w:rPr>
          <w:noProof/>
          <w:sz w:val="24"/>
          <w:szCs w:val="24"/>
        </w:rPr>
        <w:t xml:space="preserve"> </w:t>
      </w:r>
    </w:p>
    <w:p w:rsidR="007A2FA1" w:rsidRPr="007E7E6A" w:rsidRDefault="007A2FA1" w:rsidP="007A2FA1">
      <w:pPr>
        <w:autoSpaceDE w:val="0"/>
        <w:autoSpaceDN w:val="0"/>
        <w:adjustRightInd w:val="0"/>
        <w:rPr>
          <w:noProof/>
          <w:sz w:val="24"/>
          <w:szCs w:val="24"/>
          <w:lang w:val="ru-RU"/>
        </w:rPr>
      </w:pPr>
      <w:r w:rsidRPr="007E7E6A">
        <w:rPr>
          <w:noProof/>
          <w:sz w:val="24"/>
          <w:szCs w:val="24"/>
          <w:lang w:val="ru-RU"/>
        </w:rPr>
        <w:t>Очакваните срокове на полезен живот са както следва:</w:t>
      </w:r>
    </w:p>
    <w:p w:rsidR="007A2FA1" w:rsidRPr="007E7E6A" w:rsidRDefault="007A2FA1" w:rsidP="007A2FA1">
      <w:pPr>
        <w:pStyle w:val="bullet"/>
        <w:numPr>
          <w:ilvl w:val="0"/>
          <w:numId w:val="18"/>
        </w:numPr>
        <w:tabs>
          <w:tab w:val="left" w:pos="3555"/>
        </w:tabs>
        <w:rPr>
          <w:sz w:val="24"/>
          <w:szCs w:val="24"/>
          <w:lang w:val="bg-BG"/>
        </w:rPr>
      </w:pPr>
      <w:r w:rsidRPr="007E7E6A">
        <w:rPr>
          <w:sz w:val="24"/>
          <w:szCs w:val="24"/>
          <w:lang w:val="bg-BG"/>
        </w:rPr>
        <w:t>софтуер</w:t>
      </w:r>
      <w:r w:rsidRPr="007E7E6A">
        <w:rPr>
          <w:sz w:val="24"/>
          <w:szCs w:val="24"/>
          <w:lang w:val="bg-BG"/>
        </w:rPr>
        <w:tab/>
        <w:t>2 години</w:t>
      </w:r>
    </w:p>
    <w:p w:rsidR="007A2FA1" w:rsidRPr="007E7E6A" w:rsidRDefault="007A2FA1" w:rsidP="007A2FA1">
      <w:pPr>
        <w:pStyle w:val="bullet"/>
        <w:numPr>
          <w:ilvl w:val="0"/>
          <w:numId w:val="18"/>
        </w:numPr>
        <w:tabs>
          <w:tab w:val="left" w:pos="3555"/>
        </w:tabs>
        <w:rPr>
          <w:sz w:val="24"/>
          <w:szCs w:val="24"/>
          <w:lang w:val="bg-BG"/>
        </w:rPr>
      </w:pPr>
      <w:r>
        <w:rPr>
          <w:sz w:val="24"/>
          <w:szCs w:val="24"/>
          <w:lang w:val="bg-BG"/>
        </w:rPr>
        <w:t>д</w:t>
      </w:r>
      <w:r w:rsidRPr="007E7E6A">
        <w:rPr>
          <w:sz w:val="24"/>
          <w:szCs w:val="24"/>
          <w:lang w:val="bg-BG"/>
        </w:rPr>
        <w:t>руги</w:t>
      </w:r>
      <w:r w:rsidRPr="007E7E6A">
        <w:rPr>
          <w:sz w:val="24"/>
          <w:szCs w:val="24"/>
          <w:lang w:val="bg-BG"/>
        </w:rPr>
        <w:tab/>
        <w:t>7 години</w:t>
      </w:r>
    </w:p>
    <w:p w:rsidR="007A2FA1" w:rsidRPr="00AA593B" w:rsidRDefault="007A2FA1" w:rsidP="007A2FA1">
      <w:pPr>
        <w:spacing w:before="120" w:after="120"/>
        <w:jc w:val="both"/>
        <w:rPr>
          <w:sz w:val="24"/>
          <w:szCs w:val="24"/>
        </w:rPr>
      </w:pPr>
      <w:r w:rsidRPr="00AA593B">
        <w:rPr>
          <w:sz w:val="24"/>
          <w:szCs w:val="24"/>
        </w:rPr>
        <w:t xml:space="preserve">Печалбата или загубата от продажбата на нематериални активи се определя като разлика между постъпленията от продажбата и балансовата стойност на активите и се отразява в </w:t>
      </w:r>
      <w:r w:rsidRPr="004154A1">
        <w:rPr>
          <w:sz w:val="24"/>
          <w:szCs w:val="24"/>
        </w:rPr>
        <w:t>отчета за печалбата или загубата и другия всеобхватен доход</w:t>
      </w:r>
      <w:r w:rsidRPr="00AA593B">
        <w:rPr>
          <w:sz w:val="24"/>
          <w:szCs w:val="24"/>
        </w:rPr>
        <w:t xml:space="preserve"> на ред „</w:t>
      </w:r>
      <w:r w:rsidRPr="00AA593B">
        <w:rPr>
          <w:color w:val="000000"/>
          <w:sz w:val="24"/>
          <w:szCs w:val="24"/>
        </w:rPr>
        <w:t>Печалба от продажба на нетекущи активи”.</w:t>
      </w:r>
    </w:p>
    <w:p w:rsidR="007A2FA1" w:rsidRPr="000B6A69" w:rsidRDefault="007A2FA1" w:rsidP="007A2FA1">
      <w:pPr>
        <w:autoSpaceDE w:val="0"/>
        <w:autoSpaceDN w:val="0"/>
        <w:adjustRightInd w:val="0"/>
        <w:rPr>
          <w:sz w:val="24"/>
          <w:szCs w:val="24"/>
        </w:rPr>
      </w:pPr>
      <w:r w:rsidRPr="00AA593B">
        <w:rPr>
          <w:sz w:val="24"/>
          <w:szCs w:val="24"/>
          <w:lang w:val="ru-RU"/>
        </w:rPr>
        <w:t xml:space="preserve">Ръководството на Дружеството е възприело политика на капитализиране на нематериални активи в случай, че тяхната цена на придобиване е еквивалентна на, или надвишава ниво на същественост в размер на 700 лева.  </w:t>
      </w:r>
    </w:p>
    <w:p w:rsidR="007A2FA1" w:rsidRPr="000B6A69" w:rsidRDefault="007A2FA1" w:rsidP="007A2FA1">
      <w:pPr>
        <w:autoSpaceDE w:val="0"/>
        <w:autoSpaceDN w:val="0"/>
        <w:adjustRightInd w:val="0"/>
        <w:rPr>
          <w:sz w:val="24"/>
          <w:szCs w:val="24"/>
        </w:rPr>
      </w:pPr>
    </w:p>
    <w:p w:rsidR="007A2FA1" w:rsidRPr="001B5C43" w:rsidRDefault="007A2FA1" w:rsidP="007A2FA1">
      <w:pPr>
        <w:pStyle w:val="Heading1"/>
        <w:numPr>
          <w:ilvl w:val="1"/>
          <w:numId w:val="10"/>
        </w:numPr>
        <w:spacing w:line="240" w:lineRule="auto"/>
        <w:ind w:left="0" w:firstLine="0"/>
        <w:jc w:val="both"/>
      </w:pPr>
      <w:r w:rsidRPr="001B5C43">
        <w:t xml:space="preserve">Имоти, машини и съоръжения </w:t>
      </w:r>
    </w:p>
    <w:p w:rsidR="007A2FA1" w:rsidRPr="00107752" w:rsidRDefault="007A2FA1" w:rsidP="007A2FA1">
      <w:pPr>
        <w:autoSpaceDE w:val="0"/>
        <w:autoSpaceDN w:val="0"/>
        <w:adjustRightInd w:val="0"/>
        <w:jc w:val="both"/>
        <w:rPr>
          <w:sz w:val="24"/>
          <w:szCs w:val="24"/>
        </w:rPr>
      </w:pPr>
      <w:r w:rsidRPr="00107752">
        <w:rPr>
          <w:sz w:val="24"/>
          <w:szCs w:val="24"/>
          <w:lang w:val="ru-RU"/>
        </w:rPr>
        <w:t xml:space="preserve">Имотите, машините и съоръженията се оценяват първоначално по себестойност, включваща цената на придобиване, както и всички преки разходи за привеждането на актива в работно състояние.  </w:t>
      </w:r>
    </w:p>
    <w:p w:rsidR="007A2FA1" w:rsidRPr="00107752" w:rsidRDefault="007A2FA1" w:rsidP="007A2FA1">
      <w:pPr>
        <w:autoSpaceDE w:val="0"/>
        <w:autoSpaceDN w:val="0"/>
        <w:adjustRightInd w:val="0"/>
        <w:jc w:val="both"/>
        <w:rPr>
          <w:sz w:val="24"/>
          <w:szCs w:val="24"/>
        </w:rPr>
      </w:pPr>
    </w:p>
    <w:p w:rsidR="007A2FA1" w:rsidRPr="000F19A3" w:rsidRDefault="007A2FA1" w:rsidP="007A2FA1">
      <w:pPr>
        <w:autoSpaceDE w:val="0"/>
        <w:autoSpaceDN w:val="0"/>
        <w:adjustRightInd w:val="0"/>
        <w:jc w:val="both"/>
        <w:rPr>
          <w:sz w:val="24"/>
          <w:szCs w:val="24"/>
        </w:rPr>
      </w:pPr>
      <w:r w:rsidRPr="00107752">
        <w:rPr>
          <w:sz w:val="24"/>
          <w:szCs w:val="24"/>
          <w:lang w:val="ru-RU"/>
        </w:rPr>
        <w:t xml:space="preserve">Последващото оценяване на транспортните средства </w:t>
      </w:r>
      <w:r>
        <w:rPr>
          <w:sz w:val="24"/>
          <w:szCs w:val="24"/>
          <w:lang w:val="ru-RU"/>
        </w:rPr>
        <w:t xml:space="preserve">(подвижен жп състав) </w:t>
      </w:r>
      <w:r w:rsidRPr="00107752">
        <w:rPr>
          <w:sz w:val="24"/>
          <w:szCs w:val="24"/>
          <w:lang w:val="ru-RU"/>
        </w:rPr>
        <w:t>и земите се извършва по преоценена стойност, която е равна на справедливата стойност към датата на преоценка, намалена в последствие с натрупаната амортизация и загуба от обезценка. Направените преоценки се отчитат като преоценъчен резерв</w:t>
      </w:r>
      <w:r>
        <w:rPr>
          <w:sz w:val="24"/>
          <w:szCs w:val="24"/>
          <w:lang w:val="ru-RU"/>
        </w:rPr>
        <w:t>,</w:t>
      </w:r>
      <w:r w:rsidRPr="00107752">
        <w:rPr>
          <w:sz w:val="24"/>
          <w:szCs w:val="24"/>
          <w:lang w:val="ru-RU"/>
        </w:rPr>
        <w:t xml:space="preserve"> ако преди това не се предхождат от начи</w:t>
      </w:r>
      <w:r>
        <w:rPr>
          <w:sz w:val="24"/>
          <w:szCs w:val="24"/>
          <w:lang w:val="ru-RU"/>
        </w:rPr>
        <w:t>слени разходи. При бракуване на</w:t>
      </w:r>
      <w:r w:rsidRPr="00107752">
        <w:rPr>
          <w:sz w:val="24"/>
          <w:szCs w:val="24"/>
          <w:lang w:val="ru-RU"/>
        </w:rPr>
        <w:t xml:space="preserve"> преоценения актив, той се обезценява до неизхабения размер на преоценъчния резерв поради изчерпване на неговите потребителски качества, а частта, която съответства на пренесената стойност при използването му в употреба, се отписва в увеличение на финансовия резултат от минали периоди. При продажба на преоценен актив, който е в добро състояние и не са намалени </w:t>
      </w:r>
      <w:r w:rsidRPr="00107752">
        <w:rPr>
          <w:sz w:val="24"/>
          <w:szCs w:val="24"/>
          <w:lang w:val="ru-RU"/>
        </w:rPr>
        <w:lastRenderedPageBreak/>
        <w:t>неговите качества, преоценъчният резерв се отразява във финансов</w:t>
      </w:r>
      <w:r>
        <w:rPr>
          <w:sz w:val="24"/>
          <w:szCs w:val="24"/>
          <w:lang w:val="ru-RU"/>
        </w:rPr>
        <w:t>ия</w:t>
      </w:r>
      <w:r w:rsidRPr="00107752">
        <w:rPr>
          <w:sz w:val="24"/>
          <w:szCs w:val="24"/>
          <w:lang w:val="ru-RU"/>
        </w:rPr>
        <w:t xml:space="preserve"> резултат за минали периоди за сметка на увеличение на печалбата</w:t>
      </w:r>
      <w:r w:rsidRPr="000F19A3">
        <w:rPr>
          <w:sz w:val="24"/>
          <w:szCs w:val="24"/>
        </w:rPr>
        <w:t>.</w:t>
      </w:r>
      <w:r>
        <w:rPr>
          <w:sz w:val="24"/>
          <w:szCs w:val="24"/>
        </w:rPr>
        <w:t xml:space="preserve"> За и</w:t>
      </w:r>
      <w:r w:rsidRPr="00107752">
        <w:rPr>
          <w:sz w:val="24"/>
          <w:szCs w:val="24"/>
          <w:lang w:val="ru-RU"/>
        </w:rPr>
        <w:t>мотите, машините и съоръженията</w:t>
      </w:r>
      <w:r>
        <w:rPr>
          <w:sz w:val="24"/>
          <w:szCs w:val="24"/>
          <w:lang w:val="ru-RU"/>
        </w:rPr>
        <w:t xml:space="preserve"> закупени чрез финансирания и рекласифицирани като активи държани за продажба или материални запаси се преостановява признаването на приход от финансиране до момента на тяхното връщане в група </w:t>
      </w:r>
      <w:r>
        <w:rPr>
          <w:sz w:val="24"/>
          <w:szCs w:val="24"/>
        </w:rPr>
        <w:t>и</w:t>
      </w:r>
      <w:r>
        <w:rPr>
          <w:sz w:val="24"/>
          <w:szCs w:val="24"/>
          <w:lang w:val="ru-RU"/>
        </w:rPr>
        <w:t>моти, машини и съоръжения или до тяхното освобождаване.</w:t>
      </w:r>
    </w:p>
    <w:p w:rsidR="007A2FA1" w:rsidRPr="009676C3" w:rsidRDefault="007A2FA1" w:rsidP="007A2FA1">
      <w:pPr>
        <w:autoSpaceDE w:val="0"/>
        <w:autoSpaceDN w:val="0"/>
        <w:adjustRightInd w:val="0"/>
        <w:spacing w:before="120" w:after="120"/>
        <w:jc w:val="both"/>
        <w:rPr>
          <w:sz w:val="24"/>
          <w:szCs w:val="24"/>
        </w:rPr>
      </w:pPr>
      <w:r w:rsidRPr="009676C3">
        <w:rPr>
          <w:sz w:val="24"/>
          <w:szCs w:val="24"/>
        </w:rPr>
        <w:t xml:space="preserve">Честотата на преоценките се определя при наличието на значителни промени в справедливите стойности на </w:t>
      </w:r>
      <w:r>
        <w:rPr>
          <w:sz w:val="24"/>
          <w:szCs w:val="24"/>
        </w:rPr>
        <w:t>активите, които се преоценяват</w:t>
      </w:r>
      <w:r w:rsidRPr="009676C3">
        <w:rPr>
          <w:sz w:val="24"/>
          <w:szCs w:val="24"/>
        </w:rPr>
        <w:t xml:space="preserve"> поне веднъж на 5 години.</w:t>
      </w:r>
    </w:p>
    <w:p w:rsidR="007A2FA1" w:rsidRPr="009676C3" w:rsidRDefault="007A2FA1" w:rsidP="007A2FA1">
      <w:pPr>
        <w:autoSpaceDE w:val="0"/>
        <w:autoSpaceDN w:val="0"/>
        <w:adjustRightInd w:val="0"/>
        <w:spacing w:before="120" w:after="120"/>
        <w:jc w:val="both"/>
        <w:rPr>
          <w:sz w:val="24"/>
          <w:szCs w:val="24"/>
        </w:rPr>
      </w:pPr>
      <w:r w:rsidRPr="009676C3">
        <w:rPr>
          <w:sz w:val="24"/>
          <w:szCs w:val="24"/>
        </w:rPr>
        <w:t>Последната преоценка на активите, отчитани последващо по прео</w:t>
      </w:r>
      <w:r>
        <w:rPr>
          <w:sz w:val="24"/>
          <w:szCs w:val="24"/>
        </w:rPr>
        <w:t>ценена стойност, която е направена на база на доклади на външни независими оценители, е:</w:t>
      </w:r>
    </w:p>
    <w:p w:rsidR="007A2FA1" w:rsidRPr="000F05BE" w:rsidRDefault="007A2FA1" w:rsidP="007A2FA1">
      <w:pPr>
        <w:pStyle w:val="ListParagraph"/>
        <w:numPr>
          <w:ilvl w:val="0"/>
          <w:numId w:val="20"/>
        </w:numPr>
        <w:autoSpaceDE w:val="0"/>
        <w:autoSpaceDN w:val="0"/>
        <w:adjustRightInd w:val="0"/>
        <w:spacing w:before="120" w:after="120"/>
        <w:jc w:val="both"/>
        <w:rPr>
          <w:sz w:val="24"/>
          <w:szCs w:val="24"/>
        </w:rPr>
      </w:pPr>
      <w:r>
        <w:rPr>
          <w:sz w:val="24"/>
          <w:szCs w:val="24"/>
        </w:rPr>
        <w:t xml:space="preserve">на </w:t>
      </w:r>
      <w:r w:rsidRPr="000F05BE">
        <w:rPr>
          <w:sz w:val="24"/>
          <w:szCs w:val="24"/>
        </w:rPr>
        <w:t xml:space="preserve">транспортни средства – локомотиви, пътнически и товарни вагони към 31.12.2006 г. </w:t>
      </w:r>
    </w:p>
    <w:p w:rsidR="007A2FA1" w:rsidRPr="000F05BE" w:rsidRDefault="007A2FA1" w:rsidP="007A2FA1">
      <w:pPr>
        <w:pStyle w:val="ListParagraph"/>
        <w:numPr>
          <w:ilvl w:val="0"/>
          <w:numId w:val="20"/>
        </w:numPr>
        <w:autoSpaceDE w:val="0"/>
        <w:autoSpaceDN w:val="0"/>
        <w:adjustRightInd w:val="0"/>
        <w:spacing w:before="120" w:after="120"/>
        <w:jc w:val="both"/>
        <w:rPr>
          <w:sz w:val="24"/>
          <w:szCs w:val="24"/>
        </w:rPr>
      </w:pPr>
      <w:r w:rsidRPr="000F05BE">
        <w:rPr>
          <w:sz w:val="24"/>
          <w:szCs w:val="24"/>
        </w:rPr>
        <w:t xml:space="preserve">на земите – към 31.12.2009 г. </w:t>
      </w:r>
    </w:p>
    <w:p w:rsidR="007A2FA1" w:rsidRPr="009676C3" w:rsidRDefault="007A2FA1" w:rsidP="007A2FA1">
      <w:pPr>
        <w:autoSpaceDE w:val="0"/>
        <w:autoSpaceDN w:val="0"/>
        <w:adjustRightInd w:val="0"/>
        <w:spacing w:before="120" w:after="120"/>
        <w:jc w:val="both"/>
        <w:rPr>
          <w:sz w:val="24"/>
          <w:szCs w:val="24"/>
        </w:rPr>
      </w:pPr>
      <w:r w:rsidRPr="009676C3">
        <w:rPr>
          <w:sz w:val="24"/>
          <w:szCs w:val="24"/>
        </w:rPr>
        <w:t>Останалите активи от имоти, машини и съоръжения се оценяват по цена на придобиване, намалена с натрупаната амортизация и загуби от обезценка. Загубите от обезценка се отчитат като разход в печалбата или загубата за съответния период.</w:t>
      </w:r>
    </w:p>
    <w:p w:rsidR="007A2FA1" w:rsidRPr="009676C3" w:rsidRDefault="007A2FA1" w:rsidP="007A2FA1">
      <w:pPr>
        <w:autoSpaceDE w:val="0"/>
        <w:autoSpaceDN w:val="0"/>
        <w:adjustRightInd w:val="0"/>
        <w:spacing w:before="120" w:after="120"/>
        <w:jc w:val="both"/>
        <w:rPr>
          <w:sz w:val="24"/>
          <w:szCs w:val="24"/>
        </w:rPr>
      </w:pPr>
      <w:r w:rsidRPr="009676C3">
        <w:rPr>
          <w:sz w:val="24"/>
          <w:szCs w:val="24"/>
        </w:rPr>
        <w:t>Последващите разходи за ремонт и модернизация на имоти, машини и съоръжения, при условие, че удължават срока на тяхното използване или подобряват икономическите ползи над първоначално оценената ефективност, се добавят към стойността на актива.</w:t>
      </w:r>
    </w:p>
    <w:p w:rsidR="007A2FA1" w:rsidRPr="009676C3" w:rsidRDefault="007A2FA1" w:rsidP="007A2FA1">
      <w:pPr>
        <w:autoSpaceDE w:val="0"/>
        <w:autoSpaceDN w:val="0"/>
        <w:adjustRightInd w:val="0"/>
        <w:spacing w:before="120" w:after="120"/>
        <w:jc w:val="both"/>
        <w:rPr>
          <w:sz w:val="24"/>
          <w:szCs w:val="24"/>
        </w:rPr>
      </w:pPr>
      <w:r w:rsidRPr="009676C3">
        <w:rPr>
          <w:sz w:val="24"/>
          <w:szCs w:val="24"/>
        </w:rPr>
        <w:t xml:space="preserve">Всички други последващи разходи, които възстановяват качествата на активите се признават за разход за периода, в който са направени. </w:t>
      </w:r>
    </w:p>
    <w:p w:rsidR="007A2FA1" w:rsidRPr="009676C3" w:rsidRDefault="007A2FA1" w:rsidP="007A2FA1">
      <w:pPr>
        <w:autoSpaceDE w:val="0"/>
        <w:autoSpaceDN w:val="0"/>
        <w:adjustRightInd w:val="0"/>
        <w:spacing w:before="120" w:after="120"/>
        <w:jc w:val="both"/>
        <w:rPr>
          <w:sz w:val="24"/>
          <w:szCs w:val="24"/>
        </w:rPr>
      </w:pPr>
      <w:r w:rsidRPr="009676C3">
        <w:rPr>
          <w:sz w:val="24"/>
          <w:szCs w:val="24"/>
        </w:rPr>
        <w:t xml:space="preserve">Остатъчната стойност и полезният живот на имоти, машини и съоръжения се преценяват от специалистите от съответните дейности и се одобряват от ръководството на Дружеството. </w:t>
      </w:r>
    </w:p>
    <w:p w:rsidR="007A2FA1" w:rsidRPr="009676C3" w:rsidRDefault="007A2FA1" w:rsidP="007A2FA1">
      <w:pPr>
        <w:autoSpaceDE w:val="0"/>
        <w:autoSpaceDN w:val="0"/>
        <w:adjustRightInd w:val="0"/>
        <w:spacing w:before="120" w:after="120"/>
        <w:jc w:val="both"/>
        <w:rPr>
          <w:sz w:val="24"/>
          <w:szCs w:val="24"/>
        </w:rPr>
      </w:pPr>
      <w:r w:rsidRPr="009676C3">
        <w:rPr>
          <w:sz w:val="24"/>
          <w:szCs w:val="24"/>
        </w:rPr>
        <w:t xml:space="preserve">Имоти, машини и съоръжения, придобити при условията на финансов лизинг, се амортизират на база на очаквания полезен срок на годност, определен посредством сравнение с подобни собствени активи на Дружеството, или на база на лизинговия договор, ако неговият срок е по-кратък. </w:t>
      </w:r>
    </w:p>
    <w:p w:rsidR="007A2FA1" w:rsidRPr="000B6A69" w:rsidRDefault="007A2FA1" w:rsidP="007A2FA1">
      <w:pPr>
        <w:autoSpaceDE w:val="0"/>
        <w:autoSpaceDN w:val="0"/>
        <w:adjustRightInd w:val="0"/>
        <w:spacing w:before="120" w:after="120"/>
        <w:jc w:val="both"/>
        <w:rPr>
          <w:sz w:val="24"/>
          <w:szCs w:val="24"/>
        </w:rPr>
      </w:pPr>
      <w:r w:rsidRPr="009676C3">
        <w:rPr>
          <w:sz w:val="24"/>
          <w:szCs w:val="24"/>
        </w:rPr>
        <w:t>Амортизацията на имоти, машини и съоръжения</w:t>
      </w:r>
      <w:r>
        <w:rPr>
          <w:sz w:val="24"/>
          <w:szCs w:val="24"/>
        </w:rPr>
        <w:t xml:space="preserve">, с изключение на товарни вагони </w:t>
      </w:r>
      <w:r w:rsidRPr="009676C3">
        <w:rPr>
          <w:sz w:val="24"/>
          <w:szCs w:val="24"/>
        </w:rPr>
        <w:t>се изчислява, като се използва линейният метод върху оценения полезен живот на отделните групи активи, както следва:</w:t>
      </w:r>
    </w:p>
    <w:p w:rsidR="007A2FA1" w:rsidRPr="000F19A3" w:rsidRDefault="007A2FA1" w:rsidP="007A2FA1">
      <w:pPr>
        <w:pStyle w:val="BodyText"/>
        <w:numPr>
          <w:ilvl w:val="0"/>
          <w:numId w:val="12"/>
        </w:numPr>
        <w:tabs>
          <w:tab w:val="clear" w:pos="720"/>
          <w:tab w:val="num" w:pos="450"/>
        </w:tabs>
        <w:autoSpaceDE w:val="0"/>
        <w:autoSpaceDN w:val="0"/>
        <w:adjustRightInd w:val="0"/>
        <w:spacing w:after="0" w:line="240" w:lineRule="auto"/>
        <w:ind w:left="450" w:hanging="450"/>
        <w:rPr>
          <w:sz w:val="24"/>
          <w:szCs w:val="24"/>
        </w:rPr>
      </w:pPr>
      <w:r w:rsidRPr="000F19A3">
        <w:rPr>
          <w:sz w:val="24"/>
          <w:szCs w:val="24"/>
        </w:rPr>
        <w:t>Сгради</w:t>
      </w:r>
      <w:r w:rsidRPr="000F19A3">
        <w:rPr>
          <w:sz w:val="24"/>
          <w:szCs w:val="24"/>
        </w:rPr>
        <w:tab/>
      </w:r>
      <w:r w:rsidRPr="000F19A3">
        <w:rPr>
          <w:sz w:val="24"/>
          <w:szCs w:val="24"/>
        </w:rPr>
        <w:tab/>
      </w:r>
      <w:r w:rsidRPr="000F19A3">
        <w:rPr>
          <w:sz w:val="24"/>
          <w:szCs w:val="24"/>
        </w:rPr>
        <w:tab/>
        <w:t xml:space="preserve">              </w:t>
      </w:r>
      <w:r w:rsidRPr="000F19A3">
        <w:rPr>
          <w:sz w:val="24"/>
          <w:szCs w:val="24"/>
        </w:rPr>
        <w:tab/>
        <w:t xml:space="preserve">   25 години</w:t>
      </w:r>
    </w:p>
    <w:p w:rsidR="007A2FA1" w:rsidRPr="000F19A3" w:rsidRDefault="007A2FA1" w:rsidP="007A2FA1">
      <w:pPr>
        <w:pStyle w:val="BodyText"/>
        <w:numPr>
          <w:ilvl w:val="0"/>
          <w:numId w:val="12"/>
        </w:numPr>
        <w:tabs>
          <w:tab w:val="clear" w:pos="720"/>
          <w:tab w:val="num" w:pos="450"/>
        </w:tabs>
        <w:autoSpaceDE w:val="0"/>
        <w:autoSpaceDN w:val="0"/>
        <w:adjustRightInd w:val="0"/>
        <w:spacing w:after="0" w:line="240" w:lineRule="auto"/>
        <w:ind w:left="450" w:hanging="450"/>
        <w:rPr>
          <w:sz w:val="24"/>
          <w:szCs w:val="24"/>
        </w:rPr>
      </w:pPr>
      <w:r w:rsidRPr="000F19A3">
        <w:rPr>
          <w:sz w:val="24"/>
          <w:szCs w:val="24"/>
        </w:rPr>
        <w:t>Машини</w:t>
      </w:r>
      <w:r w:rsidRPr="000F19A3">
        <w:rPr>
          <w:sz w:val="24"/>
          <w:szCs w:val="24"/>
        </w:rPr>
        <w:tab/>
      </w:r>
      <w:r w:rsidRPr="000F19A3">
        <w:rPr>
          <w:sz w:val="24"/>
          <w:szCs w:val="24"/>
        </w:rPr>
        <w:tab/>
      </w:r>
      <w:r w:rsidRPr="000F19A3">
        <w:rPr>
          <w:sz w:val="24"/>
          <w:szCs w:val="24"/>
        </w:rPr>
        <w:tab/>
        <w:t xml:space="preserve">              </w:t>
      </w:r>
      <w:r w:rsidRPr="000F19A3">
        <w:rPr>
          <w:sz w:val="24"/>
          <w:szCs w:val="24"/>
        </w:rPr>
        <w:tab/>
        <w:t xml:space="preserve">   10 години</w:t>
      </w:r>
    </w:p>
    <w:p w:rsidR="007A2FA1" w:rsidRPr="000F19A3" w:rsidRDefault="007A2FA1" w:rsidP="007A2FA1">
      <w:pPr>
        <w:pStyle w:val="BodyText"/>
        <w:numPr>
          <w:ilvl w:val="0"/>
          <w:numId w:val="12"/>
        </w:numPr>
        <w:tabs>
          <w:tab w:val="clear" w:pos="720"/>
          <w:tab w:val="num" w:pos="450"/>
        </w:tabs>
        <w:autoSpaceDE w:val="0"/>
        <w:autoSpaceDN w:val="0"/>
        <w:adjustRightInd w:val="0"/>
        <w:spacing w:after="0" w:line="240" w:lineRule="auto"/>
        <w:ind w:left="450" w:hanging="450"/>
        <w:rPr>
          <w:sz w:val="24"/>
          <w:szCs w:val="24"/>
        </w:rPr>
      </w:pPr>
      <w:r w:rsidRPr="000F19A3">
        <w:rPr>
          <w:sz w:val="24"/>
          <w:szCs w:val="24"/>
        </w:rPr>
        <w:t>Транспортни средства</w:t>
      </w:r>
      <w:r w:rsidRPr="000F19A3">
        <w:rPr>
          <w:sz w:val="24"/>
          <w:szCs w:val="24"/>
        </w:rPr>
        <w:tab/>
      </w:r>
    </w:p>
    <w:p w:rsidR="007A2FA1" w:rsidRPr="000F19A3" w:rsidRDefault="007A2FA1" w:rsidP="007A2FA1">
      <w:pPr>
        <w:pStyle w:val="BodyText"/>
        <w:autoSpaceDE w:val="0"/>
        <w:autoSpaceDN w:val="0"/>
        <w:adjustRightInd w:val="0"/>
        <w:spacing w:after="0" w:line="240" w:lineRule="auto"/>
        <w:ind w:firstLine="450"/>
        <w:rPr>
          <w:sz w:val="24"/>
          <w:szCs w:val="24"/>
        </w:rPr>
      </w:pPr>
      <w:r w:rsidRPr="000F19A3">
        <w:rPr>
          <w:sz w:val="24"/>
          <w:szCs w:val="24"/>
        </w:rPr>
        <w:t xml:space="preserve">ДМВ и ЕМВ Дезиро класик      </w:t>
      </w:r>
      <w:r w:rsidRPr="000F19A3">
        <w:rPr>
          <w:sz w:val="24"/>
          <w:szCs w:val="24"/>
        </w:rPr>
        <w:tab/>
      </w:r>
      <w:r>
        <w:rPr>
          <w:sz w:val="24"/>
          <w:szCs w:val="24"/>
        </w:rPr>
        <w:t xml:space="preserve">               13</w:t>
      </w:r>
      <w:r w:rsidRPr="000F19A3">
        <w:rPr>
          <w:sz w:val="24"/>
          <w:szCs w:val="24"/>
        </w:rPr>
        <w:t xml:space="preserve"> години</w:t>
      </w:r>
    </w:p>
    <w:p w:rsidR="007A2FA1" w:rsidRPr="000F19A3" w:rsidRDefault="007A2FA1" w:rsidP="007A2FA1">
      <w:pPr>
        <w:pStyle w:val="BodyText"/>
        <w:autoSpaceDE w:val="0"/>
        <w:autoSpaceDN w:val="0"/>
        <w:adjustRightInd w:val="0"/>
        <w:spacing w:after="0" w:line="240" w:lineRule="auto"/>
        <w:ind w:firstLine="450"/>
        <w:rPr>
          <w:sz w:val="24"/>
          <w:szCs w:val="24"/>
        </w:rPr>
      </w:pPr>
      <w:r w:rsidRPr="000F19A3">
        <w:rPr>
          <w:sz w:val="24"/>
          <w:szCs w:val="24"/>
        </w:rPr>
        <w:t xml:space="preserve">Модернизирани локомотиви  </w:t>
      </w:r>
      <w:r w:rsidRPr="000F19A3">
        <w:rPr>
          <w:sz w:val="24"/>
          <w:szCs w:val="24"/>
        </w:rPr>
        <w:tab/>
      </w:r>
      <w:r>
        <w:rPr>
          <w:sz w:val="24"/>
          <w:szCs w:val="24"/>
        </w:rPr>
        <w:t xml:space="preserve">               13</w:t>
      </w:r>
      <w:r w:rsidRPr="000F19A3">
        <w:rPr>
          <w:sz w:val="24"/>
          <w:szCs w:val="24"/>
        </w:rPr>
        <w:t xml:space="preserve"> години</w:t>
      </w:r>
    </w:p>
    <w:p w:rsidR="007A2FA1" w:rsidRPr="000F19A3" w:rsidRDefault="007A2FA1" w:rsidP="007A2FA1">
      <w:pPr>
        <w:pStyle w:val="BodyText"/>
        <w:autoSpaceDE w:val="0"/>
        <w:autoSpaceDN w:val="0"/>
        <w:adjustRightInd w:val="0"/>
        <w:spacing w:after="0" w:line="240" w:lineRule="auto"/>
        <w:ind w:firstLine="450"/>
        <w:rPr>
          <w:sz w:val="24"/>
          <w:szCs w:val="24"/>
        </w:rPr>
      </w:pPr>
      <w:r w:rsidRPr="000F19A3">
        <w:rPr>
          <w:sz w:val="24"/>
          <w:szCs w:val="24"/>
        </w:rPr>
        <w:t>Други локомотиви</w:t>
      </w:r>
      <w:r w:rsidRPr="000F19A3">
        <w:rPr>
          <w:sz w:val="24"/>
          <w:szCs w:val="24"/>
        </w:rPr>
        <w:tab/>
        <w:t xml:space="preserve">              </w:t>
      </w:r>
      <w:r w:rsidRPr="000F19A3">
        <w:rPr>
          <w:sz w:val="24"/>
          <w:szCs w:val="24"/>
        </w:rPr>
        <w:tab/>
        <w:t xml:space="preserve">   </w:t>
      </w:r>
      <w:r>
        <w:rPr>
          <w:sz w:val="24"/>
          <w:szCs w:val="24"/>
        </w:rPr>
        <w:t>13</w:t>
      </w:r>
      <w:r w:rsidRPr="000F19A3">
        <w:rPr>
          <w:sz w:val="24"/>
          <w:szCs w:val="24"/>
        </w:rPr>
        <w:t xml:space="preserve"> години</w:t>
      </w:r>
    </w:p>
    <w:p w:rsidR="007A2FA1" w:rsidRPr="000F19A3" w:rsidRDefault="007A2FA1" w:rsidP="007A2FA1">
      <w:pPr>
        <w:pStyle w:val="BodyText"/>
        <w:autoSpaceDE w:val="0"/>
        <w:autoSpaceDN w:val="0"/>
        <w:adjustRightInd w:val="0"/>
        <w:spacing w:after="0" w:line="240" w:lineRule="auto"/>
        <w:ind w:firstLine="450"/>
        <w:rPr>
          <w:sz w:val="24"/>
          <w:szCs w:val="24"/>
        </w:rPr>
      </w:pPr>
      <w:r w:rsidRPr="000F19A3">
        <w:rPr>
          <w:sz w:val="24"/>
          <w:szCs w:val="24"/>
        </w:rPr>
        <w:t xml:space="preserve">Вагони пътнически </w:t>
      </w:r>
      <w:r w:rsidRPr="000F19A3">
        <w:rPr>
          <w:sz w:val="24"/>
          <w:szCs w:val="24"/>
        </w:rPr>
        <w:tab/>
        <w:t xml:space="preserve">              </w:t>
      </w:r>
      <w:r w:rsidRPr="000F19A3">
        <w:rPr>
          <w:sz w:val="24"/>
          <w:szCs w:val="24"/>
        </w:rPr>
        <w:tab/>
        <w:t xml:space="preserve">   10 години</w:t>
      </w:r>
    </w:p>
    <w:p w:rsidR="007A2FA1" w:rsidRPr="000F19A3" w:rsidRDefault="007A2FA1" w:rsidP="007A2FA1">
      <w:pPr>
        <w:pStyle w:val="BodyText"/>
        <w:numPr>
          <w:ilvl w:val="0"/>
          <w:numId w:val="12"/>
        </w:numPr>
        <w:tabs>
          <w:tab w:val="clear" w:pos="720"/>
          <w:tab w:val="num" w:pos="450"/>
        </w:tabs>
        <w:autoSpaceDE w:val="0"/>
        <w:autoSpaceDN w:val="0"/>
        <w:adjustRightInd w:val="0"/>
        <w:spacing w:after="0" w:line="240" w:lineRule="auto"/>
        <w:ind w:left="450" w:hanging="450"/>
        <w:rPr>
          <w:sz w:val="24"/>
          <w:szCs w:val="24"/>
        </w:rPr>
      </w:pPr>
      <w:r w:rsidRPr="000F19A3">
        <w:rPr>
          <w:sz w:val="24"/>
          <w:szCs w:val="24"/>
        </w:rPr>
        <w:t xml:space="preserve">Стопански инвентар </w:t>
      </w:r>
      <w:r w:rsidRPr="000F19A3">
        <w:rPr>
          <w:sz w:val="24"/>
          <w:szCs w:val="24"/>
        </w:rPr>
        <w:tab/>
        <w:t xml:space="preserve">              </w:t>
      </w:r>
      <w:r w:rsidRPr="000F19A3">
        <w:rPr>
          <w:sz w:val="24"/>
          <w:szCs w:val="24"/>
        </w:rPr>
        <w:tab/>
      </w:r>
      <w:r>
        <w:rPr>
          <w:sz w:val="24"/>
          <w:szCs w:val="24"/>
        </w:rPr>
        <w:t xml:space="preserve">     7</w:t>
      </w:r>
      <w:r w:rsidRPr="000F19A3">
        <w:rPr>
          <w:sz w:val="24"/>
          <w:szCs w:val="24"/>
        </w:rPr>
        <w:t xml:space="preserve"> години</w:t>
      </w:r>
    </w:p>
    <w:p w:rsidR="007A2FA1" w:rsidRPr="000F19A3" w:rsidRDefault="007A2FA1" w:rsidP="007A2FA1">
      <w:pPr>
        <w:pStyle w:val="BodyText"/>
        <w:numPr>
          <w:ilvl w:val="0"/>
          <w:numId w:val="12"/>
        </w:numPr>
        <w:tabs>
          <w:tab w:val="clear" w:pos="720"/>
          <w:tab w:val="num" w:pos="450"/>
        </w:tabs>
        <w:autoSpaceDE w:val="0"/>
        <w:autoSpaceDN w:val="0"/>
        <w:adjustRightInd w:val="0"/>
        <w:spacing w:after="0" w:line="240" w:lineRule="auto"/>
        <w:ind w:left="450" w:hanging="450"/>
        <w:rPr>
          <w:sz w:val="24"/>
          <w:szCs w:val="24"/>
        </w:rPr>
      </w:pPr>
      <w:r w:rsidRPr="000F19A3">
        <w:rPr>
          <w:sz w:val="24"/>
          <w:szCs w:val="24"/>
        </w:rPr>
        <w:t>Компютри</w:t>
      </w:r>
      <w:r w:rsidRPr="000F19A3">
        <w:rPr>
          <w:sz w:val="24"/>
          <w:szCs w:val="24"/>
        </w:rPr>
        <w:tab/>
      </w:r>
      <w:r w:rsidRPr="000F19A3">
        <w:rPr>
          <w:sz w:val="24"/>
          <w:szCs w:val="24"/>
        </w:rPr>
        <w:tab/>
        <w:t xml:space="preserve">              </w:t>
      </w:r>
      <w:r w:rsidRPr="000F19A3">
        <w:rPr>
          <w:sz w:val="24"/>
          <w:szCs w:val="24"/>
        </w:rPr>
        <w:tab/>
        <w:t xml:space="preserve">     2 години</w:t>
      </w:r>
    </w:p>
    <w:p w:rsidR="007A2FA1" w:rsidRDefault="007A2FA1" w:rsidP="007A2FA1">
      <w:pPr>
        <w:pStyle w:val="BodyText"/>
        <w:numPr>
          <w:ilvl w:val="0"/>
          <w:numId w:val="12"/>
        </w:numPr>
        <w:tabs>
          <w:tab w:val="clear" w:pos="720"/>
          <w:tab w:val="num" w:pos="450"/>
        </w:tabs>
        <w:autoSpaceDE w:val="0"/>
        <w:autoSpaceDN w:val="0"/>
        <w:adjustRightInd w:val="0"/>
        <w:spacing w:after="0" w:line="240" w:lineRule="auto"/>
        <w:ind w:left="450" w:hanging="450"/>
        <w:rPr>
          <w:sz w:val="24"/>
          <w:szCs w:val="24"/>
        </w:rPr>
      </w:pPr>
      <w:r w:rsidRPr="000F19A3">
        <w:rPr>
          <w:sz w:val="24"/>
          <w:szCs w:val="24"/>
        </w:rPr>
        <w:t>Други</w:t>
      </w:r>
      <w:r w:rsidRPr="000F19A3">
        <w:rPr>
          <w:sz w:val="24"/>
          <w:szCs w:val="24"/>
        </w:rPr>
        <w:tab/>
      </w:r>
      <w:r w:rsidRPr="000F19A3">
        <w:rPr>
          <w:sz w:val="24"/>
          <w:szCs w:val="24"/>
        </w:rPr>
        <w:tab/>
      </w:r>
      <w:r w:rsidRPr="000F19A3">
        <w:rPr>
          <w:sz w:val="24"/>
          <w:szCs w:val="24"/>
        </w:rPr>
        <w:tab/>
        <w:t xml:space="preserve">              </w:t>
      </w:r>
      <w:r w:rsidRPr="000F19A3">
        <w:rPr>
          <w:sz w:val="24"/>
          <w:szCs w:val="24"/>
        </w:rPr>
        <w:tab/>
      </w:r>
      <w:r>
        <w:rPr>
          <w:sz w:val="24"/>
          <w:szCs w:val="24"/>
        </w:rPr>
        <w:t xml:space="preserve">     7</w:t>
      </w:r>
      <w:r w:rsidRPr="000F19A3">
        <w:rPr>
          <w:sz w:val="24"/>
          <w:szCs w:val="24"/>
        </w:rPr>
        <w:t xml:space="preserve"> години</w:t>
      </w:r>
    </w:p>
    <w:p w:rsidR="007A2FA1" w:rsidRDefault="007A2FA1" w:rsidP="007A2FA1">
      <w:pPr>
        <w:autoSpaceDE w:val="0"/>
        <w:autoSpaceDN w:val="0"/>
        <w:adjustRightInd w:val="0"/>
        <w:spacing w:before="120" w:after="120"/>
        <w:jc w:val="both"/>
        <w:rPr>
          <w:sz w:val="24"/>
          <w:szCs w:val="24"/>
        </w:rPr>
      </w:pPr>
      <w:r>
        <w:rPr>
          <w:sz w:val="24"/>
          <w:szCs w:val="24"/>
        </w:rPr>
        <w:t>Считано от 01.01.2016 г.амортизацията на класа активи Товарни вагони, се и</w:t>
      </w:r>
      <w:r w:rsidR="00CA4C17">
        <w:rPr>
          <w:sz w:val="24"/>
          <w:szCs w:val="24"/>
        </w:rPr>
        <w:t>зчислява като се използва методът</w:t>
      </w:r>
      <w:r>
        <w:rPr>
          <w:sz w:val="24"/>
          <w:szCs w:val="24"/>
        </w:rPr>
        <w:t xml:space="preserve"> според произведеното количество услуги, при използване на обемен показател за извършена работа - </w:t>
      </w:r>
      <w:r w:rsidRPr="00664051">
        <w:rPr>
          <w:sz w:val="24"/>
          <w:szCs w:val="24"/>
        </w:rPr>
        <w:t>отчетени</w:t>
      </w:r>
      <w:r>
        <w:rPr>
          <w:sz w:val="24"/>
          <w:szCs w:val="24"/>
        </w:rPr>
        <w:t xml:space="preserve"> брутотон километри</w:t>
      </w:r>
      <w:r w:rsidRPr="00664051">
        <w:rPr>
          <w:sz w:val="24"/>
          <w:szCs w:val="24"/>
        </w:rPr>
        <w:t>.</w:t>
      </w:r>
      <w:r>
        <w:rPr>
          <w:sz w:val="24"/>
          <w:szCs w:val="24"/>
        </w:rPr>
        <w:t xml:space="preserve"> </w:t>
      </w:r>
      <w:r w:rsidR="00CA4C17">
        <w:rPr>
          <w:sz w:val="24"/>
          <w:szCs w:val="24"/>
        </w:rPr>
        <w:t xml:space="preserve">За тези активи които не са </w:t>
      </w:r>
      <w:r w:rsidR="00CA4C17">
        <w:rPr>
          <w:sz w:val="24"/>
          <w:szCs w:val="24"/>
        </w:rPr>
        <w:lastRenderedPageBreak/>
        <w:t>били в експлоатация през отчетния период се начислява процент овехтяване</w:t>
      </w:r>
      <w:r>
        <w:rPr>
          <w:sz w:val="24"/>
          <w:szCs w:val="24"/>
        </w:rPr>
        <w:t xml:space="preserve"> </w:t>
      </w:r>
      <w:r w:rsidR="00CA4C17">
        <w:rPr>
          <w:sz w:val="24"/>
          <w:szCs w:val="24"/>
        </w:rPr>
        <w:t>в размер на 4% на годишна база.</w:t>
      </w:r>
    </w:p>
    <w:p w:rsidR="007A2FA1" w:rsidRPr="009676C3" w:rsidRDefault="007A2FA1" w:rsidP="007A2FA1">
      <w:pPr>
        <w:autoSpaceDE w:val="0"/>
        <w:autoSpaceDN w:val="0"/>
        <w:adjustRightInd w:val="0"/>
        <w:spacing w:before="120" w:after="120"/>
        <w:jc w:val="both"/>
        <w:rPr>
          <w:sz w:val="24"/>
          <w:szCs w:val="24"/>
        </w:rPr>
      </w:pPr>
      <w:r w:rsidRPr="009676C3">
        <w:rPr>
          <w:sz w:val="24"/>
          <w:szCs w:val="24"/>
        </w:rPr>
        <w:t xml:space="preserve">Печалбата или загубата от продажбата на имоти, машини и съоръжения се определя като разлика между постъпленията от продажбата и балансовата стойност на актива и се признава в </w:t>
      </w:r>
      <w:r w:rsidRPr="004154A1">
        <w:rPr>
          <w:sz w:val="24"/>
          <w:szCs w:val="24"/>
        </w:rPr>
        <w:t>отчета за печалбата или загубата и другия всеобхватен доход</w:t>
      </w:r>
      <w:r w:rsidRPr="009676C3">
        <w:rPr>
          <w:sz w:val="24"/>
          <w:szCs w:val="24"/>
        </w:rPr>
        <w:t xml:space="preserve"> на ред „Печалба</w:t>
      </w:r>
      <w:r>
        <w:rPr>
          <w:sz w:val="24"/>
          <w:szCs w:val="24"/>
        </w:rPr>
        <w:t xml:space="preserve"> </w:t>
      </w:r>
      <w:r w:rsidRPr="009676C3">
        <w:rPr>
          <w:sz w:val="24"/>
          <w:szCs w:val="24"/>
        </w:rPr>
        <w:t>от продажба на нетекущи активи”.</w:t>
      </w:r>
    </w:p>
    <w:p w:rsidR="007A2FA1" w:rsidRPr="000F19A3" w:rsidRDefault="007A2FA1" w:rsidP="007A2FA1">
      <w:pPr>
        <w:autoSpaceDE w:val="0"/>
        <w:autoSpaceDN w:val="0"/>
        <w:adjustRightInd w:val="0"/>
        <w:spacing w:before="120" w:after="120"/>
        <w:jc w:val="both"/>
        <w:rPr>
          <w:sz w:val="24"/>
          <w:szCs w:val="24"/>
        </w:rPr>
      </w:pPr>
      <w:r w:rsidRPr="009676C3">
        <w:rPr>
          <w:sz w:val="24"/>
          <w:szCs w:val="24"/>
        </w:rPr>
        <w:t xml:space="preserve">Избраният праг на същественост </w:t>
      </w:r>
      <w:r>
        <w:rPr>
          <w:sz w:val="24"/>
          <w:szCs w:val="24"/>
        </w:rPr>
        <w:t>за признаване на активи от Групата И</w:t>
      </w:r>
      <w:r w:rsidRPr="009676C3">
        <w:rPr>
          <w:sz w:val="24"/>
          <w:szCs w:val="24"/>
        </w:rPr>
        <w:t xml:space="preserve">моти, машини и съоръжения на Дружеството е в размер на 700 лв. </w:t>
      </w:r>
      <w:r w:rsidRPr="000F19A3">
        <w:rPr>
          <w:sz w:val="24"/>
          <w:szCs w:val="24"/>
        </w:rPr>
        <w:t xml:space="preserve"> </w:t>
      </w:r>
    </w:p>
    <w:p w:rsidR="007A2FA1" w:rsidRDefault="007A2FA1" w:rsidP="007A2FA1">
      <w:pPr>
        <w:pStyle w:val="Heading1"/>
        <w:numPr>
          <w:ilvl w:val="1"/>
          <w:numId w:val="10"/>
        </w:numPr>
        <w:spacing w:before="240" w:line="240" w:lineRule="auto"/>
        <w:ind w:left="0" w:firstLine="0"/>
        <w:jc w:val="both"/>
      </w:pPr>
      <w:r w:rsidRPr="007E7E6A">
        <w:t>Отчитане на лизинговите договори</w:t>
      </w:r>
    </w:p>
    <w:p w:rsidR="007A2FA1" w:rsidRPr="006A7642" w:rsidRDefault="007A2FA1" w:rsidP="007A2FA1">
      <w:pPr>
        <w:autoSpaceDE w:val="0"/>
        <w:autoSpaceDN w:val="0"/>
        <w:adjustRightInd w:val="0"/>
        <w:spacing w:before="120" w:after="120"/>
        <w:jc w:val="both"/>
        <w:rPr>
          <w:sz w:val="24"/>
          <w:szCs w:val="24"/>
        </w:rPr>
      </w:pPr>
      <w:r w:rsidRPr="006A7642">
        <w:rPr>
          <w:sz w:val="24"/>
          <w:szCs w:val="24"/>
        </w:rPr>
        <w:t>При лизингополучателя</w:t>
      </w:r>
    </w:p>
    <w:p w:rsidR="007A2FA1" w:rsidRPr="007E7E6A" w:rsidRDefault="007A2FA1" w:rsidP="007A2FA1">
      <w:pPr>
        <w:spacing w:before="120" w:after="120"/>
        <w:jc w:val="both"/>
        <w:rPr>
          <w:sz w:val="24"/>
          <w:szCs w:val="24"/>
        </w:rPr>
      </w:pPr>
      <w:r w:rsidRPr="007E7E6A">
        <w:rPr>
          <w:sz w:val="24"/>
          <w:szCs w:val="24"/>
        </w:rPr>
        <w:t xml:space="preserve">В съответствие с изискванията на МСС 17 „Лизинг” правата за разпореждане с актива се прехвърлят от лизингодателя върху лизингополучателя в случаите, в които лизингополучателят понася съществените рискове и изгоди, произтичащи от собствеността върху наетия актив. </w:t>
      </w:r>
    </w:p>
    <w:p w:rsidR="007A2FA1" w:rsidRPr="007E7E6A" w:rsidRDefault="007A2FA1" w:rsidP="007A2FA1">
      <w:pPr>
        <w:spacing w:before="120" w:after="120"/>
        <w:jc w:val="both"/>
        <w:rPr>
          <w:sz w:val="24"/>
          <w:szCs w:val="24"/>
        </w:rPr>
      </w:pPr>
      <w:r w:rsidRPr="007E7E6A">
        <w:rPr>
          <w:sz w:val="24"/>
          <w:szCs w:val="24"/>
        </w:rPr>
        <w:t>При сключване на договор за финансов лизинг активът се признава в отчета за финансовото състояние на лизингополучателя по по-ниската от двете стойности – справедливата стойност на наетия актив и настоящата стойност на минималните лизингови плащания плюс непредвидени плащания, ако има такива. В отчета за финансовото състояние  се отразява и съответното задължение по финансов лизинг, независимо от това дали част от лизинговите плащания се дължат авансово при сключване на договора за финансов лизинг.</w:t>
      </w:r>
    </w:p>
    <w:p w:rsidR="007A2FA1" w:rsidRPr="007E7E6A" w:rsidRDefault="007A2FA1" w:rsidP="007A2FA1">
      <w:pPr>
        <w:spacing w:before="120" w:after="120"/>
        <w:jc w:val="both"/>
        <w:rPr>
          <w:sz w:val="24"/>
          <w:szCs w:val="24"/>
        </w:rPr>
      </w:pPr>
      <w:r w:rsidRPr="007E7E6A">
        <w:rPr>
          <w:sz w:val="24"/>
          <w:szCs w:val="24"/>
        </w:rPr>
        <w:t xml:space="preserve">Впоследствие лизинговите плащания се разпределят между финансов разход и намаление на неплатеното задължение по финансов лизинг. </w:t>
      </w:r>
    </w:p>
    <w:p w:rsidR="007A2FA1" w:rsidRPr="007E7E6A" w:rsidRDefault="007A2FA1" w:rsidP="007A2FA1">
      <w:pPr>
        <w:spacing w:before="120" w:after="120"/>
        <w:jc w:val="both"/>
        <w:rPr>
          <w:sz w:val="24"/>
          <w:szCs w:val="24"/>
        </w:rPr>
      </w:pPr>
      <w:r w:rsidRPr="007E7E6A">
        <w:rPr>
          <w:sz w:val="24"/>
          <w:szCs w:val="24"/>
        </w:rPr>
        <w:t xml:space="preserve">Активите, придобити при условията на финансов лизинг, се амортизират в съответствие с изискванията на МСС 16 „Имоти, машини и съоръжения” или МСС 38 „Нематериални активи”. </w:t>
      </w:r>
    </w:p>
    <w:p w:rsidR="007A2FA1" w:rsidRPr="007E7E6A" w:rsidRDefault="007A2FA1" w:rsidP="007A2FA1">
      <w:pPr>
        <w:spacing w:before="120" w:after="120"/>
        <w:jc w:val="both"/>
        <w:rPr>
          <w:sz w:val="24"/>
          <w:szCs w:val="24"/>
        </w:rPr>
      </w:pPr>
      <w:r w:rsidRPr="007E7E6A">
        <w:rPr>
          <w:sz w:val="24"/>
          <w:szCs w:val="24"/>
        </w:rPr>
        <w:t>Лихвената част от лизинговата вноска представлява постоянен процент от непогасеното задължение и се признава в печалбата или загубата за периода на лизинговия договор.</w:t>
      </w:r>
    </w:p>
    <w:p w:rsidR="007A2FA1" w:rsidRDefault="007A2FA1" w:rsidP="007A2FA1">
      <w:pPr>
        <w:spacing w:before="120" w:after="120"/>
        <w:jc w:val="both"/>
        <w:rPr>
          <w:sz w:val="24"/>
          <w:szCs w:val="24"/>
        </w:rPr>
      </w:pPr>
      <w:r w:rsidRPr="007E7E6A">
        <w:rPr>
          <w:sz w:val="24"/>
          <w:szCs w:val="24"/>
        </w:rPr>
        <w:t>Всички останали лизингови договори се считат за оперативни лизингови договори. Плащанията по оперативен лизингов договор се признават като разходи по линейния метод за срока на споразумението. Разходите, свързани с оперативния лизинг, напр. разходи за поддръжка и застраховки, се признават в печалбата или загубата в момента на възникването им.</w:t>
      </w:r>
    </w:p>
    <w:p w:rsidR="007A2FA1" w:rsidRPr="006A7642" w:rsidRDefault="007A2FA1" w:rsidP="007A2FA1">
      <w:pPr>
        <w:autoSpaceDE w:val="0"/>
        <w:autoSpaceDN w:val="0"/>
        <w:adjustRightInd w:val="0"/>
        <w:spacing w:before="120" w:after="120"/>
        <w:jc w:val="both"/>
        <w:rPr>
          <w:sz w:val="24"/>
          <w:szCs w:val="24"/>
        </w:rPr>
      </w:pPr>
      <w:r w:rsidRPr="006A7642">
        <w:rPr>
          <w:sz w:val="24"/>
          <w:szCs w:val="24"/>
        </w:rPr>
        <w:t>При лизингодателя</w:t>
      </w:r>
    </w:p>
    <w:p w:rsidR="007A2FA1" w:rsidRPr="00CC0D82" w:rsidRDefault="007A2FA1" w:rsidP="007A2FA1">
      <w:pPr>
        <w:spacing w:before="120" w:after="120"/>
        <w:jc w:val="both"/>
        <w:rPr>
          <w:sz w:val="24"/>
          <w:szCs w:val="24"/>
        </w:rPr>
      </w:pPr>
      <w:r w:rsidRPr="00CC0D82">
        <w:rPr>
          <w:sz w:val="24"/>
          <w:szCs w:val="24"/>
        </w:rPr>
        <w:t xml:space="preserve">Активите, отдадени по оперативни лизингови договори, се отразяват в отчета за финансовото състояние на Дружеството и се амортизират в съответствие с амортизационната политика, възприета по отношение на подобни активи на Дружеството, и изискванията на МСС 16 „Имоти, машини и съоръжения” или МСС 38 „Нематериални активи”. Доходът от оперативни лизингови договори се признава директно като приход в </w:t>
      </w:r>
      <w:r w:rsidRPr="004154A1">
        <w:rPr>
          <w:sz w:val="24"/>
          <w:szCs w:val="24"/>
        </w:rPr>
        <w:t>отчета за печалбата или загубата и другия всеобхватен доход</w:t>
      </w:r>
      <w:r w:rsidRPr="00CC0D82">
        <w:rPr>
          <w:sz w:val="24"/>
          <w:szCs w:val="24"/>
        </w:rPr>
        <w:t xml:space="preserve"> за съответния отчетен период. </w:t>
      </w:r>
    </w:p>
    <w:p w:rsidR="007A2FA1" w:rsidRPr="007E7E6A" w:rsidRDefault="007A2FA1" w:rsidP="007A2FA1">
      <w:pPr>
        <w:pStyle w:val="Heading1"/>
        <w:numPr>
          <w:ilvl w:val="1"/>
          <w:numId w:val="10"/>
        </w:numPr>
        <w:spacing w:before="240" w:line="240" w:lineRule="auto"/>
        <w:ind w:left="0" w:firstLine="0"/>
        <w:jc w:val="both"/>
      </w:pPr>
      <w:bookmarkStart w:id="8" w:name="_Ref248330697"/>
      <w:r w:rsidRPr="007E7E6A">
        <w:lastRenderedPageBreak/>
        <w:t>Тестове за обезценка на нематериални активи и имоти, машини и съоръжения</w:t>
      </w:r>
      <w:bookmarkEnd w:id="8"/>
    </w:p>
    <w:p w:rsidR="007A2FA1" w:rsidRPr="007E7E6A" w:rsidRDefault="007A2FA1" w:rsidP="007A2FA1">
      <w:pPr>
        <w:spacing w:before="120" w:after="120"/>
        <w:jc w:val="both"/>
        <w:rPr>
          <w:sz w:val="24"/>
          <w:szCs w:val="24"/>
        </w:rPr>
      </w:pPr>
      <w:r w:rsidRPr="007E7E6A">
        <w:rPr>
          <w:sz w:val="24"/>
          <w:szCs w:val="24"/>
        </w:rPr>
        <w:t>При изчисляване размера на обезценката</w:t>
      </w:r>
      <w:r>
        <w:rPr>
          <w:sz w:val="24"/>
          <w:szCs w:val="24"/>
        </w:rPr>
        <w:t>,</w:t>
      </w:r>
      <w:r w:rsidRPr="007E7E6A">
        <w:rPr>
          <w:sz w:val="24"/>
          <w:szCs w:val="24"/>
        </w:rPr>
        <w:t xml:space="preserve"> Дружеството дефинира най-малката разграничима група активи, за която могат да бъдат определени самостоятелни парични потоци (единица, генерираща парични потоци). В резултат на това някои от активите подлежат на тест за обезценка на индивидуална база, а други - на база на единица, генерираща парични потоци. </w:t>
      </w:r>
    </w:p>
    <w:p w:rsidR="007A2FA1" w:rsidRPr="007E7E6A" w:rsidRDefault="007A2FA1" w:rsidP="007A2FA1">
      <w:pPr>
        <w:spacing w:before="120" w:after="120"/>
        <w:jc w:val="both"/>
        <w:rPr>
          <w:sz w:val="24"/>
          <w:szCs w:val="24"/>
        </w:rPr>
      </w:pPr>
      <w:r w:rsidRPr="007E7E6A">
        <w:rPr>
          <w:sz w:val="24"/>
          <w:szCs w:val="24"/>
        </w:rPr>
        <w:t>Всички активи и единици, генериращи парични потоци, се тестват за обезценка поне веднъж годишно. Всички други отделни активи или единици, генериращи парични потоци, се тестват за обезценка, когато събития или промяна в обстоятелствата индикират, че тяхната балансова стойност не може да бъде възстановена.</w:t>
      </w:r>
    </w:p>
    <w:p w:rsidR="007A2FA1" w:rsidRPr="007E7E6A" w:rsidRDefault="007A2FA1" w:rsidP="007A2FA1">
      <w:pPr>
        <w:spacing w:before="120" w:after="120"/>
        <w:jc w:val="both"/>
        <w:rPr>
          <w:sz w:val="24"/>
          <w:szCs w:val="24"/>
        </w:rPr>
      </w:pPr>
      <w:r w:rsidRPr="007E7E6A">
        <w:rPr>
          <w:sz w:val="24"/>
          <w:szCs w:val="24"/>
        </w:rPr>
        <w:t xml:space="preserve">За загуба от обезценка се признава сумата, с която балансовата стойност на даден актив или единица, генерираща парични потоци, превишава възстановимата им стойност, която е </w:t>
      </w:r>
      <w:r w:rsidRPr="00DD0B0F">
        <w:rPr>
          <w:sz w:val="24"/>
          <w:szCs w:val="24"/>
        </w:rPr>
        <w:t>по-високата от справедливата</w:t>
      </w:r>
      <w:r w:rsidRPr="007E7E6A">
        <w:rPr>
          <w:sz w:val="24"/>
          <w:szCs w:val="24"/>
        </w:rPr>
        <w:t xml:space="preserve"> </w:t>
      </w:r>
      <w:r w:rsidRPr="00DD0B0F">
        <w:rPr>
          <w:sz w:val="24"/>
          <w:szCs w:val="24"/>
        </w:rPr>
        <w:t>стойност, намалена с разходите по продажба на даден актив,</w:t>
      </w:r>
      <w:r w:rsidRPr="007E7E6A">
        <w:rPr>
          <w:sz w:val="24"/>
          <w:szCs w:val="24"/>
        </w:rPr>
        <w:t xml:space="preserve"> </w:t>
      </w:r>
      <w:r w:rsidRPr="00DD0B0F">
        <w:rPr>
          <w:sz w:val="24"/>
          <w:szCs w:val="24"/>
        </w:rPr>
        <w:t>и неговата стойност в употреба</w:t>
      </w:r>
      <w:r w:rsidRPr="007E7E6A">
        <w:rPr>
          <w:sz w:val="24"/>
          <w:szCs w:val="24"/>
        </w:rPr>
        <w:t>. За да определи стойността в употреба, ръководството на Дружеството изчислява очакваните бъдещи парични потоци за всяка единица, генерираща парични потоци, и определя подходящия дисконтов фактор с цел калкулиране на настоящата стойност на тези парични потоци. Данните, използвани при тестването за обезценка, се базират на последния одобрен бюджет на Дружеството, коригиран при необходимост с цел елиминиране на ефекта от бъдещи реорганизации и значителни подобрения на активи. Дисконтовите фактори се определят за всяка отделна единица, генерираща парични потоци, и отразяват съответния им рисков профил, оценен от ръководството на Дружеството.</w:t>
      </w:r>
    </w:p>
    <w:p w:rsidR="007A2FA1" w:rsidRPr="007E7E6A" w:rsidRDefault="007A2FA1" w:rsidP="007A2FA1">
      <w:pPr>
        <w:spacing w:before="120" w:after="120"/>
        <w:jc w:val="both"/>
        <w:rPr>
          <w:sz w:val="24"/>
          <w:szCs w:val="24"/>
        </w:rPr>
      </w:pPr>
      <w:r w:rsidRPr="007E7E6A">
        <w:rPr>
          <w:sz w:val="24"/>
          <w:szCs w:val="24"/>
        </w:rPr>
        <w:t>Загубите от обезценка на единица, генерираща парични потоци, се посочват в намаление на балансовата сума на активите от тази единица. За всички активи на Дружеството ръководството преценява последващо дали съществуват индикации за това, че загубата от обезценка, призната в предходни години, може вече да не съществува или да е намалена. Обезценка, призната в предходен период, се възстановява, ако възстановимата стойност на единицата, генерираща парични потоци, надвишава нейната балансова стойност.</w:t>
      </w:r>
    </w:p>
    <w:p w:rsidR="007A2FA1" w:rsidRPr="007E7E6A" w:rsidRDefault="007A2FA1" w:rsidP="007A2FA1">
      <w:pPr>
        <w:pStyle w:val="Heading1"/>
        <w:numPr>
          <w:ilvl w:val="1"/>
          <w:numId w:val="10"/>
        </w:numPr>
        <w:spacing w:before="240" w:line="240" w:lineRule="auto"/>
        <w:ind w:left="0" w:firstLine="0"/>
        <w:jc w:val="both"/>
      </w:pPr>
      <w:bookmarkStart w:id="9" w:name="_Ref248330938"/>
      <w:bookmarkStart w:id="10" w:name="_Ref250323359"/>
      <w:r w:rsidRPr="007E7E6A">
        <w:t>Финансови инструменти</w:t>
      </w:r>
      <w:bookmarkEnd w:id="9"/>
      <w:bookmarkEnd w:id="10"/>
    </w:p>
    <w:p w:rsidR="007A2FA1" w:rsidRPr="007E7E6A" w:rsidRDefault="007A2FA1" w:rsidP="007A2FA1">
      <w:pPr>
        <w:spacing w:before="120" w:after="120"/>
        <w:jc w:val="both"/>
        <w:rPr>
          <w:sz w:val="24"/>
          <w:szCs w:val="24"/>
        </w:rPr>
      </w:pPr>
      <w:r w:rsidRPr="007E7E6A">
        <w:rPr>
          <w:sz w:val="24"/>
          <w:szCs w:val="24"/>
        </w:rPr>
        <w:t>Финансовите активи и пасиви се признават, когато Дружеството стане страна по договорни споразумения, включващи финансови инструменти.</w:t>
      </w:r>
    </w:p>
    <w:p w:rsidR="007A2FA1" w:rsidRPr="007E7E6A" w:rsidRDefault="007A2FA1" w:rsidP="007A2FA1">
      <w:pPr>
        <w:spacing w:before="120" w:after="120"/>
        <w:jc w:val="both"/>
        <w:rPr>
          <w:sz w:val="24"/>
          <w:szCs w:val="24"/>
        </w:rPr>
      </w:pPr>
      <w:r w:rsidRPr="007E7E6A">
        <w:rPr>
          <w:sz w:val="24"/>
          <w:szCs w:val="24"/>
        </w:rPr>
        <w:t>Финансов актив се отписва, когато се загуби контрол върху договорните права, които съставляват финансовия актив, т.е. когато са изтекли правата за получаване на парични потоци или е прехвърлена значимата част от рисковете и изгодите от собствеността.</w:t>
      </w:r>
    </w:p>
    <w:p w:rsidR="007A2FA1" w:rsidRPr="007E7E6A" w:rsidRDefault="007A2FA1" w:rsidP="007A2FA1">
      <w:pPr>
        <w:spacing w:before="120" w:after="120"/>
        <w:jc w:val="both"/>
        <w:rPr>
          <w:sz w:val="24"/>
          <w:szCs w:val="24"/>
        </w:rPr>
      </w:pPr>
      <w:r w:rsidRPr="007E7E6A">
        <w:rPr>
          <w:sz w:val="24"/>
          <w:szCs w:val="24"/>
        </w:rPr>
        <w:t>Финансов пасив се отписва при неговото погасяване, изплащане, при анулиране на сделката или при изтичане на давностния срок.</w:t>
      </w:r>
    </w:p>
    <w:p w:rsidR="007A2FA1" w:rsidRPr="007E7E6A" w:rsidRDefault="007A2FA1" w:rsidP="007A2FA1">
      <w:pPr>
        <w:spacing w:before="120" w:after="120"/>
        <w:jc w:val="both"/>
        <w:rPr>
          <w:sz w:val="24"/>
          <w:szCs w:val="24"/>
        </w:rPr>
      </w:pPr>
      <w:r w:rsidRPr="007E7E6A">
        <w:rPr>
          <w:sz w:val="24"/>
          <w:szCs w:val="24"/>
        </w:rPr>
        <w:t>При първоначално признаване на финансов актив и финансов пасив Дружеството ги оценява по справедлива стойност плюс разходите по транзакцията с изключение на финансовите активи и пасиви, отчитани по справедлива стойност в печалбата или загубата, които се признават първоначално по справедлива стойност.</w:t>
      </w:r>
    </w:p>
    <w:p w:rsidR="007A2FA1" w:rsidRPr="007E7E6A" w:rsidRDefault="007A2FA1" w:rsidP="007A2FA1">
      <w:pPr>
        <w:autoSpaceDE w:val="0"/>
        <w:autoSpaceDN w:val="0"/>
        <w:adjustRightInd w:val="0"/>
        <w:spacing w:before="120" w:after="120"/>
        <w:jc w:val="both"/>
        <w:rPr>
          <w:sz w:val="24"/>
          <w:szCs w:val="24"/>
        </w:rPr>
      </w:pPr>
      <w:r w:rsidRPr="007E7E6A">
        <w:rPr>
          <w:sz w:val="24"/>
          <w:szCs w:val="24"/>
        </w:rPr>
        <w:t>Финансовите активи се признават на датата на сделката.</w:t>
      </w:r>
    </w:p>
    <w:p w:rsidR="007A2FA1" w:rsidRPr="007E7E6A" w:rsidRDefault="007A2FA1" w:rsidP="007A2FA1">
      <w:pPr>
        <w:spacing w:before="120" w:after="120"/>
        <w:jc w:val="both"/>
        <w:rPr>
          <w:sz w:val="24"/>
          <w:szCs w:val="24"/>
        </w:rPr>
      </w:pPr>
      <w:r w:rsidRPr="007E7E6A">
        <w:rPr>
          <w:sz w:val="24"/>
          <w:szCs w:val="24"/>
        </w:rPr>
        <w:t>Финансовите активи и финансовите пасиви се оценяват последващо, както е посочено по-долу.</w:t>
      </w:r>
    </w:p>
    <w:p w:rsidR="007A2FA1" w:rsidRPr="00BD2B73" w:rsidRDefault="007A2FA1" w:rsidP="007A2FA1">
      <w:pPr>
        <w:pStyle w:val="Heading1"/>
        <w:numPr>
          <w:ilvl w:val="2"/>
          <w:numId w:val="10"/>
        </w:numPr>
      </w:pPr>
      <w:r w:rsidRPr="00BD2B73">
        <w:lastRenderedPageBreak/>
        <w:t>Финансови активи</w:t>
      </w:r>
    </w:p>
    <w:p w:rsidR="007A2FA1" w:rsidRPr="007E7E6A" w:rsidRDefault="007A2FA1" w:rsidP="007A2FA1">
      <w:pPr>
        <w:autoSpaceDE w:val="0"/>
        <w:autoSpaceDN w:val="0"/>
        <w:adjustRightInd w:val="0"/>
        <w:spacing w:before="120" w:after="120"/>
        <w:jc w:val="both"/>
        <w:rPr>
          <w:sz w:val="24"/>
          <w:szCs w:val="24"/>
        </w:rPr>
      </w:pPr>
      <w:r w:rsidRPr="007E7E6A">
        <w:rPr>
          <w:sz w:val="24"/>
          <w:szCs w:val="24"/>
        </w:rPr>
        <w:t xml:space="preserve">С цел последващо оценяване на финансовите активи, с изключение на хеджиращите инструменти, те се класифицират в следните категории: </w:t>
      </w:r>
    </w:p>
    <w:p w:rsidR="007A2FA1" w:rsidRPr="007E7E6A" w:rsidRDefault="007A2FA1" w:rsidP="007A2FA1">
      <w:pPr>
        <w:pStyle w:val="BodyText"/>
        <w:numPr>
          <w:ilvl w:val="0"/>
          <w:numId w:val="12"/>
        </w:numPr>
        <w:tabs>
          <w:tab w:val="clear" w:pos="720"/>
          <w:tab w:val="num" w:pos="450"/>
        </w:tabs>
        <w:autoSpaceDE w:val="0"/>
        <w:autoSpaceDN w:val="0"/>
        <w:adjustRightInd w:val="0"/>
        <w:spacing w:after="0" w:line="240" w:lineRule="auto"/>
        <w:ind w:left="714" w:hanging="714"/>
        <w:jc w:val="both"/>
        <w:rPr>
          <w:sz w:val="24"/>
          <w:szCs w:val="24"/>
        </w:rPr>
      </w:pPr>
      <w:r w:rsidRPr="007E7E6A">
        <w:rPr>
          <w:sz w:val="24"/>
          <w:szCs w:val="24"/>
        </w:rPr>
        <w:t>кредити и вземания;</w:t>
      </w:r>
    </w:p>
    <w:p w:rsidR="007A2FA1" w:rsidRPr="007E7E6A" w:rsidRDefault="007A2FA1" w:rsidP="007A2FA1">
      <w:pPr>
        <w:pStyle w:val="BodyText"/>
        <w:numPr>
          <w:ilvl w:val="0"/>
          <w:numId w:val="12"/>
        </w:numPr>
        <w:tabs>
          <w:tab w:val="clear" w:pos="720"/>
          <w:tab w:val="num" w:pos="450"/>
        </w:tabs>
        <w:autoSpaceDE w:val="0"/>
        <w:autoSpaceDN w:val="0"/>
        <w:adjustRightInd w:val="0"/>
        <w:spacing w:after="0" w:line="240" w:lineRule="auto"/>
        <w:ind w:left="714" w:hanging="714"/>
        <w:jc w:val="both"/>
        <w:rPr>
          <w:sz w:val="24"/>
          <w:szCs w:val="24"/>
        </w:rPr>
      </w:pPr>
      <w:r w:rsidRPr="007E7E6A">
        <w:rPr>
          <w:sz w:val="24"/>
          <w:szCs w:val="24"/>
        </w:rPr>
        <w:t>финансови активи, отчитани по справедлива стойност в печалбата или загубата;</w:t>
      </w:r>
    </w:p>
    <w:p w:rsidR="007A2FA1" w:rsidRPr="007E7E6A" w:rsidRDefault="007A2FA1" w:rsidP="007A2FA1">
      <w:pPr>
        <w:pStyle w:val="BodyText"/>
        <w:numPr>
          <w:ilvl w:val="0"/>
          <w:numId w:val="12"/>
        </w:numPr>
        <w:tabs>
          <w:tab w:val="clear" w:pos="720"/>
          <w:tab w:val="num" w:pos="450"/>
        </w:tabs>
        <w:autoSpaceDE w:val="0"/>
        <w:autoSpaceDN w:val="0"/>
        <w:adjustRightInd w:val="0"/>
        <w:spacing w:after="0" w:line="240" w:lineRule="auto"/>
        <w:ind w:left="714" w:hanging="714"/>
        <w:jc w:val="both"/>
        <w:rPr>
          <w:sz w:val="24"/>
          <w:szCs w:val="24"/>
        </w:rPr>
      </w:pPr>
      <w:r w:rsidRPr="007E7E6A">
        <w:rPr>
          <w:sz w:val="24"/>
          <w:szCs w:val="24"/>
        </w:rPr>
        <w:t>инвестиции, държани до падеж;</w:t>
      </w:r>
    </w:p>
    <w:p w:rsidR="007A2FA1" w:rsidRPr="007E7E6A" w:rsidRDefault="007A2FA1" w:rsidP="007A2FA1">
      <w:pPr>
        <w:pStyle w:val="BodyText"/>
        <w:numPr>
          <w:ilvl w:val="0"/>
          <w:numId w:val="12"/>
        </w:numPr>
        <w:tabs>
          <w:tab w:val="clear" w:pos="720"/>
          <w:tab w:val="num" w:pos="450"/>
        </w:tabs>
        <w:autoSpaceDE w:val="0"/>
        <w:autoSpaceDN w:val="0"/>
        <w:adjustRightInd w:val="0"/>
        <w:spacing w:after="0" w:line="240" w:lineRule="auto"/>
        <w:ind w:left="714" w:hanging="714"/>
        <w:jc w:val="both"/>
        <w:rPr>
          <w:sz w:val="24"/>
          <w:szCs w:val="24"/>
        </w:rPr>
      </w:pPr>
      <w:r w:rsidRPr="007E7E6A">
        <w:rPr>
          <w:sz w:val="24"/>
          <w:szCs w:val="24"/>
        </w:rPr>
        <w:t>финансови активи на разположение за продажба.</w:t>
      </w:r>
    </w:p>
    <w:p w:rsidR="007A2FA1" w:rsidRPr="007E7E6A" w:rsidRDefault="007A2FA1" w:rsidP="007A2FA1">
      <w:pPr>
        <w:autoSpaceDE w:val="0"/>
        <w:autoSpaceDN w:val="0"/>
        <w:adjustRightInd w:val="0"/>
        <w:spacing w:before="120" w:after="120"/>
        <w:jc w:val="both"/>
        <w:rPr>
          <w:sz w:val="24"/>
          <w:szCs w:val="24"/>
        </w:rPr>
      </w:pPr>
      <w:r w:rsidRPr="007E7E6A">
        <w:rPr>
          <w:sz w:val="24"/>
          <w:szCs w:val="24"/>
        </w:rPr>
        <w:t>Финансовите активи се разпределят към отделните категории в зависимост от целта, с която са придобити. Категорията на даден финансов инструмент определя метода му на оценяване и дали приходите и разходите се отразяват в печалбата или загубата или в другия всеобхватен доход на Дружеството. Всички финансови активи с изключение на тези, отчитани по справедлива стойност в печалбата или загубата, подлежат на тест за обезценка към датата на финансовия отчет. Финансовите активи се обезценяват, когато съществуват обективни доказателства за това. Прилагат се различни критерии за определяне на загубата от обезценка в зависимост от категорията на финансовите активи, както е описано по-долу.</w:t>
      </w:r>
    </w:p>
    <w:p w:rsidR="007A2FA1" w:rsidRDefault="007A2FA1" w:rsidP="007A2FA1">
      <w:pPr>
        <w:autoSpaceDE w:val="0"/>
        <w:autoSpaceDN w:val="0"/>
        <w:adjustRightInd w:val="0"/>
        <w:spacing w:before="120" w:after="120"/>
        <w:jc w:val="both"/>
        <w:rPr>
          <w:sz w:val="24"/>
          <w:szCs w:val="24"/>
        </w:rPr>
      </w:pPr>
      <w:r w:rsidRPr="007E7E6A">
        <w:rPr>
          <w:sz w:val="24"/>
          <w:szCs w:val="24"/>
        </w:rPr>
        <w:t xml:space="preserve">Всички приходи и разходи, свързани с притежаването на финансови инструменти, се отразяват в печалбата или загубата при получаването им, независимо от това как се оценява балансовата стойност на финансовия актив, за който се отнасят, и се представят в </w:t>
      </w:r>
      <w:r w:rsidRPr="004154A1">
        <w:rPr>
          <w:sz w:val="24"/>
          <w:szCs w:val="24"/>
        </w:rPr>
        <w:t>отчета за печалбата или загубата и другия всеобхватен доход</w:t>
      </w:r>
      <w:r w:rsidRPr="007E7E6A">
        <w:rPr>
          <w:sz w:val="24"/>
          <w:szCs w:val="24"/>
        </w:rPr>
        <w:t xml:space="preserve"> на редове „Финансови р</w:t>
      </w:r>
      <w:r>
        <w:rPr>
          <w:sz w:val="24"/>
          <w:szCs w:val="24"/>
        </w:rPr>
        <w:t>азходи”, „Финансови приходи”</w:t>
      </w:r>
      <w:r w:rsidRPr="007E7E6A">
        <w:rPr>
          <w:sz w:val="24"/>
          <w:szCs w:val="24"/>
        </w:rPr>
        <w:t>, с изключение на загубата от обезценка на търговски вземания, която се представя на ред „Други разходи”.</w:t>
      </w:r>
    </w:p>
    <w:p w:rsidR="007A2FA1" w:rsidRPr="007E7E6A" w:rsidRDefault="007A2FA1" w:rsidP="007A2FA1">
      <w:pPr>
        <w:autoSpaceDE w:val="0"/>
        <w:autoSpaceDN w:val="0"/>
        <w:adjustRightInd w:val="0"/>
        <w:spacing w:before="120" w:after="120"/>
        <w:jc w:val="both"/>
        <w:rPr>
          <w:sz w:val="24"/>
          <w:szCs w:val="24"/>
        </w:rPr>
      </w:pPr>
      <w:r>
        <w:rPr>
          <w:sz w:val="24"/>
          <w:szCs w:val="24"/>
        </w:rPr>
        <w:t>Финансовите активи на Дружеството представляват:</w:t>
      </w:r>
    </w:p>
    <w:p w:rsidR="007A2FA1" w:rsidRPr="007E7E6A" w:rsidRDefault="007A2FA1" w:rsidP="007A2FA1">
      <w:pPr>
        <w:autoSpaceDE w:val="0"/>
        <w:autoSpaceDN w:val="0"/>
        <w:adjustRightInd w:val="0"/>
        <w:spacing w:before="120" w:after="120"/>
        <w:jc w:val="both"/>
        <w:rPr>
          <w:b/>
          <w:bCs/>
          <w:sz w:val="24"/>
          <w:szCs w:val="24"/>
        </w:rPr>
      </w:pPr>
      <w:r w:rsidRPr="007E7E6A">
        <w:rPr>
          <w:b/>
          <w:bCs/>
          <w:sz w:val="24"/>
          <w:szCs w:val="24"/>
        </w:rPr>
        <w:t>Кредити и вземания</w:t>
      </w:r>
    </w:p>
    <w:p w:rsidR="007A2FA1" w:rsidRPr="0040661F" w:rsidRDefault="007A2FA1" w:rsidP="007A2FA1">
      <w:pPr>
        <w:autoSpaceDE w:val="0"/>
        <w:autoSpaceDN w:val="0"/>
        <w:adjustRightInd w:val="0"/>
        <w:spacing w:before="120"/>
        <w:jc w:val="both"/>
        <w:rPr>
          <w:sz w:val="24"/>
          <w:szCs w:val="24"/>
        </w:rPr>
      </w:pPr>
      <w:r w:rsidRPr="0040661F">
        <w:rPr>
          <w:sz w:val="24"/>
          <w:szCs w:val="24"/>
        </w:rPr>
        <w:t>Кредити и вземания, възникнали първоначално в дружеството, са недеривативни финансови инструменти с фиксирани плащания, които не се търгуват на активен пазар. Кредитите и вземанията последващо се оценяват по амортизирана стойност, като се използва методът на ефективната лихва, намалена с размера на обезценката. Всяка промяна в стойността им се отразява в печалбата или загубата за текущия период. Парите и паричните еквиваленти, търговските и по-голямата част от другите вземания на дружеството са към тази категория финансови инструменти. Дисконтиране не се извършва, когато ефектът от него е незначителен.</w:t>
      </w:r>
    </w:p>
    <w:p w:rsidR="007A2FA1" w:rsidRPr="0040661F" w:rsidRDefault="007A2FA1" w:rsidP="007A2FA1">
      <w:pPr>
        <w:autoSpaceDE w:val="0"/>
        <w:autoSpaceDN w:val="0"/>
        <w:adjustRightInd w:val="0"/>
        <w:spacing w:before="120"/>
        <w:jc w:val="both"/>
        <w:rPr>
          <w:sz w:val="24"/>
          <w:szCs w:val="24"/>
        </w:rPr>
      </w:pPr>
      <w:r w:rsidRPr="0040661F">
        <w:rPr>
          <w:sz w:val="24"/>
          <w:szCs w:val="24"/>
        </w:rPr>
        <w:t xml:space="preserve">Значими вземания се тестват за обезценка по отделно, когато са просрочени към датата на финансовия отчет или когато съществуват обективни доказателства, че контрагентът няма да изпълни задълженията си. Всички други вземания се тестват за обезценка по групи, които се определят в зависимост от оценения кредитен риск на контрагента, както и от други кредитни рискове, ако съществуват такива. В този случай процентът на обезценката се определя на базата на исторически данни относно непогасени задължения на контрагенти за всяка идентифицирана група. </w:t>
      </w:r>
    </w:p>
    <w:p w:rsidR="007A2FA1" w:rsidRPr="0040661F" w:rsidRDefault="007A2FA1" w:rsidP="007A2FA1">
      <w:pPr>
        <w:spacing w:before="120"/>
        <w:jc w:val="both"/>
        <w:rPr>
          <w:color w:val="000000" w:themeColor="text1"/>
          <w:sz w:val="24"/>
          <w:szCs w:val="24"/>
        </w:rPr>
      </w:pPr>
      <w:r w:rsidRPr="0040661F">
        <w:rPr>
          <w:sz w:val="24"/>
          <w:szCs w:val="24"/>
        </w:rPr>
        <w:t xml:space="preserve">Приблизителната оценка за загуби от съмнителни и несъбираеми вземания се прави, когато за събираемостта на цялата сума или на част от нея съществува висока </w:t>
      </w:r>
      <w:r w:rsidRPr="0040661F">
        <w:rPr>
          <w:color w:val="000000" w:themeColor="text1"/>
          <w:sz w:val="24"/>
          <w:szCs w:val="24"/>
        </w:rPr>
        <w:t>несигурност.</w:t>
      </w:r>
    </w:p>
    <w:p w:rsidR="007A2FA1" w:rsidRPr="0040661F" w:rsidRDefault="007A2FA1" w:rsidP="007A2FA1">
      <w:pPr>
        <w:autoSpaceDE w:val="0"/>
        <w:jc w:val="both"/>
        <w:rPr>
          <w:color w:val="000000" w:themeColor="text1"/>
          <w:sz w:val="24"/>
          <w:szCs w:val="24"/>
          <w:lang w:val="ru-RU"/>
        </w:rPr>
      </w:pPr>
      <w:r w:rsidRPr="0040661F">
        <w:rPr>
          <w:color w:val="000000" w:themeColor="text1"/>
          <w:sz w:val="24"/>
          <w:szCs w:val="24"/>
        </w:rPr>
        <w:t xml:space="preserve">Несъбираемите вземания се отписват, когато се установят правните основания за това. </w:t>
      </w:r>
    </w:p>
    <w:p w:rsidR="007A2FA1" w:rsidRDefault="007A2FA1" w:rsidP="007A2FA1">
      <w:pPr>
        <w:autoSpaceDE w:val="0"/>
        <w:autoSpaceDN w:val="0"/>
        <w:adjustRightInd w:val="0"/>
        <w:spacing w:before="120"/>
        <w:jc w:val="both"/>
        <w:rPr>
          <w:color w:val="000000" w:themeColor="text1"/>
          <w:sz w:val="24"/>
          <w:szCs w:val="24"/>
        </w:rPr>
      </w:pPr>
      <w:r w:rsidRPr="0040661F">
        <w:rPr>
          <w:color w:val="000000" w:themeColor="text1"/>
          <w:sz w:val="24"/>
          <w:szCs w:val="24"/>
        </w:rPr>
        <w:t>Загубата от обезценка на търговските вземания се представя в отчета за печалбата или загубата и другия всеобхватен доходна ред „Други разходи”.</w:t>
      </w:r>
    </w:p>
    <w:p w:rsidR="007A2FA1" w:rsidRPr="0040661F" w:rsidRDefault="007A2FA1" w:rsidP="007A2FA1">
      <w:pPr>
        <w:autoSpaceDE w:val="0"/>
        <w:autoSpaceDN w:val="0"/>
        <w:adjustRightInd w:val="0"/>
        <w:spacing w:before="120"/>
        <w:jc w:val="both"/>
        <w:rPr>
          <w:color w:val="000000" w:themeColor="text1"/>
          <w:sz w:val="24"/>
          <w:szCs w:val="24"/>
        </w:rPr>
      </w:pPr>
    </w:p>
    <w:p w:rsidR="007A2FA1" w:rsidRPr="007E7E6A" w:rsidRDefault="007A2FA1" w:rsidP="007A2FA1">
      <w:pPr>
        <w:spacing w:before="120" w:after="120"/>
        <w:jc w:val="both"/>
        <w:rPr>
          <w:b/>
          <w:bCs/>
          <w:sz w:val="24"/>
          <w:szCs w:val="24"/>
        </w:rPr>
      </w:pPr>
      <w:r w:rsidRPr="007E7E6A">
        <w:rPr>
          <w:b/>
          <w:bCs/>
          <w:sz w:val="24"/>
          <w:szCs w:val="24"/>
        </w:rPr>
        <w:lastRenderedPageBreak/>
        <w:t>Финансови активи на разположение за продажба</w:t>
      </w:r>
    </w:p>
    <w:p w:rsidR="007A2FA1" w:rsidRPr="007E7E6A" w:rsidRDefault="007A2FA1" w:rsidP="007A2FA1">
      <w:pPr>
        <w:spacing w:before="120" w:after="120"/>
        <w:jc w:val="both"/>
        <w:rPr>
          <w:sz w:val="24"/>
          <w:szCs w:val="24"/>
        </w:rPr>
      </w:pPr>
      <w:r w:rsidRPr="007E7E6A">
        <w:rPr>
          <w:sz w:val="24"/>
          <w:szCs w:val="24"/>
        </w:rPr>
        <w:t>Финансови активи на разположение за продажба са недеривативни финансови активи, които са определени като финансови активи на разположение за продажба или не спадат към нито една от останалите категории финансови активи. Финансовите активи от тази категория последващо се оценяват по справедлива стойност с изключение на тези, за които няма котировки на пазарната цена на активен пазар и чиято справедлива стойност не може да бъде надеждно определена. Последните се оценяват по амортизирана стойност по метода на ефективния лихвен процент или по себестойност, в случай че нямат фиксиран падеж. Промените в справедливата им стойност се отразяват в другия всеобхватен доход и се представят в съответния резерв в отчета за собствения капитал, нетно от данъци, с изключение на загубите от обезценка и валутни курсови разлики на парични активи, които се признават в печалбата или загубата. Когато финансов актив на разположение за продажба бъде продаден или обезценен, натрупаните печалби и загуби, признати в другия всеобхватен доход, се прекласифицират от собствения капитал в печалбата или загубата за отчетния период и се представят като прекласифицираща корекция в другия всеобхватен доход. Лихви, изчислени по метода на ефективната лихва, и дивиденти се признават в печалбата или загубата като „финансови приходи”. Възстановяване на загуби от обезценка се признава в другия всеобхватен доход с изключение на дълговите финансови инструменти, при които възстановяването се признава в печалбата или загубата, само ако възстановяването може обективно да бъде свързано със събитие, настъпило след момента на признаване на обезценката.</w:t>
      </w:r>
    </w:p>
    <w:p w:rsidR="007A2FA1" w:rsidRPr="00FF36C4" w:rsidRDefault="007A2FA1" w:rsidP="007A2FA1">
      <w:pPr>
        <w:pStyle w:val="Heading1"/>
        <w:numPr>
          <w:ilvl w:val="2"/>
          <w:numId w:val="10"/>
        </w:numPr>
      </w:pPr>
      <w:r w:rsidRPr="00FF36C4">
        <w:t>Финансови пасиви</w:t>
      </w:r>
    </w:p>
    <w:p w:rsidR="007A2FA1" w:rsidRPr="007E7E6A" w:rsidRDefault="007A2FA1" w:rsidP="007A2FA1">
      <w:pPr>
        <w:autoSpaceDE w:val="0"/>
        <w:autoSpaceDN w:val="0"/>
        <w:adjustRightInd w:val="0"/>
        <w:spacing w:before="120" w:after="120"/>
        <w:jc w:val="both"/>
        <w:rPr>
          <w:sz w:val="24"/>
          <w:szCs w:val="24"/>
        </w:rPr>
      </w:pPr>
      <w:r w:rsidRPr="007E7E6A">
        <w:rPr>
          <w:sz w:val="24"/>
          <w:szCs w:val="24"/>
        </w:rPr>
        <w:t xml:space="preserve">Финансовите пасиви на Дружеството включват </w:t>
      </w:r>
      <w:r>
        <w:rPr>
          <w:sz w:val="24"/>
          <w:szCs w:val="24"/>
        </w:rPr>
        <w:t xml:space="preserve">заеми, финансов лизинг, </w:t>
      </w:r>
      <w:r w:rsidRPr="007E7E6A">
        <w:rPr>
          <w:sz w:val="24"/>
          <w:szCs w:val="24"/>
        </w:rPr>
        <w:t>търговски и други задължения</w:t>
      </w:r>
      <w:r>
        <w:rPr>
          <w:sz w:val="24"/>
          <w:szCs w:val="24"/>
        </w:rPr>
        <w:t>.</w:t>
      </w:r>
      <w:r w:rsidRPr="007E7E6A">
        <w:rPr>
          <w:sz w:val="24"/>
          <w:szCs w:val="24"/>
        </w:rPr>
        <w:t xml:space="preserve"> Финансовите пасиви се признават, когато съществува договорно задължение за плащане на парични суми или друг финансов актив на друго предприятие или договорно задължение за размяна на финансови инструменти с друго предприятие при потенциално неблагоприятни условия. В</w:t>
      </w:r>
      <w:r>
        <w:rPr>
          <w:sz w:val="24"/>
          <w:szCs w:val="24"/>
        </w:rPr>
        <w:t>сички разходи, свързани с лихви</w:t>
      </w:r>
      <w:r w:rsidRPr="007E7E6A">
        <w:rPr>
          <w:sz w:val="24"/>
          <w:szCs w:val="24"/>
        </w:rPr>
        <w:t xml:space="preserve"> и промени в справедливата стойност на финансови инструменти, ако има такива, се признават в печалбата или загубата на ред „Финансови разходи” или „Финансови приходи”.</w:t>
      </w:r>
    </w:p>
    <w:p w:rsidR="007A2FA1" w:rsidRDefault="007A2FA1" w:rsidP="007A2FA1">
      <w:pPr>
        <w:autoSpaceDE w:val="0"/>
        <w:autoSpaceDN w:val="0"/>
        <w:adjustRightInd w:val="0"/>
        <w:spacing w:before="120" w:after="120"/>
        <w:jc w:val="both"/>
        <w:rPr>
          <w:sz w:val="24"/>
          <w:szCs w:val="24"/>
        </w:rPr>
      </w:pPr>
      <w:r w:rsidRPr="007E7E6A">
        <w:rPr>
          <w:sz w:val="24"/>
          <w:szCs w:val="24"/>
        </w:rPr>
        <w:t>Финансовите пасиви се оценяват последващо по амортизирана стойност, като се използва методът на ефективната лихва, с изключение на финансови инструменти, държани за търгуване или определени за оценяване по справедлива стойност в печалбата или загубата, които се оценяват по справедлива стойност с отчитане на промените в печалбата или загубата.</w:t>
      </w:r>
    </w:p>
    <w:p w:rsidR="007A2FA1" w:rsidRPr="0040661F" w:rsidRDefault="007A2FA1" w:rsidP="007A2FA1">
      <w:pPr>
        <w:autoSpaceDE w:val="0"/>
        <w:autoSpaceDN w:val="0"/>
        <w:adjustRightInd w:val="0"/>
        <w:spacing w:before="120"/>
        <w:jc w:val="both"/>
        <w:rPr>
          <w:color w:val="000000" w:themeColor="text1"/>
          <w:sz w:val="24"/>
          <w:szCs w:val="24"/>
        </w:rPr>
      </w:pPr>
      <w:r>
        <w:rPr>
          <w:color w:val="000000" w:themeColor="text1"/>
          <w:sz w:val="24"/>
          <w:szCs w:val="24"/>
        </w:rPr>
        <w:t>Заемите</w:t>
      </w:r>
      <w:r w:rsidRPr="0040661F">
        <w:rPr>
          <w:color w:val="000000" w:themeColor="text1"/>
          <w:sz w:val="24"/>
          <w:szCs w:val="24"/>
        </w:rPr>
        <w:t xml:space="preserve"> с цел дългосрочно подпомагане на дейността на Дружеството са отразени в отчета за финансовото състояние на Дружеството, нетно от разходите по получаването на заемите. Финансови разходи като премия, платима при уреждане на дълга или обратното му изкупуване, и преки разходи по сделката се отнасят в отчета за печалбата или загубата и другия всеобхватен доход на принципа на начислението, като се използва методът на ефективния лихвен процент, и се прибавят към преносната стойност на финансовия пасив до степента, в която те не се уреждат към края на периода, в който са възникнали.</w:t>
      </w:r>
    </w:p>
    <w:p w:rsidR="007A2FA1" w:rsidRDefault="007A2FA1" w:rsidP="007A2FA1">
      <w:pPr>
        <w:autoSpaceDE w:val="0"/>
        <w:autoSpaceDN w:val="0"/>
        <w:adjustRightInd w:val="0"/>
        <w:spacing w:before="120" w:after="120"/>
        <w:jc w:val="both"/>
        <w:rPr>
          <w:sz w:val="24"/>
          <w:szCs w:val="24"/>
        </w:rPr>
      </w:pPr>
      <w:r w:rsidRPr="007E7E6A">
        <w:rPr>
          <w:sz w:val="24"/>
          <w:szCs w:val="24"/>
        </w:rPr>
        <w:t>Търговските задължения се признават първоначално по номинална стойност и впоследствие се оценяват по амортизирана стойност, намалена с плащания по уреждане на задължението.</w:t>
      </w:r>
    </w:p>
    <w:p w:rsidR="007A2FA1" w:rsidRPr="0040661F" w:rsidRDefault="007A2FA1" w:rsidP="007A2FA1">
      <w:pPr>
        <w:autoSpaceDE w:val="0"/>
        <w:autoSpaceDN w:val="0"/>
        <w:adjustRightInd w:val="0"/>
        <w:spacing w:before="120"/>
        <w:jc w:val="both"/>
        <w:rPr>
          <w:color w:val="000000" w:themeColor="text1"/>
          <w:sz w:val="24"/>
          <w:szCs w:val="24"/>
        </w:rPr>
      </w:pPr>
      <w:r w:rsidRPr="0040661F">
        <w:rPr>
          <w:color w:val="000000" w:themeColor="text1"/>
          <w:sz w:val="24"/>
          <w:szCs w:val="24"/>
        </w:rPr>
        <w:t>Дивидентите, платими на акционерите, се признават, когато дивидентите са одобрени на Общото събрание на акционерите</w:t>
      </w:r>
      <w:r>
        <w:rPr>
          <w:color w:val="000000" w:themeColor="text1"/>
          <w:sz w:val="24"/>
          <w:szCs w:val="24"/>
        </w:rPr>
        <w:t>.</w:t>
      </w:r>
    </w:p>
    <w:p w:rsidR="007A2FA1" w:rsidRPr="007E7E6A" w:rsidRDefault="007A2FA1" w:rsidP="007A2FA1">
      <w:pPr>
        <w:pStyle w:val="Heading1"/>
        <w:numPr>
          <w:ilvl w:val="1"/>
          <w:numId w:val="10"/>
        </w:numPr>
        <w:spacing w:before="240" w:line="240" w:lineRule="auto"/>
        <w:ind w:left="0" w:firstLine="0"/>
        <w:jc w:val="both"/>
      </w:pPr>
      <w:r w:rsidRPr="007E7E6A">
        <w:lastRenderedPageBreak/>
        <w:t>Материални запаси</w:t>
      </w:r>
    </w:p>
    <w:p w:rsidR="007A2FA1" w:rsidRPr="007E7E6A" w:rsidRDefault="007A2FA1" w:rsidP="007A2FA1">
      <w:pPr>
        <w:spacing w:before="120" w:after="120"/>
        <w:jc w:val="both"/>
        <w:rPr>
          <w:sz w:val="24"/>
          <w:szCs w:val="24"/>
        </w:rPr>
      </w:pPr>
      <w:r w:rsidRPr="007E7E6A">
        <w:rPr>
          <w:sz w:val="24"/>
          <w:szCs w:val="24"/>
        </w:rPr>
        <w:t>Материа</w:t>
      </w:r>
      <w:r>
        <w:rPr>
          <w:sz w:val="24"/>
          <w:szCs w:val="24"/>
        </w:rPr>
        <w:t>лните запаси включват материали</w:t>
      </w:r>
      <w:r w:rsidRPr="007E7E6A">
        <w:rPr>
          <w:sz w:val="24"/>
          <w:szCs w:val="24"/>
        </w:rPr>
        <w:t xml:space="preserve"> и стоки. В себестойността на материалните запаси се включват директните разходи по закупуването или производството им, преработката и други преки разходи, свързани с доставката им, както и част от общите производствени разходи, определена на базата на нормален производствен капацитет. Финансовите разходи не се включват в стойността на материалните запаси. Към края на всеки отчетен период материалните запаси се оценяват по по-ниската от себестойността им и тяхната нетна реализуема стойност. Сумата на всяка обезценка на материалните запаси до нетната им реализуема стойност се признава като разход за периода на обезценката.  </w:t>
      </w:r>
    </w:p>
    <w:p w:rsidR="007A2FA1" w:rsidRPr="00F13373" w:rsidRDefault="007A2FA1" w:rsidP="007A2FA1">
      <w:pPr>
        <w:autoSpaceDE w:val="0"/>
        <w:autoSpaceDN w:val="0"/>
        <w:adjustRightInd w:val="0"/>
        <w:spacing w:before="120" w:after="120"/>
        <w:jc w:val="both"/>
        <w:rPr>
          <w:color w:val="000000" w:themeColor="text1"/>
          <w:sz w:val="24"/>
          <w:szCs w:val="24"/>
        </w:rPr>
      </w:pPr>
      <w:r w:rsidRPr="007E7E6A">
        <w:rPr>
          <w:sz w:val="24"/>
          <w:szCs w:val="24"/>
        </w:rPr>
        <w:t xml:space="preserve">Нетната реализуема стойност представлява очакваната продажна цена на материалните запаси, намалена с очакваните разходи по продажбата. В случай че материалните запаси са били вече обезценени до нетната им реализуема стойност и в последващ отчетен период се окаже, че условията довели до обезценката не са вече налице, то се възприема новата им нетна реализуема стойност. Сумата на възстановяването може да бъде само до размера на балансовата стойност на материалните запаси преди обезценката. Сумата на обратно възстановяване на стойността на материалните запаси се отчита като намаление на </w:t>
      </w:r>
      <w:r w:rsidRPr="00F13373">
        <w:rPr>
          <w:color w:val="000000" w:themeColor="text1"/>
          <w:sz w:val="24"/>
          <w:szCs w:val="24"/>
        </w:rPr>
        <w:t>разходите за материали за периода, в който възниква възстановяването.</w:t>
      </w:r>
    </w:p>
    <w:p w:rsidR="007A2FA1" w:rsidRPr="00F13373" w:rsidRDefault="007A2FA1" w:rsidP="007A2FA1">
      <w:pPr>
        <w:autoSpaceDE w:val="0"/>
        <w:autoSpaceDN w:val="0"/>
        <w:adjustRightInd w:val="0"/>
        <w:spacing w:before="120" w:after="120"/>
        <w:jc w:val="both"/>
        <w:rPr>
          <w:color w:val="000000" w:themeColor="text1"/>
          <w:sz w:val="24"/>
          <w:szCs w:val="24"/>
        </w:rPr>
      </w:pPr>
      <w:r w:rsidRPr="00F13373">
        <w:rPr>
          <w:color w:val="000000" w:themeColor="text1"/>
          <w:sz w:val="24"/>
          <w:szCs w:val="24"/>
        </w:rPr>
        <w:t>Дружеството определя разходите за материални запаси, като първа входяща-първа изходяща за значимите материали  и средно претеглена стойност за всички останали.</w:t>
      </w:r>
    </w:p>
    <w:p w:rsidR="007A2FA1" w:rsidRPr="007E7E6A" w:rsidRDefault="007A2FA1" w:rsidP="007A2FA1">
      <w:pPr>
        <w:spacing w:before="120" w:after="120"/>
        <w:jc w:val="both"/>
        <w:rPr>
          <w:sz w:val="24"/>
          <w:szCs w:val="24"/>
        </w:rPr>
      </w:pPr>
      <w:r w:rsidRPr="007E7E6A">
        <w:rPr>
          <w:sz w:val="24"/>
          <w:szCs w:val="24"/>
        </w:rPr>
        <w:t>При продажба на материалните запаси тяхната балансова стойност се признава като разход в периода, в който е признат съответният приход.</w:t>
      </w:r>
    </w:p>
    <w:p w:rsidR="007A2FA1" w:rsidRPr="007E7E6A" w:rsidRDefault="007A2FA1" w:rsidP="007A2FA1">
      <w:pPr>
        <w:pStyle w:val="Heading1"/>
        <w:numPr>
          <w:ilvl w:val="1"/>
          <w:numId w:val="10"/>
        </w:numPr>
        <w:spacing w:before="240" w:line="240" w:lineRule="auto"/>
        <w:ind w:left="0" w:firstLine="0"/>
        <w:jc w:val="both"/>
      </w:pPr>
      <w:r w:rsidRPr="007E7E6A">
        <w:t>Данъци върху дохода</w:t>
      </w:r>
    </w:p>
    <w:p w:rsidR="007A2FA1" w:rsidRPr="007E7E6A" w:rsidRDefault="007A2FA1" w:rsidP="007A2FA1">
      <w:pPr>
        <w:spacing w:before="120" w:after="120"/>
        <w:jc w:val="both"/>
        <w:rPr>
          <w:sz w:val="24"/>
          <w:szCs w:val="24"/>
        </w:rPr>
      </w:pPr>
      <w:r w:rsidRPr="007E7E6A">
        <w:rPr>
          <w:sz w:val="24"/>
          <w:szCs w:val="24"/>
        </w:rPr>
        <w:t>Разходите за данъци, признати в печалбата или загубата, включват сумата на отсрочените и текущи данъци, които не са признати в другия всеобхватен доход или директно в собствения капитал.</w:t>
      </w:r>
    </w:p>
    <w:p w:rsidR="007A2FA1" w:rsidRPr="007E7E6A" w:rsidRDefault="007A2FA1" w:rsidP="007A2FA1">
      <w:pPr>
        <w:spacing w:before="120" w:after="120"/>
        <w:jc w:val="both"/>
        <w:rPr>
          <w:sz w:val="24"/>
          <w:szCs w:val="24"/>
        </w:rPr>
      </w:pPr>
      <w:r w:rsidRPr="007E7E6A">
        <w:rPr>
          <w:sz w:val="24"/>
          <w:szCs w:val="24"/>
        </w:rPr>
        <w:t>Текущите данъчни активи и/или пасиви представляват тези задължения към или вземания от данъчните институции, отнасящи се за текущи или предходни отчетни периоди, които не са платени към датата на финансовия отчет. Текущият данък е дължим върху облагаемия доход, който се различава от печалбата или загубата във финансовите отчети. Изчисляването на текущия данък е базиран на данъчните ставки и на данъчните закони, които са в сила към края на отчетния период.</w:t>
      </w:r>
    </w:p>
    <w:p w:rsidR="007A2FA1" w:rsidRPr="007E7E6A" w:rsidRDefault="007A2FA1" w:rsidP="007A2FA1">
      <w:pPr>
        <w:spacing w:before="120" w:after="120"/>
        <w:jc w:val="both"/>
        <w:rPr>
          <w:sz w:val="24"/>
          <w:szCs w:val="24"/>
        </w:rPr>
      </w:pPr>
      <w:r w:rsidRPr="007E7E6A">
        <w:rPr>
          <w:sz w:val="24"/>
          <w:szCs w:val="24"/>
        </w:rPr>
        <w:t xml:space="preserve">Отсрочените данъци се изчисляват по пасивния метод за всички временни разлики между балансовата стойност на активите и пасивите и тяхната данъчна основа. Отсрочен данък не се предвижда при първоначалното признаване на актив или пасив, освен ако съответната транзакция не засяга данъчната или счетоводната печалба. </w:t>
      </w:r>
    </w:p>
    <w:p w:rsidR="007A2FA1" w:rsidRPr="007E7E6A" w:rsidRDefault="007A2FA1" w:rsidP="007A2FA1">
      <w:pPr>
        <w:spacing w:before="120" w:after="120"/>
        <w:jc w:val="both"/>
        <w:rPr>
          <w:sz w:val="24"/>
          <w:szCs w:val="24"/>
        </w:rPr>
      </w:pPr>
      <w:r w:rsidRPr="007E7E6A">
        <w:rPr>
          <w:sz w:val="24"/>
          <w:szCs w:val="24"/>
        </w:rPr>
        <w:t>Отсрочените данъчни активи и пасиви не се дисконтират. При тяхното изчисление се използват данъчни ставки, които се очаква да бъдат приложими за периода на реализацията им, при условие че те са влезли в сила или е сигурно, че ще влезнат в сила, към края на отчетния период.</w:t>
      </w:r>
    </w:p>
    <w:p w:rsidR="007A2FA1" w:rsidRPr="007E7E6A" w:rsidRDefault="007A2FA1" w:rsidP="007A2FA1">
      <w:pPr>
        <w:spacing w:before="120" w:after="120"/>
        <w:jc w:val="both"/>
        <w:rPr>
          <w:sz w:val="24"/>
          <w:szCs w:val="24"/>
        </w:rPr>
      </w:pPr>
      <w:r w:rsidRPr="007E7E6A">
        <w:rPr>
          <w:sz w:val="24"/>
          <w:szCs w:val="24"/>
        </w:rPr>
        <w:t>Отсрочените данъчни пасиви се признават в пълен размер.</w:t>
      </w:r>
    </w:p>
    <w:p w:rsidR="007A2FA1" w:rsidRPr="007E7E6A" w:rsidRDefault="007A2FA1" w:rsidP="007A2FA1">
      <w:pPr>
        <w:spacing w:before="120" w:after="120"/>
        <w:jc w:val="both"/>
        <w:rPr>
          <w:sz w:val="24"/>
          <w:szCs w:val="24"/>
        </w:rPr>
      </w:pPr>
      <w:r w:rsidRPr="007E7E6A">
        <w:rPr>
          <w:sz w:val="24"/>
          <w:szCs w:val="24"/>
        </w:rPr>
        <w:t>Отсрочени данъчни активи се признават, само ако съществува вероятност те да бъдат усвоени чрез бъдещи облагаеми доходи. Относно преценката на ръководството за вероятността за възникване на бъдещи облагаеми доходи, чрез които да се усвоят отсрочени данъчни активи</w:t>
      </w:r>
      <w:r w:rsidR="00B43EE3">
        <w:rPr>
          <w:sz w:val="24"/>
          <w:szCs w:val="24"/>
        </w:rPr>
        <w:t>.</w:t>
      </w:r>
    </w:p>
    <w:p w:rsidR="007A2FA1" w:rsidRPr="007E7E6A" w:rsidRDefault="007A2FA1" w:rsidP="007A2FA1">
      <w:pPr>
        <w:spacing w:before="120" w:after="120"/>
        <w:jc w:val="both"/>
        <w:rPr>
          <w:sz w:val="24"/>
          <w:szCs w:val="24"/>
        </w:rPr>
      </w:pPr>
      <w:r w:rsidRPr="007E7E6A">
        <w:rPr>
          <w:sz w:val="24"/>
          <w:szCs w:val="24"/>
        </w:rPr>
        <w:lastRenderedPageBreak/>
        <w:t>Отсрочени данъчни активи и пасиви се компенсират, само когато Дружеството има право и намерение да компенсира текущите данъчни активи или пасиви от същата данъчна институция.</w:t>
      </w:r>
    </w:p>
    <w:p w:rsidR="007A2FA1" w:rsidRPr="007E7E6A" w:rsidRDefault="007A2FA1" w:rsidP="007A2FA1">
      <w:pPr>
        <w:spacing w:before="120" w:after="120"/>
        <w:jc w:val="both"/>
        <w:rPr>
          <w:sz w:val="24"/>
          <w:szCs w:val="24"/>
        </w:rPr>
      </w:pPr>
      <w:r w:rsidRPr="007E7E6A">
        <w:rPr>
          <w:sz w:val="24"/>
          <w:szCs w:val="24"/>
        </w:rPr>
        <w:t>Промяната в отсрочените данъчни активи или пасиви се признава като компонент от данъчния приход или разход в печалбата или загубата, освен ако те не са свързвани с позиции, признати в другия всеобхватен доход (напр. преоценка на земя) или директно в собствения капитал, при което съответният отсрочен данък се признава в другия всеобхватен доход или в собствения капитал.</w:t>
      </w:r>
    </w:p>
    <w:p w:rsidR="007A2FA1" w:rsidRPr="007E7E6A" w:rsidRDefault="007A2FA1" w:rsidP="007A2FA1">
      <w:pPr>
        <w:pStyle w:val="Heading1"/>
        <w:numPr>
          <w:ilvl w:val="1"/>
          <w:numId w:val="10"/>
        </w:numPr>
        <w:spacing w:line="240" w:lineRule="auto"/>
        <w:ind w:left="0" w:firstLine="0"/>
        <w:jc w:val="both"/>
      </w:pPr>
      <w:r w:rsidRPr="007E7E6A">
        <w:t>Пари и парични еквиваленти</w:t>
      </w:r>
    </w:p>
    <w:p w:rsidR="007A2FA1" w:rsidRPr="007E7E6A" w:rsidRDefault="007A2FA1" w:rsidP="007A2FA1">
      <w:pPr>
        <w:spacing w:before="120" w:after="120"/>
        <w:jc w:val="both"/>
        <w:rPr>
          <w:sz w:val="24"/>
          <w:szCs w:val="24"/>
        </w:rPr>
      </w:pPr>
      <w:r w:rsidRPr="007E7E6A">
        <w:rPr>
          <w:sz w:val="24"/>
          <w:szCs w:val="24"/>
        </w:rPr>
        <w:t>Парите и паричните еквиваленти се състоят от наличните пари в брой, парични средства по банкови сметки, безсрочни депозити и депозити до 3 месеца.</w:t>
      </w:r>
    </w:p>
    <w:p w:rsidR="007A2FA1" w:rsidRPr="007E7E6A" w:rsidRDefault="007A2FA1" w:rsidP="007A2FA1">
      <w:pPr>
        <w:pStyle w:val="Heading1"/>
        <w:numPr>
          <w:ilvl w:val="1"/>
          <w:numId w:val="10"/>
        </w:numPr>
        <w:spacing w:before="240" w:line="240" w:lineRule="auto"/>
        <w:ind w:left="0" w:firstLine="0"/>
        <w:jc w:val="both"/>
      </w:pPr>
      <w:bookmarkStart w:id="11" w:name="_Ref248330621"/>
      <w:r w:rsidRPr="007E7E6A">
        <w:t xml:space="preserve">Нетекущи активи и пасиви, класифицирани като държани за продажба </w:t>
      </w:r>
      <w:bookmarkEnd w:id="11"/>
    </w:p>
    <w:p w:rsidR="007A2FA1" w:rsidRPr="007E7E6A" w:rsidRDefault="007A2FA1" w:rsidP="007A2FA1">
      <w:pPr>
        <w:spacing w:before="120" w:after="120"/>
        <w:jc w:val="both"/>
        <w:rPr>
          <w:sz w:val="24"/>
          <w:szCs w:val="24"/>
        </w:rPr>
      </w:pPr>
      <w:r w:rsidRPr="007E7E6A">
        <w:rPr>
          <w:sz w:val="24"/>
          <w:szCs w:val="24"/>
        </w:rPr>
        <w:t>Когато Дружеството възнамерява да продаде нетекущ актив или група активи (група за освобождаване) и ако продажбата е много вероятно да бъде осъществена в 12-месечен срок, активът или групата за освобождаване се класифицират като държани за продажба и се представят отделно в отчета за финансовото състояние.</w:t>
      </w:r>
    </w:p>
    <w:p w:rsidR="007A2FA1" w:rsidRPr="007E7E6A" w:rsidRDefault="007A2FA1" w:rsidP="007A2FA1">
      <w:pPr>
        <w:spacing w:before="120" w:after="120"/>
        <w:jc w:val="both"/>
        <w:rPr>
          <w:sz w:val="24"/>
          <w:szCs w:val="24"/>
        </w:rPr>
      </w:pPr>
      <w:r w:rsidRPr="007E7E6A">
        <w:rPr>
          <w:sz w:val="24"/>
          <w:szCs w:val="24"/>
        </w:rPr>
        <w:t>Пасиви се класифицират като държани за продажба и се представят като такива в отчета за финансовото състояние, само ако са директно свързани с групата за освобождаване.</w:t>
      </w:r>
    </w:p>
    <w:p w:rsidR="007A2FA1" w:rsidRPr="007E7E6A" w:rsidRDefault="007A2FA1" w:rsidP="007A2FA1">
      <w:pPr>
        <w:spacing w:before="120" w:after="120"/>
        <w:jc w:val="both"/>
        <w:rPr>
          <w:sz w:val="24"/>
          <w:szCs w:val="24"/>
        </w:rPr>
      </w:pPr>
      <w:r w:rsidRPr="007E7E6A">
        <w:rPr>
          <w:sz w:val="24"/>
          <w:szCs w:val="24"/>
        </w:rPr>
        <w:t>Активи, класифицирани като държани за продажба, се оценяват по по-ниската от тяхната балансова стойност непосредствено след тяхното определяне като държани за продажба и тяхната справедлива стойност, намалена с разходите по продажбата им. Някои активи, държани за продажба, като финансови активи или активи по отсрочени данъци, продължават да се оценяват в съответствие със счетоводната политика относно тези активи на Дружеството. Активите, класифицирани като държани за продажба, не подлежат на амортизация след тяхното класифициране като държани за продажба.</w:t>
      </w:r>
    </w:p>
    <w:p w:rsidR="007A2FA1" w:rsidRPr="007E7E6A" w:rsidRDefault="007A2FA1" w:rsidP="007A2FA1">
      <w:pPr>
        <w:pStyle w:val="Heading1"/>
        <w:numPr>
          <w:ilvl w:val="1"/>
          <w:numId w:val="10"/>
        </w:numPr>
        <w:spacing w:before="240" w:line="240" w:lineRule="auto"/>
        <w:ind w:left="0" w:firstLine="0"/>
        <w:jc w:val="both"/>
      </w:pPr>
      <w:r w:rsidRPr="007E7E6A">
        <w:t xml:space="preserve">Собствен капитал, резерви </w:t>
      </w:r>
    </w:p>
    <w:p w:rsidR="007A2FA1" w:rsidRPr="00F35DAD" w:rsidRDefault="007A2FA1" w:rsidP="007A2FA1">
      <w:pPr>
        <w:spacing w:before="120" w:after="80"/>
        <w:jc w:val="both"/>
        <w:rPr>
          <w:sz w:val="24"/>
          <w:szCs w:val="24"/>
        </w:rPr>
      </w:pPr>
      <w:bookmarkStart w:id="12" w:name="_Ref248332804"/>
      <w:r w:rsidRPr="00F35DAD">
        <w:rPr>
          <w:sz w:val="24"/>
          <w:szCs w:val="24"/>
        </w:rPr>
        <w:t xml:space="preserve">Акционерният капитал на Дружеството отразява номиналната стойност на емитираните </w:t>
      </w:r>
      <w:r>
        <w:rPr>
          <w:sz w:val="24"/>
          <w:szCs w:val="24"/>
        </w:rPr>
        <w:t>акции</w:t>
      </w:r>
      <w:r w:rsidRPr="00F35DAD">
        <w:rPr>
          <w:sz w:val="24"/>
          <w:szCs w:val="24"/>
        </w:rPr>
        <w:t>.</w:t>
      </w:r>
    </w:p>
    <w:p w:rsidR="007A2FA1" w:rsidRPr="00F35DAD" w:rsidRDefault="007A2FA1" w:rsidP="007A2FA1">
      <w:pPr>
        <w:spacing w:before="120" w:after="80"/>
        <w:jc w:val="both"/>
        <w:rPr>
          <w:sz w:val="24"/>
          <w:szCs w:val="24"/>
        </w:rPr>
      </w:pPr>
      <w:r w:rsidRPr="00F35DAD">
        <w:rPr>
          <w:sz w:val="24"/>
          <w:szCs w:val="24"/>
        </w:rPr>
        <w:t>Преоценъчният резерв включва ефект от преоценка на земя и подвижен състав.</w:t>
      </w:r>
    </w:p>
    <w:p w:rsidR="007A2FA1" w:rsidRPr="00F35DAD" w:rsidRDefault="007A2FA1" w:rsidP="007A2FA1">
      <w:pPr>
        <w:spacing w:before="120" w:after="80"/>
        <w:jc w:val="both"/>
        <w:rPr>
          <w:sz w:val="24"/>
          <w:szCs w:val="24"/>
        </w:rPr>
      </w:pPr>
      <w:r w:rsidRPr="00F35DAD">
        <w:rPr>
          <w:sz w:val="24"/>
          <w:szCs w:val="24"/>
        </w:rPr>
        <w:t xml:space="preserve">Натрупаната загуба включва текущия финансов резултат и непокритите загуби от минали години. </w:t>
      </w:r>
    </w:p>
    <w:p w:rsidR="007A2FA1" w:rsidRPr="00A46F86" w:rsidRDefault="007A2FA1" w:rsidP="007A2FA1">
      <w:pPr>
        <w:spacing w:before="120" w:after="120"/>
        <w:jc w:val="both"/>
        <w:rPr>
          <w:sz w:val="24"/>
          <w:szCs w:val="24"/>
        </w:rPr>
      </w:pPr>
      <w:r w:rsidRPr="00F35DAD">
        <w:rPr>
          <w:sz w:val="24"/>
          <w:szCs w:val="24"/>
        </w:rPr>
        <w:t xml:space="preserve">Всички транзакции със собственика на Дружеството са представени отделно в отчета за промените в </w:t>
      </w:r>
      <w:r w:rsidRPr="00A46F86">
        <w:rPr>
          <w:sz w:val="24"/>
          <w:szCs w:val="24"/>
        </w:rPr>
        <w:t>собствения капитал.</w:t>
      </w:r>
    </w:p>
    <w:p w:rsidR="007A2FA1" w:rsidRPr="00A46F86" w:rsidRDefault="007A2FA1" w:rsidP="007A2FA1">
      <w:pPr>
        <w:pStyle w:val="Heading1"/>
        <w:numPr>
          <w:ilvl w:val="1"/>
          <w:numId w:val="10"/>
        </w:numPr>
        <w:spacing w:before="240" w:line="240" w:lineRule="auto"/>
        <w:ind w:left="0" w:firstLine="0"/>
        <w:jc w:val="both"/>
      </w:pPr>
      <w:bookmarkStart w:id="13" w:name="_Ref250323643"/>
      <w:r w:rsidRPr="00A46F86">
        <w:t>Пенсионни и краткосрочни възнаграждения на служителите</w:t>
      </w:r>
      <w:bookmarkEnd w:id="12"/>
      <w:bookmarkEnd w:id="13"/>
    </w:p>
    <w:p w:rsidR="007A2FA1" w:rsidRPr="00A46F86" w:rsidRDefault="007A2FA1" w:rsidP="007A2FA1">
      <w:pPr>
        <w:tabs>
          <w:tab w:val="left" w:pos="9739"/>
        </w:tabs>
        <w:autoSpaceDE w:val="0"/>
        <w:jc w:val="both"/>
        <w:rPr>
          <w:sz w:val="24"/>
          <w:szCs w:val="24"/>
        </w:rPr>
      </w:pPr>
      <w:r w:rsidRPr="00A46F86">
        <w:rPr>
          <w:sz w:val="24"/>
          <w:szCs w:val="24"/>
        </w:rPr>
        <w:t>Дружеството дължи пенсионни възнаграждения на служителите си по планове с дефинирани доходи и по планове с дефинирани вноски.</w:t>
      </w:r>
    </w:p>
    <w:p w:rsidR="007A2FA1" w:rsidRPr="00A46F86" w:rsidRDefault="007A2FA1" w:rsidP="007A2FA1">
      <w:pPr>
        <w:tabs>
          <w:tab w:val="left" w:pos="9739"/>
        </w:tabs>
        <w:autoSpaceDE w:val="0"/>
        <w:spacing w:before="120"/>
        <w:jc w:val="both"/>
        <w:rPr>
          <w:sz w:val="24"/>
          <w:szCs w:val="24"/>
        </w:rPr>
      </w:pPr>
      <w:r w:rsidRPr="00A46F86">
        <w:rPr>
          <w:sz w:val="24"/>
          <w:szCs w:val="24"/>
        </w:rPr>
        <w:t>Планове с дефинирани вноски са пенсионни планове, по които Дружеството внася фиксирани вноски в държавни фондове. Дружеството няма други правни или договорни задължения след изплащането на фиксираните вноски. Вноските по плановете с дефинирани вноски се признават за разход в периода, в който съответните услуги са получени от служителя.</w:t>
      </w:r>
    </w:p>
    <w:p w:rsidR="007A2FA1" w:rsidRPr="00A46F86" w:rsidRDefault="007A2FA1" w:rsidP="007A2FA1">
      <w:pPr>
        <w:spacing w:before="120"/>
        <w:jc w:val="both"/>
        <w:rPr>
          <w:sz w:val="24"/>
          <w:szCs w:val="24"/>
        </w:rPr>
      </w:pPr>
      <w:r w:rsidRPr="00A46F86">
        <w:rPr>
          <w:sz w:val="24"/>
          <w:szCs w:val="24"/>
        </w:rPr>
        <w:lastRenderedPageBreak/>
        <w:t>Съгласно изискванията на Кодекса на труда и Колективния трудов договор при прекратяване на трудовото правоотношение, след като служителят е придобил право на пенсия за осигурителен стаж и възраст, Дружеството е задължено да му изплати обезщетение в двукратен размер на брутното трудово възнаграждение.  В случай че  служителят е работил в Дружество или в системата на железопътния превоз през последните 10 години, размерът на обезщетението възлиза на шестмесечния размер на брутното му трудово възна</w:t>
      </w:r>
      <w:r>
        <w:rPr>
          <w:sz w:val="24"/>
          <w:szCs w:val="24"/>
        </w:rPr>
        <w:t xml:space="preserve">граждение. </w:t>
      </w:r>
      <w:r w:rsidRPr="00A46F86">
        <w:rPr>
          <w:sz w:val="24"/>
          <w:szCs w:val="24"/>
        </w:rPr>
        <w:t>Колективния трудов договор опред</w:t>
      </w:r>
      <w:r>
        <w:rPr>
          <w:sz w:val="24"/>
          <w:szCs w:val="24"/>
        </w:rPr>
        <w:t>е</w:t>
      </w:r>
      <w:r w:rsidRPr="00A46F86">
        <w:rPr>
          <w:sz w:val="24"/>
          <w:szCs w:val="24"/>
        </w:rPr>
        <w:t xml:space="preserve">ля </w:t>
      </w:r>
      <w:r>
        <w:rPr>
          <w:sz w:val="24"/>
          <w:szCs w:val="24"/>
        </w:rPr>
        <w:t xml:space="preserve">и </w:t>
      </w:r>
      <w:r w:rsidRPr="00A46F86">
        <w:rPr>
          <w:sz w:val="24"/>
          <w:szCs w:val="24"/>
        </w:rPr>
        <w:t>допълнителни компенсации за някои групи служители.</w:t>
      </w:r>
    </w:p>
    <w:p w:rsidR="007A2FA1" w:rsidRPr="0037395F" w:rsidRDefault="007A2FA1" w:rsidP="007A2FA1">
      <w:pPr>
        <w:spacing w:before="60" w:after="120"/>
        <w:jc w:val="both"/>
        <w:rPr>
          <w:sz w:val="24"/>
          <w:szCs w:val="24"/>
        </w:rPr>
      </w:pPr>
      <w:r w:rsidRPr="00A46F86">
        <w:rPr>
          <w:sz w:val="24"/>
          <w:szCs w:val="24"/>
        </w:rPr>
        <w:t>Дружеството е начислило правно задължение за изплащане на обезщетения на наетите лица при пенсиониране в съответствие с изискванията на МСС 19 „Доходи на наети лица” на база на прогнозирани плащания за следващите пет години, дисконтирани към настоящия момент с дългосрочен лихвен процент на безрискови ценни книжа.</w:t>
      </w:r>
    </w:p>
    <w:p w:rsidR="007A2FA1" w:rsidRPr="000B6A69" w:rsidRDefault="007A2FA1" w:rsidP="007A2FA1">
      <w:pPr>
        <w:jc w:val="both"/>
        <w:rPr>
          <w:sz w:val="24"/>
          <w:szCs w:val="24"/>
        </w:rPr>
      </w:pPr>
      <w:r w:rsidRPr="0037395F">
        <w:rPr>
          <w:sz w:val="24"/>
          <w:szCs w:val="24"/>
        </w:rPr>
        <w:t xml:space="preserve">Дружеството отчита краткосрочни задължения по компенсируеми отпуски, възникнали на база неизползван платен годишен отпуск в случаите, в които се очаква отпуските да възникват в рамките на 12 месеца след датата на отчетния период, през който наетите лица са положили труда, свързан с тези отпуски. Краткосрочните задължения към персонала включват надници, заплати и социални осигуровки. </w:t>
      </w:r>
    </w:p>
    <w:p w:rsidR="007A2FA1" w:rsidRPr="007E7E6A" w:rsidRDefault="007A2FA1" w:rsidP="007A2FA1">
      <w:pPr>
        <w:pStyle w:val="Heading1"/>
        <w:numPr>
          <w:ilvl w:val="1"/>
          <w:numId w:val="10"/>
        </w:numPr>
        <w:spacing w:before="240" w:line="240" w:lineRule="auto"/>
        <w:ind w:left="0" w:firstLine="0"/>
        <w:jc w:val="both"/>
      </w:pPr>
      <w:r w:rsidRPr="007E7E6A">
        <w:t>Провизии, условни пасиви и условни активи</w:t>
      </w:r>
    </w:p>
    <w:p w:rsidR="007A2FA1" w:rsidRDefault="007A2FA1" w:rsidP="007A2FA1">
      <w:pPr>
        <w:spacing w:before="60" w:after="60"/>
        <w:jc w:val="both"/>
        <w:rPr>
          <w:sz w:val="24"/>
          <w:szCs w:val="24"/>
        </w:rPr>
      </w:pPr>
      <w:r w:rsidRPr="007E7E6A">
        <w:rPr>
          <w:sz w:val="24"/>
          <w:szCs w:val="24"/>
        </w:rPr>
        <w:t>Провизиите се признават, когато има вероятност сегашни задължения в резултат от минало събитие да доведат до изходящ поток на ресурси от Дружеството и може да бъде направена надеждна оценка на сумата на задължението. Възможно е срочността или сумата на изходящия паричен поток да е несигурна. Сегашно задължение се поражда от наличието на правно или конструктивно задължение вследствие на минали събития, например гаранции, правни спорове или обременяващи договори. Провизиите за преструктуриране се признават само ако е разработен и приложен подробен формален план за преструктуриране или ръководството е обявило основните моменти на плана за преструктуриране пред тези, които биха били засегнали. Провизии за бъдещи загуби от дейността не се признават.</w:t>
      </w:r>
    </w:p>
    <w:p w:rsidR="007A2FA1" w:rsidRPr="007E7E6A" w:rsidRDefault="007A2FA1" w:rsidP="007A2FA1">
      <w:pPr>
        <w:spacing w:before="60" w:after="60"/>
        <w:jc w:val="both"/>
        <w:rPr>
          <w:sz w:val="24"/>
          <w:szCs w:val="24"/>
        </w:rPr>
      </w:pPr>
      <w:r w:rsidRPr="007E7E6A">
        <w:rPr>
          <w:sz w:val="24"/>
          <w:szCs w:val="24"/>
        </w:rPr>
        <w:t>Сумата, която се признава като провизия, се изчислява на база най-надеждната оценка на разходите, необходими за уреждане на сегашно задължение към края на отчетния период, като се вземат в предвид рисковете и несигурността, свързани със сегашното задължение. Когато съществуват редица подобни задължения, вероятната необходимост от изходящ поток за погасяване на задължението се определя, като се отчете групата на задълженията като цяло. Провизиите се дисконтират, когато ефектът от времевите разлики в стойността на парите е значителен.</w:t>
      </w:r>
    </w:p>
    <w:p w:rsidR="007A2FA1" w:rsidRPr="007E7E6A" w:rsidRDefault="007A2FA1" w:rsidP="007A2FA1">
      <w:pPr>
        <w:spacing w:before="60" w:after="60"/>
        <w:jc w:val="both"/>
        <w:rPr>
          <w:sz w:val="24"/>
          <w:szCs w:val="24"/>
        </w:rPr>
      </w:pPr>
      <w:r w:rsidRPr="007E7E6A">
        <w:rPr>
          <w:sz w:val="24"/>
          <w:szCs w:val="24"/>
        </w:rPr>
        <w:t xml:space="preserve">Обезщетения от трети лица във връзка с дадено задължение, за които Дружеството е  сигурно, че ще получи, се признават като отделен актив. Този актив може и да не надвишава стойността на съответната провизия. </w:t>
      </w:r>
    </w:p>
    <w:p w:rsidR="007A2FA1" w:rsidRPr="007E7E6A" w:rsidRDefault="007A2FA1" w:rsidP="007A2FA1">
      <w:pPr>
        <w:spacing w:before="60" w:after="60"/>
        <w:jc w:val="both"/>
        <w:rPr>
          <w:sz w:val="24"/>
          <w:szCs w:val="24"/>
        </w:rPr>
      </w:pPr>
      <w:r w:rsidRPr="007E7E6A">
        <w:rPr>
          <w:sz w:val="24"/>
          <w:szCs w:val="24"/>
        </w:rPr>
        <w:t xml:space="preserve">Провизиите се преразглеждат към края на всеки отчетен период и стойността им се коригира, за да се отрази най-добрата приблизителна оценка. </w:t>
      </w:r>
    </w:p>
    <w:p w:rsidR="007A2FA1" w:rsidRPr="007E7E6A" w:rsidRDefault="007A2FA1" w:rsidP="007A2FA1">
      <w:pPr>
        <w:spacing w:before="60" w:after="60"/>
        <w:jc w:val="both"/>
        <w:rPr>
          <w:sz w:val="24"/>
          <w:szCs w:val="24"/>
        </w:rPr>
      </w:pPr>
      <w:r w:rsidRPr="007E7E6A">
        <w:rPr>
          <w:sz w:val="24"/>
          <w:szCs w:val="24"/>
        </w:rPr>
        <w:t>В случаите, в които се счита, че е малко вероятно да възникне изходящ поток на икономически ресурси в резултат на текущо задължение, пасив не се признава. Условните пасиви следва да се оценяват последващо по по-високата стойност между описаната по-горе сравнима провизия и първоначално признатата сума, намалена с натрупаната амортизация.</w:t>
      </w:r>
    </w:p>
    <w:p w:rsidR="007A2FA1" w:rsidRPr="007E7E6A" w:rsidRDefault="007A2FA1" w:rsidP="007A2FA1">
      <w:pPr>
        <w:spacing w:before="60" w:after="120"/>
        <w:jc w:val="both"/>
        <w:rPr>
          <w:sz w:val="24"/>
          <w:szCs w:val="24"/>
        </w:rPr>
      </w:pPr>
      <w:r w:rsidRPr="007E7E6A">
        <w:rPr>
          <w:sz w:val="24"/>
          <w:szCs w:val="24"/>
        </w:rPr>
        <w:t xml:space="preserve">Вероятни входящи потоци на икономически ползи, които все още не отговарят на критериите за признаване на актив, се смятат за условни активи. </w:t>
      </w:r>
    </w:p>
    <w:p w:rsidR="007A2FA1" w:rsidRPr="007E7E6A" w:rsidRDefault="007A2FA1" w:rsidP="007A2FA1">
      <w:pPr>
        <w:pStyle w:val="Heading1"/>
        <w:numPr>
          <w:ilvl w:val="1"/>
          <w:numId w:val="10"/>
        </w:numPr>
        <w:spacing w:before="240" w:line="240" w:lineRule="auto"/>
        <w:ind w:left="0" w:firstLine="0"/>
        <w:jc w:val="both"/>
      </w:pPr>
      <w:bookmarkStart w:id="14" w:name="_Ref248331039"/>
      <w:r w:rsidRPr="007E7E6A">
        <w:lastRenderedPageBreak/>
        <w:t>Несигурност на счетоводните приблизителни оценки</w:t>
      </w:r>
      <w:bookmarkEnd w:id="14"/>
    </w:p>
    <w:p w:rsidR="007A2FA1" w:rsidRPr="007E7E6A" w:rsidRDefault="007A2FA1" w:rsidP="007A2FA1">
      <w:pPr>
        <w:spacing w:before="120" w:after="120"/>
        <w:jc w:val="both"/>
        <w:rPr>
          <w:sz w:val="24"/>
          <w:szCs w:val="24"/>
        </w:rPr>
      </w:pPr>
      <w:r w:rsidRPr="007E7E6A">
        <w:rPr>
          <w:sz w:val="24"/>
          <w:szCs w:val="24"/>
        </w:rPr>
        <w:t>При изготвянето на финансовия отчет ръководството прави редица предположения, оценки и допускания относно признаването и оценяването на активи, пасиви, приходи и разходи.</w:t>
      </w:r>
    </w:p>
    <w:p w:rsidR="007A2FA1" w:rsidRPr="007E7E6A" w:rsidRDefault="007A2FA1" w:rsidP="007A2FA1">
      <w:pPr>
        <w:spacing w:before="120" w:after="120"/>
        <w:jc w:val="both"/>
        <w:rPr>
          <w:sz w:val="24"/>
          <w:szCs w:val="24"/>
        </w:rPr>
      </w:pPr>
      <w:r w:rsidRPr="007E7E6A">
        <w:rPr>
          <w:sz w:val="24"/>
          <w:szCs w:val="24"/>
        </w:rPr>
        <w:t>Действителните резултати могат да се различават от предположенията, оценките и допусканията на ръководството и в редки случаи съответстват напълно на предварително оценените резултати.</w:t>
      </w:r>
    </w:p>
    <w:p w:rsidR="007A2FA1" w:rsidRDefault="007A2FA1" w:rsidP="007A2FA1">
      <w:pPr>
        <w:spacing w:before="120" w:after="120"/>
        <w:jc w:val="both"/>
        <w:rPr>
          <w:sz w:val="24"/>
          <w:szCs w:val="24"/>
        </w:rPr>
      </w:pPr>
      <w:r w:rsidRPr="007E7E6A">
        <w:rPr>
          <w:sz w:val="24"/>
          <w:szCs w:val="24"/>
        </w:rPr>
        <w:t>Информация относно съществените предположения, оценки и допускания, които оказват най-значително влияние върху признаването и оценяването на активи, пасиви, приходи и разходи е представена по-долу.</w:t>
      </w:r>
    </w:p>
    <w:p w:rsidR="007A2FA1" w:rsidRPr="007E7E6A" w:rsidRDefault="007A2FA1" w:rsidP="007A2FA1">
      <w:pPr>
        <w:pStyle w:val="Heading1"/>
        <w:numPr>
          <w:ilvl w:val="2"/>
          <w:numId w:val="10"/>
        </w:numPr>
        <w:spacing w:before="240" w:line="240" w:lineRule="auto"/>
        <w:ind w:hanging="505"/>
        <w:jc w:val="both"/>
      </w:pPr>
      <w:r>
        <w:t>Класифициране на инвестициите на Дружеството</w:t>
      </w:r>
    </w:p>
    <w:p w:rsidR="007A2FA1" w:rsidRPr="00806446" w:rsidRDefault="007A2FA1" w:rsidP="007A2FA1">
      <w:pPr>
        <w:autoSpaceDE w:val="0"/>
        <w:autoSpaceDN w:val="0"/>
        <w:adjustRightInd w:val="0"/>
        <w:jc w:val="both"/>
        <w:rPr>
          <w:sz w:val="24"/>
          <w:szCs w:val="24"/>
        </w:rPr>
      </w:pPr>
      <w:r w:rsidRPr="00806446">
        <w:rPr>
          <w:sz w:val="24"/>
          <w:szCs w:val="24"/>
        </w:rPr>
        <w:t>През периода ръководството на дружеството е направило преглед на инвестициите в дъщерни и асоциирани предприятия, в резултат на което част от инвестициите са рекласифицирани в дългосрочни финансови активи, а друга част като краткосрочни финансови активи на разположение за продажба, тъй като е взето решение за тяхното освобождаване.</w:t>
      </w:r>
    </w:p>
    <w:p w:rsidR="007A2FA1" w:rsidRPr="00806446" w:rsidRDefault="007A2FA1" w:rsidP="007A2FA1">
      <w:pPr>
        <w:autoSpaceDE w:val="0"/>
        <w:autoSpaceDN w:val="0"/>
        <w:adjustRightInd w:val="0"/>
        <w:jc w:val="both"/>
        <w:rPr>
          <w:sz w:val="24"/>
          <w:szCs w:val="24"/>
        </w:rPr>
      </w:pPr>
    </w:p>
    <w:p w:rsidR="007A2FA1" w:rsidRPr="00806446" w:rsidRDefault="007A2FA1" w:rsidP="007A2FA1">
      <w:pPr>
        <w:autoSpaceDE w:val="0"/>
        <w:autoSpaceDN w:val="0"/>
        <w:adjustRightInd w:val="0"/>
        <w:jc w:val="both"/>
        <w:rPr>
          <w:sz w:val="24"/>
          <w:szCs w:val="24"/>
        </w:rPr>
      </w:pPr>
      <w:r w:rsidRPr="00806446">
        <w:rPr>
          <w:sz w:val="24"/>
          <w:szCs w:val="24"/>
        </w:rPr>
        <w:t xml:space="preserve">През 2014 г. поради възобновена процедура по приватизация е извършена рекласификация на инвестицията в дъщерното предприятие „БДЖ - Товарни Превози“ ЕООД, която е 100% собственост на „Холдинг БДЖ“ ЕАД, от инвестиции в дъщерни предприятия  в активи, класифицирани като държани за продажба. </w:t>
      </w:r>
    </w:p>
    <w:p w:rsidR="007A2FA1" w:rsidRPr="00806446" w:rsidRDefault="007A2FA1" w:rsidP="007A2FA1">
      <w:pPr>
        <w:autoSpaceDE w:val="0"/>
        <w:autoSpaceDN w:val="0"/>
        <w:adjustRightInd w:val="0"/>
        <w:jc w:val="both"/>
        <w:rPr>
          <w:sz w:val="24"/>
          <w:szCs w:val="24"/>
        </w:rPr>
      </w:pPr>
    </w:p>
    <w:p w:rsidR="007A2FA1" w:rsidRPr="00806446" w:rsidRDefault="007A2FA1" w:rsidP="007A2FA1">
      <w:pPr>
        <w:autoSpaceDE w:val="0"/>
        <w:autoSpaceDN w:val="0"/>
        <w:adjustRightInd w:val="0"/>
        <w:jc w:val="both"/>
        <w:rPr>
          <w:sz w:val="24"/>
          <w:szCs w:val="24"/>
        </w:rPr>
      </w:pPr>
      <w:r w:rsidRPr="00806446">
        <w:rPr>
          <w:sz w:val="24"/>
          <w:szCs w:val="24"/>
        </w:rPr>
        <w:t>Дългосрочни финансови активи, представляващи притежавана от Дружеството инвестиция в капитала на „Алианц България“ ЗАД е рекласифицирана в Краткосрочни финансови активи, поради възобновени планове на ръководството относно нейното освобождаване.</w:t>
      </w:r>
    </w:p>
    <w:p w:rsidR="007A2FA1" w:rsidRPr="007E7E6A" w:rsidRDefault="007A2FA1" w:rsidP="007A2FA1">
      <w:pPr>
        <w:pStyle w:val="Heading1"/>
        <w:numPr>
          <w:ilvl w:val="2"/>
          <w:numId w:val="10"/>
        </w:numPr>
        <w:spacing w:before="240" w:line="240" w:lineRule="auto"/>
        <w:ind w:hanging="505"/>
        <w:jc w:val="both"/>
      </w:pPr>
      <w:bookmarkStart w:id="15" w:name="_Ref390174803"/>
      <w:r w:rsidRPr="007E7E6A">
        <w:t>Отсрочени данъчни активи</w:t>
      </w:r>
      <w:bookmarkEnd w:id="15"/>
    </w:p>
    <w:p w:rsidR="007A2FA1" w:rsidRPr="000B6A69" w:rsidRDefault="007A2FA1" w:rsidP="007A2FA1">
      <w:pPr>
        <w:spacing w:before="120" w:after="120"/>
        <w:jc w:val="both"/>
        <w:rPr>
          <w:sz w:val="24"/>
          <w:szCs w:val="24"/>
        </w:rPr>
      </w:pPr>
      <w:r w:rsidRPr="007E7E6A">
        <w:rPr>
          <w:sz w:val="24"/>
          <w:szCs w:val="24"/>
        </w:rPr>
        <w:t>Оценката на вероятността за бъдещи облагаеми доходи за усвояването на отсрочени данъчни активи се базира на последната одобрена бюджетна прогноза, коригирана относно значими необлагаеми приходи и разходи и специфични ограничения за пренасяне на неизползвани данъчни загуби или кредити. Ако надеждна прогноза за облагаем доход предполага вероятното използване на отсрочен данъчен актив особено в случаи, когато активът може да се употреби без времево ограничение, тогава отсроченият данъчен актив се признава изцяло. Признаването на отсрочени данъчни активи, които подлежат на определени правни или икономически ограничения или несигурност, се преценява от ръководството за всеки отделен случай на базата на специфичните факти и обстоятелства.</w:t>
      </w:r>
    </w:p>
    <w:p w:rsidR="007A2FA1" w:rsidRPr="007E7E6A" w:rsidRDefault="007A2FA1" w:rsidP="007A2FA1">
      <w:pPr>
        <w:pStyle w:val="Heading1"/>
        <w:numPr>
          <w:ilvl w:val="2"/>
          <w:numId w:val="10"/>
        </w:numPr>
        <w:spacing w:before="240" w:line="240" w:lineRule="auto"/>
        <w:ind w:hanging="505"/>
        <w:jc w:val="both"/>
      </w:pPr>
      <w:r w:rsidRPr="007E7E6A">
        <w:t>Обезценка</w:t>
      </w:r>
    </w:p>
    <w:p w:rsidR="007A2FA1" w:rsidRDefault="007A2FA1" w:rsidP="007A2FA1">
      <w:pPr>
        <w:autoSpaceDE w:val="0"/>
        <w:autoSpaceDN w:val="0"/>
        <w:adjustRightInd w:val="0"/>
        <w:jc w:val="both"/>
        <w:rPr>
          <w:sz w:val="24"/>
          <w:szCs w:val="24"/>
        </w:rPr>
      </w:pPr>
      <w:r w:rsidRPr="007E7E6A">
        <w:rPr>
          <w:sz w:val="24"/>
          <w:szCs w:val="24"/>
        </w:rPr>
        <w:t xml:space="preserve">Ако има обективни доказателства, че е възникнала загуба от обезценка от кредити и вземания, сумата на загубата се оценява като разлика между балансовата стойност на актива и настоящата стойност на очакваните бъдещи парични потоци (с изключение на бъдещите кредитни загуби, които не са възникнали), дисконтирани с първоначалния ефективен лихвен процент за финансовия актив (т.е. ефективният лихвен процент, изчислен при първоначалното признаване). Сумата на загубата се признава в печалбата или загубата. Предприятието първо преценява дали съществува обективно доказателство </w:t>
      </w:r>
      <w:r w:rsidRPr="007E7E6A">
        <w:rPr>
          <w:sz w:val="24"/>
          <w:szCs w:val="24"/>
        </w:rPr>
        <w:lastRenderedPageBreak/>
        <w:t>за обезценка отделно за финансови активи, които са индивидуално значими, и отделно или заедно за финансови активи, които не са индивидуално значими.</w:t>
      </w:r>
    </w:p>
    <w:p w:rsidR="007A2FA1" w:rsidRPr="007E7E6A" w:rsidRDefault="007A2FA1" w:rsidP="007A2FA1">
      <w:pPr>
        <w:autoSpaceDE w:val="0"/>
        <w:autoSpaceDN w:val="0"/>
        <w:adjustRightInd w:val="0"/>
        <w:jc w:val="both"/>
        <w:rPr>
          <w:sz w:val="24"/>
          <w:szCs w:val="24"/>
        </w:rPr>
      </w:pPr>
      <w:r w:rsidRPr="007E7E6A">
        <w:rPr>
          <w:sz w:val="24"/>
          <w:szCs w:val="24"/>
        </w:rPr>
        <w:t>Ако в следващ период сумата на загубата от обезценка намалее и спадът може по обективен начин да се свърже със събитие, което възниква, след като обезценката е призната, преди това признатите загуби от обезценка се възстановяват. Възстановяването не води до балансова стойност на финансовия актив, която да надвишава онази амортизирана стойност, която би била на датата на възстановяването, ако не е била призната загуба от обезценка. Възстановената сума се признава в печалбата или загубата.</w:t>
      </w:r>
    </w:p>
    <w:p w:rsidR="007A2FA1" w:rsidRPr="007E7E6A" w:rsidRDefault="007A2FA1" w:rsidP="007A2FA1">
      <w:pPr>
        <w:spacing w:before="120" w:after="120"/>
        <w:jc w:val="both"/>
        <w:rPr>
          <w:sz w:val="24"/>
          <w:szCs w:val="24"/>
        </w:rPr>
      </w:pPr>
      <w:r w:rsidRPr="007E7E6A">
        <w:rPr>
          <w:sz w:val="24"/>
          <w:szCs w:val="24"/>
        </w:rPr>
        <w:t>При изчисляване на очакваните бъдещи парични потоци ръководството прави предположения относно бъдещите брутни печалби. Тези предположения са свързани с бъдещи събития и обстоятелства. Действителните резултати могат да се различават и да наложат значителни корекции в активите на Дружеството през следващата отчетна година.</w:t>
      </w:r>
    </w:p>
    <w:p w:rsidR="007A2FA1" w:rsidRPr="007E7E6A" w:rsidRDefault="007A2FA1" w:rsidP="007A2FA1">
      <w:pPr>
        <w:spacing w:before="120" w:after="120"/>
        <w:jc w:val="both"/>
        <w:rPr>
          <w:sz w:val="24"/>
          <w:szCs w:val="24"/>
        </w:rPr>
      </w:pPr>
      <w:r w:rsidRPr="007E7E6A">
        <w:rPr>
          <w:sz w:val="24"/>
          <w:szCs w:val="24"/>
        </w:rPr>
        <w:t>В повечето случаи при определянето на приложимия дисконтов фактор се прави оценка на подходящите корекции във връзка с пазарния риск и рисковите фактори, които са специфични за отделните активи.</w:t>
      </w:r>
    </w:p>
    <w:p w:rsidR="007A2FA1" w:rsidRPr="007E7E6A" w:rsidRDefault="007A2FA1" w:rsidP="007A2FA1">
      <w:pPr>
        <w:pStyle w:val="Heading1"/>
        <w:numPr>
          <w:ilvl w:val="2"/>
          <w:numId w:val="10"/>
        </w:numPr>
        <w:rPr>
          <w:b w:val="0"/>
          <w:bCs w:val="0"/>
        </w:rPr>
      </w:pPr>
      <w:r w:rsidRPr="007E7E6A">
        <w:t>Полезен живот на амортизируеми активи</w:t>
      </w:r>
    </w:p>
    <w:p w:rsidR="007A2FA1" w:rsidRPr="007E7E6A" w:rsidRDefault="007A2FA1" w:rsidP="007A2FA1">
      <w:pPr>
        <w:spacing w:before="120" w:after="120"/>
        <w:jc w:val="both"/>
        <w:rPr>
          <w:sz w:val="24"/>
          <w:szCs w:val="24"/>
        </w:rPr>
      </w:pPr>
      <w:r w:rsidRPr="007E7E6A">
        <w:rPr>
          <w:sz w:val="24"/>
          <w:szCs w:val="24"/>
        </w:rPr>
        <w:t>Ръководството преразглежда полезния живот на амортизируемите активи в края на всеки отчетен период.</w:t>
      </w:r>
    </w:p>
    <w:p w:rsidR="007A2FA1" w:rsidRDefault="007A2FA1" w:rsidP="007A2FA1">
      <w:pPr>
        <w:spacing w:before="120" w:after="120"/>
        <w:jc w:val="both"/>
        <w:rPr>
          <w:sz w:val="24"/>
          <w:szCs w:val="24"/>
        </w:rPr>
      </w:pPr>
      <w:r w:rsidRPr="007E7E6A">
        <w:rPr>
          <w:sz w:val="24"/>
          <w:szCs w:val="24"/>
        </w:rPr>
        <w:t>Към 3</w:t>
      </w:r>
      <w:r w:rsidR="00B43EE3">
        <w:rPr>
          <w:sz w:val="24"/>
          <w:szCs w:val="24"/>
        </w:rPr>
        <w:t>0 юни</w:t>
      </w:r>
      <w:r w:rsidRPr="007E7E6A">
        <w:rPr>
          <w:sz w:val="24"/>
          <w:szCs w:val="24"/>
        </w:rPr>
        <w:t xml:space="preserve"> 201</w:t>
      </w:r>
      <w:r w:rsidR="00B43EE3">
        <w:rPr>
          <w:sz w:val="24"/>
          <w:szCs w:val="24"/>
        </w:rPr>
        <w:t>6</w:t>
      </w:r>
      <w:r w:rsidRPr="007E7E6A">
        <w:rPr>
          <w:sz w:val="24"/>
          <w:szCs w:val="24"/>
        </w:rPr>
        <w:t xml:space="preserve"> г. ръководството определя полезния живот на активите, който представлява очакваният срок на ползване на активите от Дружеството. Действителният полезен живот може да се различава от направената оценка поради техническо и морално изхабяване, предимно на софтуерни продукти и компютърно оборудване.</w:t>
      </w:r>
    </w:p>
    <w:p w:rsidR="007A2FA1" w:rsidRDefault="007A2FA1" w:rsidP="007A2FA1">
      <w:pPr>
        <w:spacing w:before="120" w:after="120"/>
        <w:jc w:val="both"/>
        <w:rPr>
          <w:sz w:val="24"/>
          <w:szCs w:val="24"/>
        </w:rPr>
      </w:pPr>
    </w:p>
    <w:p w:rsidR="007A2FA1" w:rsidRPr="006667E2" w:rsidRDefault="007A2FA1" w:rsidP="007A2FA1">
      <w:pPr>
        <w:numPr>
          <w:ilvl w:val="2"/>
          <w:numId w:val="10"/>
        </w:numPr>
        <w:spacing w:before="120" w:after="120"/>
        <w:jc w:val="both"/>
        <w:rPr>
          <w:b/>
          <w:color w:val="5D2884"/>
          <w:sz w:val="24"/>
          <w:szCs w:val="24"/>
        </w:rPr>
      </w:pPr>
      <w:r w:rsidRPr="006667E2">
        <w:rPr>
          <w:b/>
          <w:color w:val="5D2884"/>
          <w:sz w:val="24"/>
          <w:szCs w:val="24"/>
        </w:rPr>
        <w:t>Обезценка на нефинансови активи</w:t>
      </w:r>
    </w:p>
    <w:p w:rsidR="007A2FA1" w:rsidRDefault="007A2FA1" w:rsidP="007A2FA1">
      <w:pPr>
        <w:pStyle w:val="ListParagraph"/>
        <w:spacing w:before="120" w:after="120"/>
        <w:ind w:left="0"/>
        <w:jc w:val="both"/>
        <w:rPr>
          <w:sz w:val="24"/>
          <w:szCs w:val="24"/>
          <w:shd w:val="clear" w:color="auto" w:fill="FFFFFF"/>
        </w:rPr>
      </w:pPr>
      <w:r w:rsidRPr="006667E2">
        <w:rPr>
          <w:sz w:val="24"/>
          <w:szCs w:val="24"/>
          <w:shd w:val="clear" w:color="auto" w:fill="FFFFFF"/>
        </w:rPr>
        <w:t>За загуба от обезценка се признава сумата, с която балансовата стойност на даден актив или единица, генерираща парични потоци, превишава възстановимата им стойност, която е по-високата от справедливата стойност, намалена с разходите по продажба на даден актив, и неговата стойност в употреба. За да определи стойността в употреба, ръководството на Дружеството изчислява очакваните бъдещи парични потоци за всяка единица, генерираща парични потоци, и определя подходящия дисконтов фактор с цел калкулиране на настоящата стойност на тези парични потоци. При изчисляване на очакваните бъдещи парични потоци ръководството прави предположения относно бъдещите брутни печалби. Тези предположения са свързани с бъдещи събития и обстоятелства. Действителните резултати могат да се различават и да наложат значителни корекции в активите на Дружеството през следващата отчетна година.</w:t>
      </w:r>
    </w:p>
    <w:p w:rsidR="007A2FA1" w:rsidRPr="006667E2" w:rsidRDefault="007A2FA1" w:rsidP="007A2FA1">
      <w:pPr>
        <w:pStyle w:val="ListParagraph"/>
        <w:spacing w:before="120" w:after="120"/>
        <w:ind w:left="0"/>
        <w:jc w:val="both"/>
        <w:rPr>
          <w:sz w:val="24"/>
          <w:szCs w:val="24"/>
          <w:shd w:val="clear" w:color="auto" w:fill="FFFFFF"/>
        </w:rPr>
      </w:pPr>
    </w:p>
    <w:p w:rsidR="007A2FA1" w:rsidRPr="006667E2" w:rsidRDefault="007A2FA1" w:rsidP="007A2FA1">
      <w:pPr>
        <w:numPr>
          <w:ilvl w:val="2"/>
          <w:numId w:val="10"/>
        </w:numPr>
        <w:spacing w:before="120" w:after="120"/>
        <w:ind w:left="1224"/>
        <w:jc w:val="both"/>
        <w:rPr>
          <w:b/>
          <w:color w:val="5D2884"/>
          <w:sz w:val="24"/>
          <w:szCs w:val="24"/>
        </w:rPr>
      </w:pPr>
      <w:r w:rsidRPr="006667E2">
        <w:rPr>
          <w:b/>
          <w:color w:val="5D2884"/>
          <w:sz w:val="24"/>
          <w:szCs w:val="24"/>
        </w:rPr>
        <w:t>Материални запаси</w:t>
      </w:r>
    </w:p>
    <w:p w:rsidR="007A2FA1" w:rsidRDefault="007A2FA1" w:rsidP="007A2FA1">
      <w:pPr>
        <w:spacing w:before="120" w:after="120"/>
        <w:jc w:val="both"/>
        <w:rPr>
          <w:sz w:val="24"/>
          <w:szCs w:val="24"/>
        </w:rPr>
      </w:pPr>
      <w:r w:rsidRPr="006667E2">
        <w:rPr>
          <w:sz w:val="24"/>
          <w:szCs w:val="24"/>
        </w:rPr>
        <w:t>Материалните запаси се оценяват по по-ниската стойност от цената на придобиване и нетната реализуема стойност. При определяне на нетната реализуема стойност ръководството взема предвид най-надеждната налична информация към датата на приблизителната оценка.</w:t>
      </w:r>
    </w:p>
    <w:p w:rsidR="007A2FA1" w:rsidRPr="006667E2" w:rsidRDefault="007A2FA1" w:rsidP="007A2FA1">
      <w:pPr>
        <w:spacing w:before="120" w:after="120"/>
        <w:jc w:val="both"/>
        <w:rPr>
          <w:b/>
          <w:color w:val="5D2884"/>
          <w:sz w:val="24"/>
          <w:szCs w:val="24"/>
        </w:rPr>
      </w:pPr>
    </w:p>
    <w:p w:rsidR="007A2FA1" w:rsidRPr="007E7E6A" w:rsidRDefault="007A2FA1" w:rsidP="007A2FA1">
      <w:pPr>
        <w:pStyle w:val="Heading1"/>
        <w:numPr>
          <w:ilvl w:val="2"/>
          <w:numId w:val="10"/>
        </w:numPr>
        <w:spacing w:before="240"/>
        <w:ind w:hanging="505"/>
      </w:pPr>
      <w:r w:rsidRPr="007E7E6A">
        <w:lastRenderedPageBreak/>
        <w:t xml:space="preserve">Провизии </w:t>
      </w:r>
    </w:p>
    <w:p w:rsidR="00B6463D" w:rsidRDefault="007A2FA1" w:rsidP="007A2FA1">
      <w:pPr>
        <w:spacing w:before="120" w:after="120"/>
        <w:jc w:val="both"/>
        <w:rPr>
          <w:sz w:val="24"/>
          <w:szCs w:val="24"/>
        </w:rPr>
      </w:pPr>
      <w:r w:rsidRPr="00637745">
        <w:rPr>
          <w:sz w:val="24"/>
          <w:szCs w:val="24"/>
        </w:rPr>
        <w:t>Дружеството е ответник по няколко съдебни дела към настоящия момент, чийто изход може да доведе до задължения на стойност, различна от сумата на признатите във финансовия отчет провизии. Провизиите нямат да бъдат разглеждани тук по-подробно, за да се избегнат предубеждения, свързани с позицията на Дружеството в горепосочените спорове.</w:t>
      </w:r>
    </w:p>
    <w:p w:rsidR="00B6463D" w:rsidRDefault="00B6463D" w:rsidP="00285092">
      <w:pPr>
        <w:pStyle w:val="BodyText"/>
        <w:jc w:val="both"/>
        <w:rPr>
          <w:sz w:val="24"/>
          <w:szCs w:val="24"/>
        </w:rPr>
      </w:pPr>
      <w:bookmarkStart w:id="16" w:name="_Ref248330040"/>
      <w:bookmarkStart w:id="17" w:name="_Ref250229019"/>
      <w:bookmarkStart w:id="18" w:name="_Ref390158451"/>
      <w:bookmarkEnd w:id="16"/>
      <w:bookmarkEnd w:id="17"/>
      <w:bookmarkEnd w:id="18"/>
    </w:p>
    <w:sectPr w:rsidR="00B6463D" w:rsidSect="009301C6">
      <w:footerReference w:type="default" r:id="rId12"/>
      <w:pgSz w:w="11907" w:h="16839" w:code="9"/>
      <w:pgMar w:top="1728" w:right="1440" w:bottom="1417" w:left="1440" w:header="706" w:footer="56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6EA" w:rsidRDefault="007C16EA">
      <w:r>
        <w:separator/>
      </w:r>
    </w:p>
  </w:endnote>
  <w:endnote w:type="continuationSeparator" w:id="0">
    <w:p w:rsidR="007C16EA" w:rsidRDefault="007C16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imHei">
    <w:altName w:val="黑体"/>
    <w:panose1 w:val="02010609060101010101"/>
    <w:charset w:val="86"/>
    <w:family w:val="modern"/>
    <w:notTrueType/>
    <w:pitch w:val="fixed"/>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imes">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E34" w:rsidRPr="00E9411B" w:rsidRDefault="00513E34" w:rsidP="0020006F">
    <w:pPr>
      <w:pStyle w:val="Footer"/>
      <w:rPr>
        <w:rFonts w:ascii="Garamond" w:hAnsi="Garamond" w:cs="Garamond"/>
        <w:b w:val="0"/>
        <w:bCs w:val="0"/>
        <w:sz w:val="22"/>
        <w:szCs w:val="22"/>
        <w:lang w:val="ru-RU"/>
      </w:rPr>
    </w:pPr>
  </w:p>
  <w:p w:rsidR="00513E34" w:rsidRPr="00E9411B" w:rsidRDefault="00513E34" w:rsidP="0020006F">
    <w:pPr>
      <w:pStyle w:val="Footer"/>
      <w:rPr>
        <w:lang w:val="ru-RU"/>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E34" w:rsidRPr="000011C0" w:rsidRDefault="00513E34" w:rsidP="000011C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E34" w:rsidRPr="000011C0" w:rsidRDefault="00513E34" w:rsidP="000011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6EA" w:rsidRDefault="007C16EA">
      <w:r>
        <w:separator/>
      </w:r>
    </w:p>
  </w:footnote>
  <w:footnote w:type="continuationSeparator" w:id="0">
    <w:p w:rsidR="007C16EA" w:rsidRDefault="007C16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E34" w:rsidRPr="00335019" w:rsidRDefault="00CB2EFA" w:rsidP="00255256">
    <w:pPr>
      <w:pStyle w:val="Header"/>
      <w:framePr w:wrap="auto" w:vAnchor="text" w:hAnchor="page" w:x="10420" w:y="39"/>
      <w:rPr>
        <w:rStyle w:val="PageNumber"/>
        <w:rFonts w:ascii="Garamond" w:hAnsi="Garamond" w:cs="Garamond"/>
        <w:b w:val="0"/>
        <w:bCs w:val="0"/>
        <w:sz w:val="24"/>
        <w:szCs w:val="24"/>
      </w:rPr>
    </w:pPr>
    <w:r w:rsidRPr="00335019">
      <w:rPr>
        <w:rStyle w:val="PageNumber"/>
        <w:rFonts w:ascii="Garamond" w:hAnsi="Garamond" w:cs="Garamond"/>
        <w:b w:val="0"/>
        <w:bCs w:val="0"/>
        <w:sz w:val="24"/>
        <w:szCs w:val="24"/>
      </w:rPr>
      <w:fldChar w:fldCharType="begin"/>
    </w:r>
    <w:r w:rsidR="00513E34" w:rsidRPr="00335019">
      <w:rPr>
        <w:rStyle w:val="PageNumber"/>
        <w:rFonts w:ascii="Garamond" w:hAnsi="Garamond" w:cs="Garamond"/>
        <w:b w:val="0"/>
        <w:bCs w:val="0"/>
        <w:sz w:val="24"/>
        <w:szCs w:val="24"/>
      </w:rPr>
      <w:instrText xml:space="preserve">PAGE  </w:instrText>
    </w:r>
    <w:r w:rsidRPr="00335019">
      <w:rPr>
        <w:rStyle w:val="PageNumber"/>
        <w:rFonts w:ascii="Garamond" w:hAnsi="Garamond" w:cs="Garamond"/>
        <w:b w:val="0"/>
        <w:bCs w:val="0"/>
        <w:sz w:val="24"/>
        <w:szCs w:val="24"/>
      </w:rPr>
      <w:fldChar w:fldCharType="separate"/>
    </w:r>
    <w:r w:rsidR="00D726D9">
      <w:rPr>
        <w:rStyle w:val="PageNumber"/>
        <w:rFonts w:ascii="Garamond" w:hAnsi="Garamond" w:cs="Garamond"/>
        <w:b w:val="0"/>
        <w:bCs w:val="0"/>
        <w:noProof/>
        <w:sz w:val="24"/>
        <w:szCs w:val="24"/>
      </w:rPr>
      <w:t>2</w:t>
    </w:r>
    <w:r w:rsidRPr="00335019">
      <w:rPr>
        <w:rStyle w:val="PageNumber"/>
        <w:rFonts w:ascii="Garamond" w:hAnsi="Garamond" w:cs="Garamond"/>
        <w:b w:val="0"/>
        <w:bCs w:val="0"/>
        <w:sz w:val="24"/>
        <w:szCs w:val="24"/>
      </w:rPr>
      <w:fldChar w:fldCharType="end"/>
    </w:r>
  </w:p>
  <w:p w:rsidR="00513E34" w:rsidRPr="005E64B2" w:rsidRDefault="00513E34" w:rsidP="0020006F">
    <w:pPr>
      <w:pStyle w:val="Header"/>
      <w:ind w:right="360"/>
      <w:rPr>
        <w:rFonts w:ascii="Garamond" w:hAnsi="Garamond" w:cs="Garamond"/>
        <w:b w:val="0"/>
        <w:bCs w:val="0"/>
        <w:sz w:val="24"/>
        <w:szCs w:val="24"/>
        <w:lang w:val="bg-BG"/>
      </w:rPr>
    </w:pPr>
    <w:r>
      <w:rPr>
        <w:rFonts w:ascii="Garamond" w:hAnsi="Garamond" w:cs="Garamond"/>
        <w:b w:val="0"/>
        <w:bCs w:val="0"/>
        <w:sz w:val="24"/>
        <w:szCs w:val="24"/>
        <w:lang w:val="bg-BG"/>
      </w:rPr>
      <w:t>„Холдинг БДЖ“ ЕАД</w:t>
    </w:r>
  </w:p>
  <w:p w:rsidR="00513E34" w:rsidRPr="005E64B2" w:rsidRDefault="00513E34" w:rsidP="004A0C39">
    <w:pPr>
      <w:pStyle w:val="Header"/>
      <w:rPr>
        <w:rFonts w:ascii="Garamond" w:hAnsi="Garamond" w:cs="Garamond"/>
        <w:b w:val="0"/>
        <w:bCs w:val="0"/>
        <w:sz w:val="24"/>
        <w:szCs w:val="24"/>
        <w:lang w:val="bg-BG"/>
      </w:rPr>
    </w:pPr>
    <w:r>
      <w:rPr>
        <w:rFonts w:ascii="Garamond" w:hAnsi="Garamond" w:cs="Garamond"/>
        <w:b w:val="0"/>
        <w:bCs w:val="0"/>
        <w:sz w:val="24"/>
        <w:szCs w:val="24"/>
        <w:lang w:val="bg-BG"/>
      </w:rPr>
      <w:t>Междинен съкратен индивидуален ф</w:t>
    </w:r>
    <w:r w:rsidRPr="005E64B2">
      <w:rPr>
        <w:rFonts w:ascii="Garamond" w:hAnsi="Garamond" w:cs="Garamond"/>
        <w:b w:val="0"/>
        <w:bCs w:val="0"/>
        <w:sz w:val="24"/>
        <w:szCs w:val="24"/>
        <w:lang w:val="bg-BG"/>
      </w:rPr>
      <w:t>инансов отчет</w:t>
    </w:r>
  </w:p>
  <w:p w:rsidR="00513E34" w:rsidRPr="00E9411B" w:rsidRDefault="00513E34" w:rsidP="004A0C39">
    <w:pPr>
      <w:pStyle w:val="Header"/>
      <w:rPr>
        <w:lang w:val="ru-RU"/>
      </w:rPr>
    </w:pPr>
    <w:r w:rsidRPr="00E9411B">
      <w:rPr>
        <w:rFonts w:ascii="Garamond" w:hAnsi="Garamond" w:cs="Garamond"/>
        <w:b w:val="0"/>
        <w:bCs w:val="0"/>
        <w:sz w:val="24"/>
        <w:szCs w:val="24"/>
        <w:lang w:val="ru-RU"/>
      </w:rPr>
      <w:t>3</w:t>
    </w:r>
    <w:r>
      <w:rPr>
        <w:rFonts w:ascii="Garamond" w:hAnsi="Garamond" w:cs="Garamond"/>
        <w:b w:val="0"/>
        <w:bCs w:val="0"/>
        <w:sz w:val="24"/>
        <w:szCs w:val="24"/>
        <w:lang w:val="ru-RU"/>
      </w:rPr>
      <w:t>0</w:t>
    </w:r>
    <w:r w:rsidRPr="00E9411B">
      <w:rPr>
        <w:rFonts w:ascii="Garamond" w:hAnsi="Garamond" w:cs="Garamond"/>
        <w:b w:val="0"/>
        <w:bCs w:val="0"/>
        <w:sz w:val="24"/>
        <w:szCs w:val="24"/>
        <w:lang w:val="ru-RU"/>
      </w:rPr>
      <w:t xml:space="preserve"> </w:t>
    </w:r>
    <w:r>
      <w:rPr>
        <w:rFonts w:ascii="Garamond" w:hAnsi="Garamond" w:cs="Garamond"/>
        <w:b w:val="0"/>
        <w:bCs w:val="0"/>
        <w:sz w:val="24"/>
        <w:szCs w:val="24"/>
        <w:lang w:val="bg-BG"/>
      </w:rPr>
      <w:t>септември</w:t>
    </w:r>
    <w:r w:rsidRPr="00E9411B">
      <w:rPr>
        <w:rFonts w:ascii="Garamond" w:hAnsi="Garamond" w:cs="Garamond"/>
        <w:b w:val="0"/>
        <w:bCs w:val="0"/>
        <w:sz w:val="24"/>
        <w:szCs w:val="24"/>
        <w:lang w:val="ru-RU"/>
      </w:rPr>
      <w:t xml:space="preserve"> 20</w:t>
    </w:r>
    <w:r>
      <w:rPr>
        <w:rFonts w:ascii="Garamond" w:hAnsi="Garamond" w:cs="Garamond"/>
        <w:b w:val="0"/>
        <w:bCs w:val="0"/>
        <w:sz w:val="24"/>
        <w:szCs w:val="24"/>
        <w:lang w:val="bg-BG"/>
      </w:rPr>
      <w:t>16</w:t>
    </w:r>
    <w:r w:rsidRPr="005E64B2">
      <w:rPr>
        <w:rFonts w:ascii="Garamond" w:hAnsi="Garamond" w:cs="Garamond"/>
        <w:b w:val="0"/>
        <w:bCs w:val="0"/>
        <w:sz w:val="24"/>
        <w:szCs w:val="24"/>
        <w:lang w:val="bg-BG"/>
      </w:rPr>
      <w:t xml:space="preserve"> г.</w:t>
    </w:r>
    <w:r w:rsidRPr="000B030E">
      <w:rPr>
        <w:lang w:val="ru-RU"/>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E34" w:rsidRPr="00335019" w:rsidRDefault="00CB2EFA" w:rsidP="00255497">
    <w:pPr>
      <w:pStyle w:val="Header"/>
      <w:framePr w:wrap="auto" w:vAnchor="text" w:hAnchor="margin" w:xAlign="right" w:y="1"/>
      <w:rPr>
        <w:rStyle w:val="PageNumber"/>
        <w:rFonts w:ascii="Garamond" w:hAnsi="Garamond" w:cs="Garamond"/>
        <w:b w:val="0"/>
        <w:bCs w:val="0"/>
        <w:sz w:val="24"/>
        <w:szCs w:val="24"/>
      </w:rPr>
    </w:pPr>
    <w:r w:rsidRPr="00335019">
      <w:rPr>
        <w:rStyle w:val="PageNumber"/>
        <w:rFonts w:ascii="Garamond" w:hAnsi="Garamond" w:cs="Garamond"/>
        <w:b w:val="0"/>
        <w:bCs w:val="0"/>
        <w:sz w:val="24"/>
        <w:szCs w:val="24"/>
      </w:rPr>
      <w:fldChar w:fldCharType="begin"/>
    </w:r>
    <w:r w:rsidR="00513E34" w:rsidRPr="00335019">
      <w:rPr>
        <w:rStyle w:val="PageNumber"/>
        <w:rFonts w:ascii="Garamond" w:hAnsi="Garamond" w:cs="Garamond"/>
        <w:b w:val="0"/>
        <w:bCs w:val="0"/>
        <w:sz w:val="24"/>
        <w:szCs w:val="24"/>
      </w:rPr>
      <w:instrText xml:space="preserve">PAGE  </w:instrText>
    </w:r>
    <w:r w:rsidRPr="00335019">
      <w:rPr>
        <w:rStyle w:val="PageNumber"/>
        <w:rFonts w:ascii="Garamond" w:hAnsi="Garamond" w:cs="Garamond"/>
        <w:b w:val="0"/>
        <w:bCs w:val="0"/>
        <w:sz w:val="24"/>
        <w:szCs w:val="24"/>
      </w:rPr>
      <w:fldChar w:fldCharType="separate"/>
    </w:r>
    <w:r w:rsidR="00D726D9">
      <w:rPr>
        <w:rStyle w:val="PageNumber"/>
        <w:rFonts w:ascii="Garamond" w:hAnsi="Garamond" w:cs="Garamond"/>
        <w:b w:val="0"/>
        <w:bCs w:val="0"/>
        <w:noProof/>
        <w:sz w:val="24"/>
        <w:szCs w:val="24"/>
      </w:rPr>
      <w:t>27</w:t>
    </w:r>
    <w:r w:rsidRPr="00335019">
      <w:rPr>
        <w:rStyle w:val="PageNumber"/>
        <w:rFonts w:ascii="Garamond" w:hAnsi="Garamond" w:cs="Garamond"/>
        <w:b w:val="0"/>
        <w:bCs w:val="0"/>
        <w:sz w:val="24"/>
        <w:szCs w:val="24"/>
      </w:rPr>
      <w:fldChar w:fldCharType="end"/>
    </w:r>
  </w:p>
  <w:p w:rsidR="00513E34" w:rsidRPr="0078636B" w:rsidRDefault="00513E34" w:rsidP="00255497">
    <w:pPr>
      <w:pStyle w:val="Header"/>
      <w:ind w:right="360"/>
      <w:rPr>
        <w:rFonts w:ascii="Garamond" w:hAnsi="Garamond" w:cs="Garamond"/>
        <w:b w:val="0"/>
        <w:bCs w:val="0"/>
        <w:sz w:val="24"/>
        <w:szCs w:val="24"/>
        <w:lang w:val="bg-BG"/>
      </w:rPr>
    </w:pPr>
    <w:r>
      <w:rPr>
        <w:rFonts w:ascii="Garamond" w:hAnsi="Garamond" w:cs="Garamond"/>
        <w:b w:val="0"/>
        <w:bCs w:val="0"/>
        <w:sz w:val="24"/>
        <w:szCs w:val="24"/>
        <w:lang w:val="bg-BG"/>
      </w:rPr>
      <w:t>Холдинг „БДЖ“ ЕАД</w:t>
    </w:r>
  </w:p>
  <w:p w:rsidR="00513E34" w:rsidRPr="0078636B" w:rsidRDefault="00513E34" w:rsidP="00255497">
    <w:pPr>
      <w:pStyle w:val="Header"/>
      <w:rPr>
        <w:rFonts w:ascii="Garamond" w:hAnsi="Garamond" w:cs="Garamond"/>
        <w:b w:val="0"/>
        <w:bCs w:val="0"/>
        <w:sz w:val="24"/>
        <w:szCs w:val="24"/>
        <w:lang w:val="bg-BG"/>
      </w:rPr>
    </w:pPr>
    <w:r>
      <w:rPr>
        <w:rFonts w:ascii="Garamond" w:hAnsi="Garamond" w:cs="Garamond"/>
        <w:b w:val="0"/>
        <w:bCs w:val="0"/>
        <w:sz w:val="24"/>
        <w:szCs w:val="24"/>
        <w:lang w:val="bg-BG"/>
      </w:rPr>
      <w:t>Индивидуален междинен съкратен ф</w:t>
    </w:r>
    <w:r w:rsidRPr="0078636B">
      <w:rPr>
        <w:rFonts w:ascii="Garamond" w:hAnsi="Garamond" w:cs="Garamond"/>
        <w:b w:val="0"/>
        <w:bCs w:val="0"/>
        <w:sz w:val="24"/>
        <w:szCs w:val="24"/>
        <w:lang w:val="bg-BG"/>
      </w:rPr>
      <w:t>инансов отчет</w:t>
    </w:r>
  </w:p>
  <w:p w:rsidR="00513E34" w:rsidRPr="009143B2" w:rsidRDefault="00513E34" w:rsidP="00255497">
    <w:pPr>
      <w:pStyle w:val="Header"/>
      <w:rPr>
        <w:rFonts w:ascii="Garamond" w:hAnsi="Garamond" w:cs="Garamond"/>
        <w:b w:val="0"/>
        <w:bCs w:val="0"/>
        <w:sz w:val="24"/>
        <w:szCs w:val="24"/>
        <w:lang w:val="bg-BG"/>
      </w:rPr>
    </w:pPr>
    <w:r w:rsidRPr="00E9411B">
      <w:rPr>
        <w:rFonts w:ascii="Garamond" w:hAnsi="Garamond" w:cs="Garamond"/>
        <w:b w:val="0"/>
        <w:bCs w:val="0"/>
        <w:sz w:val="24"/>
        <w:szCs w:val="24"/>
        <w:lang w:val="ru-RU"/>
      </w:rPr>
      <w:t>3</w:t>
    </w:r>
    <w:r>
      <w:rPr>
        <w:rFonts w:ascii="Garamond" w:hAnsi="Garamond" w:cs="Garamond"/>
        <w:b w:val="0"/>
        <w:bCs w:val="0"/>
        <w:sz w:val="24"/>
        <w:szCs w:val="24"/>
        <w:lang w:val="ru-RU"/>
      </w:rPr>
      <w:t>0</w:t>
    </w:r>
    <w:r w:rsidRPr="00E9411B">
      <w:rPr>
        <w:rFonts w:ascii="Garamond" w:hAnsi="Garamond" w:cs="Garamond"/>
        <w:b w:val="0"/>
        <w:bCs w:val="0"/>
        <w:sz w:val="24"/>
        <w:szCs w:val="24"/>
        <w:lang w:val="ru-RU"/>
      </w:rPr>
      <w:t xml:space="preserve"> </w:t>
    </w:r>
    <w:r>
      <w:rPr>
        <w:rFonts w:ascii="Garamond" w:hAnsi="Garamond" w:cs="Garamond"/>
        <w:b w:val="0"/>
        <w:bCs w:val="0"/>
        <w:sz w:val="24"/>
        <w:szCs w:val="24"/>
        <w:lang w:val="ru-RU"/>
      </w:rPr>
      <w:t>юни</w:t>
    </w:r>
    <w:r w:rsidRPr="00E9411B">
      <w:rPr>
        <w:rFonts w:ascii="Garamond" w:hAnsi="Garamond" w:cs="Garamond"/>
        <w:b w:val="0"/>
        <w:bCs w:val="0"/>
        <w:sz w:val="24"/>
        <w:szCs w:val="24"/>
        <w:lang w:val="ru-RU"/>
      </w:rPr>
      <w:t xml:space="preserve"> 20</w:t>
    </w:r>
    <w:r>
      <w:rPr>
        <w:rFonts w:ascii="Garamond" w:hAnsi="Garamond" w:cs="Garamond"/>
        <w:b w:val="0"/>
        <w:bCs w:val="0"/>
        <w:sz w:val="24"/>
        <w:szCs w:val="24"/>
        <w:lang w:val="bg-BG"/>
      </w:rPr>
      <w:t>16</w:t>
    </w:r>
    <w:r w:rsidRPr="0078636B">
      <w:rPr>
        <w:rFonts w:ascii="Garamond" w:hAnsi="Garamond" w:cs="Garamond"/>
        <w:b w:val="0"/>
        <w:bCs w:val="0"/>
        <w:sz w:val="24"/>
        <w:szCs w:val="24"/>
        <w:lang w:val="bg-BG"/>
      </w:rPr>
      <w:t xml:space="preserve"> г.</w:t>
    </w:r>
    <w:r w:rsidRPr="000B030E">
      <w:rPr>
        <w:rFonts w:ascii="Garamond" w:hAnsi="Garamond" w:cs="Garamond"/>
        <w:b w:val="0"/>
        <w:bCs w:val="0"/>
        <w:sz w:val="24"/>
        <w:szCs w:val="24"/>
        <w:lang w:val="ru-RU"/>
      </w:rPr>
      <w:tab/>
    </w:r>
  </w:p>
  <w:p w:rsidR="00513E34" w:rsidRPr="00E9411B" w:rsidRDefault="00513E34" w:rsidP="004A0C39">
    <w:pPr>
      <w:pStyle w:val="Header"/>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22B6103E"/>
    <w:lvl w:ilvl="0">
      <w:start w:val="1"/>
      <w:numFmt w:val="decimal"/>
      <w:lvlText w:val="%1."/>
      <w:lvlJc w:val="left"/>
      <w:pPr>
        <w:tabs>
          <w:tab w:val="num" w:pos="926"/>
        </w:tabs>
        <w:ind w:left="926" w:hanging="360"/>
      </w:pPr>
    </w:lvl>
  </w:abstractNum>
  <w:abstractNum w:abstractNumId="1">
    <w:nsid w:val="FFFFFF7F"/>
    <w:multiLevelType w:val="singleLevel"/>
    <w:tmpl w:val="8F6CA3EC"/>
    <w:lvl w:ilvl="0">
      <w:start w:val="1"/>
      <w:numFmt w:val="decimal"/>
      <w:lvlText w:val="%1."/>
      <w:lvlJc w:val="left"/>
      <w:pPr>
        <w:tabs>
          <w:tab w:val="num" w:pos="643"/>
        </w:tabs>
        <w:ind w:left="643" w:hanging="360"/>
      </w:pPr>
    </w:lvl>
  </w:abstractNum>
  <w:abstractNum w:abstractNumId="2">
    <w:nsid w:val="FFFFFF83"/>
    <w:multiLevelType w:val="singleLevel"/>
    <w:tmpl w:val="9CBC4B56"/>
    <w:lvl w:ilvl="0">
      <w:start w:val="1"/>
      <w:numFmt w:val="bullet"/>
      <w:lvlText w:val=""/>
      <w:lvlJc w:val="left"/>
      <w:pPr>
        <w:tabs>
          <w:tab w:val="num" w:pos="643"/>
        </w:tabs>
        <w:ind w:left="643" w:hanging="360"/>
      </w:pPr>
      <w:rPr>
        <w:rFonts w:ascii="Symbol" w:hAnsi="Symbol" w:hint="default"/>
      </w:rPr>
    </w:lvl>
  </w:abstractNum>
  <w:abstractNum w:abstractNumId="3">
    <w:nsid w:val="FFFFFF88"/>
    <w:multiLevelType w:val="singleLevel"/>
    <w:tmpl w:val="5E3A75E6"/>
    <w:lvl w:ilvl="0">
      <w:start w:val="1"/>
      <w:numFmt w:val="decimal"/>
      <w:lvlText w:val="%1."/>
      <w:lvlJc w:val="left"/>
      <w:pPr>
        <w:tabs>
          <w:tab w:val="num" w:pos="360"/>
        </w:tabs>
        <w:ind w:left="360" w:hanging="360"/>
      </w:pPr>
    </w:lvl>
  </w:abstractNum>
  <w:abstractNum w:abstractNumId="4">
    <w:nsid w:val="FFFFFF89"/>
    <w:multiLevelType w:val="singleLevel"/>
    <w:tmpl w:val="DE949366"/>
    <w:lvl w:ilvl="0">
      <w:start w:val="1"/>
      <w:numFmt w:val="bullet"/>
      <w:lvlText w:val=""/>
      <w:lvlJc w:val="left"/>
      <w:pPr>
        <w:tabs>
          <w:tab w:val="num" w:pos="360"/>
        </w:tabs>
        <w:ind w:left="360" w:hanging="360"/>
      </w:pPr>
      <w:rPr>
        <w:rFonts w:ascii="Symbol" w:hAnsi="Symbol" w:hint="default"/>
      </w:rPr>
    </w:lvl>
  </w:abstractNum>
  <w:abstractNum w:abstractNumId="5">
    <w:nsid w:val="00DA66A2"/>
    <w:multiLevelType w:val="hybridMultilevel"/>
    <w:tmpl w:val="40C64E78"/>
    <w:lvl w:ilvl="0" w:tplc="FA427954">
      <w:start w:val="1"/>
      <w:numFmt w:val="bullet"/>
      <w:lvlText w:val=""/>
      <w:lvlJc w:val="left"/>
      <w:pPr>
        <w:ind w:left="785" w:hanging="360"/>
      </w:pPr>
      <w:rPr>
        <w:rFonts w:ascii="Symbol" w:hAnsi="Symbol" w:cs="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6">
    <w:nsid w:val="02510891"/>
    <w:multiLevelType w:val="hybridMultilevel"/>
    <w:tmpl w:val="17E61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3933E81"/>
    <w:multiLevelType w:val="hybridMultilevel"/>
    <w:tmpl w:val="23586244"/>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8">
    <w:nsid w:val="04137133"/>
    <w:multiLevelType w:val="hybridMultilevel"/>
    <w:tmpl w:val="0DDACE98"/>
    <w:lvl w:ilvl="0" w:tplc="FA427954">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05F416FE"/>
    <w:multiLevelType w:val="hybridMultilevel"/>
    <w:tmpl w:val="FC0884D8"/>
    <w:lvl w:ilvl="0" w:tplc="FA427954">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7865BC3"/>
    <w:multiLevelType w:val="hybridMultilevel"/>
    <w:tmpl w:val="C2442D4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0B3A6542"/>
    <w:multiLevelType w:val="hybridMultilevel"/>
    <w:tmpl w:val="B942C98C"/>
    <w:lvl w:ilvl="0" w:tplc="B1BC064C">
      <w:start w:val="1"/>
      <w:numFmt w:val="bullet"/>
      <w:lvlText w:val="-"/>
      <w:lvlJc w:val="left"/>
      <w:pPr>
        <w:ind w:left="720" w:hanging="360"/>
      </w:pPr>
      <w:rPr>
        <w:rFonts w:ascii="Garamond" w:eastAsia="Times New Roman" w:hAnsi="Garamon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CCD4187"/>
    <w:multiLevelType w:val="multilevel"/>
    <w:tmpl w:val="693227E4"/>
    <w:lvl w:ilvl="0">
      <w:start w:val="1"/>
      <w:numFmt w:val="bullet"/>
      <w:pStyle w:val="ListBullet"/>
      <w:lvlText w:val=""/>
      <w:lvlJc w:val="left"/>
      <w:pPr>
        <w:tabs>
          <w:tab w:val="num" w:pos="227"/>
        </w:tabs>
        <w:ind w:left="227" w:hanging="227"/>
      </w:pPr>
      <w:rPr>
        <w:rFonts w:ascii="Symbol" w:hAnsi="Symbol" w:cs="Symbol" w:hint="default"/>
        <w:color w:val="auto"/>
      </w:rPr>
    </w:lvl>
    <w:lvl w:ilvl="1">
      <w:start w:val="1"/>
      <w:numFmt w:val="bullet"/>
      <w:pStyle w:val="ListBullet2"/>
      <w:lvlText w:val=""/>
      <w:lvlJc w:val="left"/>
      <w:pPr>
        <w:tabs>
          <w:tab w:val="num" w:pos="454"/>
        </w:tabs>
        <w:ind w:left="454" w:hanging="227"/>
      </w:pPr>
      <w:rPr>
        <w:rFonts w:ascii="Symbol" w:hAnsi="Symbol" w:cs="Symbol"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3">
    <w:nsid w:val="0FBA76C2"/>
    <w:multiLevelType w:val="hybridMultilevel"/>
    <w:tmpl w:val="9FAAB120"/>
    <w:lvl w:ilvl="0" w:tplc="23A277BE">
      <w:start w:val="1"/>
      <w:numFmt w:val="bullet"/>
      <w:lvlText w:val=""/>
      <w:lvlJc w:val="left"/>
      <w:pPr>
        <w:tabs>
          <w:tab w:val="num" w:pos="284"/>
        </w:tabs>
        <w:ind w:left="284" w:hanging="284"/>
      </w:pPr>
      <w:rPr>
        <w:rFonts w:ascii="Symbol" w:hAnsi="Symbol" w:cs="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14">
    <w:nsid w:val="10FA071A"/>
    <w:multiLevelType w:val="hybridMultilevel"/>
    <w:tmpl w:val="3E70BF68"/>
    <w:lvl w:ilvl="0" w:tplc="125833B8">
      <w:start w:val="1"/>
      <w:numFmt w:val="bullet"/>
      <w:lvlText w:val=""/>
      <w:lvlJc w:val="left"/>
      <w:pPr>
        <w:ind w:left="720" w:hanging="360"/>
      </w:pPr>
      <w:rPr>
        <w:rFonts w:ascii="Symbol" w:hAnsi="Symbol" w:cs="Symbol" w:hint="default"/>
      </w:rPr>
    </w:lvl>
    <w:lvl w:ilvl="1" w:tplc="0409000F">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135565C5"/>
    <w:multiLevelType w:val="hybridMultilevel"/>
    <w:tmpl w:val="5A70F226"/>
    <w:lvl w:ilvl="0" w:tplc="1BCEF84E">
      <w:start w:val="30"/>
      <w:numFmt w:val="bullet"/>
      <w:lvlText w:val="-"/>
      <w:lvlJc w:val="left"/>
      <w:pPr>
        <w:ind w:left="720" w:hanging="360"/>
      </w:pPr>
      <w:rPr>
        <w:rFonts w:ascii="Garamond" w:eastAsia="Times New Roman" w:hAnsi="Garamond" w:cs="Times New Roman" w:hint="default"/>
      </w:rPr>
    </w:lvl>
    <w:lvl w:ilvl="1" w:tplc="851292F6" w:tentative="1">
      <w:start w:val="1"/>
      <w:numFmt w:val="bullet"/>
      <w:lvlText w:val="o"/>
      <w:lvlJc w:val="left"/>
      <w:pPr>
        <w:ind w:left="1440" w:hanging="360"/>
      </w:pPr>
      <w:rPr>
        <w:rFonts w:ascii="Courier New" w:hAnsi="Courier New" w:cs="Courier New" w:hint="default"/>
      </w:rPr>
    </w:lvl>
    <w:lvl w:ilvl="2" w:tplc="88F6BFC2" w:tentative="1">
      <w:start w:val="1"/>
      <w:numFmt w:val="bullet"/>
      <w:lvlText w:val=""/>
      <w:lvlJc w:val="left"/>
      <w:pPr>
        <w:ind w:left="2160" w:hanging="360"/>
      </w:pPr>
      <w:rPr>
        <w:rFonts w:ascii="Wingdings" w:hAnsi="Wingdings" w:hint="default"/>
      </w:rPr>
    </w:lvl>
    <w:lvl w:ilvl="3" w:tplc="30742AAA" w:tentative="1">
      <w:start w:val="1"/>
      <w:numFmt w:val="bullet"/>
      <w:lvlText w:val=""/>
      <w:lvlJc w:val="left"/>
      <w:pPr>
        <w:ind w:left="2880" w:hanging="360"/>
      </w:pPr>
      <w:rPr>
        <w:rFonts w:ascii="Symbol" w:hAnsi="Symbol" w:hint="default"/>
      </w:rPr>
    </w:lvl>
    <w:lvl w:ilvl="4" w:tplc="1714B9CE" w:tentative="1">
      <w:start w:val="1"/>
      <w:numFmt w:val="bullet"/>
      <w:lvlText w:val="o"/>
      <w:lvlJc w:val="left"/>
      <w:pPr>
        <w:ind w:left="3600" w:hanging="360"/>
      </w:pPr>
      <w:rPr>
        <w:rFonts w:ascii="Courier New" w:hAnsi="Courier New" w:cs="Courier New" w:hint="default"/>
      </w:rPr>
    </w:lvl>
    <w:lvl w:ilvl="5" w:tplc="A33A7850" w:tentative="1">
      <w:start w:val="1"/>
      <w:numFmt w:val="bullet"/>
      <w:lvlText w:val=""/>
      <w:lvlJc w:val="left"/>
      <w:pPr>
        <w:ind w:left="4320" w:hanging="360"/>
      </w:pPr>
      <w:rPr>
        <w:rFonts w:ascii="Wingdings" w:hAnsi="Wingdings" w:hint="default"/>
      </w:rPr>
    </w:lvl>
    <w:lvl w:ilvl="6" w:tplc="1C74D76E" w:tentative="1">
      <w:start w:val="1"/>
      <w:numFmt w:val="bullet"/>
      <w:lvlText w:val=""/>
      <w:lvlJc w:val="left"/>
      <w:pPr>
        <w:ind w:left="5040" w:hanging="360"/>
      </w:pPr>
      <w:rPr>
        <w:rFonts w:ascii="Symbol" w:hAnsi="Symbol" w:hint="default"/>
      </w:rPr>
    </w:lvl>
    <w:lvl w:ilvl="7" w:tplc="590EFDDE" w:tentative="1">
      <w:start w:val="1"/>
      <w:numFmt w:val="bullet"/>
      <w:lvlText w:val="o"/>
      <w:lvlJc w:val="left"/>
      <w:pPr>
        <w:ind w:left="5760" w:hanging="360"/>
      </w:pPr>
      <w:rPr>
        <w:rFonts w:ascii="Courier New" w:hAnsi="Courier New" w:cs="Courier New" w:hint="default"/>
      </w:rPr>
    </w:lvl>
    <w:lvl w:ilvl="8" w:tplc="F2762B32" w:tentative="1">
      <w:start w:val="1"/>
      <w:numFmt w:val="bullet"/>
      <w:lvlText w:val=""/>
      <w:lvlJc w:val="left"/>
      <w:pPr>
        <w:ind w:left="6480" w:hanging="360"/>
      </w:pPr>
      <w:rPr>
        <w:rFonts w:ascii="Wingdings" w:hAnsi="Wingdings" w:hint="default"/>
      </w:rPr>
    </w:lvl>
  </w:abstractNum>
  <w:abstractNum w:abstractNumId="16">
    <w:nsid w:val="1402457D"/>
    <w:multiLevelType w:val="singleLevel"/>
    <w:tmpl w:val="CCAC71A2"/>
    <w:lvl w:ilvl="0">
      <w:start w:val="3"/>
      <w:numFmt w:val="bullet"/>
      <w:lvlText w:val="-"/>
      <w:lvlJc w:val="left"/>
      <w:pPr>
        <w:ind w:left="720" w:hanging="360"/>
      </w:pPr>
      <w:rPr>
        <w:rFonts w:ascii="Garamond" w:eastAsia="Times New Roman" w:hAnsi="Garamond" w:cs="Arial" w:hint="default"/>
      </w:rPr>
    </w:lvl>
  </w:abstractNum>
  <w:abstractNum w:abstractNumId="17">
    <w:nsid w:val="1D2A1B69"/>
    <w:multiLevelType w:val="multilevel"/>
    <w:tmpl w:val="747C4370"/>
    <w:lvl w:ilvl="0">
      <w:start w:val="1"/>
      <w:numFmt w:val="bullet"/>
      <w:lvlText w:val=""/>
      <w:lvlJc w:val="left"/>
      <w:pPr>
        <w:ind w:left="360" w:hanging="360"/>
      </w:pPr>
      <w:rPr>
        <w:rFonts w:ascii="Symbol" w:hAnsi="Symbol" w:cs="Symbol" w:hint="default"/>
      </w:rPr>
    </w:lvl>
    <w:lvl w:ilvl="1">
      <w:start w:val="1"/>
      <w:numFmt w:val="decimal"/>
      <w:lvlText w:val="%1.%2."/>
      <w:lvlJc w:val="left"/>
      <w:pPr>
        <w:ind w:left="792" w:hanging="432"/>
      </w:pPr>
      <w:rPr>
        <w:color w:val="5D288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45B5D2B"/>
    <w:multiLevelType w:val="hybridMultilevel"/>
    <w:tmpl w:val="F9142C82"/>
    <w:lvl w:ilvl="0" w:tplc="B1BC064C">
      <w:start w:val="1"/>
      <w:numFmt w:val="bullet"/>
      <w:lvlText w:val="-"/>
      <w:lvlJc w:val="left"/>
      <w:pPr>
        <w:ind w:left="720" w:hanging="360"/>
      </w:pPr>
      <w:rPr>
        <w:rFonts w:ascii="Garamond" w:eastAsia="Times New Roman" w:hAnsi="Garamon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89F1E0D"/>
    <w:multiLevelType w:val="hybridMultilevel"/>
    <w:tmpl w:val="09DCAA1A"/>
    <w:lvl w:ilvl="0" w:tplc="B1BC064C">
      <w:start w:val="1"/>
      <w:numFmt w:val="bullet"/>
      <w:lvlText w:val="-"/>
      <w:lvlJc w:val="left"/>
      <w:pPr>
        <w:ind w:left="720" w:hanging="360"/>
      </w:pPr>
      <w:rPr>
        <w:rFonts w:ascii="Garamond" w:eastAsia="Times New Roman" w:hAnsi="Garamond"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3B43AA5"/>
    <w:multiLevelType w:val="multilevel"/>
    <w:tmpl w:val="C5585B62"/>
    <w:lvl w:ilvl="0">
      <w:start w:val="1"/>
      <w:numFmt w:val="decimal"/>
      <w:lvlText w:val="%1."/>
      <w:lvlJc w:val="left"/>
      <w:pPr>
        <w:ind w:left="1070" w:hanging="360"/>
      </w:pPr>
      <w:rPr>
        <w:rFonts w:hint="default"/>
        <w:color w:val="5F497A" w:themeColor="accent4" w:themeShade="BF"/>
      </w:rPr>
    </w:lvl>
    <w:lvl w:ilvl="1">
      <w:start w:val="1"/>
      <w:numFmt w:val="decimal"/>
      <w:lvlText w:val="%1.%2."/>
      <w:lvlJc w:val="left"/>
      <w:pPr>
        <w:ind w:left="432" w:hanging="432"/>
      </w:pPr>
      <w:rPr>
        <w:rFonts w:hint="default"/>
        <w:b/>
        <w:color w:val="5D2884"/>
      </w:rPr>
    </w:lvl>
    <w:lvl w:ilvl="2">
      <w:start w:val="1"/>
      <w:numFmt w:val="decimal"/>
      <w:lvlText w:val="%1.%2.%3."/>
      <w:lvlJc w:val="left"/>
      <w:pPr>
        <w:ind w:left="1072" w:hanging="504"/>
      </w:pPr>
      <w:rPr>
        <w:rFonts w:hint="default"/>
        <w:b/>
        <w:bCs/>
        <w:color w:val="5F497A" w:themeColor="accent4" w:themeShade="BF"/>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43D545A"/>
    <w:multiLevelType w:val="multilevel"/>
    <w:tmpl w:val="4484EAB8"/>
    <w:lvl w:ilvl="0">
      <w:start w:val="1"/>
      <w:numFmt w:val="upperRoman"/>
      <w:lvlText w:val="Article %1."/>
      <w:lvlJc w:val="left"/>
      <w:pPr>
        <w:tabs>
          <w:tab w:val="num" w:pos="1440"/>
        </w:tabs>
      </w:pPr>
    </w:lvl>
    <w:lvl w:ilvl="1">
      <w:start w:val="1"/>
      <w:numFmt w:val="decimalZero"/>
      <w:isLgl/>
      <w:lvlText w:val="Section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2">
    <w:nsid w:val="387A6AE0"/>
    <w:multiLevelType w:val="multilevel"/>
    <w:tmpl w:val="E9F2A55E"/>
    <w:lvl w:ilvl="0">
      <w:start w:val="1"/>
      <w:numFmt w:val="decimal"/>
      <w:pStyle w:val="NumberedHeading1"/>
      <w:lvlText w:val="%1"/>
      <w:lvlJc w:val="left"/>
      <w:pPr>
        <w:tabs>
          <w:tab w:val="num" w:pos="851"/>
        </w:tabs>
        <w:ind w:left="851" w:hanging="851"/>
      </w:pPr>
      <w:rPr>
        <w:rFonts w:hint="default"/>
      </w:rPr>
    </w:lvl>
    <w:lvl w:ilvl="1">
      <w:start w:val="24"/>
      <w:numFmt w:val="decimal"/>
      <w:pStyle w:val="NumberedHeading2"/>
      <w:lvlText w:val="%1.%2"/>
      <w:lvlJc w:val="left"/>
      <w:pPr>
        <w:tabs>
          <w:tab w:val="num" w:pos="851"/>
        </w:tabs>
        <w:ind w:left="851" w:hanging="851"/>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39A12421"/>
    <w:multiLevelType w:val="hybridMultilevel"/>
    <w:tmpl w:val="94609388"/>
    <w:lvl w:ilvl="0" w:tplc="FB220AD2">
      <w:start w:val="1"/>
      <w:numFmt w:val="bullet"/>
      <w:lvlText w:val=""/>
      <w:lvlJc w:val="left"/>
      <w:pPr>
        <w:tabs>
          <w:tab w:val="num" w:pos="720"/>
        </w:tabs>
        <w:ind w:left="720" w:hanging="360"/>
      </w:pPr>
      <w:rPr>
        <w:rFonts w:ascii="Symbol" w:hAnsi="Symbol" w:cs="Symbol" w:hint="default"/>
        <w:color w:val="auto"/>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24">
    <w:nsid w:val="3EC70797"/>
    <w:multiLevelType w:val="hybridMultilevel"/>
    <w:tmpl w:val="41B64EAE"/>
    <w:lvl w:ilvl="0" w:tplc="B1BC064C">
      <w:start w:val="1"/>
      <w:numFmt w:val="bullet"/>
      <w:lvlText w:val="-"/>
      <w:lvlJc w:val="left"/>
      <w:pPr>
        <w:ind w:left="1353" w:hanging="360"/>
      </w:pPr>
      <w:rPr>
        <w:rFonts w:ascii="Garamond" w:eastAsia="Times New Roman" w:hAnsi="Garamond" w:hint="default"/>
      </w:rPr>
    </w:lvl>
    <w:lvl w:ilvl="1" w:tplc="FA427954">
      <w:start w:val="1"/>
      <w:numFmt w:val="bullet"/>
      <w:lvlText w:val=""/>
      <w:lvlJc w:val="left"/>
      <w:pPr>
        <w:ind w:left="2073" w:hanging="360"/>
      </w:pPr>
      <w:rPr>
        <w:rFonts w:ascii="Symbol" w:hAnsi="Symbol" w:cs="Symbol" w:hint="default"/>
      </w:rPr>
    </w:lvl>
    <w:lvl w:ilvl="2" w:tplc="04090005">
      <w:start w:val="1"/>
      <w:numFmt w:val="bullet"/>
      <w:lvlText w:val=""/>
      <w:lvlJc w:val="left"/>
      <w:pPr>
        <w:ind w:left="2793" w:hanging="360"/>
      </w:pPr>
      <w:rPr>
        <w:rFonts w:ascii="Wingdings" w:hAnsi="Wingdings" w:cs="Wingdings" w:hint="default"/>
      </w:rPr>
    </w:lvl>
    <w:lvl w:ilvl="3" w:tplc="04090001">
      <w:start w:val="1"/>
      <w:numFmt w:val="bullet"/>
      <w:lvlText w:val=""/>
      <w:lvlJc w:val="left"/>
      <w:pPr>
        <w:ind w:left="3513" w:hanging="360"/>
      </w:pPr>
      <w:rPr>
        <w:rFonts w:ascii="Symbol" w:hAnsi="Symbol" w:cs="Symbol" w:hint="default"/>
      </w:rPr>
    </w:lvl>
    <w:lvl w:ilvl="4" w:tplc="04090003">
      <w:start w:val="1"/>
      <w:numFmt w:val="bullet"/>
      <w:lvlText w:val="o"/>
      <w:lvlJc w:val="left"/>
      <w:pPr>
        <w:ind w:left="4233" w:hanging="360"/>
      </w:pPr>
      <w:rPr>
        <w:rFonts w:ascii="Courier New" w:hAnsi="Courier New" w:cs="Courier New" w:hint="default"/>
      </w:rPr>
    </w:lvl>
    <w:lvl w:ilvl="5" w:tplc="04090005">
      <w:start w:val="1"/>
      <w:numFmt w:val="bullet"/>
      <w:lvlText w:val=""/>
      <w:lvlJc w:val="left"/>
      <w:pPr>
        <w:ind w:left="4953" w:hanging="360"/>
      </w:pPr>
      <w:rPr>
        <w:rFonts w:ascii="Wingdings" w:hAnsi="Wingdings" w:cs="Wingdings" w:hint="default"/>
      </w:rPr>
    </w:lvl>
    <w:lvl w:ilvl="6" w:tplc="04090001">
      <w:start w:val="1"/>
      <w:numFmt w:val="bullet"/>
      <w:lvlText w:val=""/>
      <w:lvlJc w:val="left"/>
      <w:pPr>
        <w:ind w:left="5673" w:hanging="360"/>
      </w:pPr>
      <w:rPr>
        <w:rFonts w:ascii="Symbol" w:hAnsi="Symbol" w:cs="Symbol" w:hint="default"/>
      </w:rPr>
    </w:lvl>
    <w:lvl w:ilvl="7" w:tplc="04090003">
      <w:start w:val="1"/>
      <w:numFmt w:val="bullet"/>
      <w:lvlText w:val="o"/>
      <w:lvlJc w:val="left"/>
      <w:pPr>
        <w:ind w:left="6393" w:hanging="360"/>
      </w:pPr>
      <w:rPr>
        <w:rFonts w:ascii="Courier New" w:hAnsi="Courier New" w:cs="Courier New" w:hint="default"/>
      </w:rPr>
    </w:lvl>
    <w:lvl w:ilvl="8" w:tplc="04090005">
      <w:start w:val="1"/>
      <w:numFmt w:val="bullet"/>
      <w:lvlText w:val=""/>
      <w:lvlJc w:val="left"/>
      <w:pPr>
        <w:ind w:left="7113" w:hanging="360"/>
      </w:pPr>
      <w:rPr>
        <w:rFonts w:ascii="Wingdings" w:hAnsi="Wingdings" w:cs="Wingdings" w:hint="default"/>
      </w:rPr>
    </w:lvl>
  </w:abstractNum>
  <w:abstractNum w:abstractNumId="25">
    <w:nsid w:val="42142B8D"/>
    <w:multiLevelType w:val="multilevel"/>
    <w:tmpl w:val="92F67566"/>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color w:val="5D288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2FD1B57"/>
    <w:multiLevelType w:val="hybridMultilevel"/>
    <w:tmpl w:val="40BCD1FA"/>
    <w:lvl w:ilvl="0" w:tplc="0402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nsid w:val="49864AFE"/>
    <w:multiLevelType w:val="singleLevel"/>
    <w:tmpl w:val="D1F0A410"/>
    <w:lvl w:ilvl="0">
      <w:start w:val="1"/>
      <w:numFmt w:val="bullet"/>
      <w:lvlText w:val=""/>
      <w:lvlJc w:val="left"/>
      <w:pPr>
        <w:tabs>
          <w:tab w:val="num" w:pos="340"/>
        </w:tabs>
        <w:ind w:left="340" w:hanging="340"/>
      </w:pPr>
      <w:rPr>
        <w:rFonts w:ascii="Symbol" w:hAnsi="Symbol" w:cs="Symbol" w:hint="default"/>
        <w:color w:val="auto"/>
        <w:sz w:val="22"/>
        <w:szCs w:val="22"/>
      </w:rPr>
    </w:lvl>
  </w:abstractNum>
  <w:abstractNum w:abstractNumId="28">
    <w:nsid w:val="52595AF1"/>
    <w:multiLevelType w:val="hybridMultilevel"/>
    <w:tmpl w:val="419C58D4"/>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nsid w:val="59974CCE"/>
    <w:multiLevelType w:val="multilevel"/>
    <w:tmpl w:val="2182D572"/>
    <w:lvl w:ilvl="0">
      <w:start w:val="1"/>
      <w:numFmt w:val="decimal"/>
      <w:lvlText w:val="%1."/>
      <w:lvlJc w:val="left"/>
      <w:pPr>
        <w:ind w:left="644" w:hanging="360"/>
      </w:pPr>
      <w:rPr>
        <w:rFonts w:hint="default"/>
        <w:color w:val="5F497A" w:themeColor="accent4" w:themeShade="BF"/>
      </w:rPr>
    </w:lvl>
    <w:lvl w:ilvl="1">
      <w:start w:val="1"/>
      <w:numFmt w:val="decimal"/>
      <w:lvlText w:val="%1.%2."/>
      <w:lvlJc w:val="left"/>
      <w:pPr>
        <w:ind w:left="432" w:hanging="432"/>
      </w:pPr>
      <w:rPr>
        <w:rFonts w:hint="default"/>
        <w:color w:val="5D2884"/>
      </w:rPr>
    </w:lvl>
    <w:lvl w:ilvl="2">
      <w:start w:val="1"/>
      <w:numFmt w:val="decimal"/>
      <w:lvlText w:val="%1.%2.%3."/>
      <w:lvlJc w:val="left"/>
      <w:pPr>
        <w:ind w:left="1072" w:hanging="504"/>
      </w:pPr>
      <w:rPr>
        <w:rFonts w:hint="default"/>
        <w:b/>
        <w:bCs/>
        <w:color w:val="5F497A" w:themeColor="accent4" w:themeShade="BF"/>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3AA2E0B"/>
    <w:multiLevelType w:val="hybridMultilevel"/>
    <w:tmpl w:val="283CF036"/>
    <w:lvl w:ilvl="0" w:tplc="B1BC064C">
      <w:start w:val="1"/>
      <w:numFmt w:val="bullet"/>
      <w:lvlText w:val="-"/>
      <w:lvlJc w:val="left"/>
      <w:pPr>
        <w:ind w:left="720" w:hanging="360"/>
      </w:pPr>
      <w:rPr>
        <w:rFonts w:ascii="Garamond" w:eastAsia="Times New Roman" w:hAnsi="Garamon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9FA609D"/>
    <w:multiLevelType w:val="multilevel"/>
    <w:tmpl w:val="2182D572"/>
    <w:lvl w:ilvl="0">
      <w:start w:val="1"/>
      <w:numFmt w:val="decimal"/>
      <w:lvlText w:val="%1."/>
      <w:lvlJc w:val="left"/>
      <w:pPr>
        <w:ind w:left="360" w:hanging="360"/>
      </w:pPr>
      <w:rPr>
        <w:rFonts w:hint="default"/>
        <w:color w:val="5F497A" w:themeColor="accent4" w:themeShade="BF"/>
      </w:rPr>
    </w:lvl>
    <w:lvl w:ilvl="1">
      <w:start w:val="1"/>
      <w:numFmt w:val="decimal"/>
      <w:lvlText w:val="%1.%2."/>
      <w:lvlJc w:val="left"/>
      <w:pPr>
        <w:ind w:left="432" w:hanging="432"/>
      </w:pPr>
      <w:rPr>
        <w:rFonts w:hint="default"/>
        <w:color w:val="5D2884"/>
      </w:rPr>
    </w:lvl>
    <w:lvl w:ilvl="2">
      <w:start w:val="1"/>
      <w:numFmt w:val="decimal"/>
      <w:lvlText w:val="%1.%2.%3."/>
      <w:lvlJc w:val="left"/>
      <w:pPr>
        <w:ind w:left="1072" w:hanging="504"/>
      </w:pPr>
      <w:rPr>
        <w:rFonts w:hint="default"/>
        <w:b/>
        <w:bCs/>
        <w:color w:val="5F497A" w:themeColor="accent4" w:themeShade="BF"/>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AA624FF"/>
    <w:multiLevelType w:val="hybridMultilevel"/>
    <w:tmpl w:val="039CE344"/>
    <w:lvl w:ilvl="0" w:tplc="B1BC064C">
      <w:start w:val="1"/>
      <w:numFmt w:val="bullet"/>
      <w:lvlText w:val="-"/>
      <w:lvlJc w:val="left"/>
      <w:pPr>
        <w:ind w:left="720" w:hanging="360"/>
      </w:pPr>
      <w:rPr>
        <w:rFonts w:ascii="Garamond" w:eastAsia="Times New Roman" w:hAnsi="Garamon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0FE1E26"/>
    <w:multiLevelType w:val="hybridMultilevel"/>
    <w:tmpl w:val="7EFAD7FE"/>
    <w:lvl w:ilvl="0" w:tplc="FA427954">
      <w:start w:val="1"/>
      <w:numFmt w:val="bullet"/>
      <w:lvlText w:val=""/>
      <w:lvlJc w:val="left"/>
      <w:pPr>
        <w:ind w:left="785" w:hanging="360"/>
      </w:pPr>
      <w:rPr>
        <w:rFonts w:ascii="Symbol" w:hAnsi="Symbol" w:cs="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4">
    <w:nsid w:val="72EE5A96"/>
    <w:multiLevelType w:val="hybridMultilevel"/>
    <w:tmpl w:val="CC8EFDC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5">
    <w:nsid w:val="75091EB9"/>
    <w:multiLevelType w:val="hybridMultilevel"/>
    <w:tmpl w:val="911C59F8"/>
    <w:lvl w:ilvl="0" w:tplc="B1BC064C">
      <w:start w:val="1"/>
      <w:numFmt w:val="bullet"/>
      <w:lvlText w:val="-"/>
      <w:lvlJc w:val="left"/>
      <w:pPr>
        <w:ind w:left="720" w:hanging="360"/>
      </w:pPr>
      <w:rPr>
        <w:rFonts w:ascii="Garamond" w:eastAsia="Times New Roman" w:hAnsi="Garamon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8594E96"/>
    <w:multiLevelType w:val="multilevel"/>
    <w:tmpl w:val="45821930"/>
    <w:lvl w:ilvl="0">
      <w:start w:val="1"/>
      <w:numFmt w:val="decimal"/>
      <w:pStyle w:val="ListNumber"/>
      <w:lvlText w:val="%1"/>
      <w:lvlJc w:val="left"/>
      <w:pPr>
        <w:tabs>
          <w:tab w:val="num" w:pos="357"/>
        </w:tabs>
        <w:ind w:left="357" w:hanging="357"/>
      </w:pPr>
      <w:rPr>
        <w:rFonts w:hint="default"/>
      </w:rPr>
    </w:lvl>
    <w:lvl w:ilvl="1">
      <w:start w:val="1"/>
      <w:numFmt w:val="lowerLetter"/>
      <w:pStyle w:val="ListNumber2"/>
      <w:lvlText w:val="%2"/>
      <w:lvlJc w:val="left"/>
      <w:pPr>
        <w:tabs>
          <w:tab w:val="num" w:pos="714"/>
        </w:tabs>
        <w:ind w:left="714" w:hanging="357"/>
      </w:pPr>
      <w:rPr>
        <w:rFonts w:hint="default"/>
      </w:rPr>
    </w:lvl>
    <w:lvl w:ilvl="2">
      <w:start w:val="1"/>
      <w:numFmt w:val="lowerRoman"/>
      <w:pStyle w:val="ListNumber3"/>
      <w:lvlText w:val="%3"/>
      <w:lvlJc w:val="left"/>
      <w:pPr>
        <w:tabs>
          <w:tab w:val="num" w:pos="1072"/>
        </w:tabs>
        <w:ind w:left="1072" w:hanging="358"/>
      </w:pPr>
      <w:rPr>
        <w:rFonts w:hint="default"/>
      </w:rPr>
    </w:lvl>
    <w:lvl w:ilvl="3">
      <w:start w:val="1"/>
      <w:numFmt w:val="decimal"/>
      <w:lvlText w:val="%1.%2.%3.%4"/>
      <w:lvlJc w:val="right"/>
      <w:pPr>
        <w:tabs>
          <w:tab w:val="num" w:pos="3969"/>
        </w:tabs>
        <w:ind w:left="3969" w:hanging="136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nsid w:val="7BE31141"/>
    <w:multiLevelType w:val="hybridMultilevel"/>
    <w:tmpl w:val="5BA05FF8"/>
    <w:lvl w:ilvl="0" w:tplc="B1BC064C">
      <w:start w:val="1"/>
      <w:numFmt w:val="bullet"/>
      <w:lvlText w:val="-"/>
      <w:lvlJc w:val="left"/>
      <w:pPr>
        <w:ind w:left="720" w:hanging="360"/>
      </w:pPr>
      <w:rPr>
        <w:rFonts w:ascii="Garamond" w:eastAsia="Times New Roman" w:hAnsi="Garamon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2"/>
  </w:num>
  <w:num w:numId="8">
    <w:abstractNumId w:val="36"/>
  </w:num>
  <w:num w:numId="9">
    <w:abstractNumId w:val="22"/>
  </w:num>
  <w:num w:numId="10">
    <w:abstractNumId w:val="20"/>
  </w:num>
  <w:num w:numId="11">
    <w:abstractNumId w:val="14"/>
  </w:num>
  <w:num w:numId="12">
    <w:abstractNumId w:val="23"/>
  </w:num>
  <w:num w:numId="13">
    <w:abstractNumId w:val="25"/>
  </w:num>
  <w:num w:numId="14">
    <w:abstractNumId w:val="13"/>
  </w:num>
  <w:num w:numId="15">
    <w:abstractNumId w:val="34"/>
  </w:num>
  <w:num w:numId="16">
    <w:abstractNumId w:val="7"/>
  </w:num>
  <w:num w:numId="17">
    <w:abstractNumId w:val="17"/>
  </w:num>
  <w:num w:numId="18">
    <w:abstractNumId w:val="27"/>
  </w:num>
  <w:num w:numId="19">
    <w:abstractNumId w:val="24"/>
  </w:num>
  <w:num w:numId="20">
    <w:abstractNumId w:val="8"/>
  </w:num>
  <w:num w:numId="21">
    <w:abstractNumId w:val="6"/>
  </w:num>
  <w:num w:numId="22">
    <w:abstractNumId w:val="11"/>
  </w:num>
  <w:num w:numId="23">
    <w:abstractNumId w:val="32"/>
  </w:num>
  <w:num w:numId="24">
    <w:abstractNumId w:val="30"/>
  </w:num>
  <w:num w:numId="25">
    <w:abstractNumId w:val="19"/>
  </w:num>
  <w:num w:numId="26">
    <w:abstractNumId w:val="18"/>
  </w:num>
  <w:num w:numId="27">
    <w:abstractNumId w:val="35"/>
  </w:num>
  <w:num w:numId="28">
    <w:abstractNumId w:val="37"/>
  </w:num>
  <w:num w:numId="29">
    <w:abstractNumId w:val="5"/>
  </w:num>
  <w:num w:numId="30">
    <w:abstractNumId w:val="9"/>
  </w:num>
  <w:num w:numId="31">
    <w:abstractNumId w:val="33"/>
  </w:num>
  <w:num w:numId="32">
    <w:abstractNumId w:val="16"/>
  </w:num>
  <w:num w:numId="33">
    <w:abstractNumId w:val="10"/>
  </w:num>
  <w:num w:numId="34">
    <w:abstractNumId w:val="31"/>
  </w:num>
  <w:num w:numId="35">
    <w:abstractNumId w:val="26"/>
  </w:num>
  <w:num w:numId="36">
    <w:abstractNumId w:val="28"/>
  </w:num>
  <w:num w:numId="37">
    <w:abstractNumId w:val="29"/>
  </w:num>
  <w:num w:numId="3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hideSpellingErrors/>
  <w:hideGrammaticalErrors/>
  <w:defaultTabStop w:val="720"/>
  <w:hyphenationZone w:val="425"/>
  <w:doNotHyphenateCaps/>
  <w:drawingGridHorizontalSpacing w:val="110"/>
  <w:displayHorizontalDrawingGridEvery w:val="2"/>
  <w:characterSpacingControl w:val="doNotCompress"/>
  <w:doNotValidateAgainstSchema/>
  <w:doNotDemarcateInvalidXml/>
  <w:hdrShapeDefaults>
    <o:shapedefaults v:ext="edit" spidmax="215042"/>
  </w:hdrShapeDefaults>
  <w:footnotePr>
    <w:footnote w:id="-1"/>
    <w:footnote w:id="0"/>
  </w:footnotePr>
  <w:endnotePr>
    <w:endnote w:id="-1"/>
    <w:endnote w:id="0"/>
  </w:endnotePr>
  <w:compat/>
  <w:docVars>
    <w:docVar w:name="dv_confidentiality" w:val="Confidentiality statement"/>
    <w:docVar w:name="dv_designation" w:val="Chartered Accountants"/>
    <w:docVar w:name="dv_logo_file" w:val="C:\Documents and Settings\Melanie Francis\My Documents\Work\Grant Thornton\New Docs\Financial Statements\A4\GTlogo-RGB-135.jpg"/>
    <w:docVar w:name="dv_logo2_file" w:val="C:\Documents and Settings\Melanie Francis\My Documents\Work\Grant Thornton\New Docs\Financial Statements\A4\GTlogo-RGB9mm.jpg"/>
    <w:docVar w:name="dv_office" w:val="GTI (UK address)"/>
    <w:docVar w:name="dv_page_header" w:val="Header"/>
    <w:docVar w:name="dv_partners" w:val="false"/>
    <w:docVar w:name="dv_select_office" w:val="TRUE"/>
    <w:docVar w:name="dv_senders_designation" w:val="For Grant Thornton International"/>
    <w:docVar w:name="dv_statement" w:val="X XX member firm of Grant Thornton International Ltd"/>
    <w:docVar w:name="dv_trad_addr" w:val="Address Line 1Address Line 2Address Line 3Address Line 4"/>
    <w:docVar w:name="dv_trad_fax" w:val="+XX (X)XX XXX XXXX"/>
    <w:docVar w:name="dv_trad_name" w:val="Trading Name"/>
    <w:docVar w:name="dv_trad_tel" w:val="+XX (X)XX XXX XXXX"/>
    <w:docVar w:name="dv_trad_web" w:val="www.gtsample.com"/>
  </w:docVars>
  <w:rsids>
    <w:rsidRoot w:val="00624404"/>
    <w:rsid w:val="0000067D"/>
    <w:rsid w:val="000010DE"/>
    <w:rsid w:val="000011C0"/>
    <w:rsid w:val="000013EC"/>
    <w:rsid w:val="00001EC8"/>
    <w:rsid w:val="00002EA8"/>
    <w:rsid w:val="0000312A"/>
    <w:rsid w:val="000045A2"/>
    <w:rsid w:val="00004A3C"/>
    <w:rsid w:val="00004B8E"/>
    <w:rsid w:val="000067B0"/>
    <w:rsid w:val="00006A5C"/>
    <w:rsid w:val="00006A7A"/>
    <w:rsid w:val="00006AF5"/>
    <w:rsid w:val="00006D90"/>
    <w:rsid w:val="000100BF"/>
    <w:rsid w:val="00010679"/>
    <w:rsid w:val="00010827"/>
    <w:rsid w:val="000109F0"/>
    <w:rsid w:val="00010C56"/>
    <w:rsid w:val="0001102B"/>
    <w:rsid w:val="000111B4"/>
    <w:rsid w:val="000122E2"/>
    <w:rsid w:val="00013C93"/>
    <w:rsid w:val="00014864"/>
    <w:rsid w:val="000149AA"/>
    <w:rsid w:val="000149EB"/>
    <w:rsid w:val="000150F1"/>
    <w:rsid w:val="00016873"/>
    <w:rsid w:val="00016A3D"/>
    <w:rsid w:val="00017C20"/>
    <w:rsid w:val="00020301"/>
    <w:rsid w:val="00020FED"/>
    <w:rsid w:val="0002103E"/>
    <w:rsid w:val="00021454"/>
    <w:rsid w:val="000218B0"/>
    <w:rsid w:val="00021BD6"/>
    <w:rsid w:val="00021C29"/>
    <w:rsid w:val="00021EF3"/>
    <w:rsid w:val="00021FA9"/>
    <w:rsid w:val="00022A10"/>
    <w:rsid w:val="00022BA8"/>
    <w:rsid w:val="00023391"/>
    <w:rsid w:val="00023484"/>
    <w:rsid w:val="00023ABB"/>
    <w:rsid w:val="00023AD1"/>
    <w:rsid w:val="00023B0D"/>
    <w:rsid w:val="00023D46"/>
    <w:rsid w:val="0002446A"/>
    <w:rsid w:val="000248A4"/>
    <w:rsid w:val="00024DAB"/>
    <w:rsid w:val="00026073"/>
    <w:rsid w:val="0002771C"/>
    <w:rsid w:val="00027848"/>
    <w:rsid w:val="00027ABA"/>
    <w:rsid w:val="00027E16"/>
    <w:rsid w:val="00030415"/>
    <w:rsid w:val="00030838"/>
    <w:rsid w:val="00031A0D"/>
    <w:rsid w:val="00031BAA"/>
    <w:rsid w:val="0003276F"/>
    <w:rsid w:val="00032AB0"/>
    <w:rsid w:val="00032D0F"/>
    <w:rsid w:val="00033F30"/>
    <w:rsid w:val="00034096"/>
    <w:rsid w:val="0003462E"/>
    <w:rsid w:val="000350D2"/>
    <w:rsid w:val="00035118"/>
    <w:rsid w:val="0003537D"/>
    <w:rsid w:val="00035B76"/>
    <w:rsid w:val="00035C40"/>
    <w:rsid w:val="00036B17"/>
    <w:rsid w:val="00041988"/>
    <w:rsid w:val="000419F0"/>
    <w:rsid w:val="000421F4"/>
    <w:rsid w:val="00043022"/>
    <w:rsid w:val="00043E07"/>
    <w:rsid w:val="00043F9F"/>
    <w:rsid w:val="00045337"/>
    <w:rsid w:val="00046317"/>
    <w:rsid w:val="0004632B"/>
    <w:rsid w:val="00046BC4"/>
    <w:rsid w:val="000473EA"/>
    <w:rsid w:val="000474B5"/>
    <w:rsid w:val="00050396"/>
    <w:rsid w:val="000508D2"/>
    <w:rsid w:val="00050D7E"/>
    <w:rsid w:val="00052191"/>
    <w:rsid w:val="000527EC"/>
    <w:rsid w:val="00052C91"/>
    <w:rsid w:val="00052E78"/>
    <w:rsid w:val="000534A0"/>
    <w:rsid w:val="0005367B"/>
    <w:rsid w:val="00053728"/>
    <w:rsid w:val="0005467E"/>
    <w:rsid w:val="00054D4E"/>
    <w:rsid w:val="0005599F"/>
    <w:rsid w:val="00055AE6"/>
    <w:rsid w:val="00055B22"/>
    <w:rsid w:val="00055D2F"/>
    <w:rsid w:val="0005615E"/>
    <w:rsid w:val="00056677"/>
    <w:rsid w:val="00056A2D"/>
    <w:rsid w:val="00056EA8"/>
    <w:rsid w:val="000571B6"/>
    <w:rsid w:val="0006166B"/>
    <w:rsid w:val="00061970"/>
    <w:rsid w:val="00061B22"/>
    <w:rsid w:val="0006208B"/>
    <w:rsid w:val="000623A9"/>
    <w:rsid w:val="00062F0E"/>
    <w:rsid w:val="00062FCA"/>
    <w:rsid w:val="00064D21"/>
    <w:rsid w:val="0006569B"/>
    <w:rsid w:val="00065896"/>
    <w:rsid w:val="000662B5"/>
    <w:rsid w:val="00066703"/>
    <w:rsid w:val="000673C4"/>
    <w:rsid w:val="00067523"/>
    <w:rsid w:val="000675B6"/>
    <w:rsid w:val="00067B42"/>
    <w:rsid w:val="00070AB1"/>
    <w:rsid w:val="00070F00"/>
    <w:rsid w:val="000714F5"/>
    <w:rsid w:val="00072452"/>
    <w:rsid w:val="00072B2C"/>
    <w:rsid w:val="000734D2"/>
    <w:rsid w:val="00073CB0"/>
    <w:rsid w:val="00075170"/>
    <w:rsid w:val="00075430"/>
    <w:rsid w:val="00076190"/>
    <w:rsid w:val="00076724"/>
    <w:rsid w:val="00076832"/>
    <w:rsid w:val="00076B09"/>
    <w:rsid w:val="00076DD0"/>
    <w:rsid w:val="00077185"/>
    <w:rsid w:val="000773E2"/>
    <w:rsid w:val="0008094F"/>
    <w:rsid w:val="00080D0C"/>
    <w:rsid w:val="000812CA"/>
    <w:rsid w:val="0008326A"/>
    <w:rsid w:val="00083B82"/>
    <w:rsid w:val="00084B27"/>
    <w:rsid w:val="00084E05"/>
    <w:rsid w:val="00084F7A"/>
    <w:rsid w:val="000850DD"/>
    <w:rsid w:val="00086469"/>
    <w:rsid w:val="0008654C"/>
    <w:rsid w:val="00086628"/>
    <w:rsid w:val="0008727C"/>
    <w:rsid w:val="00087729"/>
    <w:rsid w:val="000900D2"/>
    <w:rsid w:val="00090385"/>
    <w:rsid w:val="00090C3D"/>
    <w:rsid w:val="000921CC"/>
    <w:rsid w:val="0009223E"/>
    <w:rsid w:val="0009236A"/>
    <w:rsid w:val="0009238D"/>
    <w:rsid w:val="00092699"/>
    <w:rsid w:val="0009654C"/>
    <w:rsid w:val="000966A1"/>
    <w:rsid w:val="000966BF"/>
    <w:rsid w:val="000968E9"/>
    <w:rsid w:val="00096B02"/>
    <w:rsid w:val="000976D4"/>
    <w:rsid w:val="000A00A3"/>
    <w:rsid w:val="000A03F6"/>
    <w:rsid w:val="000A08F7"/>
    <w:rsid w:val="000A09BE"/>
    <w:rsid w:val="000A0AF9"/>
    <w:rsid w:val="000A183E"/>
    <w:rsid w:val="000A1DCC"/>
    <w:rsid w:val="000A26CC"/>
    <w:rsid w:val="000A2A82"/>
    <w:rsid w:val="000A3153"/>
    <w:rsid w:val="000A3190"/>
    <w:rsid w:val="000A3293"/>
    <w:rsid w:val="000A476F"/>
    <w:rsid w:val="000A4DFB"/>
    <w:rsid w:val="000A560C"/>
    <w:rsid w:val="000A60F9"/>
    <w:rsid w:val="000A6653"/>
    <w:rsid w:val="000A67C6"/>
    <w:rsid w:val="000A6C00"/>
    <w:rsid w:val="000A703B"/>
    <w:rsid w:val="000A720F"/>
    <w:rsid w:val="000B01C6"/>
    <w:rsid w:val="000B030E"/>
    <w:rsid w:val="000B168A"/>
    <w:rsid w:val="000B1818"/>
    <w:rsid w:val="000B18BE"/>
    <w:rsid w:val="000B1BB8"/>
    <w:rsid w:val="000B27E1"/>
    <w:rsid w:val="000B2A65"/>
    <w:rsid w:val="000B3C68"/>
    <w:rsid w:val="000B43D6"/>
    <w:rsid w:val="000B4EDD"/>
    <w:rsid w:val="000B5948"/>
    <w:rsid w:val="000B677F"/>
    <w:rsid w:val="000B67C9"/>
    <w:rsid w:val="000B6889"/>
    <w:rsid w:val="000B68C1"/>
    <w:rsid w:val="000B696C"/>
    <w:rsid w:val="000B6A69"/>
    <w:rsid w:val="000B6C23"/>
    <w:rsid w:val="000B707A"/>
    <w:rsid w:val="000B742A"/>
    <w:rsid w:val="000B7A16"/>
    <w:rsid w:val="000C0C04"/>
    <w:rsid w:val="000C0EAD"/>
    <w:rsid w:val="000C0FE6"/>
    <w:rsid w:val="000C10CA"/>
    <w:rsid w:val="000C11FE"/>
    <w:rsid w:val="000C179A"/>
    <w:rsid w:val="000C1AC1"/>
    <w:rsid w:val="000C211E"/>
    <w:rsid w:val="000C24EF"/>
    <w:rsid w:val="000C25A4"/>
    <w:rsid w:val="000C32A1"/>
    <w:rsid w:val="000C3B5A"/>
    <w:rsid w:val="000C41A2"/>
    <w:rsid w:val="000C45B7"/>
    <w:rsid w:val="000C4D2E"/>
    <w:rsid w:val="000C5153"/>
    <w:rsid w:val="000C53E2"/>
    <w:rsid w:val="000C5583"/>
    <w:rsid w:val="000C6082"/>
    <w:rsid w:val="000C6C4F"/>
    <w:rsid w:val="000C6E40"/>
    <w:rsid w:val="000C77F7"/>
    <w:rsid w:val="000C7983"/>
    <w:rsid w:val="000D0061"/>
    <w:rsid w:val="000D03A4"/>
    <w:rsid w:val="000D0CDA"/>
    <w:rsid w:val="000D105B"/>
    <w:rsid w:val="000D108E"/>
    <w:rsid w:val="000D13EE"/>
    <w:rsid w:val="000D196E"/>
    <w:rsid w:val="000D1D59"/>
    <w:rsid w:val="000D2258"/>
    <w:rsid w:val="000D273D"/>
    <w:rsid w:val="000D3C2D"/>
    <w:rsid w:val="000D3E93"/>
    <w:rsid w:val="000D429F"/>
    <w:rsid w:val="000D61C5"/>
    <w:rsid w:val="000D64A0"/>
    <w:rsid w:val="000D66C4"/>
    <w:rsid w:val="000D6975"/>
    <w:rsid w:val="000D6A42"/>
    <w:rsid w:val="000D6AD4"/>
    <w:rsid w:val="000E01D6"/>
    <w:rsid w:val="000E01D8"/>
    <w:rsid w:val="000E02A1"/>
    <w:rsid w:val="000E058D"/>
    <w:rsid w:val="000E07EE"/>
    <w:rsid w:val="000E15FC"/>
    <w:rsid w:val="000E17F5"/>
    <w:rsid w:val="000E18C9"/>
    <w:rsid w:val="000E2027"/>
    <w:rsid w:val="000E23F2"/>
    <w:rsid w:val="000E2A68"/>
    <w:rsid w:val="000E2DA4"/>
    <w:rsid w:val="000E3052"/>
    <w:rsid w:val="000E420E"/>
    <w:rsid w:val="000E4CF7"/>
    <w:rsid w:val="000E6103"/>
    <w:rsid w:val="000E71F0"/>
    <w:rsid w:val="000E7592"/>
    <w:rsid w:val="000E75A5"/>
    <w:rsid w:val="000E75D2"/>
    <w:rsid w:val="000E7768"/>
    <w:rsid w:val="000E7D9A"/>
    <w:rsid w:val="000F05A6"/>
    <w:rsid w:val="000F05BE"/>
    <w:rsid w:val="000F0B1E"/>
    <w:rsid w:val="000F1289"/>
    <w:rsid w:val="000F19A3"/>
    <w:rsid w:val="000F28DD"/>
    <w:rsid w:val="000F47CD"/>
    <w:rsid w:val="000F4A4E"/>
    <w:rsid w:val="000F4B65"/>
    <w:rsid w:val="000F5649"/>
    <w:rsid w:val="000F5EAC"/>
    <w:rsid w:val="000F5FD8"/>
    <w:rsid w:val="000F6265"/>
    <w:rsid w:val="000F67E2"/>
    <w:rsid w:val="000F691B"/>
    <w:rsid w:val="000F6A78"/>
    <w:rsid w:val="000F6D29"/>
    <w:rsid w:val="000F6FCA"/>
    <w:rsid w:val="000F7971"/>
    <w:rsid w:val="00100725"/>
    <w:rsid w:val="0010086B"/>
    <w:rsid w:val="00100B29"/>
    <w:rsid w:val="001010E9"/>
    <w:rsid w:val="00101273"/>
    <w:rsid w:val="00101D2F"/>
    <w:rsid w:val="001033A7"/>
    <w:rsid w:val="001035CE"/>
    <w:rsid w:val="00103C2D"/>
    <w:rsid w:val="00103C46"/>
    <w:rsid w:val="0010402C"/>
    <w:rsid w:val="001041B4"/>
    <w:rsid w:val="001045EB"/>
    <w:rsid w:val="00104AE9"/>
    <w:rsid w:val="00104BB1"/>
    <w:rsid w:val="00105DCE"/>
    <w:rsid w:val="00105EF1"/>
    <w:rsid w:val="00105FB6"/>
    <w:rsid w:val="00105FDD"/>
    <w:rsid w:val="00106C56"/>
    <w:rsid w:val="00107752"/>
    <w:rsid w:val="001078D4"/>
    <w:rsid w:val="00110066"/>
    <w:rsid w:val="0011018F"/>
    <w:rsid w:val="001104EF"/>
    <w:rsid w:val="001108CE"/>
    <w:rsid w:val="00110B7D"/>
    <w:rsid w:val="00110C1B"/>
    <w:rsid w:val="00111055"/>
    <w:rsid w:val="00111F91"/>
    <w:rsid w:val="001127AC"/>
    <w:rsid w:val="0011286E"/>
    <w:rsid w:val="001139A6"/>
    <w:rsid w:val="00115227"/>
    <w:rsid w:val="0011524F"/>
    <w:rsid w:val="001154BB"/>
    <w:rsid w:val="00115C87"/>
    <w:rsid w:val="00116490"/>
    <w:rsid w:val="0011653E"/>
    <w:rsid w:val="00116684"/>
    <w:rsid w:val="001170DE"/>
    <w:rsid w:val="00117250"/>
    <w:rsid w:val="0011773B"/>
    <w:rsid w:val="00117D8C"/>
    <w:rsid w:val="0012074A"/>
    <w:rsid w:val="001207F3"/>
    <w:rsid w:val="0012111C"/>
    <w:rsid w:val="0012186F"/>
    <w:rsid w:val="00121B6F"/>
    <w:rsid w:val="001223E4"/>
    <w:rsid w:val="00122A22"/>
    <w:rsid w:val="00122D1D"/>
    <w:rsid w:val="0012391F"/>
    <w:rsid w:val="00123EBB"/>
    <w:rsid w:val="001241D4"/>
    <w:rsid w:val="001249CB"/>
    <w:rsid w:val="00125828"/>
    <w:rsid w:val="001265E4"/>
    <w:rsid w:val="001269F0"/>
    <w:rsid w:val="00126AAE"/>
    <w:rsid w:val="00127ED4"/>
    <w:rsid w:val="001308B6"/>
    <w:rsid w:val="001308EC"/>
    <w:rsid w:val="00130A5E"/>
    <w:rsid w:val="00130D04"/>
    <w:rsid w:val="00131990"/>
    <w:rsid w:val="0013220C"/>
    <w:rsid w:val="00132427"/>
    <w:rsid w:val="00132762"/>
    <w:rsid w:val="00132D82"/>
    <w:rsid w:val="00132F8B"/>
    <w:rsid w:val="0013313E"/>
    <w:rsid w:val="00133332"/>
    <w:rsid w:val="00133F4A"/>
    <w:rsid w:val="0013569C"/>
    <w:rsid w:val="00135E5E"/>
    <w:rsid w:val="001364E9"/>
    <w:rsid w:val="001369DF"/>
    <w:rsid w:val="00136EE4"/>
    <w:rsid w:val="00137039"/>
    <w:rsid w:val="001372DA"/>
    <w:rsid w:val="001374F9"/>
    <w:rsid w:val="00137AE1"/>
    <w:rsid w:val="00140A89"/>
    <w:rsid w:val="001413DA"/>
    <w:rsid w:val="001414D6"/>
    <w:rsid w:val="00141553"/>
    <w:rsid w:val="00141ADD"/>
    <w:rsid w:val="00143258"/>
    <w:rsid w:val="00143EB2"/>
    <w:rsid w:val="00144002"/>
    <w:rsid w:val="00144789"/>
    <w:rsid w:val="0014486B"/>
    <w:rsid w:val="001448ED"/>
    <w:rsid w:val="00144FBE"/>
    <w:rsid w:val="00145947"/>
    <w:rsid w:val="0014626D"/>
    <w:rsid w:val="001467B3"/>
    <w:rsid w:val="001473EF"/>
    <w:rsid w:val="00147F80"/>
    <w:rsid w:val="00150176"/>
    <w:rsid w:val="001505FD"/>
    <w:rsid w:val="00150613"/>
    <w:rsid w:val="00150A86"/>
    <w:rsid w:val="00150BF1"/>
    <w:rsid w:val="001527AB"/>
    <w:rsid w:val="00152C5D"/>
    <w:rsid w:val="00152DDB"/>
    <w:rsid w:val="00153075"/>
    <w:rsid w:val="00153979"/>
    <w:rsid w:val="001544BD"/>
    <w:rsid w:val="001558F7"/>
    <w:rsid w:val="00155CF4"/>
    <w:rsid w:val="00156033"/>
    <w:rsid w:val="00156179"/>
    <w:rsid w:val="00156436"/>
    <w:rsid w:val="001564F6"/>
    <w:rsid w:val="00156B5F"/>
    <w:rsid w:val="00157E1E"/>
    <w:rsid w:val="00160078"/>
    <w:rsid w:val="00160922"/>
    <w:rsid w:val="0016107F"/>
    <w:rsid w:val="0016144C"/>
    <w:rsid w:val="001628C4"/>
    <w:rsid w:val="001638F3"/>
    <w:rsid w:val="00164E9A"/>
    <w:rsid w:val="00165232"/>
    <w:rsid w:val="001656B6"/>
    <w:rsid w:val="00165A27"/>
    <w:rsid w:val="00165FAF"/>
    <w:rsid w:val="001662A4"/>
    <w:rsid w:val="00166C84"/>
    <w:rsid w:val="00170D56"/>
    <w:rsid w:val="00170DA7"/>
    <w:rsid w:val="00171751"/>
    <w:rsid w:val="00171D50"/>
    <w:rsid w:val="00172C77"/>
    <w:rsid w:val="00173076"/>
    <w:rsid w:val="0017360A"/>
    <w:rsid w:val="0017360C"/>
    <w:rsid w:val="00173CA9"/>
    <w:rsid w:val="00173E30"/>
    <w:rsid w:val="00173FE4"/>
    <w:rsid w:val="0017446D"/>
    <w:rsid w:val="00174CBB"/>
    <w:rsid w:val="00174D18"/>
    <w:rsid w:val="00174D9B"/>
    <w:rsid w:val="001750D9"/>
    <w:rsid w:val="001758B6"/>
    <w:rsid w:val="00177098"/>
    <w:rsid w:val="001803A0"/>
    <w:rsid w:val="00180C19"/>
    <w:rsid w:val="0018107C"/>
    <w:rsid w:val="00181863"/>
    <w:rsid w:val="00181A23"/>
    <w:rsid w:val="00181A35"/>
    <w:rsid w:val="00182867"/>
    <w:rsid w:val="00182994"/>
    <w:rsid w:val="00182C7A"/>
    <w:rsid w:val="001835EA"/>
    <w:rsid w:val="00183D3F"/>
    <w:rsid w:val="00183D5C"/>
    <w:rsid w:val="00184D62"/>
    <w:rsid w:val="00185015"/>
    <w:rsid w:val="00185DAA"/>
    <w:rsid w:val="00185F18"/>
    <w:rsid w:val="00185F62"/>
    <w:rsid w:val="00185F64"/>
    <w:rsid w:val="0018684F"/>
    <w:rsid w:val="001876A3"/>
    <w:rsid w:val="00187A66"/>
    <w:rsid w:val="00187E33"/>
    <w:rsid w:val="00192E8A"/>
    <w:rsid w:val="001931A8"/>
    <w:rsid w:val="001937D2"/>
    <w:rsid w:val="00193B12"/>
    <w:rsid w:val="00193DE2"/>
    <w:rsid w:val="001940E9"/>
    <w:rsid w:val="00194CBF"/>
    <w:rsid w:val="001967A8"/>
    <w:rsid w:val="00196EE7"/>
    <w:rsid w:val="00197471"/>
    <w:rsid w:val="00197BEA"/>
    <w:rsid w:val="001A050E"/>
    <w:rsid w:val="001A0A7A"/>
    <w:rsid w:val="001A0FD8"/>
    <w:rsid w:val="001A1289"/>
    <w:rsid w:val="001A1D15"/>
    <w:rsid w:val="001A268F"/>
    <w:rsid w:val="001A3A05"/>
    <w:rsid w:val="001A3F4A"/>
    <w:rsid w:val="001A4140"/>
    <w:rsid w:val="001A4766"/>
    <w:rsid w:val="001A4B0A"/>
    <w:rsid w:val="001A52C8"/>
    <w:rsid w:val="001A582F"/>
    <w:rsid w:val="001A5DD7"/>
    <w:rsid w:val="001A6D61"/>
    <w:rsid w:val="001A71A2"/>
    <w:rsid w:val="001B022C"/>
    <w:rsid w:val="001B026B"/>
    <w:rsid w:val="001B0A36"/>
    <w:rsid w:val="001B0D68"/>
    <w:rsid w:val="001B187D"/>
    <w:rsid w:val="001B1959"/>
    <w:rsid w:val="001B2173"/>
    <w:rsid w:val="001B23E8"/>
    <w:rsid w:val="001B321B"/>
    <w:rsid w:val="001B3CE4"/>
    <w:rsid w:val="001B3E90"/>
    <w:rsid w:val="001B445C"/>
    <w:rsid w:val="001B460F"/>
    <w:rsid w:val="001B485F"/>
    <w:rsid w:val="001B4A77"/>
    <w:rsid w:val="001B51E2"/>
    <w:rsid w:val="001B5756"/>
    <w:rsid w:val="001B5974"/>
    <w:rsid w:val="001B5C43"/>
    <w:rsid w:val="001B5CB2"/>
    <w:rsid w:val="001B6557"/>
    <w:rsid w:val="001B6C7D"/>
    <w:rsid w:val="001B6D67"/>
    <w:rsid w:val="001B6F20"/>
    <w:rsid w:val="001B7BFC"/>
    <w:rsid w:val="001C0511"/>
    <w:rsid w:val="001C0D0E"/>
    <w:rsid w:val="001C193D"/>
    <w:rsid w:val="001C1D28"/>
    <w:rsid w:val="001C1D31"/>
    <w:rsid w:val="001C2701"/>
    <w:rsid w:val="001C2B8E"/>
    <w:rsid w:val="001C2DBC"/>
    <w:rsid w:val="001C4682"/>
    <w:rsid w:val="001C4705"/>
    <w:rsid w:val="001C4ABC"/>
    <w:rsid w:val="001C52AE"/>
    <w:rsid w:val="001C5C9F"/>
    <w:rsid w:val="001C6089"/>
    <w:rsid w:val="001D004A"/>
    <w:rsid w:val="001D010F"/>
    <w:rsid w:val="001D078A"/>
    <w:rsid w:val="001D0814"/>
    <w:rsid w:val="001D124A"/>
    <w:rsid w:val="001D165B"/>
    <w:rsid w:val="001D1C9E"/>
    <w:rsid w:val="001D2959"/>
    <w:rsid w:val="001D2BEB"/>
    <w:rsid w:val="001D4104"/>
    <w:rsid w:val="001D42E3"/>
    <w:rsid w:val="001D49A6"/>
    <w:rsid w:val="001D4CA7"/>
    <w:rsid w:val="001D4DD6"/>
    <w:rsid w:val="001D5573"/>
    <w:rsid w:val="001D57B1"/>
    <w:rsid w:val="001D599A"/>
    <w:rsid w:val="001D5D48"/>
    <w:rsid w:val="001D68AD"/>
    <w:rsid w:val="001D698B"/>
    <w:rsid w:val="001D7472"/>
    <w:rsid w:val="001D7B1A"/>
    <w:rsid w:val="001E03B0"/>
    <w:rsid w:val="001E07BD"/>
    <w:rsid w:val="001E0857"/>
    <w:rsid w:val="001E0FF9"/>
    <w:rsid w:val="001E1CB4"/>
    <w:rsid w:val="001E2032"/>
    <w:rsid w:val="001E2B58"/>
    <w:rsid w:val="001E3195"/>
    <w:rsid w:val="001E430E"/>
    <w:rsid w:val="001E5249"/>
    <w:rsid w:val="001E54B7"/>
    <w:rsid w:val="001E5863"/>
    <w:rsid w:val="001E586F"/>
    <w:rsid w:val="001E5BCA"/>
    <w:rsid w:val="001E649A"/>
    <w:rsid w:val="001E6D6B"/>
    <w:rsid w:val="001E74B1"/>
    <w:rsid w:val="001E7BB7"/>
    <w:rsid w:val="001E7EE6"/>
    <w:rsid w:val="001E7FFB"/>
    <w:rsid w:val="001F0C7D"/>
    <w:rsid w:val="001F1559"/>
    <w:rsid w:val="001F1D83"/>
    <w:rsid w:val="001F205C"/>
    <w:rsid w:val="001F3335"/>
    <w:rsid w:val="001F37DF"/>
    <w:rsid w:val="001F4315"/>
    <w:rsid w:val="001F4919"/>
    <w:rsid w:val="001F49F0"/>
    <w:rsid w:val="001F4A2C"/>
    <w:rsid w:val="001F4A40"/>
    <w:rsid w:val="001F5130"/>
    <w:rsid w:val="001F5673"/>
    <w:rsid w:val="001F5A9D"/>
    <w:rsid w:val="001F5D01"/>
    <w:rsid w:val="001F5EA3"/>
    <w:rsid w:val="001F6933"/>
    <w:rsid w:val="001F7B86"/>
    <w:rsid w:val="001F7D57"/>
    <w:rsid w:val="0020006F"/>
    <w:rsid w:val="00200766"/>
    <w:rsid w:val="00202638"/>
    <w:rsid w:val="002033F7"/>
    <w:rsid w:val="002034D9"/>
    <w:rsid w:val="00203578"/>
    <w:rsid w:val="0020369E"/>
    <w:rsid w:val="0020399E"/>
    <w:rsid w:val="00203A3C"/>
    <w:rsid w:val="00203B8B"/>
    <w:rsid w:val="0020408E"/>
    <w:rsid w:val="0020423D"/>
    <w:rsid w:val="00204A7A"/>
    <w:rsid w:val="00204EA8"/>
    <w:rsid w:val="00205131"/>
    <w:rsid w:val="002057CE"/>
    <w:rsid w:val="002057E5"/>
    <w:rsid w:val="00205F8C"/>
    <w:rsid w:val="00206415"/>
    <w:rsid w:val="00206AF1"/>
    <w:rsid w:val="00207890"/>
    <w:rsid w:val="00207C25"/>
    <w:rsid w:val="002109D8"/>
    <w:rsid w:val="00210C68"/>
    <w:rsid w:val="00210FB5"/>
    <w:rsid w:val="0021134F"/>
    <w:rsid w:val="0021161C"/>
    <w:rsid w:val="00211A99"/>
    <w:rsid w:val="002127FA"/>
    <w:rsid w:val="00212AA1"/>
    <w:rsid w:val="0021423E"/>
    <w:rsid w:val="00214849"/>
    <w:rsid w:val="00214A1F"/>
    <w:rsid w:val="00214A26"/>
    <w:rsid w:val="00214C42"/>
    <w:rsid w:val="00214CAA"/>
    <w:rsid w:val="00214D31"/>
    <w:rsid w:val="00214E2C"/>
    <w:rsid w:val="002158CF"/>
    <w:rsid w:val="00216481"/>
    <w:rsid w:val="0021677A"/>
    <w:rsid w:val="00216E8A"/>
    <w:rsid w:val="0021710F"/>
    <w:rsid w:val="00217183"/>
    <w:rsid w:val="00220919"/>
    <w:rsid w:val="00220998"/>
    <w:rsid w:val="00220B37"/>
    <w:rsid w:val="00220E03"/>
    <w:rsid w:val="00221F03"/>
    <w:rsid w:val="002222EA"/>
    <w:rsid w:val="0022288E"/>
    <w:rsid w:val="00222D7C"/>
    <w:rsid w:val="00223291"/>
    <w:rsid w:val="00223C38"/>
    <w:rsid w:val="00223E90"/>
    <w:rsid w:val="00224042"/>
    <w:rsid w:val="002246F8"/>
    <w:rsid w:val="00224761"/>
    <w:rsid w:val="00224970"/>
    <w:rsid w:val="00224A93"/>
    <w:rsid w:val="00225C8F"/>
    <w:rsid w:val="002265F8"/>
    <w:rsid w:val="002266E5"/>
    <w:rsid w:val="00227188"/>
    <w:rsid w:val="002278B3"/>
    <w:rsid w:val="0022799A"/>
    <w:rsid w:val="0023000F"/>
    <w:rsid w:val="00231021"/>
    <w:rsid w:val="00231C7A"/>
    <w:rsid w:val="00231E85"/>
    <w:rsid w:val="00232438"/>
    <w:rsid w:val="002326CA"/>
    <w:rsid w:val="00232894"/>
    <w:rsid w:val="002329B9"/>
    <w:rsid w:val="00232B46"/>
    <w:rsid w:val="00233383"/>
    <w:rsid w:val="0023343B"/>
    <w:rsid w:val="00233764"/>
    <w:rsid w:val="002338EE"/>
    <w:rsid w:val="0023465C"/>
    <w:rsid w:val="00234F68"/>
    <w:rsid w:val="002351B2"/>
    <w:rsid w:val="00235AED"/>
    <w:rsid w:val="0023601D"/>
    <w:rsid w:val="00236B71"/>
    <w:rsid w:val="00236D99"/>
    <w:rsid w:val="00237152"/>
    <w:rsid w:val="00237196"/>
    <w:rsid w:val="00237969"/>
    <w:rsid w:val="00237BD1"/>
    <w:rsid w:val="00237FAE"/>
    <w:rsid w:val="00240935"/>
    <w:rsid w:val="00240F1E"/>
    <w:rsid w:val="00241150"/>
    <w:rsid w:val="00242851"/>
    <w:rsid w:val="00242889"/>
    <w:rsid w:val="00242A2D"/>
    <w:rsid w:val="00243053"/>
    <w:rsid w:val="002431FA"/>
    <w:rsid w:val="00243DE1"/>
    <w:rsid w:val="00243E04"/>
    <w:rsid w:val="00243E1D"/>
    <w:rsid w:val="00245A2D"/>
    <w:rsid w:val="00245D85"/>
    <w:rsid w:val="00245E4A"/>
    <w:rsid w:val="002529CD"/>
    <w:rsid w:val="00252AD0"/>
    <w:rsid w:val="00253316"/>
    <w:rsid w:val="00253A9E"/>
    <w:rsid w:val="002550E8"/>
    <w:rsid w:val="00255256"/>
    <w:rsid w:val="00255497"/>
    <w:rsid w:val="002571AD"/>
    <w:rsid w:val="00257BBA"/>
    <w:rsid w:val="00260AA0"/>
    <w:rsid w:val="002612BA"/>
    <w:rsid w:val="00262584"/>
    <w:rsid w:val="0026290B"/>
    <w:rsid w:val="0026305C"/>
    <w:rsid w:val="00263F87"/>
    <w:rsid w:val="00263FB9"/>
    <w:rsid w:val="00264580"/>
    <w:rsid w:val="002649B3"/>
    <w:rsid w:val="00264E68"/>
    <w:rsid w:val="002655AC"/>
    <w:rsid w:val="00265A3A"/>
    <w:rsid w:val="00265BD6"/>
    <w:rsid w:val="00266646"/>
    <w:rsid w:val="002670C0"/>
    <w:rsid w:val="0027041E"/>
    <w:rsid w:val="00270B95"/>
    <w:rsid w:val="00270CFC"/>
    <w:rsid w:val="00270FE0"/>
    <w:rsid w:val="00271236"/>
    <w:rsid w:val="0027147B"/>
    <w:rsid w:val="0027163D"/>
    <w:rsid w:val="00271A32"/>
    <w:rsid w:val="0027274D"/>
    <w:rsid w:val="002729F4"/>
    <w:rsid w:val="00272B4A"/>
    <w:rsid w:val="00272CF4"/>
    <w:rsid w:val="00272EBA"/>
    <w:rsid w:val="00273014"/>
    <w:rsid w:val="00273389"/>
    <w:rsid w:val="002733CD"/>
    <w:rsid w:val="0027378F"/>
    <w:rsid w:val="002737E6"/>
    <w:rsid w:val="00273B72"/>
    <w:rsid w:val="00273DC3"/>
    <w:rsid w:val="002746F5"/>
    <w:rsid w:val="00275A0E"/>
    <w:rsid w:val="002767D4"/>
    <w:rsid w:val="00277037"/>
    <w:rsid w:val="00277B6A"/>
    <w:rsid w:val="00280C25"/>
    <w:rsid w:val="00280F51"/>
    <w:rsid w:val="00281053"/>
    <w:rsid w:val="00281A99"/>
    <w:rsid w:val="00281E69"/>
    <w:rsid w:val="00284031"/>
    <w:rsid w:val="0028404A"/>
    <w:rsid w:val="0028437B"/>
    <w:rsid w:val="00284DC0"/>
    <w:rsid w:val="00285092"/>
    <w:rsid w:val="00285332"/>
    <w:rsid w:val="002854BE"/>
    <w:rsid w:val="00285B81"/>
    <w:rsid w:val="0028688B"/>
    <w:rsid w:val="00286B0D"/>
    <w:rsid w:val="002871FC"/>
    <w:rsid w:val="0029066C"/>
    <w:rsid w:val="00290887"/>
    <w:rsid w:val="00290BF0"/>
    <w:rsid w:val="00290D7C"/>
    <w:rsid w:val="002910F8"/>
    <w:rsid w:val="00292646"/>
    <w:rsid w:val="00292C21"/>
    <w:rsid w:val="0029398F"/>
    <w:rsid w:val="002939F7"/>
    <w:rsid w:val="00293D14"/>
    <w:rsid w:val="0029405A"/>
    <w:rsid w:val="00294CF5"/>
    <w:rsid w:val="0029527E"/>
    <w:rsid w:val="00295289"/>
    <w:rsid w:val="00295719"/>
    <w:rsid w:val="002958A9"/>
    <w:rsid w:val="00295CAF"/>
    <w:rsid w:val="002962BD"/>
    <w:rsid w:val="0029744F"/>
    <w:rsid w:val="002A036A"/>
    <w:rsid w:val="002A0537"/>
    <w:rsid w:val="002A0697"/>
    <w:rsid w:val="002A0BEF"/>
    <w:rsid w:val="002A115E"/>
    <w:rsid w:val="002A1649"/>
    <w:rsid w:val="002A18E4"/>
    <w:rsid w:val="002A19AE"/>
    <w:rsid w:val="002A1E08"/>
    <w:rsid w:val="002A1FA6"/>
    <w:rsid w:val="002A27B0"/>
    <w:rsid w:val="002A38CE"/>
    <w:rsid w:val="002A578D"/>
    <w:rsid w:val="002A5E8E"/>
    <w:rsid w:val="002A5FAD"/>
    <w:rsid w:val="002A6711"/>
    <w:rsid w:val="002A6E79"/>
    <w:rsid w:val="002A7010"/>
    <w:rsid w:val="002A73A7"/>
    <w:rsid w:val="002A750F"/>
    <w:rsid w:val="002A79A2"/>
    <w:rsid w:val="002B16EE"/>
    <w:rsid w:val="002B198A"/>
    <w:rsid w:val="002B19CB"/>
    <w:rsid w:val="002B2113"/>
    <w:rsid w:val="002B26A7"/>
    <w:rsid w:val="002B2BC1"/>
    <w:rsid w:val="002B3BB5"/>
    <w:rsid w:val="002B4658"/>
    <w:rsid w:val="002B4782"/>
    <w:rsid w:val="002B4900"/>
    <w:rsid w:val="002B50FF"/>
    <w:rsid w:val="002B5DF2"/>
    <w:rsid w:val="002B6448"/>
    <w:rsid w:val="002B6486"/>
    <w:rsid w:val="002B683C"/>
    <w:rsid w:val="002B7B50"/>
    <w:rsid w:val="002B7FE1"/>
    <w:rsid w:val="002C061B"/>
    <w:rsid w:val="002C0C0E"/>
    <w:rsid w:val="002C1234"/>
    <w:rsid w:val="002C18CC"/>
    <w:rsid w:val="002C1B42"/>
    <w:rsid w:val="002C2914"/>
    <w:rsid w:val="002C3379"/>
    <w:rsid w:val="002C3B73"/>
    <w:rsid w:val="002C3E4E"/>
    <w:rsid w:val="002C5C0C"/>
    <w:rsid w:val="002C6667"/>
    <w:rsid w:val="002C6AE3"/>
    <w:rsid w:val="002C718D"/>
    <w:rsid w:val="002C72F4"/>
    <w:rsid w:val="002C773B"/>
    <w:rsid w:val="002C7CC2"/>
    <w:rsid w:val="002C7E21"/>
    <w:rsid w:val="002D0C1A"/>
    <w:rsid w:val="002D0FE8"/>
    <w:rsid w:val="002D1402"/>
    <w:rsid w:val="002D2DC5"/>
    <w:rsid w:val="002D30C0"/>
    <w:rsid w:val="002D3296"/>
    <w:rsid w:val="002D43BA"/>
    <w:rsid w:val="002D447B"/>
    <w:rsid w:val="002D4809"/>
    <w:rsid w:val="002D5275"/>
    <w:rsid w:val="002D5722"/>
    <w:rsid w:val="002D6AAD"/>
    <w:rsid w:val="002E0188"/>
    <w:rsid w:val="002E02F0"/>
    <w:rsid w:val="002E0926"/>
    <w:rsid w:val="002E0CBB"/>
    <w:rsid w:val="002E1C7C"/>
    <w:rsid w:val="002E1D4A"/>
    <w:rsid w:val="002E2CF1"/>
    <w:rsid w:val="002E2E97"/>
    <w:rsid w:val="002E36C1"/>
    <w:rsid w:val="002E4496"/>
    <w:rsid w:val="002E4736"/>
    <w:rsid w:val="002E4AB1"/>
    <w:rsid w:val="002E5CF8"/>
    <w:rsid w:val="002E5E94"/>
    <w:rsid w:val="002E6764"/>
    <w:rsid w:val="002E698B"/>
    <w:rsid w:val="002E6AA1"/>
    <w:rsid w:val="002E6DD2"/>
    <w:rsid w:val="002E7306"/>
    <w:rsid w:val="002E731E"/>
    <w:rsid w:val="002E7730"/>
    <w:rsid w:val="002F013A"/>
    <w:rsid w:val="002F0334"/>
    <w:rsid w:val="002F045B"/>
    <w:rsid w:val="002F0E84"/>
    <w:rsid w:val="002F0FFF"/>
    <w:rsid w:val="002F1754"/>
    <w:rsid w:val="002F2027"/>
    <w:rsid w:val="002F221C"/>
    <w:rsid w:val="002F245D"/>
    <w:rsid w:val="002F27A0"/>
    <w:rsid w:val="002F4F46"/>
    <w:rsid w:val="002F57DF"/>
    <w:rsid w:val="002F67E3"/>
    <w:rsid w:val="002F73E6"/>
    <w:rsid w:val="002F7704"/>
    <w:rsid w:val="00300321"/>
    <w:rsid w:val="00300833"/>
    <w:rsid w:val="00301360"/>
    <w:rsid w:val="00301806"/>
    <w:rsid w:val="00301939"/>
    <w:rsid w:val="0030193C"/>
    <w:rsid w:val="003020A4"/>
    <w:rsid w:val="0030231A"/>
    <w:rsid w:val="00302964"/>
    <w:rsid w:val="00304AA5"/>
    <w:rsid w:val="00304DCB"/>
    <w:rsid w:val="00304F58"/>
    <w:rsid w:val="0030599B"/>
    <w:rsid w:val="003061F6"/>
    <w:rsid w:val="00306CA6"/>
    <w:rsid w:val="00310AB9"/>
    <w:rsid w:val="00310E9E"/>
    <w:rsid w:val="003111ED"/>
    <w:rsid w:val="00311CED"/>
    <w:rsid w:val="003128A9"/>
    <w:rsid w:val="00313305"/>
    <w:rsid w:val="0031353F"/>
    <w:rsid w:val="0031441A"/>
    <w:rsid w:val="0031470E"/>
    <w:rsid w:val="00315760"/>
    <w:rsid w:val="003161B6"/>
    <w:rsid w:val="00316F89"/>
    <w:rsid w:val="00317589"/>
    <w:rsid w:val="00320071"/>
    <w:rsid w:val="00320310"/>
    <w:rsid w:val="0032051A"/>
    <w:rsid w:val="0032099E"/>
    <w:rsid w:val="0032117D"/>
    <w:rsid w:val="00322C15"/>
    <w:rsid w:val="00323749"/>
    <w:rsid w:val="0032425F"/>
    <w:rsid w:val="00324EB7"/>
    <w:rsid w:val="00324F24"/>
    <w:rsid w:val="0032514B"/>
    <w:rsid w:val="003263D3"/>
    <w:rsid w:val="0032707F"/>
    <w:rsid w:val="00330147"/>
    <w:rsid w:val="00330950"/>
    <w:rsid w:val="00330B05"/>
    <w:rsid w:val="00330C72"/>
    <w:rsid w:val="00330D2E"/>
    <w:rsid w:val="00330D3B"/>
    <w:rsid w:val="00331186"/>
    <w:rsid w:val="0033120C"/>
    <w:rsid w:val="00331A6D"/>
    <w:rsid w:val="00333224"/>
    <w:rsid w:val="0033359D"/>
    <w:rsid w:val="003338FD"/>
    <w:rsid w:val="00333932"/>
    <w:rsid w:val="00333E4B"/>
    <w:rsid w:val="00334348"/>
    <w:rsid w:val="00335019"/>
    <w:rsid w:val="003356DC"/>
    <w:rsid w:val="003357C7"/>
    <w:rsid w:val="003359BF"/>
    <w:rsid w:val="003361EE"/>
    <w:rsid w:val="00336659"/>
    <w:rsid w:val="00336A23"/>
    <w:rsid w:val="0033739A"/>
    <w:rsid w:val="00337D5E"/>
    <w:rsid w:val="00337FEC"/>
    <w:rsid w:val="0034078D"/>
    <w:rsid w:val="003408B2"/>
    <w:rsid w:val="00340E53"/>
    <w:rsid w:val="00341818"/>
    <w:rsid w:val="0034253B"/>
    <w:rsid w:val="003425C8"/>
    <w:rsid w:val="00342EF8"/>
    <w:rsid w:val="003434FD"/>
    <w:rsid w:val="00343A94"/>
    <w:rsid w:val="00343C90"/>
    <w:rsid w:val="00343CA0"/>
    <w:rsid w:val="003450B3"/>
    <w:rsid w:val="0034540E"/>
    <w:rsid w:val="00346191"/>
    <w:rsid w:val="003461F0"/>
    <w:rsid w:val="003462D8"/>
    <w:rsid w:val="00346387"/>
    <w:rsid w:val="0034710D"/>
    <w:rsid w:val="00350344"/>
    <w:rsid w:val="003508DA"/>
    <w:rsid w:val="0035261F"/>
    <w:rsid w:val="00352CCA"/>
    <w:rsid w:val="00353080"/>
    <w:rsid w:val="003532E5"/>
    <w:rsid w:val="0035414F"/>
    <w:rsid w:val="003541BD"/>
    <w:rsid w:val="00354576"/>
    <w:rsid w:val="0035462A"/>
    <w:rsid w:val="00354C3C"/>
    <w:rsid w:val="0035625F"/>
    <w:rsid w:val="00356369"/>
    <w:rsid w:val="00356908"/>
    <w:rsid w:val="00356A8A"/>
    <w:rsid w:val="00357706"/>
    <w:rsid w:val="003605EB"/>
    <w:rsid w:val="00360DB6"/>
    <w:rsid w:val="00362FE8"/>
    <w:rsid w:val="00363716"/>
    <w:rsid w:val="00363B71"/>
    <w:rsid w:val="00363F3F"/>
    <w:rsid w:val="00364028"/>
    <w:rsid w:val="00364AB0"/>
    <w:rsid w:val="00364EB2"/>
    <w:rsid w:val="00365327"/>
    <w:rsid w:val="003658BC"/>
    <w:rsid w:val="00365F76"/>
    <w:rsid w:val="00366413"/>
    <w:rsid w:val="00366562"/>
    <w:rsid w:val="00366FEF"/>
    <w:rsid w:val="0036702B"/>
    <w:rsid w:val="00367C93"/>
    <w:rsid w:val="00370DDB"/>
    <w:rsid w:val="00371055"/>
    <w:rsid w:val="0037214D"/>
    <w:rsid w:val="00372738"/>
    <w:rsid w:val="003731A5"/>
    <w:rsid w:val="00373297"/>
    <w:rsid w:val="0037395F"/>
    <w:rsid w:val="00374482"/>
    <w:rsid w:val="0037452D"/>
    <w:rsid w:val="0037456E"/>
    <w:rsid w:val="003748A1"/>
    <w:rsid w:val="00374CFB"/>
    <w:rsid w:val="003762FC"/>
    <w:rsid w:val="003763A1"/>
    <w:rsid w:val="003767D3"/>
    <w:rsid w:val="003769DF"/>
    <w:rsid w:val="0037714E"/>
    <w:rsid w:val="00377579"/>
    <w:rsid w:val="003777F4"/>
    <w:rsid w:val="00377A01"/>
    <w:rsid w:val="00377C03"/>
    <w:rsid w:val="00380BA2"/>
    <w:rsid w:val="00380CBF"/>
    <w:rsid w:val="00380EDF"/>
    <w:rsid w:val="00381D5E"/>
    <w:rsid w:val="003827B4"/>
    <w:rsid w:val="00382B8C"/>
    <w:rsid w:val="00383980"/>
    <w:rsid w:val="003842C0"/>
    <w:rsid w:val="00384B15"/>
    <w:rsid w:val="00384CD3"/>
    <w:rsid w:val="00384D57"/>
    <w:rsid w:val="00384E6D"/>
    <w:rsid w:val="00384E89"/>
    <w:rsid w:val="00385472"/>
    <w:rsid w:val="00386AE7"/>
    <w:rsid w:val="00387023"/>
    <w:rsid w:val="00387C2F"/>
    <w:rsid w:val="00387EC0"/>
    <w:rsid w:val="00387F2F"/>
    <w:rsid w:val="00390019"/>
    <w:rsid w:val="00390245"/>
    <w:rsid w:val="003905FD"/>
    <w:rsid w:val="00390E01"/>
    <w:rsid w:val="00390EA8"/>
    <w:rsid w:val="003910FC"/>
    <w:rsid w:val="00391471"/>
    <w:rsid w:val="00391843"/>
    <w:rsid w:val="00391C49"/>
    <w:rsid w:val="00392CFD"/>
    <w:rsid w:val="00393A10"/>
    <w:rsid w:val="00394CF0"/>
    <w:rsid w:val="0039535E"/>
    <w:rsid w:val="003958A9"/>
    <w:rsid w:val="00395AA5"/>
    <w:rsid w:val="00395E60"/>
    <w:rsid w:val="003967F2"/>
    <w:rsid w:val="003972D5"/>
    <w:rsid w:val="00397902"/>
    <w:rsid w:val="003A004E"/>
    <w:rsid w:val="003A09E4"/>
    <w:rsid w:val="003A0C2C"/>
    <w:rsid w:val="003A18E7"/>
    <w:rsid w:val="003A20D7"/>
    <w:rsid w:val="003A227F"/>
    <w:rsid w:val="003A2769"/>
    <w:rsid w:val="003A2A1A"/>
    <w:rsid w:val="003A2BD9"/>
    <w:rsid w:val="003A3AC7"/>
    <w:rsid w:val="003A4813"/>
    <w:rsid w:val="003A4995"/>
    <w:rsid w:val="003A4BF9"/>
    <w:rsid w:val="003A50B9"/>
    <w:rsid w:val="003A5A7C"/>
    <w:rsid w:val="003A5BEF"/>
    <w:rsid w:val="003A67EC"/>
    <w:rsid w:val="003A6A67"/>
    <w:rsid w:val="003A7121"/>
    <w:rsid w:val="003A7284"/>
    <w:rsid w:val="003A7495"/>
    <w:rsid w:val="003A77D3"/>
    <w:rsid w:val="003B0EF1"/>
    <w:rsid w:val="003B2401"/>
    <w:rsid w:val="003B315D"/>
    <w:rsid w:val="003B31A3"/>
    <w:rsid w:val="003B32E9"/>
    <w:rsid w:val="003B40DE"/>
    <w:rsid w:val="003B4B00"/>
    <w:rsid w:val="003B5263"/>
    <w:rsid w:val="003B5295"/>
    <w:rsid w:val="003B5867"/>
    <w:rsid w:val="003B5A78"/>
    <w:rsid w:val="003B645F"/>
    <w:rsid w:val="003B693F"/>
    <w:rsid w:val="003B6BE2"/>
    <w:rsid w:val="003B6C9C"/>
    <w:rsid w:val="003B72F5"/>
    <w:rsid w:val="003B751B"/>
    <w:rsid w:val="003C0F5B"/>
    <w:rsid w:val="003C1D2E"/>
    <w:rsid w:val="003C3004"/>
    <w:rsid w:val="003C3485"/>
    <w:rsid w:val="003C38AA"/>
    <w:rsid w:val="003C5486"/>
    <w:rsid w:val="003C5DF7"/>
    <w:rsid w:val="003C6692"/>
    <w:rsid w:val="003C6BD3"/>
    <w:rsid w:val="003C7F9B"/>
    <w:rsid w:val="003D0567"/>
    <w:rsid w:val="003D0617"/>
    <w:rsid w:val="003D0F16"/>
    <w:rsid w:val="003D14E0"/>
    <w:rsid w:val="003D1818"/>
    <w:rsid w:val="003D234F"/>
    <w:rsid w:val="003D3055"/>
    <w:rsid w:val="003D389E"/>
    <w:rsid w:val="003D4A05"/>
    <w:rsid w:val="003D4A43"/>
    <w:rsid w:val="003D510B"/>
    <w:rsid w:val="003D589C"/>
    <w:rsid w:val="003D5B0F"/>
    <w:rsid w:val="003D61B0"/>
    <w:rsid w:val="003D62EB"/>
    <w:rsid w:val="003D6AA1"/>
    <w:rsid w:val="003D6D99"/>
    <w:rsid w:val="003D75D7"/>
    <w:rsid w:val="003D7AEF"/>
    <w:rsid w:val="003E05D7"/>
    <w:rsid w:val="003E07CF"/>
    <w:rsid w:val="003E0AB0"/>
    <w:rsid w:val="003E0AD8"/>
    <w:rsid w:val="003E1102"/>
    <w:rsid w:val="003E118A"/>
    <w:rsid w:val="003E1633"/>
    <w:rsid w:val="003E2617"/>
    <w:rsid w:val="003E2859"/>
    <w:rsid w:val="003E3539"/>
    <w:rsid w:val="003E3A85"/>
    <w:rsid w:val="003E49F7"/>
    <w:rsid w:val="003E4CCD"/>
    <w:rsid w:val="003E513B"/>
    <w:rsid w:val="003E559E"/>
    <w:rsid w:val="003E6527"/>
    <w:rsid w:val="003E6B16"/>
    <w:rsid w:val="003E7AE0"/>
    <w:rsid w:val="003E7C08"/>
    <w:rsid w:val="003E7EB3"/>
    <w:rsid w:val="003F14EE"/>
    <w:rsid w:val="003F15AC"/>
    <w:rsid w:val="003F172B"/>
    <w:rsid w:val="003F180E"/>
    <w:rsid w:val="003F2620"/>
    <w:rsid w:val="003F3885"/>
    <w:rsid w:val="003F3A53"/>
    <w:rsid w:val="003F3AAC"/>
    <w:rsid w:val="003F436B"/>
    <w:rsid w:val="003F4F84"/>
    <w:rsid w:val="003F59D5"/>
    <w:rsid w:val="003F633E"/>
    <w:rsid w:val="003F728D"/>
    <w:rsid w:val="003F755D"/>
    <w:rsid w:val="003F763D"/>
    <w:rsid w:val="00400023"/>
    <w:rsid w:val="00400455"/>
    <w:rsid w:val="004005A4"/>
    <w:rsid w:val="00400DFB"/>
    <w:rsid w:val="00401D24"/>
    <w:rsid w:val="00402034"/>
    <w:rsid w:val="00402392"/>
    <w:rsid w:val="0040267F"/>
    <w:rsid w:val="00403D4A"/>
    <w:rsid w:val="004043E2"/>
    <w:rsid w:val="004055D2"/>
    <w:rsid w:val="0040599D"/>
    <w:rsid w:val="00406459"/>
    <w:rsid w:val="00406F23"/>
    <w:rsid w:val="0040753A"/>
    <w:rsid w:val="00407CAB"/>
    <w:rsid w:val="0041028D"/>
    <w:rsid w:val="00410380"/>
    <w:rsid w:val="00410735"/>
    <w:rsid w:val="004107EC"/>
    <w:rsid w:val="00412BA6"/>
    <w:rsid w:val="004139A4"/>
    <w:rsid w:val="004144CD"/>
    <w:rsid w:val="00414E70"/>
    <w:rsid w:val="00415061"/>
    <w:rsid w:val="004154A1"/>
    <w:rsid w:val="00415F7E"/>
    <w:rsid w:val="00416F0C"/>
    <w:rsid w:val="004170CC"/>
    <w:rsid w:val="00417281"/>
    <w:rsid w:val="004178BC"/>
    <w:rsid w:val="00417AB6"/>
    <w:rsid w:val="004202C5"/>
    <w:rsid w:val="004203D2"/>
    <w:rsid w:val="004206D1"/>
    <w:rsid w:val="004207C1"/>
    <w:rsid w:val="0042171E"/>
    <w:rsid w:val="00421F92"/>
    <w:rsid w:val="00422968"/>
    <w:rsid w:val="00423102"/>
    <w:rsid w:val="00423364"/>
    <w:rsid w:val="004247C9"/>
    <w:rsid w:val="00425244"/>
    <w:rsid w:val="0042566A"/>
    <w:rsid w:val="00425A60"/>
    <w:rsid w:val="00425B8B"/>
    <w:rsid w:val="00426322"/>
    <w:rsid w:val="00426967"/>
    <w:rsid w:val="00427123"/>
    <w:rsid w:val="00427CA0"/>
    <w:rsid w:val="00430E4E"/>
    <w:rsid w:val="00432FDE"/>
    <w:rsid w:val="004338D0"/>
    <w:rsid w:val="00434D6D"/>
    <w:rsid w:val="00435924"/>
    <w:rsid w:val="00435EA1"/>
    <w:rsid w:val="00436237"/>
    <w:rsid w:val="0043625C"/>
    <w:rsid w:val="004363FC"/>
    <w:rsid w:val="00436882"/>
    <w:rsid w:val="00437C25"/>
    <w:rsid w:val="004403CB"/>
    <w:rsid w:val="004407DE"/>
    <w:rsid w:val="004409FC"/>
    <w:rsid w:val="00441011"/>
    <w:rsid w:val="004413CF"/>
    <w:rsid w:val="00441555"/>
    <w:rsid w:val="00441743"/>
    <w:rsid w:val="0044176F"/>
    <w:rsid w:val="004419F4"/>
    <w:rsid w:val="00441B2D"/>
    <w:rsid w:val="00441D97"/>
    <w:rsid w:val="0044229B"/>
    <w:rsid w:val="0044362F"/>
    <w:rsid w:val="00444999"/>
    <w:rsid w:val="00444A53"/>
    <w:rsid w:val="00445B17"/>
    <w:rsid w:val="00446C4A"/>
    <w:rsid w:val="00447F63"/>
    <w:rsid w:val="004502A1"/>
    <w:rsid w:val="004510C0"/>
    <w:rsid w:val="00451246"/>
    <w:rsid w:val="004512B8"/>
    <w:rsid w:val="00451351"/>
    <w:rsid w:val="00451D57"/>
    <w:rsid w:val="0045234E"/>
    <w:rsid w:val="004523BD"/>
    <w:rsid w:val="00452594"/>
    <w:rsid w:val="00452974"/>
    <w:rsid w:val="00452D15"/>
    <w:rsid w:val="004537AB"/>
    <w:rsid w:val="00454095"/>
    <w:rsid w:val="00454455"/>
    <w:rsid w:val="00454641"/>
    <w:rsid w:val="00454744"/>
    <w:rsid w:val="004551CD"/>
    <w:rsid w:val="004552FF"/>
    <w:rsid w:val="00456115"/>
    <w:rsid w:val="004572F5"/>
    <w:rsid w:val="00460958"/>
    <w:rsid w:val="00460D42"/>
    <w:rsid w:val="00460F0C"/>
    <w:rsid w:val="00461F14"/>
    <w:rsid w:val="004621AD"/>
    <w:rsid w:val="00462290"/>
    <w:rsid w:val="00462D17"/>
    <w:rsid w:val="00462DBC"/>
    <w:rsid w:val="00463C27"/>
    <w:rsid w:val="00464B23"/>
    <w:rsid w:val="0046552A"/>
    <w:rsid w:val="00465B3F"/>
    <w:rsid w:val="00465CC7"/>
    <w:rsid w:val="004660EE"/>
    <w:rsid w:val="004664A5"/>
    <w:rsid w:val="0046693E"/>
    <w:rsid w:val="00466E24"/>
    <w:rsid w:val="00467939"/>
    <w:rsid w:val="00471150"/>
    <w:rsid w:val="004729CE"/>
    <w:rsid w:val="00472C9B"/>
    <w:rsid w:val="00472EB7"/>
    <w:rsid w:val="00473926"/>
    <w:rsid w:val="004761F2"/>
    <w:rsid w:val="00476986"/>
    <w:rsid w:val="004777E4"/>
    <w:rsid w:val="00477B5E"/>
    <w:rsid w:val="00477EA1"/>
    <w:rsid w:val="00480F39"/>
    <w:rsid w:val="00481AB9"/>
    <w:rsid w:val="00482071"/>
    <w:rsid w:val="00482958"/>
    <w:rsid w:val="004839A7"/>
    <w:rsid w:val="00483B79"/>
    <w:rsid w:val="00483E9D"/>
    <w:rsid w:val="00484252"/>
    <w:rsid w:val="00484305"/>
    <w:rsid w:val="0048473F"/>
    <w:rsid w:val="0048502C"/>
    <w:rsid w:val="00485990"/>
    <w:rsid w:val="00485EC9"/>
    <w:rsid w:val="004868B6"/>
    <w:rsid w:val="004874D6"/>
    <w:rsid w:val="004901A0"/>
    <w:rsid w:val="00491297"/>
    <w:rsid w:val="00493B73"/>
    <w:rsid w:val="00493C20"/>
    <w:rsid w:val="00493D0E"/>
    <w:rsid w:val="00493D30"/>
    <w:rsid w:val="00494394"/>
    <w:rsid w:val="00495110"/>
    <w:rsid w:val="004952F5"/>
    <w:rsid w:val="004959BB"/>
    <w:rsid w:val="0049696E"/>
    <w:rsid w:val="00496F43"/>
    <w:rsid w:val="0049740C"/>
    <w:rsid w:val="00497BE0"/>
    <w:rsid w:val="00497DB9"/>
    <w:rsid w:val="004A035F"/>
    <w:rsid w:val="004A0B23"/>
    <w:rsid w:val="004A0C39"/>
    <w:rsid w:val="004A10A5"/>
    <w:rsid w:val="004A2DDC"/>
    <w:rsid w:val="004A4456"/>
    <w:rsid w:val="004A4779"/>
    <w:rsid w:val="004A5AA1"/>
    <w:rsid w:val="004A6AB9"/>
    <w:rsid w:val="004A71AA"/>
    <w:rsid w:val="004A71FE"/>
    <w:rsid w:val="004A748A"/>
    <w:rsid w:val="004B0177"/>
    <w:rsid w:val="004B0E56"/>
    <w:rsid w:val="004B132A"/>
    <w:rsid w:val="004B1A26"/>
    <w:rsid w:val="004B1AB8"/>
    <w:rsid w:val="004B27AC"/>
    <w:rsid w:val="004B2F8E"/>
    <w:rsid w:val="004B3236"/>
    <w:rsid w:val="004B3249"/>
    <w:rsid w:val="004B39C0"/>
    <w:rsid w:val="004B3B57"/>
    <w:rsid w:val="004B3FBC"/>
    <w:rsid w:val="004B47A4"/>
    <w:rsid w:val="004B500C"/>
    <w:rsid w:val="004B561C"/>
    <w:rsid w:val="004B57AB"/>
    <w:rsid w:val="004B5943"/>
    <w:rsid w:val="004B5A7C"/>
    <w:rsid w:val="004B7FD0"/>
    <w:rsid w:val="004C007B"/>
    <w:rsid w:val="004C1621"/>
    <w:rsid w:val="004C1D08"/>
    <w:rsid w:val="004C1F19"/>
    <w:rsid w:val="004C1FE9"/>
    <w:rsid w:val="004C206E"/>
    <w:rsid w:val="004C21F7"/>
    <w:rsid w:val="004C238F"/>
    <w:rsid w:val="004C2CC9"/>
    <w:rsid w:val="004C2D09"/>
    <w:rsid w:val="004C45C9"/>
    <w:rsid w:val="004C4EC4"/>
    <w:rsid w:val="004C5475"/>
    <w:rsid w:val="004C561F"/>
    <w:rsid w:val="004C6348"/>
    <w:rsid w:val="004C63EF"/>
    <w:rsid w:val="004C6B53"/>
    <w:rsid w:val="004C7325"/>
    <w:rsid w:val="004C7669"/>
    <w:rsid w:val="004C7842"/>
    <w:rsid w:val="004D0768"/>
    <w:rsid w:val="004D1516"/>
    <w:rsid w:val="004D194B"/>
    <w:rsid w:val="004D1B78"/>
    <w:rsid w:val="004D1BD4"/>
    <w:rsid w:val="004D1BF5"/>
    <w:rsid w:val="004D1D7D"/>
    <w:rsid w:val="004D1EB2"/>
    <w:rsid w:val="004D22C5"/>
    <w:rsid w:val="004D286F"/>
    <w:rsid w:val="004D290E"/>
    <w:rsid w:val="004D2B85"/>
    <w:rsid w:val="004D43F0"/>
    <w:rsid w:val="004D4CBB"/>
    <w:rsid w:val="004D508E"/>
    <w:rsid w:val="004D5A57"/>
    <w:rsid w:val="004D616A"/>
    <w:rsid w:val="004D6203"/>
    <w:rsid w:val="004D68F7"/>
    <w:rsid w:val="004D6950"/>
    <w:rsid w:val="004D7393"/>
    <w:rsid w:val="004D769E"/>
    <w:rsid w:val="004E0EF1"/>
    <w:rsid w:val="004E11DC"/>
    <w:rsid w:val="004E1CBD"/>
    <w:rsid w:val="004E21F9"/>
    <w:rsid w:val="004E23E5"/>
    <w:rsid w:val="004E2FF5"/>
    <w:rsid w:val="004E3CFD"/>
    <w:rsid w:val="004E3E8A"/>
    <w:rsid w:val="004E49F3"/>
    <w:rsid w:val="004E5F8D"/>
    <w:rsid w:val="004E61A5"/>
    <w:rsid w:val="004E6507"/>
    <w:rsid w:val="004E6816"/>
    <w:rsid w:val="004E6934"/>
    <w:rsid w:val="004E6A8C"/>
    <w:rsid w:val="004E6AA4"/>
    <w:rsid w:val="004E6AF8"/>
    <w:rsid w:val="004E7B89"/>
    <w:rsid w:val="004E7C12"/>
    <w:rsid w:val="004E7D44"/>
    <w:rsid w:val="004F0413"/>
    <w:rsid w:val="004F10CF"/>
    <w:rsid w:val="004F1B35"/>
    <w:rsid w:val="004F1E7B"/>
    <w:rsid w:val="004F2220"/>
    <w:rsid w:val="004F2EE1"/>
    <w:rsid w:val="004F337E"/>
    <w:rsid w:val="004F35ED"/>
    <w:rsid w:val="004F3D39"/>
    <w:rsid w:val="004F448D"/>
    <w:rsid w:val="004F4BFF"/>
    <w:rsid w:val="004F4C88"/>
    <w:rsid w:val="004F55B6"/>
    <w:rsid w:val="004F6128"/>
    <w:rsid w:val="004F7923"/>
    <w:rsid w:val="004F7B5A"/>
    <w:rsid w:val="00500253"/>
    <w:rsid w:val="00500E3F"/>
    <w:rsid w:val="00501236"/>
    <w:rsid w:val="0050174D"/>
    <w:rsid w:val="005019C6"/>
    <w:rsid w:val="00502899"/>
    <w:rsid w:val="005028C5"/>
    <w:rsid w:val="00503B8B"/>
    <w:rsid w:val="00503C2F"/>
    <w:rsid w:val="00504C69"/>
    <w:rsid w:val="00506277"/>
    <w:rsid w:val="005066AC"/>
    <w:rsid w:val="00506818"/>
    <w:rsid w:val="005068DA"/>
    <w:rsid w:val="0050757E"/>
    <w:rsid w:val="00507736"/>
    <w:rsid w:val="0050797F"/>
    <w:rsid w:val="00507BEA"/>
    <w:rsid w:val="0051067C"/>
    <w:rsid w:val="00510CF3"/>
    <w:rsid w:val="00510F5B"/>
    <w:rsid w:val="00511372"/>
    <w:rsid w:val="00511779"/>
    <w:rsid w:val="00511A86"/>
    <w:rsid w:val="00511CA7"/>
    <w:rsid w:val="00511DE0"/>
    <w:rsid w:val="00512008"/>
    <w:rsid w:val="005122E5"/>
    <w:rsid w:val="005126ED"/>
    <w:rsid w:val="00512855"/>
    <w:rsid w:val="00513853"/>
    <w:rsid w:val="00513E34"/>
    <w:rsid w:val="00513E78"/>
    <w:rsid w:val="0051405E"/>
    <w:rsid w:val="0051470F"/>
    <w:rsid w:val="0051496B"/>
    <w:rsid w:val="005149EE"/>
    <w:rsid w:val="0051513F"/>
    <w:rsid w:val="00515267"/>
    <w:rsid w:val="005158F8"/>
    <w:rsid w:val="0051616B"/>
    <w:rsid w:val="0051625C"/>
    <w:rsid w:val="005176DB"/>
    <w:rsid w:val="00517E69"/>
    <w:rsid w:val="0052000F"/>
    <w:rsid w:val="00521545"/>
    <w:rsid w:val="0052154B"/>
    <w:rsid w:val="005218EB"/>
    <w:rsid w:val="00522978"/>
    <w:rsid w:val="005229A7"/>
    <w:rsid w:val="00522FCA"/>
    <w:rsid w:val="005230C9"/>
    <w:rsid w:val="00523592"/>
    <w:rsid w:val="005245D1"/>
    <w:rsid w:val="0052479A"/>
    <w:rsid w:val="0052562E"/>
    <w:rsid w:val="00525D0A"/>
    <w:rsid w:val="00526341"/>
    <w:rsid w:val="00526D41"/>
    <w:rsid w:val="00526F00"/>
    <w:rsid w:val="00527611"/>
    <w:rsid w:val="00527AFD"/>
    <w:rsid w:val="00527C52"/>
    <w:rsid w:val="005301A7"/>
    <w:rsid w:val="005305C3"/>
    <w:rsid w:val="00530805"/>
    <w:rsid w:val="0053154C"/>
    <w:rsid w:val="00531FA9"/>
    <w:rsid w:val="00532264"/>
    <w:rsid w:val="005324A6"/>
    <w:rsid w:val="00532D86"/>
    <w:rsid w:val="00532DCB"/>
    <w:rsid w:val="005333FD"/>
    <w:rsid w:val="00533676"/>
    <w:rsid w:val="0053423F"/>
    <w:rsid w:val="005363E3"/>
    <w:rsid w:val="00536C28"/>
    <w:rsid w:val="0053709D"/>
    <w:rsid w:val="0054021D"/>
    <w:rsid w:val="00542443"/>
    <w:rsid w:val="0054251F"/>
    <w:rsid w:val="005438CB"/>
    <w:rsid w:val="0054494A"/>
    <w:rsid w:val="00544DDB"/>
    <w:rsid w:val="005451B6"/>
    <w:rsid w:val="00546770"/>
    <w:rsid w:val="0054680B"/>
    <w:rsid w:val="005470ED"/>
    <w:rsid w:val="00547461"/>
    <w:rsid w:val="00547483"/>
    <w:rsid w:val="00550001"/>
    <w:rsid w:val="005505BB"/>
    <w:rsid w:val="005506A3"/>
    <w:rsid w:val="00550E23"/>
    <w:rsid w:val="00551C0B"/>
    <w:rsid w:val="00552137"/>
    <w:rsid w:val="005524D8"/>
    <w:rsid w:val="005532A6"/>
    <w:rsid w:val="00553D66"/>
    <w:rsid w:val="00554AE4"/>
    <w:rsid w:val="005554D6"/>
    <w:rsid w:val="00555E17"/>
    <w:rsid w:val="00555EB7"/>
    <w:rsid w:val="005560B2"/>
    <w:rsid w:val="00556477"/>
    <w:rsid w:val="005571CB"/>
    <w:rsid w:val="00557551"/>
    <w:rsid w:val="00557A14"/>
    <w:rsid w:val="00557B8C"/>
    <w:rsid w:val="00560182"/>
    <w:rsid w:val="005601E1"/>
    <w:rsid w:val="00560523"/>
    <w:rsid w:val="0056091E"/>
    <w:rsid w:val="00560B90"/>
    <w:rsid w:val="00560D33"/>
    <w:rsid w:val="005610FD"/>
    <w:rsid w:val="00561D2D"/>
    <w:rsid w:val="00561F43"/>
    <w:rsid w:val="00563C99"/>
    <w:rsid w:val="005642D3"/>
    <w:rsid w:val="00564499"/>
    <w:rsid w:val="0056462D"/>
    <w:rsid w:val="00564B26"/>
    <w:rsid w:val="00564DB2"/>
    <w:rsid w:val="00565722"/>
    <w:rsid w:val="00565A74"/>
    <w:rsid w:val="00565BBE"/>
    <w:rsid w:val="00565F28"/>
    <w:rsid w:val="00566115"/>
    <w:rsid w:val="005661D7"/>
    <w:rsid w:val="00567056"/>
    <w:rsid w:val="00567D1F"/>
    <w:rsid w:val="00567F1C"/>
    <w:rsid w:val="005700AE"/>
    <w:rsid w:val="005712F2"/>
    <w:rsid w:val="00571F2D"/>
    <w:rsid w:val="005721D2"/>
    <w:rsid w:val="00572F10"/>
    <w:rsid w:val="00572F45"/>
    <w:rsid w:val="005734AA"/>
    <w:rsid w:val="00573B17"/>
    <w:rsid w:val="00574D34"/>
    <w:rsid w:val="0057520C"/>
    <w:rsid w:val="005753D3"/>
    <w:rsid w:val="005754CE"/>
    <w:rsid w:val="00575670"/>
    <w:rsid w:val="00577560"/>
    <w:rsid w:val="00577AAE"/>
    <w:rsid w:val="00577EA8"/>
    <w:rsid w:val="0058002B"/>
    <w:rsid w:val="00580E4D"/>
    <w:rsid w:val="00580FDE"/>
    <w:rsid w:val="005817F7"/>
    <w:rsid w:val="005819E4"/>
    <w:rsid w:val="00582EC0"/>
    <w:rsid w:val="00583536"/>
    <w:rsid w:val="005835E0"/>
    <w:rsid w:val="00583DB0"/>
    <w:rsid w:val="005842E1"/>
    <w:rsid w:val="00584550"/>
    <w:rsid w:val="0058459B"/>
    <w:rsid w:val="00584DCA"/>
    <w:rsid w:val="00586679"/>
    <w:rsid w:val="00586DDC"/>
    <w:rsid w:val="005871ED"/>
    <w:rsid w:val="00590B2E"/>
    <w:rsid w:val="0059191F"/>
    <w:rsid w:val="0059228C"/>
    <w:rsid w:val="00593EE6"/>
    <w:rsid w:val="0059451B"/>
    <w:rsid w:val="00594C93"/>
    <w:rsid w:val="0059512D"/>
    <w:rsid w:val="00595662"/>
    <w:rsid w:val="005959F1"/>
    <w:rsid w:val="0059654D"/>
    <w:rsid w:val="00596731"/>
    <w:rsid w:val="00596EA7"/>
    <w:rsid w:val="005976E6"/>
    <w:rsid w:val="005A05AC"/>
    <w:rsid w:val="005A05C3"/>
    <w:rsid w:val="005A0A99"/>
    <w:rsid w:val="005A154C"/>
    <w:rsid w:val="005A2372"/>
    <w:rsid w:val="005A24AE"/>
    <w:rsid w:val="005A2FE0"/>
    <w:rsid w:val="005A3760"/>
    <w:rsid w:val="005A37AE"/>
    <w:rsid w:val="005A4470"/>
    <w:rsid w:val="005A4483"/>
    <w:rsid w:val="005A52B8"/>
    <w:rsid w:val="005A57E6"/>
    <w:rsid w:val="005A585F"/>
    <w:rsid w:val="005A625C"/>
    <w:rsid w:val="005A6265"/>
    <w:rsid w:val="005A6400"/>
    <w:rsid w:val="005A734F"/>
    <w:rsid w:val="005A7366"/>
    <w:rsid w:val="005B0C37"/>
    <w:rsid w:val="005B1699"/>
    <w:rsid w:val="005B1C48"/>
    <w:rsid w:val="005B21B7"/>
    <w:rsid w:val="005B2240"/>
    <w:rsid w:val="005B38D5"/>
    <w:rsid w:val="005B3CD5"/>
    <w:rsid w:val="005B3F9A"/>
    <w:rsid w:val="005B41D9"/>
    <w:rsid w:val="005B4CCE"/>
    <w:rsid w:val="005B6437"/>
    <w:rsid w:val="005B6F54"/>
    <w:rsid w:val="005B777B"/>
    <w:rsid w:val="005C01BF"/>
    <w:rsid w:val="005C176A"/>
    <w:rsid w:val="005C1C5A"/>
    <w:rsid w:val="005C2674"/>
    <w:rsid w:val="005C3866"/>
    <w:rsid w:val="005C4678"/>
    <w:rsid w:val="005C4717"/>
    <w:rsid w:val="005C471B"/>
    <w:rsid w:val="005C54CC"/>
    <w:rsid w:val="005C5612"/>
    <w:rsid w:val="005C5D7C"/>
    <w:rsid w:val="005C5EEB"/>
    <w:rsid w:val="005C6DA2"/>
    <w:rsid w:val="005C70DF"/>
    <w:rsid w:val="005C7AC9"/>
    <w:rsid w:val="005C7C28"/>
    <w:rsid w:val="005C7EAD"/>
    <w:rsid w:val="005D12C7"/>
    <w:rsid w:val="005D2799"/>
    <w:rsid w:val="005D2A58"/>
    <w:rsid w:val="005D2F98"/>
    <w:rsid w:val="005D384F"/>
    <w:rsid w:val="005D4088"/>
    <w:rsid w:val="005D4526"/>
    <w:rsid w:val="005D4785"/>
    <w:rsid w:val="005D5495"/>
    <w:rsid w:val="005D619A"/>
    <w:rsid w:val="005D678A"/>
    <w:rsid w:val="005D6A6E"/>
    <w:rsid w:val="005D7FD6"/>
    <w:rsid w:val="005E0168"/>
    <w:rsid w:val="005E04D6"/>
    <w:rsid w:val="005E10BD"/>
    <w:rsid w:val="005E1613"/>
    <w:rsid w:val="005E189E"/>
    <w:rsid w:val="005E1CA7"/>
    <w:rsid w:val="005E2710"/>
    <w:rsid w:val="005E289C"/>
    <w:rsid w:val="005E3226"/>
    <w:rsid w:val="005E3D65"/>
    <w:rsid w:val="005E3D92"/>
    <w:rsid w:val="005E4037"/>
    <w:rsid w:val="005E43B5"/>
    <w:rsid w:val="005E4970"/>
    <w:rsid w:val="005E4ED3"/>
    <w:rsid w:val="005E4FAD"/>
    <w:rsid w:val="005E59E5"/>
    <w:rsid w:val="005E64B2"/>
    <w:rsid w:val="005E6C23"/>
    <w:rsid w:val="005E6E72"/>
    <w:rsid w:val="005E7626"/>
    <w:rsid w:val="005E7B8C"/>
    <w:rsid w:val="005E7F7D"/>
    <w:rsid w:val="005F1F67"/>
    <w:rsid w:val="005F27C2"/>
    <w:rsid w:val="005F2E4B"/>
    <w:rsid w:val="005F35ED"/>
    <w:rsid w:val="005F4B54"/>
    <w:rsid w:val="005F5F6C"/>
    <w:rsid w:val="005F5FDB"/>
    <w:rsid w:val="005F664F"/>
    <w:rsid w:val="005F6DE6"/>
    <w:rsid w:val="005F734B"/>
    <w:rsid w:val="005F7C6B"/>
    <w:rsid w:val="005F7D49"/>
    <w:rsid w:val="006009A9"/>
    <w:rsid w:val="006009E5"/>
    <w:rsid w:val="006020A0"/>
    <w:rsid w:val="0060225D"/>
    <w:rsid w:val="006023EE"/>
    <w:rsid w:val="00602991"/>
    <w:rsid w:val="00602A0D"/>
    <w:rsid w:val="00602CA9"/>
    <w:rsid w:val="00603A99"/>
    <w:rsid w:val="00604649"/>
    <w:rsid w:val="006051B1"/>
    <w:rsid w:val="00605D84"/>
    <w:rsid w:val="0060632E"/>
    <w:rsid w:val="0060657F"/>
    <w:rsid w:val="0060728D"/>
    <w:rsid w:val="006077AD"/>
    <w:rsid w:val="00607A27"/>
    <w:rsid w:val="00607E4C"/>
    <w:rsid w:val="00607E99"/>
    <w:rsid w:val="006100D5"/>
    <w:rsid w:val="0061017C"/>
    <w:rsid w:val="00610E15"/>
    <w:rsid w:val="0061288B"/>
    <w:rsid w:val="00612CD4"/>
    <w:rsid w:val="006140CF"/>
    <w:rsid w:val="00614AB2"/>
    <w:rsid w:val="00614B61"/>
    <w:rsid w:val="0061533F"/>
    <w:rsid w:val="00615458"/>
    <w:rsid w:val="0061568B"/>
    <w:rsid w:val="00615D35"/>
    <w:rsid w:val="00616024"/>
    <w:rsid w:val="00616182"/>
    <w:rsid w:val="006162C3"/>
    <w:rsid w:val="00616DBB"/>
    <w:rsid w:val="0061790C"/>
    <w:rsid w:val="0062101A"/>
    <w:rsid w:val="00621490"/>
    <w:rsid w:val="006217B7"/>
    <w:rsid w:val="006218DB"/>
    <w:rsid w:val="00624314"/>
    <w:rsid w:val="00624404"/>
    <w:rsid w:val="00624506"/>
    <w:rsid w:val="00625DB2"/>
    <w:rsid w:val="006260EA"/>
    <w:rsid w:val="0062654B"/>
    <w:rsid w:val="0062671D"/>
    <w:rsid w:val="00626951"/>
    <w:rsid w:val="0062758D"/>
    <w:rsid w:val="00631401"/>
    <w:rsid w:val="006314D1"/>
    <w:rsid w:val="00631ADE"/>
    <w:rsid w:val="00631C9C"/>
    <w:rsid w:val="00632194"/>
    <w:rsid w:val="00632277"/>
    <w:rsid w:val="006334D8"/>
    <w:rsid w:val="0063360B"/>
    <w:rsid w:val="00633C62"/>
    <w:rsid w:val="00633EB1"/>
    <w:rsid w:val="00633FCD"/>
    <w:rsid w:val="006372EA"/>
    <w:rsid w:val="00637745"/>
    <w:rsid w:val="00637D50"/>
    <w:rsid w:val="006405F5"/>
    <w:rsid w:val="0064062A"/>
    <w:rsid w:val="0064064A"/>
    <w:rsid w:val="00640C81"/>
    <w:rsid w:val="006418D1"/>
    <w:rsid w:val="00641F27"/>
    <w:rsid w:val="006425D0"/>
    <w:rsid w:val="006426A8"/>
    <w:rsid w:val="00642A7E"/>
    <w:rsid w:val="0064317C"/>
    <w:rsid w:val="00643AD1"/>
    <w:rsid w:val="00643C62"/>
    <w:rsid w:val="0064435E"/>
    <w:rsid w:val="006446D3"/>
    <w:rsid w:val="006450CC"/>
    <w:rsid w:val="0064521A"/>
    <w:rsid w:val="00645C5B"/>
    <w:rsid w:val="00646A14"/>
    <w:rsid w:val="00647A12"/>
    <w:rsid w:val="0065033C"/>
    <w:rsid w:val="00650C03"/>
    <w:rsid w:val="00650E1C"/>
    <w:rsid w:val="00651132"/>
    <w:rsid w:val="00651952"/>
    <w:rsid w:val="00651D10"/>
    <w:rsid w:val="006520BB"/>
    <w:rsid w:val="00652C89"/>
    <w:rsid w:val="00652CAE"/>
    <w:rsid w:val="0065366F"/>
    <w:rsid w:val="0065476F"/>
    <w:rsid w:val="00654A96"/>
    <w:rsid w:val="006554E1"/>
    <w:rsid w:val="006558B1"/>
    <w:rsid w:val="00655EE0"/>
    <w:rsid w:val="00656ABC"/>
    <w:rsid w:val="006572B4"/>
    <w:rsid w:val="00657C0F"/>
    <w:rsid w:val="00657EDC"/>
    <w:rsid w:val="00660397"/>
    <w:rsid w:val="006606B4"/>
    <w:rsid w:val="006610F1"/>
    <w:rsid w:val="0066192F"/>
    <w:rsid w:val="00661E0B"/>
    <w:rsid w:val="00661F17"/>
    <w:rsid w:val="0066267E"/>
    <w:rsid w:val="0066404C"/>
    <w:rsid w:val="0066482E"/>
    <w:rsid w:val="00664DA3"/>
    <w:rsid w:val="006652D8"/>
    <w:rsid w:val="00665DD7"/>
    <w:rsid w:val="00665EFB"/>
    <w:rsid w:val="00667F6A"/>
    <w:rsid w:val="00670ADB"/>
    <w:rsid w:val="0067284F"/>
    <w:rsid w:val="00672CB6"/>
    <w:rsid w:val="00672E75"/>
    <w:rsid w:val="00673094"/>
    <w:rsid w:val="0067341E"/>
    <w:rsid w:val="006738D4"/>
    <w:rsid w:val="00673CF2"/>
    <w:rsid w:val="006746FB"/>
    <w:rsid w:val="00674E61"/>
    <w:rsid w:val="006752C7"/>
    <w:rsid w:val="00675504"/>
    <w:rsid w:val="00676609"/>
    <w:rsid w:val="00676F09"/>
    <w:rsid w:val="00676F21"/>
    <w:rsid w:val="00677573"/>
    <w:rsid w:val="0067761D"/>
    <w:rsid w:val="006779DF"/>
    <w:rsid w:val="00677A68"/>
    <w:rsid w:val="00677F8A"/>
    <w:rsid w:val="006801D9"/>
    <w:rsid w:val="006802BA"/>
    <w:rsid w:val="006805E4"/>
    <w:rsid w:val="0068101E"/>
    <w:rsid w:val="0068210B"/>
    <w:rsid w:val="0068295E"/>
    <w:rsid w:val="00682C21"/>
    <w:rsid w:val="00682CDA"/>
    <w:rsid w:val="00684300"/>
    <w:rsid w:val="00684382"/>
    <w:rsid w:val="0068455B"/>
    <w:rsid w:val="00684C62"/>
    <w:rsid w:val="00684D0E"/>
    <w:rsid w:val="00685D18"/>
    <w:rsid w:val="006860C0"/>
    <w:rsid w:val="006868C6"/>
    <w:rsid w:val="00686929"/>
    <w:rsid w:val="00686CA4"/>
    <w:rsid w:val="006879C9"/>
    <w:rsid w:val="00687E3E"/>
    <w:rsid w:val="00690018"/>
    <w:rsid w:val="00690603"/>
    <w:rsid w:val="006909F2"/>
    <w:rsid w:val="0069182A"/>
    <w:rsid w:val="006919CF"/>
    <w:rsid w:val="00692611"/>
    <w:rsid w:val="006929C0"/>
    <w:rsid w:val="00692A6C"/>
    <w:rsid w:val="00693C9A"/>
    <w:rsid w:val="006948EE"/>
    <w:rsid w:val="00694D7F"/>
    <w:rsid w:val="006954AB"/>
    <w:rsid w:val="00695820"/>
    <w:rsid w:val="00695850"/>
    <w:rsid w:val="00695A2D"/>
    <w:rsid w:val="00695F35"/>
    <w:rsid w:val="00696949"/>
    <w:rsid w:val="00696E1D"/>
    <w:rsid w:val="00697538"/>
    <w:rsid w:val="006A0060"/>
    <w:rsid w:val="006A08B4"/>
    <w:rsid w:val="006A0B4D"/>
    <w:rsid w:val="006A2798"/>
    <w:rsid w:val="006A2EF6"/>
    <w:rsid w:val="006A3B76"/>
    <w:rsid w:val="006A42DE"/>
    <w:rsid w:val="006A44A4"/>
    <w:rsid w:val="006A4A95"/>
    <w:rsid w:val="006A4C2A"/>
    <w:rsid w:val="006A4D48"/>
    <w:rsid w:val="006A5220"/>
    <w:rsid w:val="006A54A6"/>
    <w:rsid w:val="006A5B13"/>
    <w:rsid w:val="006A5CB6"/>
    <w:rsid w:val="006A6A3F"/>
    <w:rsid w:val="006A6B19"/>
    <w:rsid w:val="006A7642"/>
    <w:rsid w:val="006B00EF"/>
    <w:rsid w:val="006B2609"/>
    <w:rsid w:val="006B2C2E"/>
    <w:rsid w:val="006B319D"/>
    <w:rsid w:val="006B32FA"/>
    <w:rsid w:val="006B34B3"/>
    <w:rsid w:val="006B3DCF"/>
    <w:rsid w:val="006B471F"/>
    <w:rsid w:val="006B4738"/>
    <w:rsid w:val="006B47BD"/>
    <w:rsid w:val="006B525D"/>
    <w:rsid w:val="006B5C4A"/>
    <w:rsid w:val="006B5E9D"/>
    <w:rsid w:val="006B6433"/>
    <w:rsid w:val="006B6726"/>
    <w:rsid w:val="006B6B54"/>
    <w:rsid w:val="006B6E33"/>
    <w:rsid w:val="006B7720"/>
    <w:rsid w:val="006B7B7B"/>
    <w:rsid w:val="006C0966"/>
    <w:rsid w:val="006C0AD2"/>
    <w:rsid w:val="006C13CA"/>
    <w:rsid w:val="006C2422"/>
    <w:rsid w:val="006C2448"/>
    <w:rsid w:val="006C2C44"/>
    <w:rsid w:val="006C2F3B"/>
    <w:rsid w:val="006C3454"/>
    <w:rsid w:val="006C40C7"/>
    <w:rsid w:val="006C550D"/>
    <w:rsid w:val="006C55F0"/>
    <w:rsid w:val="006C7038"/>
    <w:rsid w:val="006C7762"/>
    <w:rsid w:val="006C79BD"/>
    <w:rsid w:val="006D0244"/>
    <w:rsid w:val="006D26AE"/>
    <w:rsid w:val="006D29D1"/>
    <w:rsid w:val="006D449B"/>
    <w:rsid w:val="006D5287"/>
    <w:rsid w:val="006D5303"/>
    <w:rsid w:val="006D5A27"/>
    <w:rsid w:val="006D62C7"/>
    <w:rsid w:val="006D64F4"/>
    <w:rsid w:val="006D6610"/>
    <w:rsid w:val="006D69E5"/>
    <w:rsid w:val="006D7564"/>
    <w:rsid w:val="006D773F"/>
    <w:rsid w:val="006D7C16"/>
    <w:rsid w:val="006E0509"/>
    <w:rsid w:val="006E0EE2"/>
    <w:rsid w:val="006E1414"/>
    <w:rsid w:val="006E1440"/>
    <w:rsid w:val="006E144A"/>
    <w:rsid w:val="006E18DC"/>
    <w:rsid w:val="006E2711"/>
    <w:rsid w:val="006E2DD7"/>
    <w:rsid w:val="006E3477"/>
    <w:rsid w:val="006E407A"/>
    <w:rsid w:val="006E55EB"/>
    <w:rsid w:val="006E6D5B"/>
    <w:rsid w:val="006E6EF4"/>
    <w:rsid w:val="006E721B"/>
    <w:rsid w:val="006E73F2"/>
    <w:rsid w:val="006E76C2"/>
    <w:rsid w:val="006E7CCE"/>
    <w:rsid w:val="006F016D"/>
    <w:rsid w:val="006F0660"/>
    <w:rsid w:val="006F0AE1"/>
    <w:rsid w:val="006F0D33"/>
    <w:rsid w:val="006F1A5F"/>
    <w:rsid w:val="006F1BE3"/>
    <w:rsid w:val="006F1D64"/>
    <w:rsid w:val="006F2346"/>
    <w:rsid w:val="006F35EA"/>
    <w:rsid w:val="006F39A1"/>
    <w:rsid w:val="006F3C23"/>
    <w:rsid w:val="006F40EA"/>
    <w:rsid w:val="006F4285"/>
    <w:rsid w:val="006F479E"/>
    <w:rsid w:val="006F5597"/>
    <w:rsid w:val="006F6633"/>
    <w:rsid w:val="006F771D"/>
    <w:rsid w:val="00700A12"/>
    <w:rsid w:val="00700CDF"/>
    <w:rsid w:val="00701096"/>
    <w:rsid w:val="00701C10"/>
    <w:rsid w:val="007021AC"/>
    <w:rsid w:val="007023CC"/>
    <w:rsid w:val="00702540"/>
    <w:rsid w:val="007028AC"/>
    <w:rsid w:val="00702A8D"/>
    <w:rsid w:val="007030C9"/>
    <w:rsid w:val="00703AEF"/>
    <w:rsid w:val="00703C10"/>
    <w:rsid w:val="00703CC1"/>
    <w:rsid w:val="007042AF"/>
    <w:rsid w:val="0070537C"/>
    <w:rsid w:val="00706719"/>
    <w:rsid w:val="00706B09"/>
    <w:rsid w:val="00707FD0"/>
    <w:rsid w:val="00710943"/>
    <w:rsid w:val="00710B80"/>
    <w:rsid w:val="007110EB"/>
    <w:rsid w:val="007112AF"/>
    <w:rsid w:val="00711663"/>
    <w:rsid w:val="007117EF"/>
    <w:rsid w:val="00711F87"/>
    <w:rsid w:val="00712D55"/>
    <w:rsid w:val="00713821"/>
    <w:rsid w:val="00714087"/>
    <w:rsid w:val="007140E3"/>
    <w:rsid w:val="0071425E"/>
    <w:rsid w:val="00715888"/>
    <w:rsid w:val="00715B19"/>
    <w:rsid w:val="00715E92"/>
    <w:rsid w:val="0071699B"/>
    <w:rsid w:val="00716C2D"/>
    <w:rsid w:val="007174BF"/>
    <w:rsid w:val="007175A9"/>
    <w:rsid w:val="00720582"/>
    <w:rsid w:val="007207D7"/>
    <w:rsid w:val="007209DE"/>
    <w:rsid w:val="00720EC8"/>
    <w:rsid w:val="00721866"/>
    <w:rsid w:val="007218CD"/>
    <w:rsid w:val="00722393"/>
    <w:rsid w:val="00722F31"/>
    <w:rsid w:val="007235B0"/>
    <w:rsid w:val="00723B72"/>
    <w:rsid w:val="00724DC3"/>
    <w:rsid w:val="00725012"/>
    <w:rsid w:val="007250AA"/>
    <w:rsid w:val="00725787"/>
    <w:rsid w:val="007268B7"/>
    <w:rsid w:val="00727F11"/>
    <w:rsid w:val="007308C3"/>
    <w:rsid w:val="00731B0F"/>
    <w:rsid w:val="00731E90"/>
    <w:rsid w:val="00732CA2"/>
    <w:rsid w:val="00732F79"/>
    <w:rsid w:val="007331D0"/>
    <w:rsid w:val="007337CC"/>
    <w:rsid w:val="00733A9D"/>
    <w:rsid w:val="00733C42"/>
    <w:rsid w:val="00733DD4"/>
    <w:rsid w:val="00734269"/>
    <w:rsid w:val="00734A7B"/>
    <w:rsid w:val="00734E83"/>
    <w:rsid w:val="00734E84"/>
    <w:rsid w:val="00735328"/>
    <w:rsid w:val="007354E7"/>
    <w:rsid w:val="00735672"/>
    <w:rsid w:val="0073625C"/>
    <w:rsid w:val="007367AF"/>
    <w:rsid w:val="007372C2"/>
    <w:rsid w:val="007374A2"/>
    <w:rsid w:val="0074049A"/>
    <w:rsid w:val="00740C10"/>
    <w:rsid w:val="00742AD5"/>
    <w:rsid w:val="007432D7"/>
    <w:rsid w:val="00743CA4"/>
    <w:rsid w:val="007440BB"/>
    <w:rsid w:val="00744151"/>
    <w:rsid w:val="0074510C"/>
    <w:rsid w:val="00745762"/>
    <w:rsid w:val="00745873"/>
    <w:rsid w:val="00745A7F"/>
    <w:rsid w:val="00746DB0"/>
    <w:rsid w:val="00746DB1"/>
    <w:rsid w:val="00750CFB"/>
    <w:rsid w:val="00750D55"/>
    <w:rsid w:val="0075111B"/>
    <w:rsid w:val="0075134F"/>
    <w:rsid w:val="007513F1"/>
    <w:rsid w:val="00751BBE"/>
    <w:rsid w:val="00751CCA"/>
    <w:rsid w:val="00751D9C"/>
    <w:rsid w:val="00751E99"/>
    <w:rsid w:val="00751F5B"/>
    <w:rsid w:val="007520C9"/>
    <w:rsid w:val="0075287A"/>
    <w:rsid w:val="00752C73"/>
    <w:rsid w:val="00752ECB"/>
    <w:rsid w:val="00753675"/>
    <w:rsid w:val="00753F3E"/>
    <w:rsid w:val="0075481A"/>
    <w:rsid w:val="00754FF4"/>
    <w:rsid w:val="007551EF"/>
    <w:rsid w:val="007553EC"/>
    <w:rsid w:val="00755A1A"/>
    <w:rsid w:val="007560A6"/>
    <w:rsid w:val="00756355"/>
    <w:rsid w:val="007565D8"/>
    <w:rsid w:val="00757512"/>
    <w:rsid w:val="007601E7"/>
    <w:rsid w:val="007603FC"/>
    <w:rsid w:val="00760823"/>
    <w:rsid w:val="0076197C"/>
    <w:rsid w:val="00761A0D"/>
    <w:rsid w:val="00762060"/>
    <w:rsid w:val="00762232"/>
    <w:rsid w:val="0076225F"/>
    <w:rsid w:val="00762711"/>
    <w:rsid w:val="007634DD"/>
    <w:rsid w:val="0076354A"/>
    <w:rsid w:val="00763879"/>
    <w:rsid w:val="00763BA3"/>
    <w:rsid w:val="00763ECB"/>
    <w:rsid w:val="007641F8"/>
    <w:rsid w:val="00764229"/>
    <w:rsid w:val="00764B36"/>
    <w:rsid w:val="00765298"/>
    <w:rsid w:val="0076553E"/>
    <w:rsid w:val="00765CFF"/>
    <w:rsid w:val="007665D1"/>
    <w:rsid w:val="00766B0E"/>
    <w:rsid w:val="007675B6"/>
    <w:rsid w:val="00770846"/>
    <w:rsid w:val="00770BD4"/>
    <w:rsid w:val="00771101"/>
    <w:rsid w:val="0077255A"/>
    <w:rsid w:val="00772596"/>
    <w:rsid w:val="00772DC4"/>
    <w:rsid w:val="007737C8"/>
    <w:rsid w:val="00773AB0"/>
    <w:rsid w:val="007748DD"/>
    <w:rsid w:val="00774B0F"/>
    <w:rsid w:val="00774C62"/>
    <w:rsid w:val="00774D7B"/>
    <w:rsid w:val="00774E61"/>
    <w:rsid w:val="007752F4"/>
    <w:rsid w:val="007757EA"/>
    <w:rsid w:val="007769E9"/>
    <w:rsid w:val="00776ED0"/>
    <w:rsid w:val="00777604"/>
    <w:rsid w:val="00780D98"/>
    <w:rsid w:val="00781DAD"/>
    <w:rsid w:val="007827BF"/>
    <w:rsid w:val="007832E6"/>
    <w:rsid w:val="007834DB"/>
    <w:rsid w:val="00784B41"/>
    <w:rsid w:val="0078636B"/>
    <w:rsid w:val="0078677A"/>
    <w:rsid w:val="0078768C"/>
    <w:rsid w:val="00787BC8"/>
    <w:rsid w:val="00787BE8"/>
    <w:rsid w:val="00790A67"/>
    <w:rsid w:val="007915B7"/>
    <w:rsid w:val="00791DA8"/>
    <w:rsid w:val="00791FE1"/>
    <w:rsid w:val="00792064"/>
    <w:rsid w:val="0079213D"/>
    <w:rsid w:val="007921F6"/>
    <w:rsid w:val="00792722"/>
    <w:rsid w:val="00792FC4"/>
    <w:rsid w:val="007931E0"/>
    <w:rsid w:val="0079330F"/>
    <w:rsid w:val="00793614"/>
    <w:rsid w:val="0079431F"/>
    <w:rsid w:val="00794CCB"/>
    <w:rsid w:val="00795A16"/>
    <w:rsid w:val="00796C5F"/>
    <w:rsid w:val="00797005"/>
    <w:rsid w:val="00797140"/>
    <w:rsid w:val="007973CC"/>
    <w:rsid w:val="007974BB"/>
    <w:rsid w:val="0079791F"/>
    <w:rsid w:val="00797AA8"/>
    <w:rsid w:val="007A1619"/>
    <w:rsid w:val="007A1A1A"/>
    <w:rsid w:val="007A2018"/>
    <w:rsid w:val="007A2324"/>
    <w:rsid w:val="007A2A14"/>
    <w:rsid w:val="007A2FA1"/>
    <w:rsid w:val="007A3144"/>
    <w:rsid w:val="007A31E1"/>
    <w:rsid w:val="007A3538"/>
    <w:rsid w:val="007A40AB"/>
    <w:rsid w:val="007A4F88"/>
    <w:rsid w:val="007A4FB6"/>
    <w:rsid w:val="007A5C81"/>
    <w:rsid w:val="007A5D1F"/>
    <w:rsid w:val="007A5F08"/>
    <w:rsid w:val="007A5F8E"/>
    <w:rsid w:val="007A64D0"/>
    <w:rsid w:val="007A727C"/>
    <w:rsid w:val="007B01C6"/>
    <w:rsid w:val="007B108A"/>
    <w:rsid w:val="007B12E0"/>
    <w:rsid w:val="007B1A3E"/>
    <w:rsid w:val="007B1ABB"/>
    <w:rsid w:val="007B23FA"/>
    <w:rsid w:val="007B30F5"/>
    <w:rsid w:val="007B38F9"/>
    <w:rsid w:val="007B3C84"/>
    <w:rsid w:val="007B4C5D"/>
    <w:rsid w:val="007B514C"/>
    <w:rsid w:val="007B5222"/>
    <w:rsid w:val="007B546F"/>
    <w:rsid w:val="007B5A83"/>
    <w:rsid w:val="007B694F"/>
    <w:rsid w:val="007B6F09"/>
    <w:rsid w:val="007B7881"/>
    <w:rsid w:val="007B7A3A"/>
    <w:rsid w:val="007B7B33"/>
    <w:rsid w:val="007B7C46"/>
    <w:rsid w:val="007C05AB"/>
    <w:rsid w:val="007C0DAF"/>
    <w:rsid w:val="007C16EA"/>
    <w:rsid w:val="007C17CE"/>
    <w:rsid w:val="007C2478"/>
    <w:rsid w:val="007C24C6"/>
    <w:rsid w:val="007C2D89"/>
    <w:rsid w:val="007C3305"/>
    <w:rsid w:val="007C3D03"/>
    <w:rsid w:val="007C4194"/>
    <w:rsid w:val="007C4314"/>
    <w:rsid w:val="007C4B86"/>
    <w:rsid w:val="007C4C9F"/>
    <w:rsid w:val="007C51C3"/>
    <w:rsid w:val="007C6055"/>
    <w:rsid w:val="007C6B31"/>
    <w:rsid w:val="007C7681"/>
    <w:rsid w:val="007C7BF9"/>
    <w:rsid w:val="007D0AE2"/>
    <w:rsid w:val="007D189E"/>
    <w:rsid w:val="007D1BD3"/>
    <w:rsid w:val="007D207E"/>
    <w:rsid w:val="007D20AD"/>
    <w:rsid w:val="007D2113"/>
    <w:rsid w:val="007D3418"/>
    <w:rsid w:val="007D42EF"/>
    <w:rsid w:val="007D47D7"/>
    <w:rsid w:val="007D4FE8"/>
    <w:rsid w:val="007D528A"/>
    <w:rsid w:val="007D5956"/>
    <w:rsid w:val="007D6174"/>
    <w:rsid w:val="007D6622"/>
    <w:rsid w:val="007D74F7"/>
    <w:rsid w:val="007D75FA"/>
    <w:rsid w:val="007D7637"/>
    <w:rsid w:val="007E0B77"/>
    <w:rsid w:val="007E0E48"/>
    <w:rsid w:val="007E101A"/>
    <w:rsid w:val="007E1CAD"/>
    <w:rsid w:val="007E1F3C"/>
    <w:rsid w:val="007E2D7F"/>
    <w:rsid w:val="007E502B"/>
    <w:rsid w:val="007E50F7"/>
    <w:rsid w:val="007E5251"/>
    <w:rsid w:val="007E5AB7"/>
    <w:rsid w:val="007E5F27"/>
    <w:rsid w:val="007E60BF"/>
    <w:rsid w:val="007E63D1"/>
    <w:rsid w:val="007E6602"/>
    <w:rsid w:val="007E6814"/>
    <w:rsid w:val="007E7479"/>
    <w:rsid w:val="007E7E6A"/>
    <w:rsid w:val="007F07AD"/>
    <w:rsid w:val="007F0BFF"/>
    <w:rsid w:val="007F0F39"/>
    <w:rsid w:val="007F1235"/>
    <w:rsid w:val="007F139C"/>
    <w:rsid w:val="007F14F7"/>
    <w:rsid w:val="007F18DC"/>
    <w:rsid w:val="007F2A43"/>
    <w:rsid w:val="007F388B"/>
    <w:rsid w:val="007F58F4"/>
    <w:rsid w:val="007F5DAB"/>
    <w:rsid w:val="007F6C16"/>
    <w:rsid w:val="007F71AE"/>
    <w:rsid w:val="007F759D"/>
    <w:rsid w:val="007F7BBD"/>
    <w:rsid w:val="007F7EB1"/>
    <w:rsid w:val="00800889"/>
    <w:rsid w:val="00801048"/>
    <w:rsid w:val="0080113C"/>
    <w:rsid w:val="008012A2"/>
    <w:rsid w:val="0080166D"/>
    <w:rsid w:val="00801B40"/>
    <w:rsid w:val="008032C8"/>
    <w:rsid w:val="00803332"/>
    <w:rsid w:val="00803A86"/>
    <w:rsid w:val="00803AD4"/>
    <w:rsid w:val="00804B18"/>
    <w:rsid w:val="00805A90"/>
    <w:rsid w:val="00805D65"/>
    <w:rsid w:val="00806446"/>
    <w:rsid w:val="008068D0"/>
    <w:rsid w:val="00806D13"/>
    <w:rsid w:val="00806DC8"/>
    <w:rsid w:val="00810070"/>
    <w:rsid w:val="008105DC"/>
    <w:rsid w:val="008110BC"/>
    <w:rsid w:val="0081114B"/>
    <w:rsid w:val="00811349"/>
    <w:rsid w:val="0081160D"/>
    <w:rsid w:val="00811F78"/>
    <w:rsid w:val="00811F9D"/>
    <w:rsid w:val="00812070"/>
    <w:rsid w:val="0081210B"/>
    <w:rsid w:val="008128C5"/>
    <w:rsid w:val="00812FB3"/>
    <w:rsid w:val="00813418"/>
    <w:rsid w:val="00814C6D"/>
    <w:rsid w:val="00815180"/>
    <w:rsid w:val="0081523B"/>
    <w:rsid w:val="008155FB"/>
    <w:rsid w:val="00815759"/>
    <w:rsid w:val="008159E4"/>
    <w:rsid w:val="00815A15"/>
    <w:rsid w:val="008169E5"/>
    <w:rsid w:val="00816CBF"/>
    <w:rsid w:val="00817F7A"/>
    <w:rsid w:val="00820461"/>
    <w:rsid w:val="008204EB"/>
    <w:rsid w:val="0082139F"/>
    <w:rsid w:val="0082169F"/>
    <w:rsid w:val="00821BDB"/>
    <w:rsid w:val="00821E61"/>
    <w:rsid w:val="008226AA"/>
    <w:rsid w:val="00822CE6"/>
    <w:rsid w:val="00822DB3"/>
    <w:rsid w:val="00823006"/>
    <w:rsid w:val="00823009"/>
    <w:rsid w:val="00823C73"/>
    <w:rsid w:val="00823DD3"/>
    <w:rsid w:val="00823E3C"/>
    <w:rsid w:val="00823F1A"/>
    <w:rsid w:val="008279A3"/>
    <w:rsid w:val="008279E2"/>
    <w:rsid w:val="00827FEC"/>
    <w:rsid w:val="008304E1"/>
    <w:rsid w:val="00830BCC"/>
    <w:rsid w:val="00831082"/>
    <w:rsid w:val="008313C2"/>
    <w:rsid w:val="00831533"/>
    <w:rsid w:val="0083160E"/>
    <w:rsid w:val="00831985"/>
    <w:rsid w:val="00833C0C"/>
    <w:rsid w:val="00837D27"/>
    <w:rsid w:val="00840490"/>
    <w:rsid w:val="00840B26"/>
    <w:rsid w:val="00840C20"/>
    <w:rsid w:val="0084111D"/>
    <w:rsid w:val="00841218"/>
    <w:rsid w:val="00841971"/>
    <w:rsid w:val="00842E64"/>
    <w:rsid w:val="00843EB0"/>
    <w:rsid w:val="00843EB1"/>
    <w:rsid w:val="008440CD"/>
    <w:rsid w:val="00844223"/>
    <w:rsid w:val="0084423D"/>
    <w:rsid w:val="00845334"/>
    <w:rsid w:val="00845428"/>
    <w:rsid w:val="00845901"/>
    <w:rsid w:val="0084590E"/>
    <w:rsid w:val="00845D41"/>
    <w:rsid w:val="00845E44"/>
    <w:rsid w:val="00846493"/>
    <w:rsid w:val="008471B8"/>
    <w:rsid w:val="008479FB"/>
    <w:rsid w:val="00847C58"/>
    <w:rsid w:val="00847E17"/>
    <w:rsid w:val="00850578"/>
    <w:rsid w:val="00850B0C"/>
    <w:rsid w:val="00850E68"/>
    <w:rsid w:val="00851C22"/>
    <w:rsid w:val="00851DCF"/>
    <w:rsid w:val="00851FD0"/>
    <w:rsid w:val="00852019"/>
    <w:rsid w:val="0085201F"/>
    <w:rsid w:val="008522E0"/>
    <w:rsid w:val="008533E1"/>
    <w:rsid w:val="0085341D"/>
    <w:rsid w:val="008535D2"/>
    <w:rsid w:val="00854CA7"/>
    <w:rsid w:val="00854CCC"/>
    <w:rsid w:val="0085539D"/>
    <w:rsid w:val="00855C14"/>
    <w:rsid w:val="00855DC7"/>
    <w:rsid w:val="0085602A"/>
    <w:rsid w:val="00856D8C"/>
    <w:rsid w:val="00857847"/>
    <w:rsid w:val="00860067"/>
    <w:rsid w:val="008604DD"/>
    <w:rsid w:val="00860705"/>
    <w:rsid w:val="00860FB9"/>
    <w:rsid w:val="00860FBE"/>
    <w:rsid w:val="008616E3"/>
    <w:rsid w:val="00862074"/>
    <w:rsid w:val="008625C5"/>
    <w:rsid w:val="00862A69"/>
    <w:rsid w:val="00862BA0"/>
    <w:rsid w:val="00863A33"/>
    <w:rsid w:val="008644CA"/>
    <w:rsid w:val="0086450A"/>
    <w:rsid w:val="00864F3E"/>
    <w:rsid w:val="008655DC"/>
    <w:rsid w:val="00866394"/>
    <w:rsid w:val="00866452"/>
    <w:rsid w:val="00867066"/>
    <w:rsid w:val="008672AB"/>
    <w:rsid w:val="00867673"/>
    <w:rsid w:val="00867824"/>
    <w:rsid w:val="00870896"/>
    <w:rsid w:val="008724A4"/>
    <w:rsid w:val="00872507"/>
    <w:rsid w:val="00872BD7"/>
    <w:rsid w:val="00872FC2"/>
    <w:rsid w:val="00873281"/>
    <w:rsid w:val="008734AD"/>
    <w:rsid w:val="0087395B"/>
    <w:rsid w:val="00874004"/>
    <w:rsid w:val="008749EF"/>
    <w:rsid w:val="00874A4A"/>
    <w:rsid w:val="00874A55"/>
    <w:rsid w:val="00874B86"/>
    <w:rsid w:val="00874F06"/>
    <w:rsid w:val="00874F33"/>
    <w:rsid w:val="008757CC"/>
    <w:rsid w:val="00875D94"/>
    <w:rsid w:val="00876EEA"/>
    <w:rsid w:val="008772F2"/>
    <w:rsid w:val="00877DD3"/>
    <w:rsid w:val="008801AC"/>
    <w:rsid w:val="00880DD6"/>
    <w:rsid w:val="0088166A"/>
    <w:rsid w:val="0088197C"/>
    <w:rsid w:val="008819A6"/>
    <w:rsid w:val="008819A9"/>
    <w:rsid w:val="00881C99"/>
    <w:rsid w:val="00881F29"/>
    <w:rsid w:val="00882A1A"/>
    <w:rsid w:val="00882BB7"/>
    <w:rsid w:val="008830CE"/>
    <w:rsid w:val="00883E15"/>
    <w:rsid w:val="008843D6"/>
    <w:rsid w:val="008846C4"/>
    <w:rsid w:val="00884E36"/>
    <w:rsid w:val="0088501A"/>
    <w:rsid w:val="0088544E"/>
    <w:rsid w:val="00885455"/>
    <w:rsid w:val="00885C1C"/>
    <w:rsid w:val="00885F6B"/>
    <w:rsid w:val="00886A7C"/>
    <w:rsid w:val="00886B86"/>
    <w:rsid w:val="0088797B"/>
    <w:rsid w:val="00887AA7"/>
    <w:rsid w:val="008904EA"/>
    <w:rsid w:val="0089115D"/>
    <w:rsid w:val="008916EE"/>
    <w:rsid w:val="00891CC6"/>
    <w:rsid w:val="008925D1"/>
    <w:rsid w:val="0089338D"/>
    <w:rsid w:val="00893BB3"/>
    <w:rsid w:val="00894079"/>
    <w:rsid w:val="00894168"/>
    <w:rsid w:val="00894250"/>
    <w:rsid w:val="00894A73"/>
    <w:rsid w:val="00894D2A"/>
    <w:rsid w:val="00894D63"/>
    <w:rsid w:val="0089601C"/>
    <w:rsid w:val="0089601F"/>
    <w:rsid w:val="00896179"/>
    <w:rsid w:val="0089620F"/>
    <w:rsid w:val="0089790D"/>
    <w:rsid w:val="00897949"/>
    <w:rsid w:val="00897CF0"/>
    <w:rsid w:val="008A02A2"/>
    <w:rsid w:val="008A080E"/>
    <w:rsid w:val="008A113F"/>
    <w:rsid w:val="008A172F"/>
    <w:rsid w:val="008A1A37"/>
    <w:rsid w:val="008A1B55"/>
    <w:rsid w:val="008A24B2"/>
    <w:rsid w:val="008A3119"/>
    <w:rsid w:val="008A42E3"/>
    <w:rsid w:val="008A47C7"/>
    <w:rsid w:val="008A5090"/>
    <w:rsid w:val="008A65D6"/>
    <w:rsid w:val="008A6CF8"/>
    <w:rsid w:val="008B0243"/>
    <w:rsid w:val="008B0E84"/>
    <w:rsid w:val="008B0EF9"/>
    <w:rsid w:val="008B1508"/>
    <w:rsid w:val="008B2058"/>
    <w:rsid w:val="008B2088"/>
    <w:rsid w:val="008B3063"/>
    <w:rsid w:val="008B376F"/>
    <w:rsid w:val="008B3C54"/>
    <w:rsid w:val="008B4066"/>
    <w:rsid w:val="008B44BA"/>
    <w:rsid w:val="008B48F2"/>
    <w:rsid w:val="008B5148"/>
    <w:rsid w:val="008B5295"/>
    <w:rsid w:val="008B54A7"/>
    <w:rsid w:val="008B5F5C"/>
    <w:rsid w:val="008B607E"/>
    <w:rsid w:val="008B7679"/>
    <w:rsid w:val="008B77AF"/>
    <w:rsid w:val="008B78B8"/>
    <w:rsid w:val="008B79BF"/>
    <w:rsid w:val="008B7C9B"/>
    <w:rsid w:val="008C1DBB"/>
    <w:rsid w:val="008C203A"/>
    <w:rsid w:val="008C20FF"/>
    <w:rsid w:val="008C2475"/>
    <w:rsid w:val="008C24C8"/>
    <w:rsid w:val="008C275F"/>
    <w:rsid w:val="008C3897"/>
    <w:rsid w:val="008C4C1E"/>
    <w:rsid w:val="008C5278"/>
    <w:rsid w:val="008C5371"/>
    <w:rsid w:val="008C63DA"/>
    <w:rsid w:val="008C6F26"/>
    <w:rsid w:val="008C77E5"/>
    <w:rsid w:val="008D01E6"/>
    <w:rsid w:val="008D075F"/>
    <w:rsid w:val="008D1DAF"/>
    <w:rsid w:val="008D2108"/>
    <w:rsid w:val="008D2A37"/>
    <w:rsid w:val="008D2C34"/>
    <w:rsid w:val="008D32C3"/>
    <w:rsid w:val="008D3C17"/>
    <w:rsid w:val="008D3E10"/>
    <w:rsid w:val="008D449F"/>
    <w:rsid w:val="008D483F"/>
    <w:rsid w:val="008D4DA4"/>
    <w:rsid w:val="008D536B"/>
    <w:rsid w:val="008D59E9"/>
    <w:rsid w:val="008D5E50"/>
    <w:rsid w:val="008D6278"/>
    <w:rsid w:val="008D7049"/>
    <w:rsid w:val="008E0745"/>
    <w:rsid w:val="008E0DAF"/>
    <w:rsid w:val="008E12AF"/>
    <w:rsid w:val="008E2AFD"/>
    <w:rsid w:val="008E2E01"/>
    <w:rsid w:val="008E325F"/>
    <w:rsid w:val="008E3293"/>
    <w:rsid w:val="008E3F2A"/>
    <w:rsid w:val="008E4047"/>
    <w:rsid w:val="008E45AA"/>
    <w:rsid w:val="008E4740"/>
    <w:rsid w:val="008E48CE"/>
    <w:rsid w:val="008E5370"/>
    <w:rsid w:val="008E53C7"/>
    <w:rsid w:val="008E6831"/>
    <w:rsid w:val="008E6B29"/>
    <w:rsid w:val="008E6EB2"/>
    <w:rsid w:val="008E6FE5"/>
    <w:rsid w:val="008E74FD"/>
    <w:rsid w:val="008F02BA"/>
    <w:rsid w:val="008F08A5"/>
    <w:rsid w:val="008F18FC"/>
    <w:rsid w:val="008F1A92"/>
    <w:rsid w:val="008F1E5D"/>
    <w:rsid w:val="008F2299"/>
    <w:rsid w:val="008F35AA"/>
    <w:rsid w:val="008F3E10"/>
    <w:rsid w:val="008F412D"/>
    <w:rsid w:val="008F4B70"/>
    <w:rsid w:val="008F4D06"/>
    <w:rsid w:val="008F5288"/>
    <w:rsid w:val="008F5E11"/>
    <w:rsid w:val="008F684F"/>
    <w:rsid w:val="008F712F"/>
    <w:rsid w:val="008F7FB8"/>
    <w:rsid w:val="00900B09"/>
    <w:rsid w:val="009010D8"/>
    <w:rsid w:val="00901501"/>
    <w:rsid w:val="00902010"/>
    <w:rsid w:val="00902308"/>
    <w:rsid w:val="009024A1"/>
    <w:rsid w:val="00903279"/>
    <w:rsid w:val="009033A0"/>
    <w:rsid w:val="009034DE"/>
    <w:rsid w:val="00903AE7"/>
    <w:rsid w:val="00903EEF"/>
    <w:rsid w:val="00903F8E"/>
    <w:rsid w:val="009044E6"/>
    <w:rsid w:val="0090491F"/>
    <w:rsid w:val="00905367"/>
    <w:rsid w:val="009057F2"/>
    <w:rsid w:val="00905B95"/>
    <w:rsid w:val="0090605C"/>
    <w:rsid w:val="00906451"/>
    <w:rsid w:val="00907163"/>
    <w:rsid w:val="00907933"/>
    <w:rsid w:val="00907A7B"/>
    <w:rsid w:val="00907BE1"/>
    <w:rsid w:val="009108E5"/>
    <w:rsid w:val="00910F5D"/>
    <w:rsid w:val="00910F7A"/>
    <w:rsid w:val="0091108B"/>
    <w:rsid w:val="00911878"/>
    <w:rsid w:val="00911DE7"/>
    <w:rsid w:val="00912378"/>
    <w:rsid w:val="009124D4"/>
    <w:rsid w:val="00912878"/>
    <w:rsid w:val="00912FF1"/>
    <w:rsid w:val="00913416"/>
    <w:rsid w:val="00913841"/>
    <w:rsid w:val="009139D6"/>
    <w:rsid w:val="009143B2"/>
    <w:rsid w:val="0091464F"/>
    <w:rsid w:val="00914D77"/>
    <w:rsid w:val="009150B1"/>
    <w:rsid w:val="00915323"/>
    <w:rsid w:val="00915EFA"/>
    <w:rsid w:val="00915F74"/>
    <w:rsid w:val="009163FF"/>
    <w:rsid w:val="00916D52"/>
    <w:rsid w:val="00917122"/>
    <w:rsid w:val="009172BA"/>
    <w:rsid w:val="00917758"/>
    <w:rsid w:val="00917828"/>
    <w:rsid w:val="00917CBD"/>
    <w:rsid w:val="0092258E"/>
    <w:rsid w:val="00922C38"/>
    <w:rsid w:val="00922CCA"/>
    <w:rsid w:val="00922D24"/>
    <w:rsid w:val="00922D2A"/>
    <w:rsid w:val="00922EA8"/>
    <w:rsid w:val="00923364"/>
    <w:rsid w:val="00923657"/>
    <w:rsid w:val="00923A87"/>
    <w:rsid w:val="009255B3"/>
    <w:rsid w:val="00925C2C"/>
    <w:rsid w:val="00926588"/>
    <w:rsid w:val="009269CF"/>
    <w:rsid w:val="00926D58"/>
    <w:rsid w:val="00927F3D"/>
    <w:rsid w:val="009301C6"/>
    <w:rsid w:val="00930B57"/>
    <w:rsid w:val="009324EA"/>
    <w:rsid w:val="00932B6E"/>
    <w:rsid w:val="00933327"/>
    <w:rsid w:val="00934855"/>
    <w:rsid w:val="00934C5B"/>
    <w:rsid w:val="009362BB"/>
    <w:rsid w:val="00936D53"/>
    <w:rsid w:val="0093729D"/>
    <w:rsid w:val="00937DAB"/>
    <w:rsid w:val="00937E56"/>
    <w:rsid w:val="00940D72"/>
    <w:rsid w:val="00940EE4"/>
    <w:rsid w:val="00941027"/>
    <w:rsid w:val="009413D7"/>
    <w:rsid w:val="00942DFE"/>
    <w:rsid w:val="00942F5B"/>
    <w:rsid w:val="0094324F"/>
    <w:rsid w:val="00943B31"/>
    <w:rsid w:val="00943CB7"/>
    <w:rsid w:val="00943EB6"/>
    <w:rsid w:val="00944091"/>
    <w:rsid w:val="009446D6"/>
    <w:rsid w:val="009448F0"/>
    <w:rsid w:val="00944CD0"/>
    <w:rsid w:val="009454A7"/>
    <w:rsid w:val="009468D7"/>
    <w:rsid w:val="00946BD7"/>
    <w:rsid w:val="009473BF"/>
    <w:rsid w:val="00947654"/>
    <w:rsid w:val="00947A87"/>
    <w:rsid w:val="00947EC0"/>
    <w:rsid w:val="009510FF"/>
    <w:rsid w:val="00951F40"/>
    <w:rsid w:val="009521F5"/>
    <w:rsid w:val="00952553"/>
    <w:rsid w:val="0095294B"/>
    <w:rsid w:val="00952B9A"/>
    <w:rsid w:val="009535D4"/>
    <w:rsid w:val="00953D5A"/>
    <w:rsid w:val="00954816"/>
    <w:rsid w:val="00954A03"/>
    <w:rsid w:val="00954D90"/>
    <w:rsid w:val="00955650"/>
    <w:rsid w:val="00956BA3"/>
    <w:rsid w:val="00957653"/>
    <w:rsid w:val="00957936"/>
    <w:rsid w:val="00957C8B"/>
    <w:rsid w:val="0096042C"/>
    <w:rsid w:val="00960614"/>
    <w:rsid w:val="00960BED"/>
    <w:rsid w:val="0096101F"/>
    <w:rsid w:val="0096109A"/>
    <w:rsid w:val="009611EC"/>
    <w:rsid w:val="00961BCC"/>
    <w:rsid w:val="00961C0A"/>
    <w:rsid w:val="00961E43"/>
    <w:rsid w:val="009623AD"/>
    <w:rsid w:val="00962C87"/>
    <w:rsid w:val="00962D1C"/>
    <w:rsid w:val="0096339E"/>
    <w:rsid w:val="009639FA"/>
    <w:rsid w:val="00963C02"/>
    <w:rsid w:val="00963C1E"/>
    <w:rsid w:val="00963C24"/>
    <w:rsid w:val="00963D44"/>
    <w:rsid w:val="00963DCF"/>
    <w:rsid w:val="00963FD4"/>
    <w:rsid w:val="0096407A"/>
    <w:rsid w:val="0096436B"/>
    <w:rsid w:val="009645FC"/>
    <w:rsid w:val="00964A66"/>
    <w:rsid w:val="009653FA"/>
    <w:rsid w:val="00966490"/>
    <w:rsid w:val="009676C3"/>
    <w:rsid w:val="0096771E"/>
    <w:rsid w:val="009679D4"/>
    <w:rsid w:val="00967F6F"/>
    <w:rsid w:val="009702ED"/>
    <w:rsid w:val="0097078B"/>
    <w:rsid w:val="0097086F"/>
    <w:rsid w:val="00970BB2"/>
    <w:rsid w:val="00971393"/>
    <w:rsid w:val="00971993"/>
    <w:rsid w:val="00971B25"/>
    <w:rsid w:val="00972DBA"/>
    <w:rsid w:val="009734C1"/>
    <w:rsid w:val="00973DF1"/>
    <w:rsid w:val="00973EA4"/>
    <w:rsid w:val="00974CC1"/>
    <w:rsid w:val="00974E4D"/>
    <w:rsid w:val="00975385"/>
    <w:rsid w:val="00975CBD"/>
    <w:rsid w:val="00975F10"/>
    <w:rsid w:val="0097655C"/>
    <w:rsid w:val="00976C66"/>
    <w:rsid w:val="0097719E"/>
    <w:rsid w:val="009771F5"/>
    <w:rsid w:val="00977F37"/>
    <w:rsid w:val="00980DFD"/>
    <w:rsid w:val="00981E42"/>
    <w:rsid w:val="009822F9"/>
    <w:rsid w:val="00982537"/>
    <w:rsid w:val="0098348D"/>
    <w:rsid w:val="009838F3"/>
    <w:rsid w:val="00983A89"/>
    <w:rsid w:val="00984668"/>
    <w:rsid w:val="00985719"/>
    <w:rsid w:val="00985F81"/>
    <w:rsid w:val="00986209"/>
    <w:rsid w:val="0098668E"/>
    <w:rsid w:val="0098733A"/>
    <w:rsid w:val="0098781F"/>
    <w:rsid w:val="00987AA3"/>
    <w:rsid w:val="00987B93"/>
    <w:rsid w:val="009900F0"/>
    <w:rsid w:val="00991893"/>
    <w:rsid w:val="00991CE2"/>
    <w:rsid w:val="009931D5"/>
    <w:rsid w:val="00993209"/>
    <w:rsid w:val="009939C2"/>
    <w:rsid w:val="00993E1A"/>
    <w:rsid w:val="009941E1"/>
    <w:rsid w:val="00994A39"/>
    <w:rsid w:val="00994ECE"/>
    <w:rsid w:val="009958D9"/>
    <w:rsid w:val="00995F98"/>
    <w:rsid w:val="00996009"/>
    <w:rsid w:val="0099603D"/>
    <w:rsid w:val="0099604C"/>
    <w:rsid w:val="00996800"/>
    <w:rsid w:val="00996993"/>
    <w:rsid w:val="00996BCD"/>
    <w:rsid w:val="009974BE"/>
    <w:rsid w:val="009974ED"/>
    <w:rsid w:val="009A034A"/>
    <w:rsid w:val="009A0405"/>
    <w:rsid w:val="009A074B"/>
    <w:rsid w:val="009A0E10"/>
    <w:rsid w:val="009A10DF"/>
    <w:rsid w:val="009A13C6"/>
    <w:rsid w:val="009A25ED"/>
    <w:rsid w:val="009A284F"/>
    <w:rsid w:val="009A292C"/>
    <w:rsid w:val="009A34E7"/>
    <w:rsid w:val="009A3A74"/>
    <w:rsid w:val="009A3C33"/>
    <w:rsid w:val="009A415D"/>
    <w:rsid w:val="009A446F"/>
    <w:rsid w:val="009A4BA7"/>
    <w:rsid w:val="009A4E6D"/>
    <w:rsid w:val="009A4F5D"/>
    <w:rsid w:val="009A556D"/>
    <w:rsid w:val="009A5860"/>
    <w:rsid w:val="009A5CD4"/>
    <w:rsid w:val="009A61B2"/>
    <w:rsid w:val="009A686F"/>
    <w:rsid w:val="009A6920"/>
    <w:rsid w:val="009A6A48"/>
    <w:rsid w:val="009A6DA2"/>
    <w:rsid w:val="009A7068"/>
    <w:rsid w:val="009A7BD8"/>
    <w:rsid w:val="009B05B1"/>
    <w:rsid w:val="009B0B84"/>
    <w:rsid w:val="009B0F03"/>
    <w:rsid w:val="009B1B97"/>
    <w:rsid w:val="009B1BF9"/>
    <w:rsid w:val="009B1EA9"/>
    <w:rsid w:val="009B274E"/>
    <w:rsid w:val="009B287C"/>
    <w:rsid w:val="009B317C"/>
    <w:rsid w:val="009B3F07"/>
    <w:rsid w:val="009B452E"/>
    <w:rsid w:val="009B4E35"/>
    <w:rsid w:val="009B59D1"/>
    <w:rsid w:val="009B5C81"/>
    <w:rsid w:val="009B6442"/>
    <w:rsid w:val="009B65E1"/>
    <w:rsid w:val="009B7044"/>
    <w:rsid w:val="009B7AD6"/>
    <w:rsid w:val="009C1004"/>
    <w:rsid w:val="009C133D"/>
    <w:rsid w:val="009C189E"/>
    <w:rsid w:val="009C1C2E"/>
    <w:rsid w:val="009C2A97"/>
    <w:rsid w:val="009C2C01"/>
    <w:rsid w:val="009C2E2A"/>
    <w:rsid w:val="009C3665"/>
    <w:rsid w:val="009C3C1A"/>
    <w:rsid w:val="009C3E3B"/>
    <w:rsid w:val="009C3FA4"/>
    <w:rsid w:val="009C402F"/>
    <w:rsid w:val="009C4791"/>
    <w:rsid w:val="009C49ED"/>
    <w:rsid w:val="009C688E"/>
    <w:rsid w:val="009C6DD0"/>
    <w:rsid w:val="009C763E"/>
    <w:rsid w:val="009D03F6"/>
    <w:rsid w:val="009D1318"/>
    <w:rsid w:val="009D1778"/>
    <w:rsid w:val="009D1C1D"/>
    <w:rsid w:val="009D2558"/>
    <w:rsid w:val="009D2885"/>
    <w:rsid w:val="009D295F"/>
    <w:rsid w:val="009D2B59"/>
    <w:rsid w:val="009D34B5"/>
    <w:rsid w:val="009D35BC"/>
    <w:rsid w:val="009D37EA"/>
    <w:rsid w:val="009D3E7E"/>
    <w:rsid w:val="009D3F56"/>
    <w:rsid w:val="009D44B0"/>
    <w:rsid w:val="009D47AA"/>
    <w:rsid w:val="009D4C78"/>
    <w:rsid w:val="009D4CC5"/>
    <w:rsid w:val="009D6EE2"/>
    <w:rsid w:val="009D6F07"/>
    <w:rsid w:val="009D73AF"/>
    <w:rsid w:val="009D7BDF"/>
    <w:rsid w:val="009E0461"/>
    <w:rsid w:val="009E1F83"/>
    <w:rsid w:val="009E2015"/>
    <w:rsid w:val="009E2AF9"/>
    <w:rsid w:val="009E37B3"/>
    <w:rsid w:val="009E3A15"/>
    <w:rsid w:val="009E40B6"/>
    <w:rsid w:val="009E40E0"/>
    <w:rsid w:val="009E4E7E"/>
    <w:rsid w:val="009E4E84"/>
    <w:rsid w:val="009E50D9"/>
    <w:rsid w:val="009E5323"/>
    <w:rsid w:val="009E53E7"/>
    <w:rsid w:val="009E5AB8"/>
    <w:rsid w:val="009E5DDF"/>
    <w:rsid w:val="009E6A78"/>
    <w:rsid w:val="009E6DD4"/>
    <w:rsid w:val="009E7434"/>
    <w:rsid w:val="009E7679"/>
    <w:rsid w:val="009E7971"/>
    <w:rsid w:val="009E79D0"/>
    <w:rsid w:val="009F085C"/>
    <w:rsid w:val="009F0FA3"/>
    <w:rsid w:val="009F1999"/>
    <w:rsid w:val="009F1C52"/>
    <w:rsid w:val="009F2034"/>
    <w:rsid w:val="009F21E1"/>
    <w:rsid w:val="009F2596"/>
    <w:rsid w:val="009F3057"/>
    <w:rsid w:val="009F32A6"/>
    <w:rsid w:val="009F32D1"/>
    <w:rsid w:val="009F34D5"/>
    <w:rsid w:val="009F3810"/>
    <w:rsid w:val="009F3F3C"/>
    <w:rsid w:val="009F3F73"/>
    <w:rsid w:val="009F4118"/>
    <w:rsid w:val="009F428E"/>
    <w:rsid w:val="009F43BD"/>
    <w:rsid w:val="009F5858"/>
    <w:rsid w:val="009F5EF5"/>
    <w:rsid w:val="009F640E"/>
    <w:rsid w:val="009F64C9"/>
    <w:rsid w:val="009F6BAF"/>
    <w:rsid w:val="009F7908"/>
    <w:rsid w:val="009F7A6A"/>
    <w:rsid w:val="009F7F9F"/>
    <w:rsid w:val="00A003AA"/>
    <w:rsid w:val="00A00410"/>
    <w:rsid w:val="00A00F13"/>
    <w:rsid w:val="00A00F82"/>
    <w:rsid w:val="00A010F8"/>
    <w:rsid w:val="00A01603"/>
    <w:rsid w:val="00A0176F"/>
    <w:rsid w:val="00A01946"/>
    <w:rsid w:val="00A01AA9"/>
    <w:rsid w:val="00A020C1"/>
    <w:rsid w:val="00A021E4"/>
    <w:rsid w:val="00A03E41"/>
    <w:rsid w:val="00A04352"/>
    <w:rsid w:val="00A045DB"/>
    <w:rsid w:val="00A049F4"/>
    <w:rsid w:val="00A05285"/>
    <w:rsid w:val="00A05800"/>
    <w:rsid w:val="00A05B4A"/>
    <w:rsid w:val="00A05BA9"/>
    <w:rsid w:val="00A0681E"/>
    <w:rsid w:val="00A06D64"/>
    <w:rsid w:val="00A06DB0"/>
    <w:rsid w:val="00A07A48"/>
    <w:rsid w:val="00A104E1"/>
    <w:rsid w:val="00A10770"/>
    <w:rsid w:val="00A10808"/>
    <w:rsid w:val="00A115D1"/>
    <w:rsid w:val="00A11DD1"/>
    <w:rsid w:val="00A11E22"/>
    <w:rsid w:val="00A11E25"/>
    <w:rsid w:val="00A12262"/>
    <w:rsid w:val="00A122A7"/>
    <w:rsid w:val="00A126EC"/>
    <w:rsid w:val="00A127C1"/>
    <w:rsid w:val="00A12DCF"/>
    <w:rsid w:val="00A130B9"/>
    <w:rsid w:val="00A1516E"/>
    <w:rsid w:val="00A15469"/>
    <w:rsid w:val="00A15C7B"/>
    <w:rsid w:val="00A16244"/>
    <w:rsid w:val="00A16FF2"/>
    <w:rsid w:val="00A17304"/>
    <w:rsid w:val="00A17BE4"/>
    <w:rsid w:val="00A17D02"/>
    <w:rsid w:val="00A200B9"/>
    <w:rsid w:val="00A20544"/>
    <w:rsid w:val="00A206AC"/>
    <w:rsid w:val="00A20D55"/>
    <w:rsid w:val="00A20F65"/>
    <w:rsid w:val="00A20FB9"/>
    <w:rsid w:val="00A211F2"/>
    <w:rsid w:val="00A2128C"/>
    <w:rsid w:val="00A21CBB"/>
    <w:rsid w:val="00A21EAD"/>
    <w:rsid w:val="00A21EEB"/>
    <w:rsid w:val="00A226D1"/>
    <w:rsid w:val="00A23003"/>
    <w:rsid w:val="00A2355F"/>
    <w:rsid w:val="00A23764"/>
    <w:rsid w:val="00A24A24"/>
    <w:rsid w:val="00A24F1A"/>
    <w:rsid w:val="00A2514C"/>
    <w:rsid w:val="00A25A6C"/>
    <w:rsid w:val="00A25B65"/>
    <w:rsid w:val="00A2629B"/>
    <w:rsid w:val="00A267A3"/>
    <w:rsid w:val="00A26902"/>
    <w:rsid w:val="00A31765"/>
    <w:rsid w:val="00A333AA"/>
    <w:rsid w:val="00A334EE"/>
    <w:rsid w:val="00A34207"/>
    <w:rsid w:val="00A34A28"/>
    <w:rsid w:val="00A36C4E"/>
    <w:rsid w:val="00A36D5C"/>
    <w:rsid w:val="00A40AB6"/>
    <w:rsid w:val="00A40AFB"/>
    <w:rsid w:val="00A40BA6"/>
    <w:rsid w:val="00A4244A"/>
    <w:rsid w:val="00A42B78"/>
    <w:rsid w:val="00A43A03"/>
    <w:rsid w:val="00A44002"/>
    <w:rsid w:val="00A4514C"/>
    <w:rsid w:val="00A45B6F"/>
    <w:rsid w:val="00A46F06"/>
    <w:rsid w:val="00A46F86"/>
    <w:rsid w:val="00A47316"/>
    <w:rsid w:val="00A501B4"/>
    <w:rsid w:val="00A50B7C"/>
    <w:rsid w:val="00A50E2F"/>
    <w:rsid w:val="00A51318"/>
    <w:rsid w:val="00A5140D"/>
    <w:rsid w:val="00A51555"/>
    <w:rsid w:val="00A51DA3"/>
    <w:rsid w:val="00A522CC"/>
    <w:rsid w:val="00A5251A"/>
    <w:rsid w:val="00A526E5"/>
    <w:rsid w:val="00A52DD8"/>
    <w:rsid w:val="00A532AE"/>
    <w:rsid w:val="00A538B4"/>
    <w:rsid w:val="00A54298"/>
    <w:rsid w:val="00A5501E"/>
    <w:rsid w:val="00A55C65"/>
    <w:rsid w:val="00A55DE9"/>
    <w:rsid w:val="00A5616E"/>
    <w:rsid w:val="00A570C1"/>
    <w:rsid w:val="00A5774B"/>
    <w:rsid w:val="00A604B9"/>
    <w:rsid w:val="00A60560"/>
    <w:rsid w:val="00A60A6E"/>
    <w:rsid w:val="00A610C8"/>
    <w:rsid w:val="00A61348"/>
    <w:rsid w:val="00A61C86"/>
    <w:rsid w:val="00A623DC"/>
    <w:rsid w:val="00A626F3"/>
    <w:rsid w:val="00A62B90"/>
    <w:rsid w:val="00A62D53"/>
    <w:rsid w:val="00A63349"/>
    <w:rsid w:val="00A633D0"/>
    <w:rsid w:val="00A64A9A"/>
    <w:rsid w:val="00A64AD3"/>
    <w:rsid w:val="00A64C37"/>
    <w:rsid w:val="00A65F98"/>
    <w:rsid w:val="00A66A88"/>
    <w:rsid w:val="00A66FF7"/>
    <w:rsid w:val="00A67788"/>
    <w:rsid w:val="00A67C24"/>
    <w:rsid w:val="00A67F07"/>
    <w:rsid w:val="00A7140E"/>
    <w:rsid w:val="00A71487"/>
    <w:rsid w:val="00A718BF"/>
    <w:rsid w:val="00A71924"/>
    <w:rsid w:val="00A71C95"/>
    <w:rsid w:val="00A71CA4"/>
    <w:rsid w:val="00A72693"/>
    <w:rsid w:val="00A751CA"/>
    <w:rsid w:val="00A75754"/>
    <w:rsid w:val="00A761F5"/>
    <w:rsid w:val="00A77490"/>
    <w:rsid w:val="00A77BA6"/>
    <w:rsid w:val="00A77BF0"/>
    <w:rsid w:val="00A80DB0"/>
    <w:rsid w:val="00A8126C"/>
    <w:rsid w:val="00A819AA"/>
    <w:rsid w:val="00A81EBC"/>
    <w:rsid w:val="00A82A5E"/>
    <w:rsid w:val="00A83957"/>
    <w:rsid w:val="00A84995"/>
    <w:rsid w:val="00A84A27"/>
    <w:rsid w:val="00A8518C"/>
    <w:rsid w:val="00A85DC8"/>
    <w:rsid w:val="00A85EC3"/>
    <w:rsid w:val="00A86E63"/>
    <w:rsid w:val="00A87058"/>
    <w:rsid w:val="00A870E6"/>
    <w:rsid w:val="00A87329"/>
    <w:rsid w:val="00A876C6"/>
    <w:rsid w:val="00A87903"/>
    <w:rsid w:val="00A87AB2"/>
    <w:rsid w:val="00A87C84"/>
    <w:rsid w:val="00A87EEC"/>
    <w:rsid w:val="00A900AE"/>
    <w:rsid w:val="00A9046E"/>
    <w:rsid w:val="00A90F5A"/>
    <w:rsid w:val="00A91171"/>
    <w:rsid w:val="00A9122B"/>
    <w:rsid w:val="00A918E9"/>
    <w:rsid w:val="00A925E7"/>
    <w:rsid w:val="00A928B3"/>
    <w:rsid w:val="00A935C9"/>
    <w:rsid w:val="00A93718"/>
    <w:rsid w:val="00A93C78"/>
    <w:rsid w:val="00A943E5"/>
    <w:rsid w:val="00A946E0"/>
    <w:rsid w:val="00A94935"/>
    <w:rsid w:val="00A94BB4"/>
    <w:rsid w:val="00A961E2"/>
    <w:rsid w:val="00A9699A"/>
    <w:rsid w:val="00A96F06"/>
    <w:rsid w:val="00A971B8"/>
    <w:rsid w:val="00A9785C"/>
    <w:rsid w:val="00AA029E"/>
    <w:rsid w:val="00AA04A7"/>
    <w:rsid w:val="00AA119F"/>
    <w:rsid w:val="00AA11C0"/>
    <w:rsid w:val="00AA1D23"/>
    <w:rsid w:val="00AA1F8C"/>
    <w:rsid w:val="00AA21F9"/>
    <w:rsid w:val="00AA2271"/>
    <w:rsid w:val="00AA2379"/>
    <w:rsid w:val="00AA371F"/>
    <w:rsid w:val="00AA37A3"/>
    <w:rsid w:val="00AA3AB0"/>
    <w:rsid w:val="00AA3ECC"/>
    <w:rsid w:val="00AA4235"/>
    <w:rsid w:val="00AA47F8"/>
    <w:rsid w:val="00AA4929"/>
    <w:rsid w:val="00AA529F"/>
    <w:rsid w:val="00AA593B"/>
    <w:rsid w:val="00AA63CD"/>
    <w:rsid w:val="00AA7043"/>
    <w:rsid w:val="00AA77BE"/>
    <w:rsid w:val="00AA7ACA"/>
    <w:rsid w:val="00AA7B80"/>
    <w:rsid w:val="00AA7C98"/>
    <w:rsid w:val="00AA7E1E"/>
    <w:rsid w:val="00AA7EE1"/>
    <w:rsid w:val="00AB06C5"/>
    <w:rsid w:val="00AB08B5"/>
    <w:rsid w:val="00AB0A2E"/>
    <w:rsid w:val="00AB0B1C"/>
    <w:rsid w:val="00AB0EE0"/>
    <w:rsid w:val="00AB137E"/>
    <w:rsid w:val="00AB249B"/>
    <w:rsid w:val="00AB2945"/>
    <w:rsid w:val="00AB31C7"/>
    <w:rsid w:val="00AB4485"/>
    <w:rsid w:val="00AB44F6"/>
    <w:rsid w:val="00AB4520"/>
    <w:rsid w:val="00AB4652"/>
    <w:rsid w:val="00AB4692"/>
    <w:rsid w:val="00AB4F24"/>
    <w:rsid w:val="00AB4FA2"/>
    <w:rsid w:val="00AB5A08"/>
    <w:rsid w:val="00AB6D68"/>
    <w:rsid w:val="00AB6E0C"/>
    <w:rsid w:val="00AB6FB0"/>
    <w:rsid w:val="00AB7457"/>
    <w:rsid w:val="00AB7703"/>
    <w:rsid w:val="00AB798D"/>
    <w:rsid w:val="00AB7DEF"/>
    <w:rsid w:val="00AC048C"/>
    <w:rsid w:val="00AC0A25"/>
    <w:rsid w:val="00AC10EE"/>
    <w:rsid w:val="00AC1F93"/>
    <w:rsid w:val="00AC333C"/>
    <w:rsid w:val="00AC34F5"/>
    <w:rsid w:val="00AC54BB"/>
    <w:rsid w:val="00AC54D6"/>
    <w:rsid w:val="00AC57F8"/>
    <w:rsid w:val="00AC5C47"/>
    <w:rsid w:val="00AC683D"/>
    <w:rsid w:val="00AC6CE0"/>
    <w:rsid w:val="00AC739D"/>
    <w:rsid w:val="00AC7556"/>
    <w:rsid w:val="00AC762C"/>
    <w:rsid w:val="00AC7713"/>
    <w:rsid w:val="00AD160E"/>
    <w:rsid w:val="00AD24F9"/>
    <w:rsid w:val="00AD2F3F"/>
    <w:rsid w:val="00AD310A"/>
    <w:rsid w:val="00AD38B5"/>
    <w:rsid w:val="00AD4A6B"/>
    <w:rsid w:val="00AD5502"/>
    <w:rsid w:val="00AD58EB"/>
    <w:rsid w:val="00AD5FA6"/>
    <w:rsid w:val="00AD60B1"/>
    <w:rsid w:val="00AD67EC"/>
    <w:rsid w:val="00AD6AB2"/>
    <w:rsid w:val="00AE0BFA"/>
    <w:rsid w:val="00AE0C18"/>
    <w:rsid w:val="00AE15E1"/>
    <w:rsid w:val="00AE1C46"/>
    <w:rsid w:val="00AE1D67"/>
    <w:rsid w:val="00AE24CA"/>
    <w:rsid w:val="00AE2E94"/>
    <w:rsid w:val="00AE3131"/>
    <w:rsid w:val="00AE3C52"/>
    <w:rsid w:val="00AE43B7"/>
    <w:rsid w:val="00AE449C"/>
    <w:rsid w:val="00AE48F5"/>
    <w:rsid w:val="00AE4B96"/>
    <w:rsid w:val="00AE4BB2"/>
    <w:rsid w:val="00AE4FC4"/>
    <w:rsid w:val="00AE5919"/>
    <w:rsid w:val="00AE5C30"/>
    <w:rsid w:val="00AE6478"/>
    <w:rsid w:val="00AE659C"/>
    <w:rsid w:val="00AE6639"/>
    <w:rsid w:val="00AE69AD"/>
    <w:rsid w:val="00AE6A0B"/>
    <w:rsid w:val="00AE798C"/>
    <w:rsid w:val="00AE7EF2"/>
    <w:rsid w:val="00AF1BFC"/>
    <w:rsid w:val="00AF1F6E"/>
    <w:rsid w:val="00AF2421"/>
    <w:rsid w:val="00AF268D"/>
    <w:rsid w:val="00AF2884"/>
    <w:rsid w:val="00AF29DB"/>
    <w:rsid w:val="00AF2A5C"/>
    <w:rsid w:val="00AF2F31"/>
    <w:rsid w:val="00AF381A"/>
    <w:rsid w:val="00AF38C4"/>
    <w:rsid w:val="00AF3AD6"/>
    <w:rsid w:val="00AF3C3A"/>
    <w:rsid w:val="00AF4027"/>
    <w:rsid w:val="00AF427D"/>
    <w:rsid w:val="00AF4768"/>
    <w:rsid w:val="00AF5CE1"/>
    <w:rsid w:val="00AF619F"/>
    <w:rsid w:val="00AF6F74"/>
    <w:rsid w:val="00AF72D1"/>
    <w:rsid w:val="00AF75E0"/>
    <w:rsid w:val="00AF7717"/>
    <w:rsid w:val="00B00D3B"/>
    <w:rsid w:val="00B00D97"/>
    <w:rsid w:val="00B0137F"/>
    <w:rsid w:val="00B014EC"/>
    <w:rsid w:val="00B0155A"/>
    <w:rsid w:val="00B020C4"/>
    <w:rsid w:val="00B022A9"/>
    <w:rsid w:val="00B02380"/>
    <w:rsid w:val="00B024C2"/>
    <w:rsid w:val="00B03297"/>
    <w:rsid w:val="00B037BB"/>
    <w:rsid w:val="00B0458C"/>
    <w:rsid w:val="00B047E0"/>
    <w:rsid w:val="00B04E08"/>
    <w:rsid w:val="00B05F18"/>
    <w:rsid w:val="00B07235"/>
    <w:rsid w:val="00B07918"/>
    <w:rsid w:val="00B07ACE"/>
    <w:rsid w:val="00B10005"/>
    <w:rsid w:val="00B1117E"/>
    <w:rsid w:val="00B1118C"/>
    <w:rsid w:val="00B1151F"/>
    <w:rsid w:val="00B11723"/>
    <w:rsid w:val="00B11A49"/>
    <w:rsid w:val="00B125A2"/>
    <w:rsid w:val="00B1269C"/>
    <w:rsid w:val="00B127F4"/>
    <w:rsid w:val="00B12A45"/>
    <w:rsid w:val="00B12C0B"/>
    <w:rsid w:val="00B12E0D"/>
    <w:rsid w:val="00B130E5"/>
    <w:rsid w:val="00B136AA"/>
    <w:rsid w:val="00B138CC"/>
    <w:rsid w:val="00B14896"/>
    <w:rsid w:val="00B14C39"/>
    <w:rsid w:val="00B1505B"/>
    <w:rsid w:val="00B15334"/>
    <w:rsid w:val="00B155A7"/>
    <w:rsid w:val="00B15677"/>
    <w:rsid w:val="00B16292"/>
    <w:rsid w:val="00B16A9A"/>
    <w:rsid w:val="00B16BB2"/>
    <w:rsid w:val="00B1733C"/>
    <w:rsid w:val="00B17919"/>
    <w:rsid w:val="00B20A67"/>
    <w:rsid w:val="00B20BDB"/>
    <w:rsid w:val="00B20BE4"/>
    <w:rsid w:val="00B215AF"/>
    <w:rsid w:val="00B218B2"/>
    <w:rsid w:val="00B229C9"/>
    <w:rsid w:val="00B23142"/>
    <w:rsid w:val="00B23189"/>
    <w:rsid w:val="00B23795"/>
    <w:rsid w:val="00B247E6"/>
    <w:rsid w:val="00B24A62"/>
    <w:rsid w:val="00B251DD"/>
    <w:rsid w:val="00B25246"/>
    <w:rsid w:val="00B25593"/>
    <w:rsid w:val="00B25924"/>
    <w:rsid w:val="00B25D84"/>
    <w:rsid w:val="00B26413"/>
    <w:rsid w:val="00B26E5E"/>
    <w:rsid w:val="00B300AE"/>
    <w:rsid w:val="00B3042F"/>
    <w:rsid w:val="00B307D8"/>
    <w:rsid w:val="00B30D02"/>
    <w:rsid w:val="00B30F93"/>
    <w:rsid w:val="00B31B99"/>
    <w:rsid w:val="00B31E21"/>
    <w:rsid w:val="00B3252A"/>
    <w:rsid w:val="00B33BFC"/>
    <w:rsid w:val="00B33D16"/>
    <w:rsid w:val="00B347FA"/>
    <w:rsid w:val="00B3583D"/>
    <w:rsid w:val="00B35A0A"/>
    <w:rsid w:val="00B35B98"/>
    <w:rsid w:val="00B362E5"/>
    <w:rsid w:val="00B3767F"/>
    <w:rsid w:val="00B37FD6"/>
    <w:rsid w:val="00B41192"/>
    <w:rsid w:val="00B41895"/>
    <w:rsid w:val="00B41D5F"/>
    <w:rsid w:val="00B42A7D"/>
    <w:rsid w:val="00B42E94"/>
    <w:rsid w:val="00B4341A"/>
    <w:rsid w:val="00B4351B"/>
    <w:rsid w:val="00B43811"/>
    <w:rsid w:val="00B43ADD"/>
    <w:rsid w:val="00B43EE3"/>
    <w:rsid w:val="00B44723"/>
    <w:rsid w:val="00B44AD4"/>
    <w:rsid w:val="00B44B1E"/>
    <w:rsid w:val="00B44C86"/>
    <w:rsid w:val="00B44EC3"/>
    <w:rsid w:val="00B4510E"/>
    <w:rsid w:val="00B45B73"/>
    <w:rsid w:val="00B45D9C"/>
    <w:rsid w:val="00B46585"/>
    <w:rsid w:val="00B465AC"/>
    <w:rsid w:val="00B46724"/>
    <w:rsid w:val="00B503D7"/>
    <w:rsid w:val="00B50693"/>
    <w:rsid w:val="00B50F68"/>
    <w:rsid w:val="00B50F90"/>
    <w:rsid w:val="00B51113"/>
    <w:rsid w:val="00B51210"/>
    <w:rsid w:val="00B5123F"/>
    <w:rsid w:val="00B512E3"/>
    <w:rsid w:val="00B515E6"/>
    <w:rsid w:val="00B5291D"/>
    <w:rsid w:val="00B5304E"/>
    <w:rsid w:val="00B5311F"/>
    <w:rsid w:val="00B54056"/>
    <w:rsid w:val="00B54554"/>
    <w:rsid w:val="00B54C36"/>
    <w:rsid w:val="00B55225"/>
    <w:rsid w:val="00B55C39"/>
    <w:rsid w:val="00B56334"/>
    <w:rsid w:val="00B56E33"/>
    <w:rsid w:val="00B57922"/>
    <w:rsid w:val="00B57ADB"/>
    <w:rsid w:val="00B57E7C"/>
    <w:rsid w:val="00B608EE"/>
    <w:rsid w:val="00B6102A"/>
    <w:rsid w:val="00B619E1"/>
    <w:rsid w:val="00B61AF8"/>
    <w:rsid w:val="00B61DA7"/>
    <w:rsid w:val="00B62579"/>
    <w:rsid w:val="00B62848"/>
    <w:rsid w:val="00B62E40"/>
    <w:rsid w:val="00B6341A"/>
    <w:rsid w:val="00B641AA"/>
    <w:rsid w:val="00B6463D"/>
    <w:rsid w:val="00B648B8"/>
    <w:rsid w:val="00B64C4D"/>
    <w:rsid w:val="00B64E6E"/>
    <w:rsid w:val="00B65B66"/>
    <w:rsid w:val="00B66063"/>
    <w:rsid w:val="00B662FB"/>
    <w:rsid w:val="00B66D33"/>
    <w:rsid w:val="00B67138"/>
    <w:rsid w:val="00B674D9"/>
    <w:rsid w:val="00B674E9"/>
    <w:rsid w:val="00B7055E"/>
    <w:rsid w:val="00B70FDD"/>
    <w:rsid w:val="00B7110D"/>
    <w:rsid w:val="00B72618"/>
    <w:rsid w:val="00B72631"/>
    <w:rsid w:val="00B72B78"/>
    <w:rsid w:val="00B72EF9"/>
    <w:rsid w:val="00B7345B"/>
    <w:rsid w:val="00B739B4"/>
    <w:rsid w:val="00B73A45"/>
    <w:rsid w:val="00B73B2A"/>
    <w:rsid w:val="00B73BEF"/>
    <w:rsid w:val="00B7496B"/>
    <w:rsid w:val="00B74DC4"/>
    <w:rsid w:val="00B74DFE"/>
    <w:rsid w:val="00B750FA"/>
    <w:rsid w:val="00B75450"/>
    <w:rsid w:val="00B75CEC"/>
    <w:rsid w:val="00B805AA"/>
    <w:rsid w:val="00B8093E"/>
    <w:rsid w:val="00B80E72"/>
    <w:rsid w:val="00B81D90"/>
    <w:rsid w:val="00B82031"/>
    <w:rsid w:val="00B820E4"/>
    <w:rsid w:val="00B82BA1"/>
    <w:rsid w:val="00B8372B"/>
    <w:rsid w:val="00B8375E"/>
    <w:rsid w:val="00B83AA1"/>
    <w:rsid w:val="00B840E2"/>
    <w:rsid w:val="00B85430"/>
    <w:rsid w:val="00B86178"/>
    <w:rsid w:val="00B862BA"/>
    <w:rsid w:val="00B86947"/>
    <w:rsid w:val="00B8695D"/>
    <w:rsid w:val="00B86C93"/>
    <w:rsid w:val="00B90032"/>
    <w:rsid w:val="00B9035E"/>
    <w:rsid w:val="00B90C5B"/>
    <w:rsid w:val="00B90DFF"/>
    <w:rsid w:val="00B90EFB"/>
    <w:rsid w:val="00B91588"/>
    <w:rsid w:val="00B91599"/>
    <w:rsid w:val="00B91C2A"/>
    <w:rsid w:val="00B91C92"/>
    <w:rsid w:val="00B91F82"/>
    <w:rsid w:val="00B922FB"/>
    <w:rsid w:val="00B925EF"/>
    <w:rsid w:val="00B93061"/>
    <w:rsid w:val="00B93D03"/>
    <w:rsid w:val="00B9444F"/>
    <w:rsid w:val="00B95582"/>
    <w:rsid w:val="00B95D0C"/>
    <w:rsid w:val="00B95D5D"/>
    <w:rsid w:val="00B96186"/>
    <w:rsid w:val="00B971AC"/>
    <w:rsid w:val="00B9798B"/>
    <w:rsid w:val="00BA12A4"/>
    <w:rsid w:val="00BA195E"/>
    <w:rsid w:val="00BA1B75"/>
    <w:rsid w:val="00BA2319"/>
    <w:rsid w:val="00BA23DB"/>
    <w:rsid w:val="00BA27C3"/>
    <w:rsid w:val="00BA2CBA"/>
    <w:rsid w:val="00BA2DE2"/>
    <w:rsid w:val="00BA2E40"/>
    <w:rsid w:val="00BA2EBC"/>
    <w:rsid w:val="00BA2F06"/>
    <w:rsid w:val="00BA34FB"/>
    <w:rsid w:val="00BA39C9"/>
    <w:rsid w:val="00BA3E2A"/>
    <w:rsid w:val="00BA47A9"/>
    <w:rsid w:val="00BA5346"/>
    <w:rsid w:val="00BA5B6D"/>
    <w:rsid w:val="00BA6032"/>
    <w:rsid w:val="00BA6F29"/>
    <w:rsid w:val="00BA725E"/>
    <w:rsid w:val="00BB0062"/>
    <w:rsid w:val="00BB0ABC"/>
    <w:rsid w:val="00BB0FC7"/>
    <w:rsid w:val="00BB1602"/>
    <w:rsid w:val="00BB1B5C"/>
    <w:rsid w:val="00BB1E16"/>
    <w:rsid w:val="00BB1EC8"/>
    <w:rsid w:val="00BB234E"/>
    <w:rsid w:val="00BB2462"/>
    <w:rsid w:val="00BB2F8D"/>
    <w:rsid w:val="00BB30E8"/>
    <w:rsid w:val="00BB30FF"/>
    <w:rsid w:val="00BB3AAB"/>
    <w:rsid w:val="00BB3C89"/>
    <w:rsid w:val="00BB3F45"/>
    <w:rsid w:val="00BB3FE5"/>
    <w:rsid w:val="00BB4313"/>
    <w:rsid w:val="00BB47A0"/>
    <w:rsid w:val="00BB47BD"/>
    <w:rsid w:val="00BB496F"/>
    <w:rsid w:val="00BB503B"/>
    <w:rsid w:val="00BB5A9B"/>
    <w:rsid w:val="00BB72DF"/>
    <w:rsid w:val="00BB734D"/>
    <w:rsid w:val="00BB771A"/>
    <w:rsid w:val="00BC103D"/>
    <w:rsid w:val="00BC1904"/>
    <w:rsid w:val="00BC23CE"/>
    <w:rsid w:val="00BC2A89"/>
    <w:rsid w:val="00BC315D"/>
    <w:rsid w:val="00BC3339"/>
    <w:rsid w:val="00BC349F"/>
    <w:rsid w:val="00BC37BF"/>
    <w:rsid w:val="00BC3B23"/>
    <w:rsid w:val="00BC3F5F"/>
    <w:rsid w:val="00BC4A5F"/>
    <w:rsid w:val="00BC4D46"/>
    <w:rsid w:val="00BC4F58"/>
    <w:rsid w:val="00BC504E"/>
    <w:rsid w:val="00BC5859"/>
    <w:rsid w:val="00BD0394"/>
    <w:rsid w:val="00BD15DD"/>
    <w:rsid w:val="00BD163E"/>
    <w:rsid w:val="00BD16DF"/>
    <w:rsid w:val="00BD1A34"/>
    <w:rsid w:val="00BD28E0"/>
    <w:rsid w:val="00BD2B73"/>
    <w:rsid w:val="00BD2DC9"/>
    <w:rsid w:val="00BD33CD"/>
    <w:rsid w:val="00BD3827"/>
    <w:rsid w:val="00BD3BF5"/>
    <w:rsid w:val="00BD42BE"/>
    <w:rsid w:val="00BD48A9"/>
    <w:rsid w:val="00BD4970"/>
    <w:rsid w:val="00BD570F"/>
    <w:rsid w:val="00BD5750"/>
    <w:rsid w:val="00BD57C7"/>
    <w:rsid w:val="00BD5AE9"/>
    <w:rsid w:val="00BD660C"/>
    <w:rsid w:val="00BD791B"/>
    <w:rsid w:val="00BD7BF0"/>
    <w:rsid w:val="00BD7F47"/>
    <w:rsid w:val="00BE06BE"/>
    <w:rsid w:val="00BE0C25"/>
    <w:rsid w:val="00BE12B8"/>
    <w:rsid w:val="00BE21C8"/>
    <w:rsid w:val="00BE28B3"/>
    <w:rsid w:val="00BE33F0"/>
    <w:rsid w:val="00BE34D1"/>
    <w:rsid w:val="00BE3573"/>
    <w:rsid w:val="00BE380E"/>
    <w:rsid w:val="00BE3FC8"/>
    <w:rsid w:val="00BE4148"/>
    <w:rsid w:val="00BE45A6"/>
    <w:rsid w:val="00BE4D8A"/>
    <w:rsid w:val="00BE552B"/>
    <w:rsid w:val="00BE57DF"/>
    <w:rsid w:val="00BE5E74"/>
    <w:rsid w:val="00BE638E"/>
    <w:rsid w:val="00BE6514"/>
    <w:rsid w:val="00BE71F4"/>
    <w:rsid w:val="00BE79DB"/>
    <w:rsid w:val="00BE7CA8"/>
    <w:rsid w:val="00BF03B3"/>
    <w:rsid w:val="00BF0CC7"/>
    <w:rsid w:val="00BF0E70"/>
    <w:rsid w:val="00BF1140"/>
    <w:rsid w:val="00BF1973"/>
    <w:rsid w:val="00BF1ACC"/>
    <w:rsid w:val="00BF2CE1"/>
    <w:rsid w:val="00BF4A04"/>
    <w:rsid w:val="00BF70DE"/>
    <w:rsid w:val="00BF7735"/>
    <w:rsid w:val="00BF7B7D"/>
    <w:rsid w:val="00C0105A"/>
    <w:rsid w:val="00C011AE"/>
    <w:rsid w:val="00C014F4"/>
    <w:rsid w:val="00C0153D"/>
    <w:rsid w:val="00C01721"/>
    <w:rsid w:val="00C01B08"/>
    <w:rsid w:val="00C01D23"/>
    <w:rsid w:val="00C029F7"/>
    <w:rsid w:val="00C02AC5"/>
    <w:rsid w:val="00C03204"/>
    <w:rsid w:val="00C04B4C"/>
    <w:rsid w:val="00C04E7D"/>
    <w:rsid w:val="00C05F0F"/>
    <w:rsid w:val="00C06874"/>
    <w:rsid w:val="00C068D5"/>
    <w:rsid w:val="00C06A89"/>
    <w:rsid w:val="00C076F7"/>
    <w:rsid w:val="00C07E11"/>
    <w:rsid w:val="00C1089A"/>
    <w:rsid w:val="00C11BDF"/>
    <w:rsid w:val="00C12B07"/>
    <w:rsid w:val="00C12B88"/>
    <w:rsid w:val="00C12EB6"/>
    <w:rsid w:val="00C1376D"/>
    <w:rsid w:val="00C13816"/>
    <w:rsid w:val="00C13A8C"/>
    <w:rsid w:val="00C14450"/>
    <w:rsid w:val="00C15532"/>
    <w:rsid w:val="00C155F8"/>
    <w:rsid w:val="00C163A9"/>
    <w:rsid w:val="00C1685B"/>
    <w:rsid w:val="00C16901"/>
    <w:rsid w:val="00C16CC5"/>
    <w:rsid w:val="00C2014A"/>
    <w:rsid w:val="00C2073C"/>
    <w:rsid w:val="00C21083"/>
    <w:rsid w:val="00C215DB"/>
    <w:rsid w:val="00C215FA"/>
    <w:rsid w:val="00C21794"/>
    <w:rsid w:val="00C2215E"/>
    <w:rsid w:val="00C226E0"/>
    <w:rsid w:val="00C229A2"/>
    <w:rsid w:val="00C23E66"/>
    <w:rsid w:val="00C24704"/>
    <w:rsid w:val="00C24878"/>
    <w:rsid w:val="00C256A9"/>
    <w:rsid w:val="00C25F02"/>
    <w:rsid w:val="00C266F9"/>
    <w:rsid w:val="00C3002B"/>
    <w:rsid w:val="00C30711"/>
    <w:rsid w:val="00C30F1C"/>
    <w:rsid w:val="00C3151F"/>
    <w:rsid w:val="00C3189E"/>
    <w:rsid w:val="00C31DEA"/>
    <w:rsid w:val="00C3208F"/>
    <w:rsid w:val="00C32D15"/>
    <w:rsid w:val="00C32EDF"/>
    <w:rsid w:val="00C33516"/>
    <w:rsid w:val="00C33556"/>
    <w:rsid w:val="00C340F8"/>
    <w:rsid w:val="00C3531C"/>
    <w:rsid w:val="00C3542B"/>
    <w:rsid w:val="00C35753"/>
    <w:rsid w:val="00C3577A"/>
    <w:rsid w:val="00C36558"/>
    <w:rsid w:val="00C40908"/>
    <w:rsid w:val="00C41343"/>
    <w:rsid w:val="00C41A51"/>
    <w:rsid w:val="00C41E12"/>
    <w:rsid w:val="00C431DB"/>
    <w:rsid w:val="00C434EE"/>
    <w:rsid w:val="00C43AEF"/>
    <w:rsid w:val="00C43D6F"/>
    <w:rsid w:val="00C450A8"/>
    <w:rsid w:val="00C450FE"/>
    <w:rsid w:val="00C45250"/>
    <w:rsid w:val="00C45D77"/>
    <w:rsid w:val="00C4682F"/>
    <w:rsid w:val="00C46CDD"/>
    <w:rsid w:val="00C46F15"/>
    <w:rsid w:val="00C473D8"/>
    <w:rsid w:val="00C473F4"/>
    <w:rsid w:val="00C47815"/>
    <w:rsid w:val="00C50019"/>
    <w:rsid w:val="00C507FC"/>
    <w:rsid w:val="00C50A94"/>
    <w:rsid w:val="00C50D2D"/>
    <w:rsid w:val="00C50D4F"/>
    <w:rsid w:val="00C510D9"/>
    <w:rsid w:val="00C537B9"/>
    <w:rsid w:val="00C53B62"/>
    <w:rsid w:val="00C53DBB"/>
    <w:rsid w:val="00C54354"/>
    <w:rsid w:val="00C5484A"/>
    <w:rsid w:val="00C54B3B"/>
    <w:rsid w:val="00C55EEA"/>
    <w:rsid w:val="00C55F44"/>
    <w:rsid w:val="00C5623D"/>
    <w:rsid w:val="00C56C3E"/>
    <w:rsid w:val="00C574DA"/>
    <w:rsid w:val="00C60CD8"/>
    <w:rsid w:val="00C61580"/>
    <w:rsid w:val="00C626D1"/>
    <w:rsid w:val="00C63A77"/>
    <w:rsid w:val="00C6509B"/>
    <w:rsid w:val="00C65330"/>
    <w:rsid w:val="00C67033"/>
    <w:rsid w:val="00C6711E"/>
    <w:rsid w:val="00C67437"/>
    <w:rsid w:val="00C674F8"/>
    <w:rsid w:val="00C71349"/>
    <w:rsid w:val="00C71350"/>
    <w:rsid w:val="00C72A6E"/>
    <w:rsid w:val="00C72A88"/>
    <w:rsid w:val="00C72D9E"/>
    <w:rsid w:val="00C72F4C"/>
    <w:rsid w:val="00C73201"/>
    <w:rsid w:val="00C7324B"/>
    <w:rsid w:val="00C74309"/>
    <w:rsid w:val="00C74643"/>
    <w:rsid w:val="00C7530C"/>
    <w:rsid w:val="00C754F7"/>
    <w:rsid w:val="00C75C2F"/>
    <w:rsid w:val="00C75EFD"/>
    <w:rsid w:val="00C7687B"/>
    <w:rsid w:val="00C76CD3"/>
    <w:rsid w:val="00C774D5"/>
    <w:rsid w:val="00C7771A"/>
    <w:rsid w:val="00C77735"/>
    <w:rsid w:val="00C77D03"/>
    <w:rsid w:val="00C823D7"/>
    <w:rsid w:val="00C824C9"/>
    <w:rsid w:val="00C828C0"/>
    <w:rsid w:val="00C837F3"/>
    <w:rsid w:val="00C83DE7"/>
    <w:rsid w:val="00C83F09"/>
    <w:rsid w:val="00C84BAF"/>
    <w:rsid w:val="00C8559E"/>
    <w:rsid w:val="00C8727E"/>
    <w:rsid w:val="00C87986"/>
    <w:rsid w:val="00C87D39"/>
    <w:rsid w:val="00C9002B"/>
    <w:rsid w:val="00C91A9B"/>
    <w:rsid w:val="00C91BA4"/>
    <w:rsid w:val="00C92752"/>
    <w:rsid w:val="00C9373E"/>
    <w:rsid w:val="00C9453C"/>
    <w:rsid w:val="00C94A01"/>
    <w:rsid w:val="00C94ED7"/>
    <w:rsid w:val="00C958DF"/>
    <w:rsid w:val="00C95AF2"/>
    <w:rsid w:val="00C95DFF"/>
    <w:rsid w:val="00C95FB8"/>
    <w:rsid w:val="00C96110"/>
    <w:rsid w:val="00C96E2E"/>
    <w:rsid w:val="00C96FBE"/>
    <w:rsid w:val="00CA043A"/>
    <w:rsid w:val="00CA05B9"/>
    <w:rsid w:val="00CA10D4"/>
    <w:rsid w:val="00CA110F"/>
    <w:rsid w:val="00CA1759"/>
    <w:rsid w:val="00CA1D74"/>
    <w:rsid w:val="00CA25B9"/>
    <w:rsid w:val="00CA3893"/>
    <w:rsid w:val="00CA3979"/>
    <w:rsid w:val="00CA4170"/>
    <w:rsid w:val="00CA4A33"/>
    <w:rsid w:val="00CA4C17"/>
    <w:rsid w:val="00CA57FF"/>
    <w:rsid w:val="00CA59AA"/>
    <w:rsid w:val="00CA65AB"/>
    <w:rsid w:val="00CA67B4"/>
    <w:rsid w:val="00CA6928"/>
    <w:rsid w:val="00CA734A"/>
    <w:rsid w:val="00CB015B"/>
    <w:rsid w:val="00CB067A"/>
    <w:rsid w:val="00CB1143"/>
    <w:rsid w:val="00CB11FC"/>
    <w:rsid w:val="00CB2EB8"/>
    <w:rsid w:val="00CB2EFA"/>
    <w:rsid w:val="00CB2FFF"/>
    <w:rsid w:val="00CB3252"/>
    <w:rsid w:val="00CB3426"/>
    <w:rsid w:val="00CB3596"/>
    <w:rsid w:val="00CB41C1"/>
    <w:rsid w:val="00CB457B"/>
    <w:rsid w:val="00CB49DE"/>
    <w:rsid w:val="00CB4FA6"/>
    <w:rsid w:val="00CB509F"/>
    <w:rsid w:val="00CB5D6D"/>
    <w:rsid w:val="00CB74CD"/>
    <w:rsid w:val="00CB7EFD"/>
    <w:rsid w:val="00CC010D"/>
    <w:rsid w:val="00CC0295"/>
    <w:rsid w:val="00CC0D82"/>
    <w:rsid w:val="00CC1F53"/>
    <w:rsid w:val="00CC2261"/>
    <w:rsid w:val="00CC2A71"/>
    <w:rsid w:val="00CC2C18"/>
    <w:rsid w:val="00CC2C31"/>
    <w:rsid w:val="00CC2DEA"/>
    <w:rsid w:val="00CC3AED"/>
    <w:rsid w:val="00CC3E84"/>
    <w:rsid w:val="00CC56CF"/>
    <w:rsid w:val="00CC60A2"/>
    <w:rsid w:val="00CC6E21"/>
    <w:rsid w:val="00CC749B"/>
    <w:rsid w:val="00CC7676"/>
    <w:rsid w:val="00CD07CF"/>
    <w:rsid w:val="00CD096B"/>
    <w:rsid w:val="00CD0EF3"/>
    <w:rsid w:val="00CD1831"/>
    <w:rsid w:val="00CD2293"/>
    <w:rsid w:val="00CD2D44"/>
    <w:rsid w:val="00CD3E2F"/>
    <w:rsid w:val="00CD4ACE"/>
    <w:rsid w:val="00CD50B2"/>
    <w:rsid w:val="00CD571B"/>
    <w:rsid w:val="00CD5BBD"/>
    <w:rsid w:val="00CD5F01"/>
    <w:rsid w:val="00CD6947"/>
    <w:rsid w:val="00CD6ECC"/>
    <w:rsid w:val="00CD7BF9"/>
    <w:rsid w:val="00CE0011"/>
    <w:rsid w:val="00CE01AD"/>
    <w:rsid w:val="00CE0682"/>
    <w:rsid w:val="00CE069A"/>
    <w:rsid w:val="00CE07E8"/>
    <w:rsid w:val="00CE0D12"/>
    <w:rsid w:val="00CE0F9F"/>
    <w:rsid w:val="00CE1084"/>
    <w:rsid w:val="00CE164E"/>
    <w:rsid w:val="00CE19F8"/>
    <w:rsid w:val="00CE1FBC"/>
    <w:rsid w:val="00CE26CF"/>
    <w:rsid w:val="00CE289E"/>
    <w:rsid w:val="00CE3AAC"/>
    <w:rsid w:val="00CE3E1B"/>
    <w:rsid w:val="00CE41DF"/>
    <w:rsid w:val="00CE6732"/>
    <w:rsid w:val="00CE7CD7"/>
    <w:rsid w:val="00CE7D16"/>
    <w:rsid w:val="00CF1629"/>
    <w:rsid w:val="00CF16DA"/>
    <w:rsid w:val="00CF1C34"/>
    <w:rsid w:val="00CF2066"/>
    <w:rsid w:val="00CF21BF"/>
    <w:rsid w:val="00CF2272"/>
    <w:rsid w:val="00CF2550"/>
    <w:rsid w:val="00CF2B1E"/>
    <w:rsid w:val="00CF31FE"/>
    <w:rsid w:val="00CF36F0"/>
    <w:rsid w:val="00CF4103"/>
    <w:rsid w:val="00CF4968"/>
    <w:rsid w:val="00CF4FE1"/>
    <w:rsid w:val="00CF5898"/>
    <w:rsid w:val="00CF637B"/>
    <w:rsid w:val="00CF6CBF"/>
    <w:rsid w:val="00CF72C5"/>
    <w:rsid w:val="00CF74DA"/>
    <w:rsid w:val="00CF74F0"/>
    <w:rsid w:val="00D00117"/>
    <w:rsid w:val="00D0020B"/>
    <w:rsid w:val="00D00627"/>
    <w:rsid w:val="00D0112B"/>
    <w:rsid w:val="00D01778"/>
    <w:rsid w:val="00D03287"/>
    <w:rsid w:val="00D034B1"/>
    <w:rsid w:val="00D03C71"/>
    <w:rsid w:val="00D04031"/>
    <w:rsid w:val="00D04716"/>
    <w:rsid w:val="00D05560"/>
    <w:rsid w:val="00D0581B"/>
    <w:rsid w:val="00D05DA9"/>
    <w:rsid w:val="00D0605C"/>
    <w:rsid w:val="00D06801"/>
    <w:rsid w:val="00D068D1"/>
    <w:rsid w:val="00D069A1"/>
    <w:rsid w:val="00D07A6A"/>
    <w:rsid w:val="00D100FE"/>
    <w:rsid w:val="00D11195"/>
    <w:rsid w:val="00D11C83"/>
    <w:rsid w:val="00D11EB0"/>
    <w:rsid w:val="00D126B0"/>
    <w:rsid w:val="00D12948"/>
    <w:rsid w:val="00D130E4"/>
    <w:rsid w:val="00D133F1"/>
    <w:rsid w:val="00D13702"/>
    <w:rsid w:val="00D14262"/>
    <w:rsid w:val="00D14AFE"/>
    <w:rsid w:val="00D153F2"/>
    <w:rsid w:val="00D15FD1"/>
    <w:rsid w:val="00D15FF5"/>
    <w:rsid w:val="00D1798B"/>
    <w:rsid w:val="00D21CDF"/>
    <w:rsid w:val="00D22564"/>
    <w:rsid w:val="00D22AAB"/>
    <w:rsid w:val="00D23BB2"/>
    <w:rsid w:val="00D2405F"/>
    <w:rsid w:val="00D240B3"/>
    <w:rsid w:val="00D24559"/>
    <w:rsid w:val="00D24E0E"/>
    <w:rsid w:val="00D2585A"/>
    <w:rsid w:val="00D25DE3"/>
    <w:rsid w:val="00D26BEA"/>
    <w:rsid w:val="00D26C02"/>
    <w:rsid w:val="00D26C85"/>
    <w:rsid w:val="00D27C20"/>
    <w:rsid w:val="00D27C4C"/>
    <w:rsid w:val="00D30B0B"/>
    <w:rsid w:val="00D3148A"/>
    <w:rsid w:val="00D31F3F"/>
    <w:rsid w:val="00D32326"/>
    <w:rsid w:val="00D324C3"/>
    <w:rsid w:val="00D32C38"/>
    <w:rsid w:val="00D32DB8"/>
    <w:rsid w:val="00D34D5E"/>
    <w:rsid w:val="00D37158"/>
    <w:rsid w:val="00D37666"/>
    <w:rsid w:val="00D37673"/>
    <w:rsid w:val="00D37EC0"/>
    <w:rsid w:val="00D402C7"/>
    <w:rsid w:val="00D40906"/>
    <w:rsid w:val="00D418AF"/>
    <w:rsid w:val="00D41D69"/>
    <w:rsid w:val="00D41D9B"/>
    <w:rsid w:val="00D429B1"/>
    <w:rsid w:val="00D43CCD"/>
    <w:rsid w:val="00D44032"/>
    <w:rsid w:val="00D45344"/>
    <w:rsid w:val="00D45B59"/>
    <w:rsid w:val="00D45E83"/>
    <w:rsid w:val="00D46118"/>
    <w:rsid w:val="00D4724B"/>
    <w:rsid w:val="00D472BC"/>
    <w:rsid w:val="00D47789"/>
    <w:rsid w:val="00D4781D"/>
    <w:rsid w:val="00D47E94"/>
    <w:rsid w:val="00D505BD"/>
    <w:rsid w:val="00D510D3"/>
    <w:rsid w:val="00D514AD"/>
    <w:rsid w:val="00D52832"/>
    <w:rsid w:val="00D52C99"/>
    <w:rsid w:val="00D52EDC"/>
    <w:rsid w:val="00D52F9E"/>
    <w:rsid w:val="00D53953"/>
    <w:rsid w:val="00D53EBD"/>
    <w:rsid w:val="00D54F2E"/>
    <w:rsid w:val="00D55586"/>
    <w:rsid w:val="00D56D25"/>
    <w:rsid w:val="00D5769C"/>
    <w:rsid w:val="00D60442"/>
    <w:rsid w:val="00D60B1C"/>
    <w:rsid w:val="00D61121"/>
    <w:rsid w:val="00D61E71"/>
    <w:rsid w:val="00D622B1"/>
    <w:rsid w:val="00D622DD"/>
    <w:rsid w:val="00D624D6"/>
    <w:rsid w:val="00D625F8"/>
    <w:rsid w:val="00D6285B"/>
    <w:rsid w:val="00D63041"/>
    <w:rsid w:val="00D6333A"/>
    <w:rsid w:val="00D63633"/>
    <w:rsid w:val="00D63A77"/>
    <w:rsid w:val="00D63DA3"/>
    <w:rsid w:val="00D640EB"/>
    <w:rsid w:val="00D64AAD"/>
    <w:rsid w:val="00D64E1B"/>
    <w:rsid w:val="00D65105"/>
    <w:rsid w:val="00D65173"/>
    <w:rsid w:val="00D65717"/>
    <w:rsid w:val="00D66486"/>
    <w:rsid w:val="00D66C45"/>
    <w:rsid w:val="00D66D80"/>
    <w:rsid w:val="00D67718"/>
    <w:rsid w:val="00D67B21"/>
    <w:rsid w:val="00D67CE3"/>
    <w:rsid w:val="00D71699"/>
    <w:rsid w:val="00D7178D"/>
    <w:rsid w:val="00D7245D"/>
    <w:rsid w:val="00D72563"/>
    <w:rsid w:val="00D726D9"/>
    <w:rsid w:val="00D7270E"/>
    <w:rsid w:val="00D72B16"/>
    <w:rsid w:val="00D72D48"/>
    <w:rsid w:val="00D730C1"/>
    <w:rsid w:val="00D7334B"/>
    <w:rsid w:val="00D736FD"/>
    <w:rsid w:val="00D7383A"/>
    <w:rsid w:val="00D76A59"/>
    <w:rsid w:val="00D76D42"/>
    <w:rsid w:val="00D77DCD"/>
    <w:rsid w:val="00D80A5F"/>
    <w:rsid w:val="00D80DA4"/>
    <w:rsid w:val="00D81921"/>
    <w:rsid w:val="00D8220E"/>
    <w:rsid w:val="00D83050"/>
    <w:rsid w:val="00D83315"/>
    <w:rsid w:val="00D835D6"/>
    <w:rsid w:val="00D837DE"/>
    <w:rsid w:val="00D83853"/>
    <w:rsid w:val="00D83F1C"/>
    <w:rsid w:val="00D851BF"/>
    <w:rsid w:val="00D8524C"/>
    <w:rsid w:val="00D85688"/>
    <w:rsid w:val="00D85C1E"/>
    <w:rsid w:val="00D85DB9"/>
    <w:rsid w:val="00D86805"/>
    <w:rsid w:val="00D86BF1"/>
    <w:rsid w:val="00D87FC7"/>
    <w:rsid w:val="00D90549"/>
    <w:rsid w:val="00D90EA2"/>
    <w:rsid w:val="00D91DFD"/>
    <w:rsid w:val="00D931E0"/>
    <w:rsid w:val="00D93424"/>
    <w:rsid w:val="00D937C3"/>
    <w:rsid w:val="00D93A97"/>
    <w:rsid w:val="00D93B7E"/>
    <w:rsid w:val="00D94E45"/>
    <w:rsid w:val="00D94E70"/>
    <w:rsid w:val="00D9534C"/>
    <w:rsid w:val="00D95537"/>
    <w:rsid w:val="00D95985"/>
    <w:rsid w:val="00D96C2C"/>
    <w:rsid w:val="00D973B8"/>
    <w:rsid w:val="00D979BE"/>
    <w:rsid w:val="00DA0137"/>
    <w:rsid w:val="00DA1606"/>
    <w:rsid w:val="00DA2083"/>
    <w:rsid w:val="00DA24BC"/>
    <w:rsid w:val="00DA2E1E"/>
    <w:rsid w:val="00DA39D7"/>
    <w:rsid w:val="00DA4881"/>
    <w:rsid w:val="00DA55C8"/>
    <w:rsid w:val="00DA6C34"/>
    <w:rsid w:val="00DA786C"/>
    <w:rsid w:val="00DA7D56"/>
    <w:rsid w:val="00DB0488"/>
    <w:rsid w:val="00DB0A69"/>
    <w:rsid w:val="00DB10FE"/>
    <w:rsid w:val="00DB1310"/>
    <w:rsid w:val="00DB1D2E"/>
    <w:rsid w:val="00DB1DFB"/>
    <w:rsid w:val="00DB33BC"/>
    <w:rsid w:val="00DB36C0"/>
    <w:rsid w:val="00DB38DC"/>
    <w:rsid w:val="00DB3F94"/>
    <w:rsid w:val="00DB4548"/>
    <w:rsid w:val="00DB4C87"/>
    <w:rsid w:val="00DB4F4E"/>
    <w:rsid w:val="00DB5173"/>
    <w:rsid w:val="00DB55E0"/>
    <w:rsid w:val="00DB5F44"/>
    <w:rsid w:val="00DB673B"/>
    <w:rsid w:val="00DC00EF"/>
    <w:rsid w:val="00DC11B6"/>
    <w:rsid w:val="00DC159D"/>
    <w:rsid w:val="00DC1D42"/>
    <w:rsid w:val="00DC22BD"/>
    <w:rsid w:val="00DC2CE2"/>
    <w:rsid w:val="00DC3CA7"/>
    <w:rsid w:val="00DC3E77"/>
    <w:rsid w:val="00DC4BC3"/>
    <w:rsid w:val="00DC53F6"/>
    <w:rsid w:val="00DC58C3"/>
    <w:rsid w:val="00DC6994"/>
    <w:rsid w:val="00DC71A7"/>
    <w:rsid w:val="00DC71F6"/>
    <w:rsid w:val="00DC7351"/>
    <w:rsid w:val="00DD094A"/>
    <w:rsid w:val="00DD0B0F"/>
    <w:rsid w:val="00DD110B"/>
    <w:rsid w:val="00DD1472"/>
    <w:rsid w:val="00DD1D1E"/>
    <w:rsid w:val="00DD1D27"/>
    <w:rsid w:val="00DD1F2E"/>
    <w:rsid w:val="00DD3A88"/>
    <w:rsid w:val="00DD4754"/>
    <w:rsid w:val="00DD4B60"/>
    <w:rsid w:val="00DD4C57"/>
    <w:rsid w:val="00DD5A47"/>
    <w:rsid w:val="00DD5DA2"/>
    <w:rsid w:val="00DD660C"/>
    <w:rsid w:val="00DD6678"/>
    <w:rsid w:val="00DD791A"/>
    <w:rsid w:val="00DD797B"/>
    <w:rsid w:val="00DE0999"/>
    <w:rsid w:val="00DE192C"/>
    <w:rsid w:val="00DE209F"/>
    <w:rsid w:val="00DE2179"/>
    <w:rsid w:val="00DE2248"/>
    <w:rsid w:val="00DE2693"/>
    <w:rsid w:val="00DE2C2D"/>
    <w:rsid w:val="00DE2E6E"/>
    <w:rsid w:val="00DE3219"/>
    <w:rsid w:val="00DE360E"/>
    <w:rsid w:val="00DE394F"/>
    <w:rsid w:val="00DE443A"/>
    <w:rsid w:val="00DE484B"/>
    <w:rsid w:val="00DE48B4"/>
    <w:rsid w:val="00DE4E2E"/>
    <w:rsid w:val="00DE5242"/>
    <w:rsid w:val="00DE5A3F"/>
    <w:rsid w:val="00DE6166"/>
    <w:rsid w:val="00DE61F6"/>
    <w:rsid w:val="00DE6B86"/>
    <w:rsid w:val="00DE6DFF"/>
    <w:rsid w:val="00DE6F13"/>
    <w:rsid w:val="00DE76F9"/>
    <w:rsid w:val="00DF00ED"/>
    <w:rsid w:val="00DF03B1"/>
    <w:rsid w:val="00DF1935"/>
    <w:rsid w:val="00DF2784"/>
    <w:rsid w:val="00DF2999"/>
    <w:rsid w:val="00DF30A6"/>
    <w:rsid w:val="00DF31CC"/>
    <w:rsid w:val="00DF326E"/>
    <w:rsid w:val="00DF3367"/>
    <w:rsid w:val="00DF38FE"/>
    <w:rsid w:val="00DF3D75"/>
    <w:rsid w:val="00DF4858"/>
    <w:rsid w:val="00DF4D18"/>
    <w:rsid w:val="00DF5126"/>
    <w:rsid w:val="00DF53D9"/>
    <w:rsid w:val="00DF55ED"/>
    <w:rsid w:val="00DF5750"/>
    <w:rsid w:val="00DF57A2"/>
    <w:rsid w:val="00DF5B06"/>
    <w:rsid w:val="00DF6752"/>
    <w:rsid w:val="00DF6A4E"/>
    <w:rsid w:val="00DF6B67"/>
    <w:rsid w:val="00DF76A0"/>
    <w:rsid w:val="00DF7D0C"/>
    <w:rsid w:val="00E000B9"/>
    <w:rsid w:val="00E0048C"/>
    <w:rsid w:val="00E005D0"/>
    <w:rsid w:val="00E00BBF"/>
    <w:rsid w:val="00E018E1"/>
    <w:rsid w:val="00E01A38"/>
    <w:rsid w:val="00E01A5B"/>
    <w:rsid w:val="00E01BB0"/>
    <w:rsid w:val="00E02450"/>
    <w:rsid w:val="00E0341D"/>
    <w:rsid w:val="00E03677"/>
    <w:rsid w:val="00E0377F"/>
    <w:rsid w:val="00E04236"/>
    <w:rsid w:val="00E04B55"/>
    <w:rsid w:val="00E04C0E"/>
    <w:rsid w:val="00E0567B"/>
    <w:rsid w:val="00E05F6F"/>
    <w:rsid w:val="00E07118"/>
    <w:rsid w:val="00E072FB"/>
    <w:rsid w:val="00E07419"/>
    <w:rsid w:val="00E07D69"/>
    <w:rsid w:val="00E10641"/>
    <w:rsid w:val="00E10F55"/>
    <w:rsid w:val="00E10F68"/>
    <w:rsid w:val="00E1125B"/>
    <w:rsid w:val="00E11BA2"/>
    <w:rsid w:val="00E12251"/>
    <w:rsid w:val="00E130BC"/>
    <w:rsid w:val="00E132D0"/>
    <w:rsid w:val="00E13945"/>
    <w:rsid w:val="00E14408"/>
    <w:rsid w:val="00E145DC"/>
    <w:rsid w:val="00E146EF"/>
    <w:rsid w:val="00E152C4"/>
    <w:rsid w:val="00E15508"/>
    <w:rsid w:val="00E15B49"/>
    <w:rsid w:val="00E15D64"/>
    <w:rsid w:val="00E161AE"/>
    <w:rsid w:val="00E16C6A"/>
    <w:rsid w:val="00E17369"/>
    <w:rsid w:val="00E174B2"/>
    <w:rsid w:val="00E175BF"/>
    <w:rsid w:val="00E175D1"/>
    <w:rsid w:val="00E17615"/>
    <w:rsid w:val="00E17BD4"/>
    <w:rsid w:val="00E17CD4"/>
    <w:rsid w:val="00E20248"/>
    <w:rsid w:val="00E205DE"/>
    <w:rsid w:val="00E20CB9"/>
    <w:rsid w:val="00E214DB"/>
    <w:rsid w:val="00E21D93"/>
    <w:rsid w:val="00E21F7C"/>
    <w:rsid w:val="00E22C56"/>
    <w:rsid w:val="00E2367A"/>
    <w:rsid w:val="00E23EA3"/>
    <w:rsid w:val="00E2454E"/>
    <w:rsid w:val="00E246FD"/>
    <w:rsid w:val="00E24F80"/>
    <w:rsid w:val="00E254B1"/>
    <w:rsid w:val="00E25A77"/>
    <w:rsid w:val="00E25FF6"/>
    <w:rsid w:val="00E30934"/>
    <w:rsid w:val="00E30B19"/>
    <w:rsid w:val="00E30F09"/>
    <w:rsid w:val="00E3128B"/>
    <w:rsid w:val="00E35178"/>
    <w:rsid w:val="00E359F8"/>
    <w:rsid w:val="00E35CC6"/>
    <w:rsid w:val="00E35F8C"/>
    <w:rsid w:val="00E35F8F"/>
    <w:rsid w:val="00E35FC0"/>
    <w:rsid w:val="00E3697C"/>
    <w:rsid w:val="00E378AD"/>
    <w:rsid w:val="00E37A3B"/>
    <w:rsid w:val="00E37F20"/>
    <w:rsid w:val="00E407B2"/>
    <w:rsid w:val="00E4168D"/>
    <w:rsid w:val="00E419D2"/>
    <w:rsid w:val="00E42637"/>
    <w:rsid w:val="00E42C85"/>
    <w:rsid w:val="00E4416D"/>
    <w:rsid w:val="00E44B9E"/>
    <w:rsid w:val="00E45085"/>
    <w:rsid w:val="00E45673"/>
    <w:rsid w:val="00E467DD"/>
    <w:rsid w:val="00E47286"/>
    <w:rsid w:val="00E50143"/>
    <w:rsid w:val="00E50980"/>
    <w:rsid w:val="00E50DC5"/>
    <w:rsid w:val="00E51A31"/>
    <w:rsid w:val="00E51BEE"/>
    <w:rsid w:val="00E51DA5"/>
    <w:rsid w:val="00E528D5"/>
    <w:rsid w:val="00E52FAB"/>
    <w:rsid w:val="00E53735"/>
    <w:rsid w:val="00E5434C"/>
    <w:rsid w:val="00E54A8C"/>
    <w:rsid w:val="00E54F70"/>
    <w:rsid w:val="00E551BE"/>
    <w:rsid w:val="00E55913"/>
    <w:rsid w:val="00E55A7E"/>
    <w:rsid w:val="00E55ECD"/>
    <w:rsid w:val="00E56824"/>
    <w:rsid w:val="00E56C6D"/>
    <w:rsid w:val="00E57890"/>
    <w:rsid w:val="00E61B4B"/>
    <w:rsid w:val="00E62240"/>
    <w:rsid w:val="00E62D6D"/>
    <w:rsid w:val="00E62E86"/>
    <w:rsid w:val="00E62EBE"/>
    <w:rsid w:val="00E6343F"/>
    <w:rsid w:val="00E63876"/>
    <w:rsid w:val="00E63952"/>
    <w:rsid w:val="00E63EB6"/>
    <w:rsid w:val="00E641DB"/>
    <w:rsid w:val="00E650AA"/>
    <w:rsid w:val="00E65B4B"/>
    <w:rsid w:val="00E66983"/>
    <w:rsid w:val="00E66D68"/>
    <w:rsid w:val="00E6742F"/>
    <w:rsid w:val="00E67781"/>
    <w:rsid w:val="00E67AA7"/>
    <w:rsid w:val="00E70053"/>
    <w:rsid w:val="00E709CA"/>
    <w:rsid w:val="00E71872"/>
    <w:rsid w:val="00E7188F"/>
    <w:rsid w:val="00E7220D"/>
    <w:rsid w:val="00E7231C"/>
    <w:rsid w:val="00E73904"/>
    <w:rsid w:val="00E74874"/>
    <w:rsid w:val="00E74E1F"/>
    <w:rsid w:val="00E7582B"/>
    <w:rsid w:val="00E75BD8"/>
    <w:rsid w:val="00E75EFA"/>
    <w:rsid w:val="00E7646E"/>
    <w:rsid w:val="00E7654A"/>
    <w:rsid w:val="00E765E4"/>
    <w:rsid w:val="00E7770D"/>
    <w:rsid w:val="00E801ED"/>
    <w:rsid w:val="00E80A36"/>
    <w:rsid w:val="00E81213"/>
    <w:rsid w:val="00E8142D"/>
    <w:rsid w:val="00E81E28"/>
    <w:rsid w:val="00E820C6"/>
    <w:rsid w:val="00E8314E"/>
    <w:rsid w:val="00E83AAB"/>
    <w:rsid w:val="00E84992"/>
    <w:rsid w:val="00E849C8"/>
    <w:rsid w:val="00E84C6A"/>
    <w:rsid w:val="00E851ED"/>
    <w:rsid w:val="00E8583D"/>
    <w:rsid w:val="00E85CCE"/>
    <w:rsid w:val="00E86EDF"/>
    <w:rsid w:val="00E906F5"/>
    <w:rsid w:val="00E90A95"/>
    <w:rsid w:val="00E90CE7"/>
    <w:rsid w:val="00E90FC1"/>
    <w:rsid w:val="00E920E2"/>
    <w:rsid w:val="00E9224C"/>
    <w:rsid w:val="00E92A17"/>
    <w:rsid w:val="00E92A45"/>
    <w:rsid w:val="00E92C9C"/>
    <w:rsid w:val="00E93620"/>
    <w:rsid w:val="00E93710"/>
    <w:rsid w:val="00E93956"/>
    <w:rsid w:val="00E9411B"/>
    <w:rsid w:val="00E949F6"/>
    <w:rsid w:val="00E9614D"/>
    <w:rsid w:val="00E96BA9"/>
    <w:rsid w:val="00E979EB"/>
    <w:rsid w:val="00EA0CC8"/>
    <w:rsid w:val="00EA135C"/>
    <w:rsid w:val="00EA1A07"/>
    <w:rsid w:val="00EA2DAC"/>
    <w:rsid w:val="00EA2E93"/>
    <w:rsid w:val="00EA30AE"/>
    <w:rsid w:val="00EA3986"/>
    <w:rsid w:val="00EA446F"/>
    <w:rsid w:val="00EA5149"/>
    <w:rsid w:val="00EA53EE"/>
    <w:rsid w:val="00EA5DCD"/>
    <w:rsid w:val="00EA637B"/>
    <w:rsid w:val="00EA6719"/>
    <w:rsid w:val="00EA6D99"/>
    <w:rsid w:val="00EA6ECE"/>
    <w:rsid w:val="00EA7C82"/>
    <w:rsid w:val="00EA7E37"/>
    <w:rsid w:val="00EA7F2F"/>
    <w:rsid w:val="00EB01FE"/>
    <w:rsid w:val="00EB0D37"/>
    <w:rsid w:val="00EB10C9"/>
    <w:rsid w:val="00EB10D1"/>
    <w:rsid w:val="00EB15BF"/>
    <w:rsid w:val="00EB185A"/>
    <w:rsid w:val="00EB18F0"/>
    <w:rsid w:val="00EB1CF6"/>
    <w:rsid w:val="00EB2484"/>
    <w:rsid w:val="00EB439A"/>
    <w:rsid w:val="00EB4D27"/>
    <w:rsid w:val="00EB57D0"/>
    <w:rsid w:val="00EB5E4D"/>
    <w:rsid w:val="00EC0741"/>
    <w:rsid w:val="00EC0995"/>
    <w:rsid w:val="00EC1A66"/>
    <w:rsid w:val="00EC1FC5"/>
    <w:rsid w:val="00EC2303"/>
    <w:rsid w:val="00EC30FB"/>
    <w:rsid w:val="00EC3D48"/>
    <w:rsid w:val="00EC443C"/>
    <w:rsid w:val="00EC4DB8"/>
    <w:rsid w:val="00EC50FB"/>
    <w:rsid w:val="00EC5830"/>
    <w:rsid w:val="00EC6565"/>
    <w:rsid w:val="00EC6B24"/>
    <w:rsid w:val="00EC6B48"/>
    <w:rsid w:val="00EC7AE5"/>
    <w:rsid w:val="00ED0819"/>
    <w:rsid w:val="00ED0B32"/>
    <w:rsid w:val="00ED0EFD"/>
    <w:rsid w:val="00ED14B0"/>
    <w:rsid w:val="00ED23B4"/>
    <w:rsid w:val="00ED23F2"/>
    <w:rsid w:val="00ED26DA"/>
    <w:rsid w:val="00ED2B44"/>
    <w:rsid w:val="00ED3F74"/>
    <w:rsid w:val="00ED4B31"/>
    <w:rsid w:val="00ED561C"/>
    <w:rsid w:val="00ED601E"/>
    <w:rsid w:val="00ED6373"/>
    <w:rsid w:val="00ED65EB"/>
    <w:rsid w:val="00ED6D53"/>
    <w:rsid w:val="00ED7354"/>
    <w:rsid w:val="00ED7842"/>
    <w:rsid w:val="00ED7A40"/>
    <w:rsid w:val="00ED7B48"/>
    <w:rsid w:val="00EE00B8"/>
    <w:rsid w:val="00EE03C2"/>
    <w:rsid w:val="00EE06F1"/>
    <w:rsid w:val="00EE1E3F"/>
    <w:rsid w:val="00EE238E"/>
    <w:rsid w:val="00EE3263"/>
    <w:rsid w:val="00EE3381"/>
    <w:rsid w:val="00EE3D80"/>
    <w:rsid w:val="00EE47C2"/>
    <w:rsid w:val="00EE4A84"/>
    <w:rsid w:val="00EE535D"/>
    <w:rsid w:val="00EE5FA5"/>
    <w:rsid w:val="00EE6221"/>
    <w:rsid w:val="00EF14C6"/>
    <w:rsid w:val="00EF1545"/>
    <w:rsid w:val="00EF1F67"/>
    <w:rsid w:val="00EF216F"/>
    <w:rsid w:val="00EF2395"/>
    <w:rsid w:val="00EF265F"/>
    <w:rsid w:val="00EF2B1E"/>
    <w:rsid w:val="00EF30A2"/>
    <w:rsid w:val="00EF3AC7"/>
    <w:rsid w:val="00EF3F45"/>
    <w:rsid w:val="00EF42DF"/>
    <w:rsid w:val="00EF4DC6"/>
    <w:rsid w:val="00EF5526"/>
    <w:rsid w:val="00EF5DCA"/>
    <w:rsid w:val="00EF6A58"/>
    <w:rsid w:val="00EF7597"/>
    <w:rsid w:val="00EF7BBE"/>
    <w:rsid w:val="00F007FA"/>
    <w:rsid w:val="00F01265"/>
    <w:rsid w:val="00F01DE2"/>
    <w:rsid w:val="00F029B0"/>
    <w:rsid w:val="00F02B71"/>
    <w:rsid w:val="00F03197"/>
    <w:rsid w:val="00F037E9"/>
    <w:rsid w:val="00F04D70"/>
    <w:rsid w:val="00F04DF6"/>
    <w:rsid w:val="00F065BF"/>
    <w:rsid w:val="00F077A9"/>
    <w:rsid w:val="00F07929"/>
    <w:rsid w:val="00F102E0"/>
    <w:rsid w:val="00F10E4E"/>
    <w:rsid w:val="00F10F6D"/>
    <w:rsid w:val="00F11383"/>
    <w:rsid w:val="00F1169E"/>
    <w:rsid w:val="00F125DC"/>
    <w:rsid w:val="00F12758"/>
    <w:rsid w:val="00F12E20"/>
    <w:rsid w:val="00F13373"/>
    <w:rsid w:val="00F13655"/>
    <w:rsid w:val="00F13958"/>
    <w:rsid w:val="00F13E1C"/>
    <w:rsid w:val="00F151D8"/>
    <w:rsid w:val="00F152B4"/>
    <w:rsid w:val="00F15446"/>
    <w:rsid w:val="00F160FB"/>
    <w:rsid w:val="00F1636B"/>
    <w:rsid w:val="00F16727"/>
    <w:rsid w:val="00F1672C"/>
    <w:rsid w:val="00F16CED"/>
    <w:rsid w:val="00F1720C"/>
    <w:rsid w:val="00F17711"/>
    <w:rsid w:val="00F2010E"/>
    <w:rsid w:val="00F20DE8"/>
    <w:rsid w:val="00F21A56"/>
    <w:rsid w:val="00F21D8B"/>
    <w:rsid w:val="00F22079"/>
    <w:rsid w:val="00F22176"/>
    <w:rsid w:val="00F225F2"/>
    <w:rsid w:val="00F22B72"/>
    <w:rsid w:val="00F2332D"/>
    <w:rsid w:val="00F23EA3"/>
    <w:rsid w:val="00F23EB7"/>
    <w:rsid w:val="00F246F7"/>
    <w:rsid w:val="00F24A99"/>
    <w:rsid w:val="00F24ADC"/>
    <w:rsid w:val="00F24DB8"/>
    <w:rsid w:val="00F2509D"/>
    <w:rsid w:val="00F2592B"/>
    <w:rsid w:val="00F2603A"/>
    <w:rsid w:val="00F26141"/>
    <w:rsid w:val="00F26B56"/>
    <w:rsid w:val="00F26F25"/>
    <w:rsid w:val="00F27271"/>
    <w:rsid w:val="00F3033B"/>
    <w:rsid w:val="00F30FB6"/>
    <w:rsid w:val="00F3111E"/>
    <w:rsid w:val="00F317F4"/>
    <w:rsid w:val="00F31B21"/>
    <w:rsid w:val="00F32343"/>
    <w:rsid w:val="00F323E5"/>
    <w:rsid w:val="00F32619"/>
    <w:rsid w:val="00F33DC1"/>
    <w:rsid w:val="00F33FEE"/>
    <w:rsid w:val="00F34E95"/>
    <w:rsid w:val="00F3530A"/>
    <w:rsid w:val="00F35421"/>
    <w:rsid w:val="00F354FC"/>
    <w:rsid w:val="00F3568E"/>
    <w:rsid w:val="00F35A58"/>
    <w:rsid w:val="00F35DAD"/>
    <w:rsid w:val="00F3684C"/>
    <w:rsid w:val="00F36E2A"/>
    <w:rsid w:val="00F3713D"/>
    <w:rsid w:val="00F40184"/>
    <w:rsid w:val="00F40895"/>
    <w:rsid w:val="00F411C3"/>
    <w:rsid w:val="00F41278"/>
    <w:rsid w:val="00F43A25"/>
    <w:rsid w:val="00F444E6"/>
    <w:rsid w:val="00F445F9"/>
    <w:rsid w:val="00F4534C"/>
    <w:rsid w:val="00F4562E"/>
    <w:rsid w:val="00F46262"/>
    <w:rsid w:val="00F469D3"/>
    <w:rsid w:val="00F47087"/>
    <w:rsid w:val="00F47274"/>
    <w:rsid w:val="00F501A1"/>
    <w:rsid w:val="00F5058D"/>
    <w:rsid w:val="00F50886"/>
    <w:rsid w:val="00F50976"/>
    <w:rsid w:val="00F5123F"/>
    <w:rsid w:val="00F51B04"/>
    <w:rsid w:val="00F51B85"/>
    <w:rsid w:val="00F525B4"/>
    <w:rsid w:val="00F52CB4"/>
    <w:rsid w:val="00F5413F"/>
    <w:rsid w:val="00F54704"/>
    <w:rsid w:val="00F547BE"/>
    <w:rsid w:val="00F551FC"/>
    <w:rsid w:val="00F55413"/>
    <w:rsid w:val="00F5587A"/>
    <w:rsid w:val="00F55FC5"/>
    <w:rsid w:val="00F567BD"/>
    <w:rsid w:val="00F56F71"/>
    <w:rsid w:val="00F5724F"/>
    <w:rsid w:val="00F573F1"/>
    <w:rsid w:val="00F575BD"/>
    <w:rsid w:val="00F57C73"/>
    <w:rsid w:val="00F60175"/>
    <w:rsid w:val="00F60521"/>
    <w:rsid w:val="00F60B1C"/>
    <w:rsid w:val="00F6127B"/>
    <w:rsid w:val="00F6163D"/>
    <w:rsid w:val="00F61E19"/>
    <w:rsid w:val="00F627A3"/>
    <w:rsid w:val="00F64017"/>
    <w:rsid w:val="00F648A3"/>
    <w:rsid w:val="00F64A92"/>
    <w:rsid w:val="00F651A8"/>
    <w:rsid w:val="00F6577C"/>
    <w:rsid w:val="00F659B9"/>
    <w:rsid w:val="00F65A78"/>
    <w:rsid w:val="00F661E2"/>
    <w:rsid w:val="00F6774F"/>
    <w:rsid w:val="00F70153"/>
    <w:rsid w:val="00F7178A"/>
    <w:rsid w:val="00F721CC"/>
    <w:rsid w:val="00F72B82"/>
    <w:rsid w:val="00F734D7"/>
    <w:rsid w:val="00F73A83"/>
    <w:rsid w:val="00F73A8B"/>
    <w:rsid w:val="00F74194"/>
    <w:rsid w:val="00F749A0"/>
    <w:rsid w:val="00F74D7F"/>
    <w:rsid w:val="00F7503B"/>
    <w:rsid w:val="00F753B4"/>
    <w:rsid w:val="00F75AF9"/>
    <w:rsid w:val="00F75C7B"/>
    <w:rsid w:val="00F760AA"/>
    <w:rsid w:val="00F76262"/>
    <w:rsid w:val="00F77063"/>
    <w:rsid w:val="00F7736D"/>
    <w:rsid w:val="00F7750D"/>
    <w:rsid w:val="00F77E6C"/>
    <w:rsid w:val="00F80050"/>
    <w:rsid w:val="00F800FD"/>
    <w:rsid w:val="00F80A35"/>
    <w:rsid w:val="00F80B2B"/>
    <w:rsid w:val="00F81CF5"/>
    <w:rsid w:val="00F82355"/>
    <w:rsid w:val="00F827A2"/>
    <w:rsid w:val="00F82C68"/>
    <w:rsid w:val="00F83769"/>
    <w:rsid w:val="00F83A97"/>
    <w:rsid w:val="00F83E5B"/>
    <w:rsid w:val="00F83E94"/>
    <w:rsid w:val="00F83ECF"/>
    <w:rsid w:val="00F842C8"/>
    <w:rsid w:val="00F8513F"/>
    <w:rsid w:val="00F8561A"/>
    <w:rsid w:val="00F85954"/>
    <w:rsid w:val="00F8619A"/>
    <w:rsid w:val="00F86864"/>
    <w:rsid w:val="00F86A02"/>
    <w:rsid w:val="00F86B3F"/>
    <w:rsid w:val="00F86F13"/>
    <w:rsid w:val="00F8705E"/>
    <w:rsid w:val="00F90402"/>
    <w:rsid w:val="00F905AA"/>
    <w:rsid w:val="00F90628"/>
    <w:rsid w:val="00F91095"/>
    <w:rsid w:val="00F91B50"/>
    <w:rsid w:val="00F922C5"/>
    <w:rsid w:val="00F92D0B"/>
    <w:rsid w:val="00F93233"/>
    <w:rsid w:val="00F9367C"/>
    <w:rsid w:val="00F93D28"/>
    <w:rsid w:val="00F93E77"/>
    <w:rsid w:val="00F940B1"/>
    <w:rsid w:val="00F94766"/>
    <w:rsid w:val="00F94BAC"/>
    <w:rsid w:val="00F95280"/>
    <w:rsid w:val="00F96868"/>
    <w:rsid w:val="00F97466"/>
    <w:rsid w:val="00F97CBF"/>
    <w:rsid w:val="00FA0628"/>
    <w:rsid w:val="00FA06D8"/>
    <w:rsid w:val="00FA1307"/>
    <w:rsid w:val="00FA1809"/>
    <w:rsid w:val="00FA1B2A"/>
    <w:rsid w:val="00FA1FB9"/>
    <w:rsid w:val="00FA21EF"/>
    <w:rsid w:val="00FA230E"/>
    <w:rsid w:val="00FA2469"/>
    <w:rsid w:val="00FA2662"/>
    <w:rsid w:val="00FA3D57"/>
    <w:rsid w:val="00FA3F66"/>
    <w:rsid w:val="00FA4552"/>
    <w:rsid w:val="00FA4C95"/>
    <w:rsid w:val="00FA5A0B"/>
    <w:rsid w:val="00FA605D"/>
    <w:rsid w:val="00FA717F"/>
    <w:rsid w:val="00FA76F7"/>
    <w:rsid w:val="00FA7825"/>
    <w:rsid w:val="00FA7FCA"/>
    <w:rsid w:val="00FA7FDB"/>
    <w:rsid w:val="00FB02DA"/>
    <w:rsid w:val="00FB1D63"/>
    <w:rsid w:val="00FB2659"/>
    <w:rsid w:val="00FB2A24"/>
    <w:rsid w:val="00FB3CE0"/>
    <w:rsid w:val="00FB3DC3"/>
    <w:rsid w:val="00FB3E90"/>
    <w:rsid w:val="00FB3EFA"/>
    <w:rsid w:val="00FB5354"/>
    <w:rsid w:val="00FC0018"/>
    <w:rsid w:val="00FC1DE4"/>
    <w:rsid w:val="00FC2F10"/>
    <w:rsid w:val="00FC307F"/>
    <w:rsid w:val="00FC3095"/>
    <w:rsid w:val="00FC4139"/>
    <w:rsid w:val="00FC4C1F"/>
    <w:rsid w:val="00FC4C4B"/>
    <w:rsid w:val="00FC5D5E"/>
    <w:rsid w:val="00FC6379"/>
    <w:rsid w:val="00FC6945"/>
    <w:rsid w:val="00FC6B8F"/>
    <w:rsid w:val="00FC6EEB"/>
    <w:rsid w:val="00FC7574"/>
    <w:rsid w:val="00FD0CE8"/>
    <w:rsid w:val="00FD0DB9"/>
    <w:rsid w:val="00FD10EF"/>
    <w:rsid w:val="00FD1141"/>
    <w:rsid w:val="00FD15FC"/>
    <w:rsid w:val="00FD1B62"/>
    <w:rsid w:val="00FD1BE8"/>
    <w:rsid w:val="00FD1C12"/>
    <w:rsid w:val="00FD282B"/>
    <w:rsid w:val="00FD2B07"/>
    <w:rsid w:val="00FD2F76"/>
    <w:rsid w:val="00FD4195"/>
    <w:rsid w:val="00FD475E"/>
    <w:rsid w:val="00FD51E3"/>
    <w:rsid w:val="00FD5335"/>
    <w:rsid w:val="00FD6307"/>
    <w:rsid w:val="00FD6C20"/>
    <w:rsid w:val="00FD7023"/>
    <w:rsid w:val="00FD7043"/>
    <w:rsid w:val="00FD7431"/>
    <w:rsid w:val="00FD7506"/>
    <w:rsid w:val="00FE03CE"/>
    <w:rsid w:val="00FE0439"/>
    <w:rsid w:val="00FE1DBD"/>
    <w:rsid w:val="00FE2480"/>
    <w:rsid w:val="00FE3826"/>
    <w:rsid w:val="00FE3B9E"/>
    <w:rsid w:val="00FE3BF1"/>
    <w:rsid w:val="00FE3F8A"/>
    <w:rsid w:val="00FE455B"/>
    <w:rsid w:val="00FE4F12"/>
    <w:rsid w:val="00FE5AD4"/>
    <w:rsid w:val="00FE5F1D"/>
    <w:rsid w:val="00FE6AC6"/>
    <w:rsid w:val="00FE6E5A"/>
    <w:rsid w:val="00FE7373"/>
    <w:rsid w:val="00FE77FD"/>
    <w:rsid w:val="00FE7F5B"/>
    <w:rsid w:val="00FF0867"/>
    <w:rsid w:val="00FF1570"/>
    <w:rsid w:val="00FF15D9"/>
    <w:rsid w:val="00FF165F"/>
    <w:rsid w:val="00FF1835"/>
    <w:rsid w:val="00FF28B3"/>
    <w:rsid w:val="00FF2AFB"/>
    <w:rsid w:val="00FF2E42"/>
    <w:rsid w:val="00FF32AC"/>
    <w:rsid w:val="00FF36C4"/>
    <w:rsid w:val="00FF38E3"/>
    <w:rsid w:val="00FF4038"/>
    <w:rsid w:val="00FF435E"/>
    <w:rsid w:val="00FF4500"/>
    <w:rsid w:val="00FF45E3"/>
    <w:rsid w:val="00FF548F"/>
    <w:rsid w:val="00FF58B6"/>
    <w:rsid w:val="00FF59A9"/>
    <w:rsid w:val="00FF676C"/>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25244"/>
    <w:rPr>
      <w:rFonts w:ascii="Garamond" w:hAnsi="Garamond" w:cs="Garamond"/>
      <w:lang w:eastAsia="en-US"/>
    </w:rPr>
  </w:style>
  <w:style w:type="paragraph" w:styleId="Heading1">
    <w:name w:val="heading 1"/>
    <w:basedOn w:val="Normal"/>
    <w:next w:val="BodyText"/>
    <w:link w:val="Heading1Char"/>
    <w:uiPriority w:val="99"/>
    <w:qFormat/>
    <w:rsid w:val="00182994"/>
    <w:pPr>
      <w:keepNext/>
      <w:spacing w:before="120" w:after="120" w:line="260" w:lineRule="atLeast"/>
      <w:outlineLvl w:val="0"/>
    </w:pPr>
    <w:rPr>
      <w:b/>
      <w:bCs/>
      <w:color w:val="5D2884"/>
      <w:kern w:val="32"/>
      <w:sz w:val="24"/>
      <w:szCs w:val="24"/>
      <w:lang w:eastAsia="bg-BG"/>
    </w:rPr>
  </w:style>
  <w:style w:type="paragraph" w:styleId="Heading2">
    <w:name w:val="heading 2"/>
    <w:basedOn w:val="Heading1"/>
    <w:next w:val="BodyText"/>
    <w:link w:val="Heading2Char"/>
    <w:uiPriority w:val="99"/>
    <w:qFormat/>
    <w:rsid w:val="00903F8E"/>
    <w:pPr>
      <w:outlineLvl w:val="1"/>
    </w:pPr>
  </w:style>
  <w:style w:type="paragraph" w:styleId="Heading3">
    <w:name w:val="heading 3"/>
    <w:basedOn w:val="Heading2"/>
    <w:next w:val="BodyText"/>
    <w:link w:val="Heading3Char"/>
    <w:uiPriority w:val="99"/>
    <w:qFormat/>
    <w:rsid w:val="00425244"/>
    <w:pPr>
      <w:outlineLvl w:val="2"/>
    </w:pPr>
    <w:rPr>
      <w:rFonts w:ascii="Arial" w:hAnsi="Arial" w:cs="Arial"/>
    </w:rPr>
  </w:style>
  <w:style w:type="paragraph" w:styleId="Heading4">
    <w:name w:val="heading 4"/>
    <w:basedOn w:val="Heading3"/>
    <w:next w:val="BodyText"/>
    <w:link w:val="Heading4Char"/>
    <w:uiPriority w:val="99"/>
    <w:qFormat/>
    <w:rsid w:val="00425244"/>
    <w:pPr>
      <w:outlineLvl w:val="3"/>
    </w:pPr>
    <w:rPr>
      <w:i/>
      <w:iCs/>
    </w:rPr>
  </w:style>
  <w:style w:type="paragraph" w:styleId="Heading5">
    <w:name w:val="heading 5"/>
    <w:basedOn w:val="Normal"/>
    <w:next w:val="Normal"/>
    <w:link w:val="Heading5Char"/>
    <w:uiPriority w:val="99"/>
    <w:qFormat/>
    <w:rsid w:val="00425244"/>
    <w:pPr>
      <w:numPr>
        <w:ilvl w:val="4"/>
        <w:numId w:val="6"/>
      </w:numPr>
      <w:spacing w:before="240" w:after="60"/>
      <w:outlineLvl w:val="4"/>
    </w:pPr>
    <w:rPr>
      <w:b/>
      <w:bCs/>
      <w:i/>
      <w:iCs/>
      <w:sz w:val="26"/>
      <w:szCs w:val="26"/>
    </w:rPr>
  </w:style>
  <w:style w:type="paragraph" w:styleId="Heading6">
    <w:name w:val="heading 6"/>
    <w:basedOn w:val="Normal"/>
    <w:next w:val="Normal"/>
    <w:link w:val="Heading6Char"/>
    <w:uiPriority w:val="99"/>
    <w:qFormat/>
    <w:rsid w:val="00425244"/>
    <w:pPr>
      <w:numPr>
        <w:ilvl w:val="5"/>
        <w:numId w:val="6"/>
      </w:numPr>
      <w:spacing w:before="240" w:after="60"/>
      <w:outlineLvl w:val="5"/>
    </w:pPr>
    <w:rPr>
      <w:b/>
      <w:bCs/>
    </w:rPr>
  </w:style>
  <w:style w:type="paragraph" w:styleId="Heading7">
    <w:name w:val="heading 7"/>
    <w:basedOn w:val="Normal"/>
    <w:next w:val="Normal"/>
    <w:link w:val="Heading7Char"/>
    <w:uiPriority w:val="99"/>
    <w:qFormat/>
    <w:rsid w:val="00425244"/>
    <w:pPr>
      <w:numPr>
        <w:ilvl w:val="6"/>
        <w:numId w:val="6"/>
      </w:numPr>
      <w:spacing w:before="240" w:after="60"/>
      <w:outlineLvl w:val="6"/>
    </w:pPr>
    <w:rPr>
      <w:sz w:val="24"/>
      <w:szCs w:val="24"/>
    </w:rPr>
  </w:style>
  <w:style w:type="paragraph" w:styleId="Heading8">
    <w:name w:val="heading 8"/>
    <w:basedOn w:val="Normal"/>
    <w:next w:val="Normal"/>
    <w:link w:val="Heading8Char"/>
    <w:uiPriority w:val="99"/>
    <w:qFormat/>
    <w:rsid w:val="00425244"/>
    <w:pPr>
      <w:numPr>
        <w:ilvl w:val="7"/>
        <w:numId w:val="6"/>
      </w:numPr>
      <w:spacing w:before="240" w:after="60"/>
      <w:outlineLvl w:val="7"/>
    </w:pPr>
    <w:rPr>
      <w:i/>
      <w:iCs/>
      <w:sz w:val="24"/>
      <w:szCs w:val="24"/>
    </w:rPr>
  </w:style>
  <w:style w:type="paragraph" w:styleId="Heading9">
    <w:name w:val="heading 9"/>
    <w:basedOn w:val="Normal"/>
    <w:next w:val="Normal"/>
    <w:link w:val="Heading9Char"/>
    <w:uiPriority w:val="99"/>
    <w:qFormat/>
    <w:rsid w:val="00425244"/>
    <w:pPr>
      <w:numPr>
        <w:ilvl w:val="8"/>
        <w:numId w:val="6"/>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82994"/>
    <w:rPr>
      <w:rFonts w:ascii="Garamond" w:hAnsi="Garamond" w:cs="Garamond"/>
      <w:b/>
      <w:bCs/>
      <w:color w:val="5D2884"/>
      <w:kern w:val="32"/>
      <w:sz w:val="28"/>
      <w:szCs w:val="28"/>
      <w:lang w:val="bg-BG"/>
    </w:rPr>
  </w:style>
  <w:style w:type="character" w:customStyle="1" w:styleId="Heading2Char">
    <w:name w:val="Heading 2 Char"/>
    <w:basedOn w:val="DefaultParagraphFont"/>
    <w:link w:val="Heading2"/>
    <w:uiPriority w:val="99"/>
    <w:locked/>
    <w:rsid w:val="00903F8E"/>
    <w:rPr>
      <w:rFonts w:ascii="Garamond" w:hAnsi="Garamond" w:cs="Garamond"/>
      <w:b/>
      <w:bCs/>
      <w:color w:val="5D2884"/>
      <w:kern w:val="32"/>
      <w:sz w:val="24"/>
      <w:szCs w:val="24"/>
      <w:lang w:val="bg-BG"/>
    </w:rPr>
  </w:style>
  <w:style w:type="character" w:customStyle="1" w:styleId="Heading3Char">
    <w:name w:val="Heading 3 Char"/>
    <w:basedOn w:val="DefaultParagraphFont"/>
    <w:link w:val="Heading3"/>
    <w:uiPriority w:val="99"/>
    <w:semiHidden/>
    <w:locked/>
    <w:rsid w:val="00DD4C57"/>
    <w:rPr>
      <w:rFonts w:ascii="Cambria" w:hAnsi="Cambria" w:cs="Cambria"/>
      <w:b/>
      <w:bCs/>
      <w:sz w:val="26"/>
      <w:szCs w:val="26"/>
      <w:lang w:eastAsia="en-US"/>
    </w:rPr>
  </w:style>
  <w:style w:type="character" w:customStyle="1" w:styleId="Heading4Char">
    <w:name w:val="Heading 4 Char"/>
    <w:basedOn w:val="DefaultParagraphFont"/>
    <w:link w:val="Heading4"/>
    <w:uiPriority w:val="99"/>
    <w:semiHidden/>
    <w:locked/>
    <w:rsid w:val="00DD4C57"/>
    <w:rPr>
      <w:rFonts w:ascii="Calibri" w:hAnsi="Calibri" w:cs="Calibri"/>
      <w:b/>
      <w:bCs/>
      <w:sz w:val="28"/>
      <w:szCs w:val="28"/>
      <w:lang w:eastAsia="en-US"/>
    </w:rPr>
  </w:style>
  <w:style w:type="character" w:customStyle="1" w:styleId="Heading5Char">
    <w:name w:val="Heading 5 Char"/>
    <w:basedOn w:val="DefaultParagraphFont"/>
    <w:link w:val="Heading5"/>
    <w:uiPriority w:val="99"/>
    <w:locked/>
    <w:rsid w:val="00DD4C57"/>
    <w:rPr>
      <w:rFonts w:ascii="Garamond" w:hAnsi="Garamond" w:cs="Garamond"/>
      <w:b/>
      <w:bCs/>
      <w:i/>
      <w:iCs/>
      <w:sz w:val="26"/>
      <w:szCs w:val="26"/>
      <w:lang w:eastAsia="en-US"/>
    </w:rPr>
  </w:style>
  <w:style w:type="character" w:customStyle="1" w:styleId="Heading6Char">
    <w:name w:val="Heading 6 Char"/>
    <w:basedOn w:val="DefaultParagraphFont"/>
    <w:link w:val="Heading6"/>
    <w:uiPriority w:val="99"/>
    <w:locked/>
    <w:rsid w:val="00DD4C57"/>
    <w:rPr>
      <w:rFonts w:ascii="Garamond" w:hAnsi="Garamond" w:cs="Garamond"/>
      <w:b/>
      <w:bCs/>
      <w:lang w:eastAsia="en-US"/>
    </w:rPr>
  </w:style>
  <w:style w:type="character" w:customStyle="1" w:styleId="Heading7Char">
    <w:name w:val="Heading 7 Char"/>
    <w:basedOn w:val="DefaultParagraphFont"/>
    <w:link w:val="Heading7"/>
    <w:uiPriority w:val="99"/>
    <w:locked/>
    <w:rsid w:val="00DD4C57"/>
    <w:rPr>
      <w:rFonts w:ascii="Garamond" w:hAnsi="Garamond" w:cs="Garamond"/>
      <w:sz w:val="24"/>
      <w:szCs w:val="24"/>
      <w:lang w:eastAsia="en-US"/>
    </w:rPr>
  </w:style>
  <w:style w:type="character" w:customStyle="1" w:styleId="Heading8Char">
    <w:name w:val="Heading 8 Char"/>
    <w:basedOn w:val="DefaultParagraphFont"/>
    <w:link w:val="Heading8"/>
    <w:uiPriority w:val="99"/>
    <w:locked/>
    <w:rsid w:val="00DD4C57"/>
    <w:rPr>
      <w:rFonts w:ascii="Garamond" w:hAnsi="Garamond" w:cs="Garamond"/>
      <w:i/>
      <w:iCs/>
      <w:sz w:val="24"/>
      <w:szCs w:val="24"/>
      <w:lang w:eastAsia="en-US"/>
    </w:rPr>
  </w:style>
  <w:style w:type="character" w:customStyle="1" w:styleId="Heading9Char">
    <w:name w:val="Heading 9 Char"/>
    <w:basedOn w:val="DefaultParagraphFont"/>
    <w:link w:val="Heading9"/>
    <w:uiPriority w:val="99"/>
    <w:locked/>
    <w:rsid w:val="00DD4C57"/>
    <w:rPr>
      <w:rFonts w:ascii="Arial" w:hAnsi="Arial" w:cs="Arial"/>
      <w:lang w:eastAsia="en-US"/>
    </w:rPr>
  </w:style>
  <w:style w:type="paragraph" w:styleId="BodyText">
    <w:name w:val="Body Text"/>
    <w:aliases w:val="do pr"/>
    <w:basedOn w:val="Normal"/>
    <w:link w:val="BodyTextChar"/>
    <w:uiPriority w:val="99"/>
    <w:rsid w:val="00425244"/>
    <w:pPr>
      <w:spacing w:after="284" w:line="280" w:lineRule="atLeast"/>
    </w:pPr>
  </w:style>
  <w:style w:type="character" w:customStyle="1" w:styleId="BodyTextChar">
    <w:name w:val="Body Text Char"/>
    <w:aliases w:val="do pr Char"/>
    <w:basedOn w:val="DefaultParagraphFont"/>
    <w:link w:val="BodyText"/>
    <w:uiPriority w:val="99"/>
    <w:locked/>
    <w:rsid w:val="00715B19"/>
    <w:rPr>
      <w:rFonts w:ascii="Garamond" w:hAnsi="Garamond" w:cs="Garamond"/>
      <w:sz w:val="22"/>
      <w:szCs w:val="22"/>
      <w:lang w:eastAsia="en-US"/>
    </w:rPr>
  </w:style>
  <w:style w:type="paragraph" w:styleId="ListBullet">
    <w:name w:val="List Bullet"/>
    <w:basedOn w:val="Normal"/>
    <w:uiPriority w:val="99"/>
    <w:rsid w:val="00425244"/>
    <w:pPr>
      <w:numPr>
        <w:numId w:val="7"/>
      </w:numPr>
      <w:spacing w:after="20" w:line="280" w:lineRule="atLeast"/>
    </w:pPr>
  </w:style>
  <w:style w:type="paragraph" w:styleId="ListNumber">
    <w:name w:val="List Number"/>
    <w:basedOn w:val="Normal"/>
    <w:uiPriority w:val="99"/>
    <w:rsid w:val="00425244"/>
    <w:pPr>
      <w:numPr>
        <w:numId w:val="8"/>
      </w:numPr>
      <w:spacing w:after="284" w:line="280" w:lineRule="atLeast"/>
    </w:pPr>
  </w:style>
  <w:style w:type="paragraph" w:styleId="Header">
    <w:name w:val="header"/>
    <w:basedOn w:val="Normal"/>
    <w:link w:val="HeaderChar"/>
    <w:uiPriority w:val="99"/>
    <w:rsid w:val="00425244"/>
    <w:pPr>
      <w:tabs>
        <w:tab w:val="right" w:pos="8562"/>
      </w:tabs>
    </w:pPr>
    <w:rPr>
      <w:rFonts w:ascii="Arial" w:hAnsi="Arial" w:cs="Arial"/>
      <w:b/>
      <w:bCs/>
      <w:color w:val="747678"/>
      <w:sz w:val="16"/>
      <w:szCs w:val="16"/>
      <w:lang w:val="en-GB"/>
    </w:rPr>
  </w:style>
  <w:style w:type="character" w:customStyle="1" w:styleId="HeaderChar">
    <w:name w:val="Header Char"/>
    <w:basedOn w:val="DefaultParagraphFont"/>
    <w:link w:val="Header"/>
    <w:uiPriority w:val="99"/>
    <w:locked/>
    <w:rsid w:val="00652CAE"/>
    <w:rPr>
      <w:rFonts w:ascii="Arial" w:hAnsi="Arial" w:cs="Arial"/>
      <w:b/>
      <w:bCs/>
      <w:color w:val="747678"/>
      <w:sz w:val="16"/>
      <w:szCs w:val="16"/>
      <w:lang w:val="en-GB" w:eastAsia="en-US"/>
    </w:rPr>
  </w:style>
  <w:style w:type="paragraph" w:styleId="Footer">
    <w:name w:val="footer"/>
    <w:basedOn w:val="Normal"/>
    <w:link w:val="FooterChar"/>
    <w:uiPriority w:val="99"/>
    <w:rsid w:val="00425244"/>
    <w:pPr>
      <w:tabs>
        <w:tab w:val="center" w:pos="4153"/>
        <w:tab w:val="right" w:pos="8306"/>
      </w:tabs>
    </w:pPr>
    <w:rPr>
      <w:rFonts w:ascii="Arial" w:hAnsi="Arial" w:cs="Arial"/>
      <w:b/>
      <w:bCs/>
      <w:color w:val="747678"/>
      <w:sz w:val="13"/>
      <w:szCs w:val="13"/>
      <w:lang w:val="en-GB"/>
    </w:rPr>
  </w:style>
  <w:style w:type="character" w:customStyle="1" w:styleId="FooterChar">
    <w:name w:val="Footer Char"/>
    <w:basedOn w:val="DefaultParagraphFont"/>
    <w:link w:val="Footer"/>
    <w:uiPriority w:val="99"/>
    <w:locked/>
    <w:rsid w:val="00652CAE"/>
    <w:rPr>
      <w:rFonts w:ascii="Arial" w:hAnsi="Arial" w:cs="Arial"/>
      <w:b/>
      <w:bCs/>
      <w:color w:val="747678"/>
      <w:sz w:val="13"/>
      <w:szCs w:val="13"/>
      <w:lang w:val="en-GB" w:eastAsia="en-US"/>
    </w:rPr>
  </w:style>
  <w:style w:type="character" w:customStyle="1" w:styleId="ReportColour">
    <w:name w:val="Report Colour"/>
    <w:uiPriority w:val="99"/>
    <w:rsid w:val="00390019"/>
    <w:rPr>
      <w:color w:val="4B217E"/>
    </w:rPr>
  </w:style>
  <w:style w:type="paragraph" w:customStyle="1" w:styleId="AppendixTitle">
    <w:name w:val="Appendix Title"/>
    <w:basedOn w:val="Normal"/>
    <w:next w:val="BodyText"/>
    <w:uiPriority w:val="99"/>
    <w:rsid w:val="00425244"/>
    <w:pPr>
      <w:spacing w:after="2520"/>
    </w:pPr>
    <w:rPr>
      <w:kern w:val="28"/>
      <w:sz w:val="48"/>
      <w:szCs w:val="48"/>
    </w:rPr>
  </w:style>
  <w:style w:type="paragraph" w:styleId="Title">
    <w:name w:val="Title"/>
    <w:basedOn w:val="Normal"/>
    <w:next w:val="BodyText"/>
    <w:link w:val="TitleChar"/>
    <w:uiPriority w:val="99"/>
    <w:qFormat/>
    <w:rsid w:val="00425244"/>
    <w:pPr>
      <w:spacing w:before="400" w:after="400" w:line="580" w:lineRule="atLeast"/>
      <w:outlineLvl w:val="0"/>
    </w:pPr>
    <w:rPr>
      <w:kern w:val="28"/>
      <w:sz w:val="66"/>
      <w:szCs w:val="66"/>
    </w:rPr>
  </w:style>
  <w:style w:type="character" w:customStyle="1" w:styleId="TitleChar">
    <w:name w:val="Title Char"/>
    <w:basedOn w:val="DefaultParagraphFont"/>
    <w:link w:val="Title"/>
    <w:uiPriority w:val="99"/>
    <w:locked/>
    <w:rsid w:val="00DD4C57"/>
    <w:rPr>
      <w:rFonts w:ascii="Cambria" w:hAnsi="Cambria" w:cs="Cambria"/>
      <w:b/>
      <w:bCs/>
      <w:kern w:val="28"/>
      <w:sz w:val="32"/>
      <w:szCs w:val="32"/>
      <w:lang w:eastAsia="en-US"/>
    </w:rPr>
  </w:style>
  <w:style w:type="paragraph" w:styleId="Subtitle">
    <w:name w:val="Subtitle"/>
    <w:basedOn w:val="Normal"/>
    <w:link w:val="SubtitleChar"/>
    <w:uiPriority w:val="99"/>
    <w:qFormat/>
    <w:rsid w:val="00425244"/>
    <w:pPr>
      <w:spacing w:line="280" w:lineRule="atLeast"/>
      <w:outlineLvl w:val="1"/>
    </w:pPr>
    <w:rPr>
      <w:rFonts w:ascii="Arial" w:hAnsi="Arial" w:cs="Arial"/>
      <w:kern w:val="28"/>
      <w:sz w:val="24"/>
      <w:szCs w:val="24"/>
      <w:lang w:val="en-GB"/>
    </w:rPr>
  </w:style>
  <w:style w:type="character" w:customStyle="1" w:styleId="SubtitleChar">
    <w:name w:val="Subtitle Char"/>
    <w:basedOn w:val="DefaultParagraphFont"/>
    <w:link w:val="Subtitle"/>
    <w:uiPriority w:val="99"/>
    <w:locked/>
    <w:rsid w:val="00DD4C57"/>
    <w:rPr>
      <w:rFonts w:ascii="Cambria" w:hAnsi="Cambria" w:cs="Cambria"/>
      <w:sz w:val="24"/>
      <w:szCs w:val="24"/>
      <w:lang w:eastAsia="en-US"/>
    </w:rPr>
  </w:style>
  <w:style w:type="paragraph" w:styleId="ListBullet2">
    <w:name w:val="List Bullet 2"/>
    <w:basedOn w:val="Normal"/>
    <w:uiPriority w:val="99"/>
    <w:rsid w:val="00425244"/>
    <w:pPr>
      <w:numPr>
        <w:ilvl w:val="1"/>
        <w:numId w:val="7"/>
      </w:numPr>
      <w:spacing w:after="20" w:line="260" w:lineRule="atLeast"/>
    </w:pPr>
  </w:style>
  <w:style w:type="paragraph" w:styleId="ListNumber2">
    <w:name w:val="List Number 2"/>
    <w:basedOn w:val="Normal"/>
    <w:uiPriority w:val="99"/>
    <w:rsid w:val="00425244"/>
    <w:pPr>
      <w:numPr>
        <w:ilvl w:val="1"/>
        <w:numId w:val="8"/>
      </w:numPr>
      <w:spacing w:after="284" w:line="280" w:lineRule="atLeast"/>
    </w:pPr>
  </w:style>
  <w:style w:type="paragraph" w:styleId="ListNumber3">
    <w:name w:val="List Number 3"/>
    <w:basedOn w:val="Normal"/>
    <w:uiPriority w:val="99"/>
    <w:rsid w:val="00425244"/>
    <w:pPr>
      <w:numPr>
        <w:ilvl w:val="2"/>
        <w:numId w:val="8"/>
      </w:numPr>
      <w:spacing w:after="284" w:line="280" w:lineRule="atLeast"/>
    </w:pPr>
  </w:style>
  <w:style w:type="paragraph" w:customStyle="1" w:styleId="MarginNotes">
    <w:name w:val="Margin Notes"/>
    <w:uiPriority w:val="99"/>
    <w:rsid w:val="00425244"/>
    <w:rPr>
      <w:rFonts w:ascii="Arial" w:hAnsi="Arial" w:cs="Arial"/>
      <w:sz w:val="16"/>
      <w:szCs w:val="16"/>
      <w:lang w:val="en-GB" w:eastAsia="en-US"/>
    </w:rPr>
  </w:style>
  <w:style w:type="paragraph" w:customStyle="1" w:styleId="SectionTitle">
    <w:name w:val="Section Title"/>
    <w:next w:val="BodyText"/>
    <w:link w:val="SectionTitleChar"/>
    <w:uiPriority w:val="99"/>
    <w:rsid w:val="00425244"/>
    <w:pPr>
      <w:spacing w:after="2520"/>
    </w:pPr>
    <w:rPr>
      <w:rFonts w:ascii="Garamond" w:hAnsi="Garamond" w:cs="Garamond"/>
      <w:sz w:val="48"/>
      <w:szCs w:val="48"/>
      <w:lang w:val="en-GB" w:eastAsia="en-US"/>
    </w:rPr>
  </w:style>
  <w:style w:type="paragraph" w:customStyle="1" w:styleId="TableHeading">
    <w:name w:val="Table Heading"/>
    <w:uiPriority w:val="99"/>
    <w:rsid w:val="00425244"/>
    <w:rPr>
      <w:rFonts w:ascii="Arial" w:hAnsi="Arial" w:cs="Arial"/>
      <w:b/>
      <w:bCs/>
      <w:kern w:val="28"/>
      <w:sz w:val="16"/>
      <w:szCs w:val="16"/>
      <w:lang w:val="en-GB" w:eastAsia="en-US"/>
    </w:rPr>
  </w:style>
  <w:style w:type="paragraph" w:customStyle="1" w:styleId="TableText">
    <w:name w:val="Table Text"/>
    <w:link w:val="TableTextChar1"/>
    <w:uiPriority w:val="99"/>
    <w:rsid w:val="00425244"/>
    <w:rPr>
      <w:rFonts w:ascii="Arial" w:hAnsi="Arial" w:cs="Arial"/>
      <w:sz w:val="16"/>
      <w:szCs w:val="16"/>
      <w:lang w:val="en-GB" w:eastAsia="en-US"/>
    </w:rPr>
  </w:style>
  <w:style w:type="paragraph" w:customStyle="1" w:styleId="TintBoxTextBlack">
    <w:name w:val="Tint Box Text Black"/>
    <w:uiPriority w:val="99"/>
    <w:rsid w:val="00425244"/>
    <w:pPr>
      <w:spacing w:after="280" w:line="280" w:lineRule="atLeast"/>
    </w:pPr>
    <w:rPr>
      <w:rFonts w:ascii="Arial" w:hAnsi="Arial" w:cs="Arial"/>
      <w:b/>
      <w:bCs/>
      <w:sz w:val="20"/>
      <w:szCs w:val="20"/>
      <w:lang w:val="en-GB" w:eastAsia="en-US"/>
    </w:rPr>
  </w:style>
  <w:style w:type="paragraph" w:customStyle="1" w:styleId="TintBoxTextWhite">
    <w:name w:val="Tint Box Text White"/>
    <w:basedOn w:val="TintBoxTextBlack"/>
    <w:uiPriority w:val="99"/>
    <w:rsid w:val="00425244"/>
    <w:rPr>
      <w:color w:val="FFFFFF"/>
    </w:rPr>
  </w:style>
  <w:style w:type="paragraph" w:styleId="TOC1">
    <w:name w:val="toc 1"/>
    <w:basedOn w:val="Normal"/>
    <w:next w:val="Normal"/>
    <w:autoRedefine/>
    <w:uiPriority w:val="99"/>
    <w:semiHidden/>
    <w:rsid w:val="00BC504E"/>
    <w:pPr>
      <w:tabs>
        <w:tab w:val="right" w:pos="8505"/>
      </w:tabs>
      <w:spacing w:before="165" w:after="100"/>
    </w:pPr>
    <w:rPr>
      <w:b/>
      <w:bCs/>
      <w:sz w:val="24"/>
      <w:szCs w:val="24"/>
      <w:lang w:val="en-GB"/>
    </w:rPr>
  </w:style>
  <w:style w:type="paragraph" w:styleId="TOC2">
    <w:name w:val="toc 2"/>
    <w:basedOn w:val="Normal"/>
    <w:next w:val="Normal"/>
    <w:autoRedefine/>
    <w:uiPriority w:val="99"/>
    <w:semiHidden/>
    <w:rsid w:val="00BC504E"/>
    <w:pPr>
      <w:tabs>
        <w:tab w:val="right" w:pos="8505"/>
      </w:tabs>
      <w:spacing w:after="100"/>
      <w:ind w:left="198"/>
    </w:pPr>
    <w:rPr>
      <w:lang w:val="en-GB"/>
    </w:rPr>
  </w:style>
  <w:style w:type="paragraph" w:styleId="TOC3">
    <w:name w:val="toc 3"/>
    <w:basedOn w:val="TOC2"/>
    <w:next w:val="Normal"/>
    <w:autoRedefine/>
    <w:uiPriority w:val="99"/>
    <w:semiHidden/>
    <w:rsid w:val="00425244"/>
    <w:pPr>
      <w:ind w:left="403"/>
    </w:pPr>
  </w:style>
  <w:style w:type="paragraph" w:customStyle="1" w:styleId="Contents">
    <w:name w:val="Contents"/>
    <w:next w:val="Normal"/>
    <w:uiPriority w:val="99"/>
    <w:rsid w:val="00425244"/>
    <w:pPr>
      <w:spacing w:after="2520" w:line="580" w:lineRule="atLeast"/>
    </w:pPr>
    <w:rPr>
      <w:rFonts w:ascii="Garamond" w:hAnsi="Garamond" w:cs="Garamond"/>
      <w:sz w:val="66"/>
      <w:szCs w:val="66"/>
      <w:lang w:val="en-GB" w:eastAsia="en-US"/>
    </w:rPr>
  </w:style>
  <w:style w:type="character" w:styleId="PageNumber">
    <w:name w:val="page number"/>
    <w:basedOn w:val="DefaultParagraphFont"/>
    <w:uiPriority w:val="99"/>
    <w:semiHidden/>
    <w:rsid w:val="00A876C6"/>
  </w:style>
  <w:style w:type="paragraph" w:customStyle="1" w:styleId="ChapterTitle">
    <w:name w:val="Chapter Title"/>
    <w:basedOn w:val="Subtitle"/>
    <w:uiPriority w:val="99"/>
    <w:rsid w:val="00425244"/>
    <w:pPr>
      <w:pBdr>
        <w:bottom w:val="single" w:sz="4" w:space="5" w:color="auto"/>
      </w:pBdr>
    </w:pPr>
    <w:rPr>
      <w:sz w:val="20"/>
      <w:szCs w:val="20"/>
    </w:rPr>
  </w:style>
  <w:style w:type="paragraph" w:customStyle="1" w:styleId="AppendicesTitle">
    <w:name w:val="Appendices Title"/>
    <w:basedOn w:val="Heading2"/>
    <w:next w:val="Normal"/>
    <w:uiPriority w:val="99"/>
    <w:rsid w:val="00425244"/>
    <w:rPr>
      <w:lang w:val="en-GB"/>
    </w:rPr>
  </w:style>
  <w:style w:type="character" w:styleId="Hyperlink">
    <w:name w:val="Hyperlink"/>
    <w:basedOn w:val="DefaultParagraphFont"/>
    <w:uiPriority w:val="99"/>
    <w:rsid w:val="00A876C6"/>
    <w:rPr>
      <w:color w:val="0000FF"/>
      <w:u w:val="single"/>
    </w:rPr>
  </w:style>
  <w:style w:type="paragraph" w:customStyle="1" w:styleId="ReferenceTitle">
    <w:name w:val="Reference Title"/>
    <w:next w:val="ReferenceText"/>
    <w:uiPriority w:val="99"/>
    <w:rsid w:val="00425244"/>
    <w:rPr>
      <w:rFonts w:ascii="Arial Black" w:hAnsi="Arial Black" w:cs="Arial Black"/>
      <w:kern w:val="32"/>
      <w:sz w:val="18"/>
      <w:szCs w:val="18"/>
      <w:lang w:val="en-GB" w:eastAsia="en-US"/>
    </w:rPr>
  </w:style>
  <w:style w:type="paragraph" w:customStyle="1" w:styleId="ReferenceText">
    <w:name w:val="Reference Text"/>
    <w:uiPriority w:val="99"/>
    <w:rsid w:val="00425244"/>
    <w:rPr>
      <w:rFonts w:ascii="Arial" w:hAnsi="Arial" w:cs="Arial"/>
      <w:kern w:val="32"/>
      <w:sz w:val="18"/>
      <w:szCs w:val="18"/>
      <w:lang w:val="en-GB" w:eastAsia="en-US"/>
    </w:rPr>
  </w:style>
  <w:style w:type="paragraph" w:customStyle="1" w:styleId="Backpage">
    <w:name w:val="Back page"/>
    <w:uiPriority w:val="99"/>
    <w:rsid w:val="00A876C6"/>
    <w:rPr>
      <w:rFonts w:ascii="Arial Black" w:hAnsi="Arial Black" w:cs="Arial Black"/>
      <w:sz w:val="18"/>
      <w:szCs w:val="18"/>
      <w:lang w:val="en-GB" w:eastAsia="en-US"/>
    </w:rPr>
  </w:style>
  <w:style w:type="paragraph" w:customStyle="1" w:styleId="Copyright">
    <w:name w:val="Copyright"/>
    <w:uiPriority w:val="99"/>
    <w:semiHidden/>
    <w:rsid w:val="00425244"/>
    <w:pPr>
      <w:spacing w:line="220" w:lineRule="atLeast"/>
    </w:pPr>
    <w:rPr>
      <w:rFonts w:ascii="Garamond" w:hAnsi="Garamond" w:cs="Garamond"/>
      <w:sz w:val="20"/>
      <w:szCs w:val="20"/>
      <w:lang w:val="en-GB" w:eastAsia="en-US"/>
    </w:rPr>
  </w:style>
  <w:style w:type="paragraph" w:customStyle="1" w:styleId="TradingName">
    <w:name w:val="Trading Name"/>
    <w:uiPriority w:val="99"/>
    <w:semiHidden/>
    <w:rsid w:val="00513853"/>
    <w:pPr>
      <w:spacing w:line="180" w:lineRule="atLeast"/>
    </w:pPr>
    <w:rPr>
      <w:rFonts w:ascii="Arial Narrow" w:eastAsia="SimHei" w:hAnsi="Arial Narrow" w:cs="Arial Narrow"/>
      <w:b/>
      <w:bCs/>
      <w:sz w:val="14"/>
      <w:szCs w:val="14"/>
      <w:lang w:val="en-GB" w:eastAsia="en-US"/>
    </w:rPr>
  </w:style>
  <w:style w:type="paragraph" w:customStyle="1" w:styleId="PartnerAddress">
    <w:name w:val="Partner Address"/>
    <w:uiPriority w:val="99"/>
    <w:semiHidden/>
    <w:rsid w:val="00513853"/>
    <w:rPr>
      <w:rFonts w:ascii="Arial Narrow" w:eastAsia="SimHei" w:hAnsi="Arial Narrow" w:cs="Arial Narrow"/>
      <w:sz w:val="14"/>
      <w:szCs w:val="14"/>
      <w:lang w:val="en-GB" w:eastAsia="en-US"/>
    </w:rPr>
  </w:style>
  <w:style w:type="paragraph" w:customStyle="1" w:styleId="HalfLineBreak">
    <w:name w:val="Half Line Break"/>
    <w:uiPriority w:val="99"/>
    <w:semiHidden/>
    <w:rsid w:val="00966490"/>
    <w:pPr>
      <w:framePr w:wrap="auto" w:vAnchor="page" w:hAnchor="page" w:x="9016" w:y="3970"/>
      <w:suppressOverlap/>
    </w:pPr>
    <w:rPr>
      <w:rFonts w:ascii="Arial Narrow" w:eastAsia="SimHei" w:hAnsi="Arial Narrow" w:cs="Arial Narrow"/>
      <w:b/>
      <w:bCs/>
      <w:sz w:val="7"/>
      <w:szCs w:val="7"/>
      <w:lang w:val="en-GB" w:eastAsia="en-US"/>
    </w:rPr>
  </w:style>
  <w:style w:type="paragraph" w:customStyle="1" w:styleId="LetterFooter">
    <w:name w:val="Letter Footer"/>
    <w:uiPriority w:val="99"/>
    <w:semiHidden/>
    <w:rsid w:val="00A51555"/>
    <w:pPr>
      <w:spacing w:line="140" w:lineRule="atLeast"/>
    </w:pPr>
    <w:rPr>
      <w:rFonts w:ascii="Arial Narrow" w:hAnsi="Arial Narrow" w:cs="Arial Narrow"/>
      <w:sz w:val="11"/>
      <w:szCs w:val="11"/>
      <w:lang w:val="en-GB" w:eastAsia="en-US"/>
    </w:rPr>
  </w:style>
  <w:style w:type="paragraph" w:customStyle="1" w:styleId="LetterFooterTitle">
    <w:name w:val="Letter Footer Title"/>
    <w:next w:val="LetterFooter"/>
    <w:uiPriority w:val="99"/>
    <w:semiHidden/>
    <w:rsid w:val="00A51555"/>
    <w:pPr>
      <w:spacing w:line="140" w:lineRule="atLeast"/>
    </w:pPr>
    <w:rPr>
      <w:rFonts w:ascii="Arial Narrow" w:hAnsi="Arial Narrow" w:cs="Arial Narrow"/>
      <w:b/>
      <w:bCs/>
      <w:sz w:val="11"/>
      <w:szCs w:val="11"/>
      <w:lang w:val="en-GB" w:eastAsia="en-US"/>
    </w:rPr>
  </w:style>
  <w:style w:type="paragraph" w:customStyle="1" w:styleId="LandscapeHeader">
    <w:name w:val="Landscape Header"/>
    <w:basedOn w:val="Header"/>
    <w:uiPriority w:val="99"/>
    <w:semiHidden/>
    <w:rsid w:val="00425244"/>
    <w:pPr>
      <w:tabs>
        <w:tab w:val="clear" w:pos="8562"/>
        <w:tab w:val="right" w:pos="13438"/>
      </w:tabs>
    </w:pPr>
  </w:style>
  <w:style w:type="paragraph" w:customStyle="1" w:styleId="NumberedHeading1">
    <w:name w:val="Numbered Heading 1"/>
    <w:next w:val="BodyText"/>
    <w:uiPriority w:val="99"/>
    <w:rsid w:val="009E2AF9"/>
    <w:pPr>
      <w:numPr>
        <w:numId w:val="9"/>
      </w:numPr>
      <w:spacing w:line="260" w:lineRule="atLeast"/>
    </w:pPr>
    <w:rPr>
      <w:rFonts w:ascii="Arial Black" w:hAnsi="Arial Black" w:cs="Arial Black"/>
      <w:color w:val="4B217E"/>
      <w:sz w:val="19"/>
      <w:szCs w:val="19"/>
      <w:lang w:val="en-GB" w:eastAsia="en-US"/>
    </w:rPr>
  </w:style>
  <w:style w:type="paragraph" w:customStyle="1" w:styleId="NumberedHeading2">
    <w:name w:val="Numbered Heading 2"/>
    <w:next w:val="BodyText"/>
    <w:uiPriority w:val="99"/>
    <w:rsid w:val="00425244"/>
    <w:pPr>
      <w:numPr>
        <w:ilvl w:val="1"/>
        <w:numId w:val="9"/>
      </w:numPr>
      <w:spacing w:line="260" w:lineRule="atLeast"/>
    </w:pPr>
    <w:rPr>
      <w:rFonts w:ascii="Arial Black" w:hAnsi="Arial Black" w:cs="Arial Black"/>
      <w:color w:val="4B217E"/>
      <w:sz w:val="19"/>
      <w:szCs w:val="19"/>
      <w:lang w:val="en-GB" w:eastAsia="en-US"/>
    </w:rPr>
  </w:style>
  <w:style w:type="table" w:styleId="TableGrid">
    <w:name w:val="Table Grid"/>
    <w:basedOn w:val="TableNormal"/>
    <w:uiPriority w:val="99"/>
    <w:rsid w:val="0065033C"/>
    <w:rPr>
      <w:rFonts w:ascii="Garamond" w:hAnsi="Garamond" w:cs="Garamon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Bullet">
    <w:name w:val="Paragraph Bullet"/>
    <w:basedOn w:val="Normal"/>
    <w:uiPriority w:val="99"/>
    <w:rsid w:val="00425244"/>
    <w:pPr>
      <w:tabs>
        <w:tab w:val="num" w:pos="227"/>
      </w:tabs>
      <w:spacing w:after="284" w:line="280" w:lineRule="atLeast"/>
      <w:ind w:left="227" w:hanging="227"/>
    </w:pPr>
  </w:style>
  <w:style w:type="paragraph" w:customStyle="1" w:styleId="ParagraphBullet2">
    <w:name w:val="Paragraph Bullet 2"/>
    <w:basedOn w:val="Normal"/>
    <w:uiPriority w:val="99"/>
    <w:rsid w:val="00425244"/>
    <w:pPr>
      <w:tabs>
        <w:tab w:val="num" w:pos="454"/>
      </w:tabs>
      <w:spacing w:after="284" w:line="280" w:lineRule="atLeast"/>
      <w:ind w:left="454" w:hanging="227"/>
    </w:pPr>
  </w:style>
  <w:style w:type="paragraph" w:customStyle="1" w:styleId="MarginNotesHeading">
    <w:name w:val="Margin Notes Heading"/>
    <w:basedOn w:val="MarginNotes"/>
    <w:uiPriority w:val="99"/>
    <w:rsid w:val="00425244"/>
    <w:rPr>
      <w:b/>
      <w:bCs/>
    </w:rPr>
  </w:style>
  <w:style w:type="paragraph" w:styleId="Quote">
    <w:name w:val="Quote"/>
    <w:basedOn w:val="BodyText"/>
    <w:link w:val="QuoteChar"/>
    <w:uiPriority w:val="99"/>
    <w:qFormat/>
    <w:rsid w:val="00425244"/>
    <w:pPr>
      <w:spacing w:line="340" w:lineRule="atLeast"/>
    </w:pPr>
    <w:rPr>
      <w:sz w:val="28"/>
      <w:szCs w:val="28"/>
    </w:rPr>
  </w:style>
  <w:style w:type="character" w:customStyle="1" w:styleId="QuoteChar">
    <w:name w:val="Quote Char"/>
    <w:basedOn w:val="DefaultParagraphFont"/>
    <w:link w:val="Quote"/>
    <w:uiPriority w:val="99"/>
    <w:locked/>
    <w:rsid w:val="00DD4C57"/>
    <w:rPr>
      <w:rFonts w:ascii="Garamond" w:hAnsi="Garamond" w:cs="Garamond"/>
      <w:i/>
      <w:iCs/>
      <w:color w:val="000000"/>
      <w:lang w:eastAsia="en-US"/>
    </w:rPr>
  </w:style>
  <w:style w:type="paragraph" w:customStyle="1" w:styleId="ContactDetails">
    <w:name w:val="Contact Details"/>
    <w:uiPriority w:val="99"/>
    <w:rsid w:val="00425244"/>
    <w:rPr>
      <w:rFonts w:ascii="Arial" w:hAnsi="Arial" w:cs="Arial"/>
      <w:sz w:val="16"/>
      <w:szCs w:val="16"/>
      <w:lang w:val="en-GB" w:eastAsia="en-US"/>
    </w:rPr>
  </w:style>
  <w:style w:type="paragraph" w:customStyle="1" w:styleId="ContactDetailsTitle">
    <w:name w:val="Contact Details Title"/>
    <w:basedOn w:val="ContactDetails"/>
    <w:next w:val="ContactDetails"/>
    <w:uiPriority w:val="99"/>
    <w:rsid w:val="00425244"/>
    <w:rPr>
      <w:b/>
      <w:bCs/>
    </w:rPr>
  </w:style>
  <w:style w:type="paragraph" w:styleId="MacroText">
    <w:name w:val="macro"/>
    <w:link w:val="MacroTextChar"/>
    <w:uiPriority w:val="99"/>
    <w:semiHidden/>
    <w:rsid w:val="0042524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0"/>
      <w:szCs w:val="20"/>
      <w:lang w:val="en-GB" w:eastAsia="en-US"/>
    </w:rPr>
  </w:style>
  <w:style w:type="character" w:customStyle="1" w:styleId="MacroTextChar">
    <w:name w:val="Macro Text Char"/>
    <w:basedOn w:val="DefaultParagraphFont"/>
    <w:link w:val="MacroText"/>
    <w:uiPriority w:val="99"/>
    <w:semiHidden/>
    <w:locked/>
    <w:rsid w:val="002A6E79"/>
    <w:rPr>
      <w:rFonts w:ascii="Courier New" w:hAnsi="Courier New" w:cs="Courier New"/>
      <w:lang w:val="en-GB" w:eastAsia="en-US"/>
    </w:rPr>
  </w:style>
  <w:style w:type="paragraph" w:customStyle="1" w:styleId="Intro">
    <w:name w:val="Intro"/>
    <w:basedOn w:val="Normal"/>
    <w:uiPriority w:val="99"/>
    <w:rsid w:val="000A560C"/>
    <w:pPr>
      <w:spacing w:line="580" w:lineRule="exact"/>
    </w:pPr>
    <w:rPr>
      <w:rFonts w:ascii="Arial Narrow" w:hAnsi="Arial Narrow" w:cs="Arial Narrow"/>
      <w:sz w:val="40"/>
      <w:szCs w:val="40"/>
    </w:rPr>
  </w:style>
  <w:style w:type="paragraph" w:customStyle="1" w:styleId="Bullet1">
    <w:name w:val="Bullet 1"/>
    <w:basedOn w:val="Normal"/>
    <w:uiPriority w:val="99"/>
    <w:rsid w:val="000A560C"/>
    <w:pPr>
      <w:tabs>
        <w:tab w:val="left" w:pos="227"/>
        <w:tab w:val="num" w:pos="425"/>
      </w:tabs>
      <w:ind w:left="425" w:hanging="425"/>
    </w:pPr>
  </w:style>
  <w:style w:type="paragraph" w:customStyle="1" w:styleId="Bullet2">
    <w:name w:val="Bullet 2"/>
    <w:basedOn w:val="Normal"/>
    <w:uiPriority w:val="99"/>
    <w:rsid w:val="000A560C"/>
    <w:pPr>
      <w:tabs>
        <w:tab w:val="left" w:pos="454"/>
        <w:tab w:val="num" w:pos="488"/>
      </w:tabs>
      <w:spacing w:after="120"/>
      <w:ind w:left="681" w:hanging="454"/>
    </w:pPr>
  </w:style>
  <w:style w:type="paragraph" w:customStyle="1" w:styleId="StyleRight">
    <w:name w:val="Style Right"/>
    <w:basedOn w:val="Normal"/>
    <w:uiPriority w:val="99"/>
    <w:rsid w:val="000A560C"/>
    <w:pPr>
      <w:spacing w:after="284"/>
      <w:jc w:val="right"/>
    </w:pPr>
    <w:rPr>
      <w:b/>
      <w:bCs/>
    </w:rPr>
  </w:style>
  <w:style w:type="paragraph" w:customStyle="1" w:styleId="Numberheading1">
    <w:name w:val="Number heading 1"/>
    <w:basedOn w:val="Normal"/>
    <w:autoRedefine/>
    <w:uiPriority w:val="99"/>
    <w:rsid w:val="000A560C"/>
    <w:pPr>
      <w:keepNext/>
      <w:keepLines/>
      <w:ind w:left="567" w:hanging="567"/>
    </w:pPr>
    <w:rPr>
      <w:rFonts w:ascii="Arial Black" w:hAnsi="Arial Black" w:cs="Arial Black"/>
      <w:color w:val="4B217E"/>
    </w:rPr>
  </w:style>
  <w:style w:type="paragraph" w:customStyle="1" w:styleId="TableHeading2">
    <w:name w:val="Table Heading 2"/>
    <w:basedOn w:val="TableText"/>
    <w:uiPriority w:val="99"/>
    <w:rsid w:val="000A560C"/>
    <w:pPr>
      <w:keepNext/>
      <w:keepLines/>
      <w:tabs>
        <w:tab w:val="right" w:pos="8239"/>
      </w:tabs>
    </w:pPr>
    <w:rPr>
      <w:b/>
      <w:bCs/>
      <w:sz w:val="18"/>
      <w:szCs w:val="18"/>
    </w:rPr>
  </w:style>
  <w:style w:type="paragraph" w:customStyle="1" w:styleId="Numberheading2">
    <w:name w:val="Number heading 2"/>
    <w:basedOn w:val="Normal"/>
    <w:uiPriority w:val="99"/>
    <w:rsid w:val="000A560C"/>
    <w:pPr>
      <w:keepNext/>
      <w:keepLines/>
      <w:ind w:left="567" w:hanging="567"/>
    </w:pPr>
    <w:rPr>
      <w:rFonts w:ascii="Arial Black" w:hAnsi="Arial Black" w:cs="Arial Black"/>
      <w:i/>
      <w:iCs/>
      <w:color w:val="4B217E"/>
      <w:sz w:val="19"/>
      <w:szCs w:val="19"/>
      <w:lang w:eastAsia="de-DE"/>
    </w:rPr>
  </w:style>
  <w:style w:type="character" w:styleId="FollowedHyperlink">
    <w:name w:val="FollowedHyperlink"/>
    <w:basedOn w:val="DefaultParagraphFont"/>
    <w:uiPriority w:val="99"/>
    <w:rsid w:val="000A560C"/>
    <w:rPr>
      <w:color w:val="800080"/>
      <w:u w:val="single"/>
    </w:rPr>
  </w:style>
  <w:style w:type="paragraph" w:styleId="Index1">
    <w:name w:val="index 1"/>
    <w:basedOn w:val="Normal"/>
    <w:next w:val="Normal"/>
    <w:autoRedefine/>
    <w:uiPriority w:val="99"/>
    <w:semiHidden/>
    <w:rsid w:val="000A560C"/>
    <w:pPr>
      <w:spacing w:after="120"/>
    </w:pPr>
    <w:rPr>
      <w:lang w:eastAsia="de-DE"/>
    </w:rPr>
  </w:style>
  <w:style w:type="paragraph" w:styleId="IndexHeading">
    <w:name w:val="index heading"/>
    <w:basedOn w:val="Normal"/>
    <w:next w:val="Index1"/>
    <w:uiPriority w:val="99"/>
    <w:semiHidden/>
    <w:rsid w:val="000A560C"/>
    <w:pPr>
      <w:spacing w:after="120"/>
    </w:pPr>
  </w:style>
  <w:style w:type="paragraph" w:customStyle="1" w:styleId="Verweis">
    <w:name w:val="Verweis"/>
    <w:basedOn w:val="SectionTitle"/>
    <w:uiPriority w:val="99"/>
    <w:rsid w:val="000A560C"/>
    <w:pPr>
      <w:spacing w:after="1000" w:line="580" w:lineRule="exact"/>
    </w:pPr>
    <w:rPr>
      <w:rFonts w:ascii="Arial Narrow" w:hAnsi="Arial Narrow" w:cs="Arial Narrow"/>
      <w:b/>
      <w:bCs/>
      <w:color w:val="FF6300"/>
      <w:sz w:val="40"/>
      <w:szCs w:val="40"/>
    </w:rPr>
  </w:style>
  <w:style w:type="paragraph" w:customStyle="1" w:styleId="Reference">
    <w:name w:val="Reference"/>
    <w:basedOn w:val="Verweis"/>
    <w:uiPriority w:val="99"/>
    <w:rsid w:val="000A560C"/>
    <w:pPr>
      <w:spacing w:after="0" w:line="240" w:lineRule="auto"/>
    </w:pPr>
    <w:rPr>
      <w:rFonts w:ascii="Garamond" w:hAnsi="Garamond" w:cs="Garamond"/>
      <w:b w:val="0"/>
      <w:bCs w:val="0"/>
      <w:color w:val="auto"/>
      <w:sz w:val="22"/>
      <w:szCs w:val="22"/>
    </w:rPr>
  </w:style>
  <w:style w:type="paragraph" w:customStyle="1" w:styleId="incerpt1">
    <w:name w:val="incerpt1"/>
    <w:basedOn w:val="Normal"/>
    <w:uiPriority w:val="99"/>
    <w:rsid w:val="000A560C"/>
    <w:pPr>
      <w:spacing w:after="120"/>
      <w:ind w:left="650" w:hanging="360"/>
    </w:pPr>
  </w:style>
  <w:style w:type="paragraph" w:customStyle="1" w:styleId="incerpt">
    <w:name w:val="incerpt"/>
    <w:basedOn w:val="Normal"/>
    <w:uiPriority w:val="99"/>
    <w:rsid w:val="000A560C"/>
    <w:pPr>
      <w:spacing w:after="120"/>
      <w:ind w:left="290" w:hanging="180"/>
    </w:pPr>
  </w:style>
  <w:style w:type="paragraph" w:customStyle="1" w:styleId="Heading30">
    <w:name w:val="Heading3"/>
    <w:basedOn w:val="Normal"/>
    <w:uiPriority w:val="99"/>
    <w:rsid w:val="000A560C"/>
    <w:pPr>
      <w:spacing w:after="120"/>
    </w:pPr>
    <w:rPr>
      <w:b/>
      <w:bCs/>
      <w:i/>
      <w:iCs/>
    </w:rPr>
  </w:style>
  <w:style w:type="paragraph" w:customStyle="1" w:styleId="h">
    <w:name w:val="h"/>
    <w:basedOn w:val="Normal"/>
    <w:uiPriority w:val="99"/>
    <w:rsid w:val="000A560C"/>
    <w:pPr>
      <w:spacing w:after="120"/>
    </w:pPr>
    <w:rPr>
      <w:lang w:eastAsia="de-DE"/>
    </w:rPr>
  </w:style>
  <w:style w:type="paragraph" w:styleId="List">
    <w:name w:val="List"/>
    <w:basedOn w:val="IndexHeading"/>
    <w:uiPriority w:val="99"/>
    <w:rsid w:val="000A560C"/>
    <w:pPr>
      <w:tabs>
        <w:tab w:val="left" w:pos="2010"/>
      </w:tabs>
    </w:pPr>
  </w:style>
  <w:style w:type="paragraph" w:styleId="FootnoteText">
    <w:name w:val="footnote text"/>
    <w:basedOn w:val="Normal"/>
    <w:link w:val="FootnoteTextChar"/>
    <w:uiPriority w:val="99"/>
    <w:semiHidden/>
    <w:rsid w:val="000A560C"/>
    <w:pPr>
      <w:spacing w:after="120"/>
      <w:ind w:left="1080" w:hanging="1080"/>
    </w:pPr>
    <w:rPr>
      <w:sz w:val="20"/>
      <w:szCs w:val="20"/>
    </w:rPr>
  </w:style>
  <w:style w:type="character" w:customStyle="1" w:styleId="FootnoteTextChar">
    <w:name w:val="Footnote Text Char"/>
    <w:basedOn w:val="DefaultParagraphFont"/>
    <w:link w:val="FootnoteText"/>
    <w:uiPriority w:val="99"/>
    <w:semiHidden/>
    <w:locked/>
    <w:rsid w:val="00652CAE"/>
    <w:rPr>
      <w:rFonts w:ascii="Garamond" w:hAnsi="Garamond" w:cs="Garamond"/>
      <w:lang w:eastAsia="en-US"/>
    </w:rPr>
  </w:style>
  <w:style w:type="character" w:styleId="FootnoteReference">
    <w:name w:val="footnote reference"/>
    <w:basedOn w:val="DefaultParagraphFont"/>
    <w:uiPriority w:val="99"/>
    <w:semiHidden/>
    <w:rsid w:val="000A560C"/>
    <w:rPr>
      <w:vertAlign w:val="superscript"/>
    </w:rPr>
  </w:style>
  <w:style w:type="paragraph" w:customStyle="1" w:styleId="standards">
    <w:name w:val="standards"/>
    <w:basedOn w:val="Numberheading2"/>
    <w:uiPriority w:val="99"/>
    <w:rsid w:val="000A560C"/>
  </w:style>
  <w:style w:type="paragraph" w:customStyle="1" w:styleId="StyleNumberheading2Garamond12ptBoldAuto">
    <w:name w:val="Style Number heading 2 + Garamond 12 pt Bold Auto"/>
    <w:basedOn w:val="Numberheading2"/>
    <w:uiPriority w:val="99"/>
    <w:rsid w:val="000A560C"/>
    <w:rPr>
      <w:rFonts w:ascii="Garamond" w:hAnsi="Garamond" w:cs="Garamond"/>
      <w:b/>
      <w:bCs/>
      <w:color w:val="auto"/>
      <w:sz w:val="24"/>
      <w:szCs w:val="24"/>
    </w:rPr>
  </w:style>
  <w:style w:type="paragraph" w:customStyle="1" w:styleId="xl28">
    <w:name w:val="xl28"/>
    <w:basedOn w:val="Normal"/>
    <w:uiPriority w:val="99"/>
    <w:rsid w:val="000A560C"/>
    <w:pPr>
      <w:spacing w:before="100" w:beforeAutospacing="1" w:after="100" w:afterAutospacing="1"/>
    </w:pPr>
    <w:rPr>
      <w:rFonts w:ascii="Arial Black" w:hAnsi="Arial Black" w:cs="Arial Black"/>
      <w:sz w:val="19"/>
      <w:szCs w:val="19"/>
      <w:lang w:val="de-DE" w:eastAsia="de-DE"/>
    </w:rPr>
  </w:style>
  <w:style w:type="paragraph" w:customStyle="1" w:styleId="xl29">
    <w:name w:val="xl29"/>
    <w:basedOn w:val="Normal"/>
    <w:uiPriority w:val="99"/>
    <w:rsid w:val="000A560C"/>
    <w:pPr>
      <w:spacing w:before="100" w:beforeAutospacing="1" w:after="100" w:afterAutospacing="1"/>
      <w:textAlignment w:val="top"/>
    </w:pPr>
    <w:rPr>
      <w:rFonts w:ascii="Arial Narrow" w:hAnsi="Arial Narrow" w:cs="Arial Narrow"/>
      <w:sz w:val="16"/>
      <w:szCs w:val="16"/>
      <w:lang w:val="de-DE" w:eastAsia="de-DE"/>
    </w:rPr>
  </w:style>
  <w:style w:type="paragraph" w:customStyle="1" w:styleId="xl30">
    <w:name w:val="xl30"/>
    <w:basedOn w:val="Normal"/>
    <w:rsid w:val="000A560C"/>
    <w:pPr>
      <w:spacing w:before="100" w:beforeAutospacing="1" w:after="100" w:afterAutospacing="1"/>
      <w:textAlignment w:val="top"/>
    </w:pPr>
    <w:rPr>
      <w:sz w:val="24"/>
      <w:szCs w:val="24"/>
      <w:lang w:val="de-DE" w:eastAsia="de-DE"/>
    </w:rPr>
  </w:style>
  <w:style w:type="paragraph" w:customStyle="1" w:styleId="xl31">
    <w:name w:val="xl31"/>
    <w:basedOn w:val="Normal"/>
    <w:uiPriority w:val="99"/>
    <w:rsid w:val="000A560C"/>
    <w:pPr>
      <w:spacing w:before="100" w:beforeAutospacing="1" w:after="100" w:afterAutospacing="1"/>
      <w:jc w:val="center"/>
    </w:pPr>
    <w:rPr>
      <w:sz w:val="24"/>
      <w:szCs w:val="24"/>
      <w:lang w:val="de-DE" w:eastAsia="de-DE"/>
    </w:rPr>
  </w:style>
  <w:style w:type="paragraph" w:customStyle="1" w:styleId="xl32">
    <w:name w:val="xl32"/>
    <w:basedOn w:val="Normal"/>
    <w:uiPriority w:val="99"/>
    <w:rsid w:val="000A560C"/>
    <w:pPr>
      <w:spacing w:before="100" w:beforeAutospacing="1" w:after="100" w:afterAutospacing="1"/>
      <w:jc w:val="right"/>
    </w:pPr>
    <w:rPr>
      <w:b/>
      <w:bCs/>
      <w:sz w:val="24"/>
      <w:szCs w:val="24"/>
      <w:lang w:val="de-DE" w:eastAsia="de-DE"/>
    </w:rPr>
  </w:style>
  <w:style w:type="paragraph" w:customStyle="1" w:styleId="xl33">
    <w:name w:val="xl33"/>
    <w:basedOn w:val="Normal"/>
    <w:uiPriority w:val="99"/>
    <w:rsid w:val="000A560C"/>
    <w:pPr>
      <w:spacing w:before="100" w:beforeAutospacing="1" w:after="100" w:afterAutospacing="1"/>
      <w:jc w:val="right"/>
    </w:pPr>
    <w:rPr>
      <w:sz w:val="24"/>
      <w:szCs w:val="24"/>
      <w:lang w:val="de-DE" w:eastAsia="de-DE"/>
    </w:rPr>
  </w:style>
  <w:style w:type="paragraph" w:customStyle="1" w:styleId="xl34">
    <w:name w:val="xl34"/>
    <w:basedOn w:val="Normal"/>
    <w:uiPriority w:val="99"/>
    <w:rsid w:val="000A560C"/>
    <w:pPr>
      <w:spacing w:before="100" w:beforeAutospacing="1" w:after="100" w:afterAutospacing="1"/>
    </w:pPr>
    <w:rPr>
      <w:sz w:val="24"/>
      <w:szCs w:val="24"/>
      <w:lang w:val="de-DE" w:eastAsia="de-DE"/>
    </w:rPr>
  </w:style>
  <w:style w:type="paragraph" w:customStyle="1" w:styleId="xl35">
    <w:name w:val="xl35"/>
    <w:basedOn w:val="Normal"/>
    <w:uiPriority w:val="99"/>
    <w:rsid w:val="000A560C"/>
    <w:pPr>
      <w:spacing w:before="100" w:beforeAutospacing="1" w:after="100" w:afterAutospacing="1"/>
      <w:textAlignment w:val="top"/>
    </w:pPr>
    <w:rPr>
      <w:rFonts w:ascii="Arial Black" w:hAnsi="Arial Black" w:cs="Arial Black"/>
      <w:sz w:val="19"/>
      <w:szCs w:val="19"/>
      <w:lang w:val="de-DE" w:eastAsia="de-DE"/>
    </w:rPr>
  </w:style>
  <w:style w:type="paragraph" w:customStyle="1" w:styleId="xl36">
    <w:name w:val="xl36"/>
    <w:basedOn w:val="Normal"/>
    <w:uiPriority w:val="99"/>
    <w:rsid w:val="000A560C"/>
    <w:pPr>
      <w:spacing w:before="100" w:beforeAutospacing="1" w:after="100" w:afterAutospacing="1"/>
      <w:textAlignment w:val="top"/>
    </w:pPr>
    <w:rPr>
      <w:b/>
      <w:bCs/>
      <w:sz w:val="24"/>
      <w:szCs w:val="24"/>
      <w:lang w:val="de-DE" w:eastAsia="de-DE"/>
    </w:rPr>
  </w:style>
  <w:style w:type="paragraph" w:customStyle="1" w:styleId="xl37">
    <w:name w:val="xl37"/>
    <w:basedOn w:val="Normal"/>
    <w:uiPriority w:val="99"/>
    <w:rsid w:val="000A560C"/>
    <w:pPr>
      <w:spacing w:before="100" w:beforeAutospacing="1" w:after="100" w:afterAutospacing="1"/>
    </w:pPr>
    <w:rPr>
      <w:sz w:val="20"/>
      <w:szCs w:val="20"/>
      <w:lang w:val="de-DE" w:eastAsia="de-DE"/>
    </w:rPr>
  </w:style>
  <w:style w:type="paragraph" w:customStyle="1" w:styleId="xl38">
    <w:name w:val="xl38"/>
    <w:basedOn w:val="Normal"/>
    <w:uiPriority w:val="99"/>
    <w:rsid w:val="000A560C"/>
    <w:pPr>
      <w:spacing w:before="100" w:beforeAutospacing="1" w:after="100" w:afterAutospacing="1"/>
      <w:jc w:val="right"/>
    </w:pPr>
    <w:rPr>
      <w:sz w:val="24"/>
      <w:szCs w:val="24"/>
      <w:lang w:val="de-DE" w:eastAsia="de-DE"/>
    </w:rPr>
  </w:style>
  <w:style w:type="paragraph" w:customStyle="1" w:styleId="xl39">
    <w:name w:val="xl39"/>
    <w:basedOn w:val="Normal"/>
    <w:uiPriority w:val="99"/>
    <w:rsid w:val="000A560C"/>
    <w:pPr>
      <w:pBdr>
        <w:bottom w:val="single" w:sz="4" w:space="0" w:color="auto"/>
      </w:pBdr>
      <w:spacing w:before="100" w:beforeAutospacing="1" w:after="100" w:afterAutospacing="1"/>
      <w:jc w:val="right"/>
    </w:pPr>
    <w:rPr>
      <w:sz w:val="24"/>
      <w:szCs w:val="24"/>
      <w:lang w:val="de-DE" w:eastAsia="de-DE"/>
    </w:rPr>
  </w:style>
  <w:style w:type="paragraph" w:customStyle="1" w:styleId="xl40">
    <w:name w:val="xl40"/>
    <w:basedOn w:val="Normal"/>
    <w:uiPriority w:val="99"/>
    <w:rsid w:val="000A560C"/>
    <w:pPr>
      <w:pBdr>
        <w:bottom w:val="single" w:sz="4" w:space="0" w:color="auto"/>
      </w:pBdr>
      <w:spacing w:before="100" w:beforeAutospacing="1" w:after="100" w:afterAutospacing="1"/>
    </w:pPr>
    <w:rPr>
      <w:sz w:val="24"/>
      <w:szCs w:val="24"/>
      <w:lang w:val="de-DE" w:eastAsia="de-DE"/>
    </w:rPr>
  </w:style>
  <w:style w:type="paragraph" w:customStyle="1" w:styleId="xl41">
    <w:name w:val="xl41"/>
    <w:basedOn w:val="Normal"/>
    <w:uiPriority w:val="99"/>
    <w:rsid w:val="000A560C"/>
    <w:pPr>
      <w:pBdr>
        <w:bottom w:val="single" w:sz="4" w:space="0" w:color="auto"/>
      </w:pBdr>
      <w:spacing w:before="100" w:beforeAutospacing="1" w:after="100" w:afterAutospacing="1"/>
      <w:jc w:val="center"/>
    </w:pPr>
    <w:rPr>
      <w:sz w:val="24"/>
      <w:szCs w:val="24"/>
      <w:lang w:val="de-DE" w:eastAsia="de-DE"/>
    </w:rPr>
  </w:style>
  <w:style w:type="paragraph" w:customStyle="1" w:styleId="xl42">
    <w:name w:val="xl42"/>
    <w:basedOn w:val="Normal"/>
    <w:uiPriority w:val="99"/>
    <w:rsid w:val="000A560C"/>
    <w:pPr>
      <w:pBdr>
        <w:bottom w:val="single" w:sz="4" w:space="0" w:color="auto"/>
      </w:pBdr>
      <w:spacing w:before="100" w:beforeAutospacing="1" w:after="100" w:afterAutospacing="1"/>
      <w:jc w:val="right"/>
    </w:pPr>
    <w:rPr>
      <w:sz w:val="24"/>
      <w:szCs w:val="24"/>
      <w:lang w:val="de-DE" w:eastAsia="de-DE"/>
    </w:rPr>
  </w:style>
  <w:style w:type="paragraph" w:customStyle="1" w:styleId="xl43">
    <w:name w:val="xl43"/>
    <w:basedOn w:val="Normal"/>
    <w:uiPriority w:val="99"/>
    <w:rsid w:val="000A560C"/>
    <w:pPr>
      <w:spacing w:before="100" w:beforeAutospacing="1" w:after="100" w:afterAutospacing="1"/>
      <w:textAlignment w:val="top"/>
    </w:pPr>
    <w:rPr>
      <w:b/>
      <w:bCs/>
      <w:sz w:val="24"/>
      <w:szCs w:val="24"/>
      <w:lang w:val="de-DE" w:eastAsia="de-DE"/>
    </w:rPr>
  </w:style>
  <w:style w:type="paragraph" w:customStyle="1" w:styleId="xl44">
    <w:name w:val="xl44"/>
    <w:basedOn w:val="Normal"/>
    <w:uiPriority w:val="99"/>
    <w:rsid w:val="000A560C"/>
    <w:pPr>
      <w:pBdr>
        <w:top w:val="single" w:sz="4" w:space="0" w:color="auto"/>
        <w:bottom w:val="double" w:sz="6" w:space="0" w:color="auto"/>
      </w:pBdr>
      <w:spacing w:before="100" w:beforeAutospacing="1" w:after="100" w:afterAutospacing="1"/>
      <w:textAlignment w:val="top"/>
    </w:pPr>
    <w:rPr>
      <w:b/>
      <w:bCs/>
      <w:sz w:val="24"/>
      <w:szCs w:val="24"/>
      <w:lang w:val="de-DE" w:eastAsia="de-DE"/>
    </w:rPr>
  </w:style>
  <w:style w:type="paragraph" w:customStyle="1" w:styleId="xl45">
    <w:name w:val="xl45"/>
    <w:basedOn w:val="Normal"/>
    <w:uiPriority w:val="99"/>
    <w:rsid w:val="000A560C"/>
    <w:pPr>
      <w:spacing w:before="100" w:beforeAutospacing="1" w:after="100" w:afterAutospacing="1"/>
    </w:pPr>
    <w:rPr>
      <w:b/>
      <w:bCs/>
      <w:sz w:val="24"/>
      <w:szCs w:val="24"/>
      <w:lang w:val="de-DE" w:eastAsia="de-DE"/>
    </w:rPr>
  </w:style>
  <w:style w:type="paragraph" w:customStyle="1" w:styleId="xl46">
    <w:name w:val="xl46"/>
    <w:basedOn w:val="Normal"/>
    <w:uiPriority w:val="99"/>
    <w:rsid w:val="000A560C"/>
    <w:pPr>
      <w:spacing w:before="100" w:beforeAutospacing="1" w:after="100" w:afterAutospacing="1"/>
      <w:jc w:val="center"/>
      <w:textAlignment w:val="top"/>
    </w:pPr>
    <w:rPr>
      <w:b/>
      <w:bCs/>
      <w:sz w:val="24"/>
      <w:szCs w:val="24"/>
      <w:lang w:val="de-DE" w:eastAsia="de-DE"/>
    </w:rPr>
  </w:style>
  <w:style w:type="paragraph" w:styleId="NormalWeb">
    <w:name w:val="Normal (Web)"/>
    <w:basedOn w:val="Normal"/>
    <w:uiPriority w:val="99"/>
    <w:rsid w:val="000A560C"/>
    <w:pPr>
      <w:spacing w:before="100" w:beforeAutospacing="1" w:after="100" w:afterAutospacing="1"/>
    </w:pPr>
    <w:rPr>
      <w:sz w:val="24"/>
      <w:szCs w:val="24"/>
      <w:lang w:val="de-DE" w:eastAsia="de-DE"/>
    </w:rPr>
  </w:style>
  <w:style w:type="paragraph" w:customStyle="1" w:styleId="References">
    <w:name w:val="References"/>
    <w:basedOn w:val="Normal"/>
    <w:uiPriority w:val="99"/>
    <w:rsid w:val="000A560C"/>
    <w:pPr>
      <w:spacing w:after="120"/>
    </w:pPr>
    <w:rPr>
      <w:lang w:val="en-US"/>
    </w:rPr>
  </w:style>
  <w:style w:type="character" w:styleId="LineNumber">
    <w:name w:val="line number"/>
    <w:basedOn w:val="DefaultParagraphFont"/>
    <w:uiPriority w:val="99"/>
    <w:rsid w:val="000A560C"/>
  </w:style>
  <w:style w:type="paragraph" w:customStyle="1" w:styleId="Vblau">
    <w:name w:val="Vblau"/>
    <w:basedOn w:val="Normal"/>
    <w:link w:val="VblauZchn"/>
    <w:uiPriority w:val="99"/>
    <w:rsid w:val="000A560C"/>
    <w:pPr>
      <w:spacing w:after="120"/>
    </w:pPr>
  </w:style>
  <w:style w:type="character" w:customStyle="1" w:styleId="VblauZchn">
    <w:name w:val="Vblau Zchn"/>
    <w:link w:val="Vblau"/>
    <w:uiPriority w:val="99"/>
    <w:locked/>
    <w:rsid w:val="000A560C"/>
    <w:rPr>
      <w:rFonts w:ascii="Garamond" w:hAnsi="Garamond" w:cs="Garamond"/>
      <w:sz w:val="22"/>
      <w:szCs w:val="22"/>
      <w:lang w:eastAsia="en-US"/>
    </w:rPr>
  </w:style>
  <w:style w:type="character" w:customStyle="1" w:styleId="FormatvorlageBlau">
    <w:name w:val="Formatvorlage Blau"/>
    <w:uiPriority w:val="99"/>
    <w:rsid w:val="000A560C"/>
    <w:rPr>
      <w:color w:val="auto"/>
    </w:rPr>
  </w:style>
  <w:style w:type="paragraph" w:customStyle="1" w:styleId="Standard-section">
    <w:name w:val="Standard-section"/>
    <w:basedOn w:val="SectionTitle"/>
    <w:uiPriority w:val="99"/>
    <w:rsid w:val="000A560C"/>
    <w:pPr>
      <w:pageBreakBefore/>
      <w:spacing w:after="1000" w:line="580" w:lineRule="exact"/>
    </w:pPr>
    <w:rPr>
      <w:rFonts w:ascii="Arial Narrow" w:hAnsi="Arial Narrow" w:cs="Arial Narrow"/>
      <w:b/>
      <w:bCs/>
      <w:color w:val="FF6300"/>
      <w:sz w:val="40"/>
      <w:szCs w:val="40"/>
    </w:rPr>
  </w:style>
  <w:style w:type="paragraph" w:customStyle="1" w:styleId="H3-EFSsectiontitle">
    <w:name w:val="H3-EFS section title"/>
    <w:basedOn w:val="Normal"/>
    <w:uiPriority w:val="99"/>
    <w:rsid w:val="000A560C"/>
    <w:pPr>
      <w:keepLines/>
      <w:tabs>
        <w:tab w:val="num" w:pos="360"/>
      </w:tabs>
      <w:ind w:left="360" w:hanging="360"/>
    </w:pPr>
    <w:rPr>
      <w:rFonts w:ascii="Arial Black" w:hAnsi="Arial Black" w:cs="Arial Black"/>
      <w:color w:val="FF6600"/>
      <w:sz w:val="19"/>
      <w:szCs w:val="19"/>
    </w:rPr>
  </w:style>
  <w:style w:type="paragraph" w:customStyle="1" w:styleId="H4-HeadinginEFSwithnumber">
    <w:name w:val="H4-Heading in EFS with number"/>
    <w:basedOn w:val="Normal"/>
    <w:uiPriority w:val="99"/>
    <w:rsid w:val="000A560C"/>
    <w:pPr>
      <w:keepNext/>
      <w:keepLines/>
      <w:spacing w:before="360" w:after="100" w:afterAutospacing="1"/>
    </w:pPr>
    <w:rPr>
      <w:rFonts w:ascii="Arial Black" w:hAnsi="Arial Black" w:cs="Arial Black"/>
      <w:color w:val="FF6600"/>
      <w:sz w:val="19"/>
      <w:szCs w:val="19"/>
    </w:rPr>
  </w:style>
  <w:style w:type="paragraph" w:customStyle="1" w:styleId="Bulet">
    <w:name w:val="Bulet"/>
    <w:basedOn w:val="Normal"/>
    <w:uiPriority w:val="99"/>
    <w:rsid w:val="000A560C"/>
    <w:pPr>
      <w:spacing w:after="120"/>
    </w:pPr>
  </w:style>
  <w:style w:type="paragraph" w:customStyle="1" w:styleId="H4-HeadinginChecklist">
    <w:name w:val="H4-Heading in Checklist"/>
    <w:basedOn w:val="H3-EFSsectiontitle"/>
    <w:uiPriority w:val="99"/>
    <w:rsid w:val="000A560C"/>
    <w:pPr>
      <w:keepNext/>
      <w:tabs>
        <w:tab w:val="clear" w:pos="360"/>
      </w:tabs>
      <w:spacing w:before="360" w:after="100" w:afterAutospacing="1"/>
      <w:ind w:left="0" w:firstLine="0"/>
    </w:pPr>
  </w:style>
  <w:style w:type="paragraph" w:customStyle="1" w:styleId="StyleSectionTitleBoldCustomColorRGB255990After24">
    <w:name w:val="Style Section Title + Bold Custom Color(RGB(255990)) After:  24..."/>
    <w:basedOn w:val="SectionTitle"/>
    <w:uiPriority w:val="99"/>
    <w:rsid w:val="000A560C"/>
    <w:pPr>
      <w:spacing w:after="120" w:line="580" w:lineRule="exact"/>
    </w:pPr>
    <w:rPr>
      <w:color w:val="4B217E"/>
    </w:rPr>
  </w:style>
  <w:style w:type="paragraph" w:customStyle="1" w:styleId="StyleAfter12pt">
    <w:name w:val="Style After:  12 pt"/>
    <w:basedOn w:val="Normal"/>
    <w:autoRedefine/>
    <w:uiPriority w:val="99"/>
    <w:rsid w:val="000A560C"/>
    <w:pPr>
      <w:spacing w:after="120"/>
    </w:pPr>
  </w:style>
  <w:style w:type="paragraph" w:styleId="BalloonText">
    <w:name w:val="Balloon Text"/>
    <w:basedOn w:val="Normal"/>
    <w:link w:val="BalloonTextChar"/>
    <w:uiPriority w:val="99"/>
    <w:semiHidden/>
    <w:rsid w:val="002A1FA6"/>
    <w:pPr>
      <w:spacing w:after="12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2CAE"/>
    <w:rPr>
      <w:rFonts w:ascii="Tahoma" w:hAnsi="Tahoma" w:cs="Tahoma"/>
      <w:sz w:val="16"/>
      <w:szCs w:val="16"/>
      <w:lang w:eastAsia="en-US"/>
    </w:rPr>
  </w:style>
  <w:style w:type="paragraph" w:styleId="EndnoteText">
    <w:name w:val="endnote text"/>
    <w:basedOn w:val="Normal"/>
    <w:link w:val="EndnoteTextChar"/>
    <w:uiPriority w:val="99"/>
    <w:semiHidden/>
    <w:rsid w:val="00983A89"/>
    <w:pPr>
      <w:spacing w:after="120"/>
    </w:pPr>
    <w:rPr>
      <w:sz w:val="20"/>
      <w:szCs w:val="20"/>
    </w:rPr>
  </w:style>
  <w:style w:type="character" w:customStyle="1" w:styleId="EndnoteTextChar">
    <w:name w:val="Endnote Text Char"/>
    <w:basedOn w:val="DefaultParagraphFont"/>
    <w:link w:val="EndnoteText"/>
    <w:uiPriority w:val="99"/>
    <w:semiHidden/>
    <w:locked/>
    <w:rsid w:val="00DD4C57"/>
    <w:rPr>
      <w:rFonts w:ascii="Garamond" w:hAnsi="Garamond" w:cs="Garamond"/>
      <w:sz w:val="20"/>
      <w:szCs w:val="20"/>
      <w:lang w:eastAsia="en-US"/>
    </w:rPr>
  </w:style>
  <w:style w:type="character" w:styleId="EndnoteReference">
    <w:name w:val="endnote reference"/>
    <w:basedOn w:val="DefaultParagraphFont"/>
    <w:uiPriority w:val="99"/>
    <w:semiHidden/>
    <w:rsid w:val="00C50D2D"/>
    <w:rPr>
      <w:vertAlign w:val="superscript"/>
    </w:rPr>
  </w:style>
  <w:style w:type="paragraph" w:styleId="TOC4">
    <w:name w:val="toc 4"/>
    <w:basedOn w:val="Normal"/>
    <w:next w:val="Normal"/>
    <w:autoRedefine/>
    <w:uiPriority w:val="99"/>
    <w:semiHidden/>
    <w:rsid w:val="009139D6"/>
    <w:pPr>
      <w:ind w:left="660"/>
    </w:pPr>
  </w:style>
  <w:style w:type="paragraph" w:styleId="CommentText">
    <w:name w:val="annotation text"/>
    <w:basedOn w:val="Normal"/>
    <w:link w:val="CommentTextChar"/>
    <w:uiPriority w:val="99"/>
    <w:semiHidden/>
    <w:rsid w:val="00B12A45"/>
    <w:rPr>
      <w:sz w:val="20"/>
      <w:szCs w:val="20"/>
    </w:rPr>
  </w:style>
  <w:style w:type="character" w:customStyle="1" w:styleId="CommentTextChar">
    <w:name w:val="Comment Text Char"/>
    <w:basedOn w:val="DefaultParagraphFont"/>
    <w:link w:val="CommentText"/>
    <w:uiPriority w:val="99"/>
    <w:semiHidden/>
    <w:locked/>
    <w:rsid w:val="00CB5D6D"/>
    <w:rPr>
      <w:rFonts w:ascii="Garamond" w:hAnsi="Garamond" w:cs="Garamond"/>
      <w:lang w:val="bg-BG" w:eastAsia="en-US"/>
    </w:rPr>
  </w:style>
  <w:style w:type="paragraph" w:styleId="CommentSubject">
    <w:name w:val="annotation subject"/>
    <w:basedOn w:val="CommentText"/>
    <w:next w:val="CommentText"/>
    <w:link w:val="CommentSubjectChar"/>
    <w:uiPriority w:val="99"/>
    <w:semiHidden/>
    <w:rsid w:val="00B12A45"/>
    <w:pPr>
      <w:spacing w:after="120"/>
    </w:pPr>
    <w:rPr>
      <w:b/>
      <w:bCs/>
    </w:rPr>
  </w:style>
  <w:style w:type="character" w:customStyle="1" w:styleId="CommentSubjectChar">
    <w:name w:val="Comment Subject Char"/>
    <w:basedOn w:val="CommentTextChar"/>
    <w:link w:val="CommentSubject"/>
    <w:uiPriority w:val="99"/>
    <w:semiHidden/>
    <w:locked/>
    <w:rsid w:val="00DD4C57"/>
    <w:rPr>
      <w:rFonts w:ascii="Garamond" w:hAnsi="Garamond" w:cs="Garamond"/>
      <w:b/>
      <w:bCs/>
      <w:sz w:val="20"/>
      <w:szCs w:val="20"/>
      <w:lang w:val="bg-BG" w:eastAsia="en-US"/>
    </w:rPr>
  </w:style>
  <w:style w:type="paragraph" w:customStyle="1" w:styleId="Style1">
    <w:name w:val="Style1"/>
    <w:basedOn w:val="SectionTitle"/>
    <w:next w:val="BodyText"/>
    <w:uiPriority w:val="99"/>
    <w:rsid w:val="00CD4ACE"/>
    <w:pPr>
      <w:spacing w:after="240"/>
    </w:pPr>
  </w:style>
  <w:style w:type="paragraph" w:customStyle="1" w:styleId="Paragraph">
    <w:name w:val="Paragraph"/>
    <w:basedOn w:val="BodyText"/>
    <w:uiPriority w:val="99"/>
    <w:rsid w:val="00A12262"/>
    <w:pPr>
      <w:spacing w:after="0"/>
    </w:pPr>
  </w:style>
  <w:style w:type="paragraph" w:customStyle="1" w:styleId="sectiontitlenottoc">
    <w:name w:val="sectiontitle_nottoc"/>
    <w:basedOn w:val="SectionTitle"/>
    <w:next w:val="BodyText"/>
    <w:uiPriority w:val="99"/>
    <w:rsid w:val="004B0177"/>
  </w:style>
  <w:style w:type="character" w:customStyle="1" w:styleId="SectionTitleChar">
    <w:name w:val="Section Title Char"/>
    <w:link w:val="SectionTitle"/>
    <w:uiPriority w:val="99"/>
    <w:locked/>
    <w:rsid w:val="00521545"/>
    <w:rPr>
      <w:rFonts w:ascii="Garamond" w:hAnsi="Garamond" w:cs="Garamond"/>
      <w:sz w:val="48"/>
      <w:szCs w:val="48"/>
      <w:lang w:val="en-GB" w:eastAsia="en-US"/>
    </w:rPr>
  </w:style>
  <w:style w:type="paragraph" w:styleId="DocumentMap">
    <w:name w:val="Document Map"/>
    <w:basedOn w:val="Normal"/>
    <w:link w:val="DocumentMapChar"/>
    <w:uiPriority w:val="99"/>
    <w:semiHidden/>
    <w:rsid w:val="003F755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DD4C57"/>
    <w:rPr>
      <w:sz w:val="2"/>
      <w:szCs w:val="2"/>
      <w:lang w:eastAsia="en-US"/>
    </w:rPr>
  </w:style>
  <w:style w:type="character" w:customStyle="1" w:styleId="Disclosuretext">
    <w:name w:val="Disclosure text"/>
    <w:uiPriority w:val="99"/>
    <w:rsid w:val="00FD1141"/>
    <w:rPr>
      <w:sz w:val="20"/>
      <w:szCs w:val="20"/>
    </w:rPr>
  </w:style>
  <w:style w:type="paragraph" w:styleId="TableofFigures">
    <w:name w:val="table of figures"/>
    <w:basedOn w:val="Normal"/>
    <w:next w:val="Normal"/>
    <w:uiPriority w:val="99"/>
    <w:semiHidden/>
    <w:rsid w:val="00FD1141"/>
    <w:pPr>
      <w:spacing w:after="284"/>
      <w:ind w:left="440" w:hanging="440"/>
    </w:pPr>
  </w:style>
  <w:style w:type="paragraph" w:styleId="BodyText2">
    <w:name w:val="Body Text 2"/>
    <w:basedOn w:val="Normal"/>
    <w:link w:val="BodyText2Char"/>
    <w:uiPriority w:val="99"/>
    <w:rsid w:val="00F54704"/>
    <w:pPr>
      <w:spacing w:after="120" w:line="480" w:lineRule="auto"/>
    </w:pPr>
  </w:style>
  <w:style w:type="character" w:customStyle="1" w:styleId="BodyText2Char">
    <w:name w:val="Body Text 2 Char"/>
    <w:basedOn w:val="DefaultParagraphFont"/>
    <w:link w:val="BodyText2"/>
    <w:uiPriority w:val="99"/>
    <w:locked/>
    <w:rsid w:val="004C2CC9"/>
    <w:rPr>
      <w:rFonts w:ascii="Garamond" w:hAnsi="Garamond" w:cs="Garamond"/>
      <w:sz w:val="22"/>
      <w:szCs w:val="22"/>
      <w:lang w:eastAsia="en-US"/>
    </w:rPr>
  </w:style>
  <w:style w:type="character" w:styleId="Emphasis">
    <w:name w:val="Emphasis"/>
    <w:basedOn w:val="DefaultParagraphFont"/>
    <w:qFormat/>
    <w:rsid w:val="00652CAE"/>
    <w:rPr>
      <w:i/>
      <w:iCs/>
    </w:rPr>
  </w:style>
  <w:style w:type="paragraph" w:styleId="BodyText3">
    <w:name w:val="Body Text 3"/>
    <w:basedOn w:val="Normal"/>
    <w:link w:val="BodyText3Char"/>
    <w:uiPriority w:val="99"/>
    <w:rsid w:val="00915F74"/>
    <w:pPr>
      <w:spacing w:after="120"/>
    </w:pPr>
    <w:rPr>
      <w:sz w:val="16"/>
      <w:szCs w:val="16"/>
    </w:rPr>
  </w:style>
  <w:style w:type="character" w:customStyle="1" w:styleId="BodyText3Char">
    <w:name w:val="Body Text 3 Char"/>
    <w:basedOn w:val="DefaultParagraphFont"/>
    <w:link w:val="BodyText3"/>
    <w:uiPriority w:val="99"/>
    <w:locked/>
    <w:rsid w:val="00915F74"/>
    <w:rPr>
      <w:rFonts w:ascii="Garamond" w:hAnsi="Garamond" w:cs="Garamond"/>
      <w:sz w:val="16"/>
      <w:szCs w:val="16"/>
      <w:lang w:eastAsia="en-US"/>
    </w:rPr>
  </w:style>
  <w:style w:type="character" w:styleId="CommentReference">
    <w:name w:val="annotation reference"/>
    <w:basedOn w:val="DefaultParagraphFont"/>
    <w:uiPriority w:val="99"/>
    <w:semiHidden/>
    <w:rsid w:val="00255497"/>
    <w:rPr>
      <w:sz w:val="16"/>
      <w:szCs w:val="16"/>
    </w:rPr>
  </w:style>
  <w:style w:type="character" w:customStyle="1" w:styleId="TableTextChar1">
    <w:name w:val="Table Text Char1"/>
    <w:link w:val="TableText"/>
    <w:uiPriority w:val="99"/>
    <w:locked/>
    <w:rsid w:val="00913416"/>
    <w:rPr>
      <w:rFonts w:ascii="Arial" w:hAnsi="Arial" w:cs="Arial"/>
      <w:sz w:val="16"/>
      <w:szCs w:val="16"/>
      <w:lang w:val="en-GB" w:eastAsia="en-US"/>
    </w:rPr>
  </w:style>
  <w:style w:type="paragraph" w:styleId="BodyTextIndent2">
    <w:name w:val="Body Text Indent 2"/>
    <w:basedOn w:val="Normal"/>
    <w:link w:val="BodyTextIndent2Char"/>
    <w:uiPriority w:val="99"/>
    <w:rsid w:val="007C05AB"/>
    <w:pPr>
      <w:spacing w:after="120" w:line="480" w:lineRule="auto"/>
      <w:ind w:left="360"/>
    </w:pPr>
    <w:rPr>
      <w:lang w:eastAsia="bg-BG"/>
    </w:rPr>
  </w:style>
  <w:style w:type="character" w:customStyle="1" w:styleId="BodyTextIndent2Char">
    <w:name w:val="Body Text Indent 2 Char"/>
    <w:basedOn w:val="DefaultParagraphFont"/>
    <w:link w:val="BodyTextIndent2"/>
    <w:uiPriority w:val="99"/>
    <w:locked/>
    <w:rsid w:val="007C05AB"/>
    <w:rPr>
      <w:rFonts w:ascii="Garamond" w:hAnsi="Garamond" w:cs="Garamond"/>
      <w:sz w:val="22"/>
      <w:szCs w:val="22"/>
      <w:lang w:val="bg-BG"/>
    </w:rPr>
  </w:style>
  <w:style w:type="paragraph" w:customStyle="1" w:styleId="xl24">
    <w:name w:val="xl24"/>
    <w:basedOn w:val="Normal"/>
    <w:uiPriority w:val="99"/>
    <w:rsid w:val="006E2711"/>
    <w:pPr>
      <w:spacing w:before="100" w:beforeAutospacing="1" w:after="100" w:afterAutospacing="1"/>
      <w:jc w:val="right"/>
      <w:textAlignment w:val="top"/>
    </w:pPr>
    <w:rPr>
      <w:sz w:val="24"/>
      <w:szCs w:val="24"/>
      <w:lang w:val="en-GB"/>
    </w:rPr>
  </w:style>
  <w:style w:type="paragraph" w:customStyle="1" w:styleId="euroheading">
    <w:name w:val="euro heading"/>
    <w:basedOn w:val="Normal"/>
    <w:uiPriority w:val="99"/>
    <w:rsid w:val="002A6E79"/>
    <w:pPr>
      <w:widowControl w:val="0"/>
      <w:overflowPunct w:val="0"/>
      <w:autoSpaceDE w:val="0"/>
      <w:autoSpaceDN w:val="0"/>
      <w:adjustRightInd w:val="0"/>
      <w:spacing w:line="260" w:lineRule="atLeast"/>
      <w:jc w:val="both"/>
      <w:textAlignment w:val="baseline"/>
    </w:pPr>
    <w:rPr>
      <w:i/>
      <w:iCs/>
      <w:sz w:val="20"/>
      <w:szCs w:val="20"/>
      <w:lang w:val="en-GB"/>
    </w:rPr>
  </w:style>
  <w:style w:type="paragraph" w:customStyle="1" w:styleId="Default">
    <w:name w:val="Default"/>
    <w:rsid w:val="00185F64"/>
    <w:pPr>
      <w:autoSpaceDE w:val="0"/>
      <w:autoSpaceDN w:val="0"/>
      <w:adjustRightInd w:val="0"/>
    </w:pPr>
    <w:rPr>
      <w:rFonts w:ascii="Georgia" w:hAnsi="Georgia" w:cs="Georgia"/>
      <w:color w:val="000000"/>
      <w:sz w:val="24"/>
      <w:szCs w:val="24"/>
      <w:lang w:val="en-US" w:eastAsia="en-US"/>
    </w:rPr>
  </w:style>
  <w:style w:type="paragraph" w:styleId="ListParagraph">
    <w:name w:val="List Paragraph"/>
    <w:basedOn w:val="Normal"/>
    <w:qFormat/>
    <w:rsid w:val="003F4F84"/>
    <w:pPr>
      <w:ind w:left="720"/>
    </w:pPr>
  </w:style>
  <w:style w:type="paragraph" w:customStyle="1" w:styleId="CharCharCharCharCharChar">
    <w:name w:val="Знак Знак Char Char Char Char Char Char"/>
    <w:basedOn w:val="Normal"/>
    <w:uiPriority w:val="99"/>
    <w:rsid w:val="005E0168"/>
    <w:pPr>
      <w:tabs>
        <w:tab w:val="left" w:pos="709"/>
      </w:tabs>
    </w:pPr>
    <w:rPr>
      <w:rFonts w:ascii="Tahoma" w:hAnsi="Tahoma" w:cs="Tahoma"/>
      <w:sz w:val="24"/>
      <w:szCs w:val="24"/>
      <w:lang w:val="pl-PL" w:eastAsia="pl-PL"/>
    </w:rPr>
  </w:style>
  <w:style w:type="paragraph" w:customStyle="1" w:styleId="CharCharCharCharCharChar2">
    <w:name w:val="Знак Знак Char Char Char Char Char Char2"/>
    <w:basedOn w:val="Normal"/>
    <w:uiPriority w:val="99"/>
    <w:rsid w:val="00A17D02"/>
    <w:pPr>
      <w:tabs>
        <w:tab w:val="left" w:pos="709"/>
      </w:tabs>
    </w:pPr>
    <w:rPr>
      <w:rFonts w:ascii="Tahoma" w:hAnsi="Tahoma" w:cs="Tahoma"/>
      <w:sz w:val="24"/>
      <w:szCs w:val="24"/>
      <w:lang w:val="pl-PL" w:eastAsia="pl-PL"/>
    </w:rPr>
  </w:style>
  <w:style w:type="paragraph" w:customStyle="1" w:styleId="IAS">
    <w:name w:val="IAS"/>
    <w:basedOn w:val="Header"/>
    <w:uiPriority w:val="99"/>
    <w:rsid w:val="000C10CA"/>
    <w:pPr>
      <w:tabs>
        <w:tab w:val="clear" w:pos="8562"/>
      </w:tabs>
      <w:overflowPunct w:val="0"/>
      <w:autoSpaceDE w:val="0"/>
      <w:autoSpaceDN w:val="0"/>
      <w:adjustRightInd w:val="0"/>
      <w:spacing w:line="260" w:lineRule="exact"/>
      <w:textAlignment w:val="baseline"/>
    </w:pPr>
    <w:rPr>
      <w:rFonts w:ascii="Times" w:hAnsi="Times" w:cs="Times"/>
      <w:b w:val="0"/>
      <w:bCs w:val="0"/>
      <w:i/>
      <w:iCs/>
      <w:color w:val="auto"/>
      <w:sz w:val="20"/>
      <w:szCs w:val="20"/>
    </w:rPr>
  </w:style>
  <w:style w:type="paragraph" w:customStyle="1" w:styleId="bullet">
    <w:name w:val="bullet"/>
    <w:basedOn w:val="Normal"/>
    <w:uiPriority w:val="99"/>
    <w:rsid w:val="000C10CA"/>
    <w:pPr>
      <w:tabs>
        <w:tab w:val="left" w:pos="360"/>
      </w:tabs>
      <w:spacing w:line="260" w:lineRule="atLeast"/>
      <w:ind w:left="357" w:hanging="357"/>
      <w:jc w:val="both"/>
    </w:pPr>
    <w:rPr>
      <w:sz w:val="20"/>
      <w:szCs w:val="20"/>
      <w:lang w:val="en-GB"/>
    </w:rPr>
  </w:style>
  <w:style w:type="paragraph" w:customStyle="1" w:styleId="CharCharCharCharCharChar1">
    <w:name w:val="Знак Знак Char Char Char Char Char Char1"/>
    <w:basedOn w:val="Normal"/>
    <w:uiPriority w:val="99"/>
    <w:rsid w:val="00CF74DA"/>
    <w:pPr>
      <w:tabs>
        <w:tab w:val="left" w:pos="709"/>
      </w:tabs>
    </w:pPr>
    <w:rPr>
      <w:rFonts w:ascii="Tahoma" w:hAnsi="Tahoma" w:cs="Tahoma"/>
      <w:sz w:val="24"/>
      <w:szCs w:val="24"/>
      <w:lang w:val="pl-PL" w:eastAsia="pl-PL"/>
    </w:rPr>
  </w:style>
  <w:style w:type="paragraph" w:styleId="Revision">
    <w:name w:val="Revision"/>
    <w:hidden/>
    <w:uiPriority w:val="99"/>
    <w:semiHidden/>
    <w:rsid w:val="000F05BE"/>
    <w:rPr>
      <w:rFonts w:ascii="Garamond" w:hAnsi="Garamond" w:cs="Garamond"/>
      <w:lang w:eastAsia="en-US"/>
    </w:rPr>
  </w:style>
  <w:style w:type="character" w:customStyle="1" w:styleId="FontStyle15">
    <w:name w:val="Font Style15"/>
    <w:rsid w:val="00AA1D23"/>
    <w:rPr>
      <w:rFonts w:ascii="Times New Roman" w:hAnsi="Times New Roman" w:cs="Times New Roman" w:hint="default"/>
      <w:sz w:val="22"/>
      <w:szCs w:val="22"/>
    </w:rPr>
  </w:style>
  <w:style w:type="paragraph" w:customStyle="1" w:styleId="CharChar1Char">
    <w:name w:val="Char Char1 Знак Знак Char"/>
    <w:basedOn w:val="Normal"/>
    <w:rsid w:val="00AA1D23"/>
    <w:pPr>
      <w:tabs>
        <w:tab w:val="left" w:pos="709"/>
      </w:tabs>
    </w:pPr>
    <w:rPr>
      <w:rFonts w:ascii="Tahoma" w:hAnsi="Tahoma" w:cs="Times New Roman"/>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25244"/>
    <w:rPr>
      <w:rFonts w:ascii="Garamond" w:hAnsi="Garamond" w:cs="Garamond"/>
      <w:lang w:eastAsia="en-US"/>
    </w:rPr>
  </w:style>
  <w:style w:type="paragraph" w:styleId="Heading1">
    <w:name w:val="heading 1"/>
    <w:basedOn w:val="Normal"/>
    <w:next w:val="BodyText"/>
    <w:link w:val="Heading1Char"/>
    <w:uiPriority w:val="99"/>
    <w:qFormat/>
    <w:rsid w:val="00182994"/>
    <w:pPr>
      <w:keepNext/>
      <w:spacing w:before="120" w:after="120" w:line="260" w:lineRule="atLeast"/>
      <w:outlineLvl w:val="0"/>
    </w:pPr>
    <w:rPr>
      <w:b/>
      <w:bCs/>
      <w:color w:val="5D2884"/>
      <w:kern w:val="32"/>
      <w:sz w:val="24"/>
      <w:szCs w:val="24"/>
      <w:lang w:eastAsia="bg-BG"/>
    </w:rPr>
  </w:style>
  <w:style w:type="paragraph" w:styleId="Heading2">
    <w:name w:val="heading 2"/>
    <w:basedOn w:val="Heading1"/>
    <w:next w:val="BodyText"/>
    <w:link w:val="Heading2Char"/>
    <w:uiPriority w:val="99"/>
    <w:qFormat/>
    <w:rsid w:val="00903F8E"/>
    <w:pPr>
      <w:outlineLvl w:val="1"/>
    </w:pPr>
  </w:style>
  <w:style w:type="paragraph" w:styleId="Heading3">
    <w:name w:val="heading 3"/>
    <w:basedOn w:val="Heading2"/>
    <w:next w:val="BodyText"/>
    <w:link w:val="Heading3Char"/>
    <w:uiPriority w:val="99"/>
    <w:qFormat/>
    <w:rsid w:val="00425244"/>
    <w:pPr>
      <w:outlineLvl w:val="2"/>
    </w:pPr>
    <w:rPr>
      <w:rFonts w:ascii="Arial" w:hAnsi="Arial" w:cs="Arial"/>
    </w:rPr>
  </w:style>
  <w:style w:type="paragraph" w:styleId="Heading4">
    <w:name w:val="heading 4"/>
    <w:basedOn w:val="Heading3"/>
    <w:next w:val="BodyText"/>
    <w:link w:val="Heading4Char"/>
    <w:uiPriority w:val="99"/>
    <w:qFormat/>
    <w:rsid w:val="00425244"/>
    <w:pPr>
      <w:outlineLvl w:val="3"/>
    </w:pPr>
    <w:rPr>
      <w:i/>
      <w:iCs/>
    </w:rPr>
  </w:style>
  <w:style w:type="paragraph" w:styleId="Heading5">
    <w:name w:val="heading 5"/>
    <w:basedOn w:val="Normal"/>
    <w:next w:val="Normal"/>
    <w:link w:val="Heading5Char"/>
    <w:uiPriority w:val="99"/>
    <w:qFormat/>
    <w:rsid w:val="00425244"/>
    <w:pPr>
      <w:numPr>
        <w:ilvl w:val="4"/>
        <w:numId w:val="6"/>
      </w:numPr>
      <w:spacing w:before="240" w:after="60"/>
      <w:outlineLvl w:val="4"/>
    </w:pPr>
    <w:rPr>
      <w:b/>
      <w:bCs/>
      <w:i/>
      <w:iCs/>
      <w:sz w:val="26"/>
      <w:szCs w:val="26"/>
    </w:rPr>
  </w:style>
  <w:style w:type="paragraph" w:styleId="Heading6">
    <w:name w:val="heading 6"/>
    <w:basedOn w:val="Normal"/>
    <w:next w:val="Normal"/>
    <w:link w:val="Heading6Char"/>
    <w:uiPriority w:val="99"/>
    <w:qFormat/>
    <w:rsid w:val="00425244"/>
    <w:pPr>
      <w:numPr>
        <w:ilvl w:val="5"/>
        <w:numId w:val="6"/>
      </w:numPr>
      <w:spacing w:before="240" w:after="60"/>
      <w:outlineLvl w:val="5"/>
    </w:pPr>
    <w:rPr>
      <w:b/>
      <w:bCs/>
    </w:rPr>
  </w:style>
  <w:style w:type="paragraph" w:styleId="Heading7">
    <w:name w:val="heading 7"/>
    <w:basedOn w:val="Normal"/>
    <w:next w:val="Normal"/>
    <w:link w:val="Heading7Char"/>
    <w:uiPriority w:val="99"/>
    <w:qFormat/>
    <w:rsid w:val="00425244"/>
    <w:pPr>
      <w:numPr>
        <w:ilvl w:val="6"/>
        <w:numId w:val="6"/>
      </w:numPr>
      <w:spacing w:before="240" w:after="60"/>
      <w:outlineLvl w:val="6"/>
    </w:pPr>
    <w:rPr>
      <w:sz w:val="24"/>
      <w:szCs w:val="24"/>
    </w:rPr>
  </w:style>
  <w:style w:type="paragraph" w:styleId="Heading8">
    <w:name w:val="heading 8"/>
    <w:basedOn w:val="Normal"/>
    <w:next w:val="Normal"/>
    <w:link w:val="Heading8Char"/>
    <w:uiPriority w:val="99"/>
    <w:qFormat/>
    <w:rsid w:val="00425244"/>
    <w:pPr>
      <w:numPr>
        <w:ilvl w:val="7"/>
        <w:numId w:val="6"/>
      </w:numPr>
      <w:spacing w:before="240" w:after="60"/>
      <w:outlineLvl w:val="7"/>
    </w:pPr>
    <w:rPr>
      <w:i/>
      <w:iCs/>
      <w:sz w:val="24"/>
      <w:szCs w:val="24"/>
    </w:rPr>
  </w:style>
  <w:style w:type="paragraph" w:styleId="Heading9">
    <w:name w:val="heading 9"/>
    <w:basedOn w:val="Normal"/>
    <w:next w:val="Normal"/>
    <w:link w:val="Heading9Char"/>
    <w:uiPriority w:val="99"/>
    <w:qFormat/>
    <w:rsid w:val="00425244"/>
    <w:pPr>
      <w:numPr>
        <w:ilvl w:val="8"/>
        <w:numId w:val="6"/>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82994"/>
    <w:rPr>
      <w:rFonts w:ascii="Garamond" w:hAnsi="Garamond" w:cs="Garamond"/>
      <w:b/>
      <w:bCs/>
      <w:color w:val="5D2884"/>
      <w:kern w:val="32"/>
      <w:sz w:val="28"/>
      <w:szCs w:val="28"/>
      <w:lang w:val="bg-BG"/>
    </w:rPr>
  </w:style>
  <w:style w:type="character" w:customStyle="1" w:styleId="Heading2Char">
    <w:name w:val="Heading 2 Char"/>
    <w:basedOn w:val="DefaultParagraphFont"/>
    <w:link w:val="Heading2"/>
    <w:uiPriority w:val="99"/>
    <w:locked/>
    <w:rsid w:val="00903F8E"/>
    <w:rPr>
      <w:rFonts w:ascii="Garamond" w:hAnsi="Garamond" w:cs="Garamond"/>
      <w:b/>
      <w:bCs/>
      <w:color w:val="5D2884"/>
      <w:kern w:val="32"/>
      <w:sz w:val="24"/>
      <w:szCs w:val="24"/>
      <w:lang w:val="bg-BG"/>
    </w:rPr>
  </w:style>
  <w:style w:type="character" w:customStyle="1" w:styleId="Heading3Char">
    <w:name w:val="Heading 3 Char"/>
    <w:basedOn w:val="DefaultParagraphFont"/>
    <w:link w:val="Heading3"/>
    <w:uiPriority w:val="99"/>
    <w:semiHidden/>
    <w:locked/>
    <w:rsid w:val="00DD4C57"/>
    <w:rPr>
      <w:rFonts w:ascii="Cambria" w:hAnsi="Cambria" w:cs="Cambria"/>
      <w:b/>
      <w:bCs/>
      <w:sz w:val="26"/>
      <w:szCs w:val="26"/>
      <w:lang w:eastAsia="en-US"/>
    </w:rPr>
  </w:style>
  <w:style w:type="character" w:customStyle="1" w:styleId="Heading4Char">
    <w:name w:val="Heading 4 Char"/>
    <w:basedOn w:val="DefaultParagraphFont"/>
    <w:link w:val="Heading4"/>
    <w:uiPriority w:val="99"/>
    <w:semiHidden/>
    <w:locked/>
    <w:rsid w:val="00DD4C57"/>
    <w:rPr>
      <w:rFonts w:ascii="Calibri" w:hAnsi="Calibri" w:cs="Calibri"/>
      <w:b/>
      <w:bCs/>
      <w:sz w:val="28"/>
      <w:szCs w:val="28"/>
      <w:lang w:eastAsia="en-US"/>
    </w:rPr>
  </w:style>
  <w:style w:type="character" w:customStyle="1" w:styleId="Heading5Char">
    <w:name w:val="Heading 5 Char"/>
    <w:basedOn w:val="DefaultParagraphFont"/>
    <w:link w:val="Heading5"/>
    <w:uiPriority w:val="99"/>
    <w:locked/>
    <w:rsid w:val="00DD4C57"/>
    <w:rPr>
      <w:rFonts w:ascii="Garamond" w:hAnsi="Garamond" w:cs="Garamond"/>
      <w:b/>
      <w:bCs/>
      <w:i/>
      <w:iCs/>
      <w:sz w:val="26"/>
      <w:szCs w:val="26"/>
      <w:lang w:eastAsia="en-US"/>
    </w:rPr>
  </w:style>
  <w:style w:type="character" w:customStyle="1" w:styleId="Heading6Char">
    <w:name w:val="Heading 6 Char"/>
    <w:basedOn w:val="DefaultParagraphFont"/>
    <w:link w:val="Heading6"/>
    <w:uiPriority w:val="99"/>
    <w:locked/>
    <w:rsid w:val="00DD4C57"/>
    <w:rPr>
      <w:rFonts w:ascii="Garamond" w:hAnsi="Garamond" w:cs="Garamond"/>
      <w:b/>
      <w:bCs/>
      <w:lang w:eastAsia="en-US"/>
    </w:rPr>
  </w:style>
  <w:style w:type="character" w:customStyle="1" w:styleId="Heading7Char">
    <w:name w:val="Heading 7 Char"/>
    <w:basedOn w:val="DefaultParagraphFont"/>
    <w:link w:val="Heading7"/>
    <w:uiPriority w:val="99"/>
    <w:locked/>
    <w:rsid w:val="00DD4C57"/>
    <w:rPr>
      <w:rFonts w:ascii="Garamond" w:hAnsi="Garamond" w:cs="Garamond"/>
      <w:sz w:val="24"/>
      <w:szCs w:val="24"/>
      <w:lang w:eastAsia="en-US"/>
    </w:rPr>
  </w:style>
  <w:style w:type="character" w:customStyle="1" w:styleId="Heading8Char">
    <w:name w:val="Heading 8 Char"/>
    <w:basedOn w:val="DefaultParagraphFont"/>
    <w:link w:val="Heading8"/>
    <w:uiPriority w:val="99"/>
    <w:locked/>
    <w:rsid w:val="00DD4C57"/>
    <w:rPr>
      <w:rFonts w:ascii="Garamond" w:hAnsi="Garamond" w:cs="Garamond"/>
      <w:i/>
      <w:iCs/>
      <w:sz w:val="24"/>
      <w:szCs w:val="24"/>
      <w:lang w:eastAsia="en-US"/>
    </w:rPr>
  </w:style>
  <w:style w:type="character" w:customStyle="1" w:styleId="Heading9Char">
    <w:name w:val="Heading 9 Char"/>
    <w:basedOn w:val="DefaultParagraphFont"/>
    <w:link w:val="Heading9"/>
    <w:uiPriority w:val="99"/>
    <w:locked/>
    <w:rsid w:val="00DD4C57"/>
    <w:rPr>
      <w:rFonts w:ascii="Arial" w:hAnsi="Arial" w:cs="Arial"/>
      <w:lang w:eastAsia="en-US"/>
    </w:rPr>
  </w:style>
  <w:style w:type="paragraph" w:styleId="BodyText">
    <w:name w:val="Body Text"/>
    <w:aliases w:val="do pr"/>
    <w:basedOn w:val="Normal"/>
    <w:link w:val="BodyTextChar"/>
    <w:uiPriority w:val="99"/>
    <w:rsid w:val="00425244"/>
    <w:pPr>
      <w:spacing w:after="284" w:line="280" w:lineRule="atLeast"/>
    </w:pPr>
  </w:style>
  <w:style w:type="character" w:customStyle="1" w:styleId="BodyTextChar">
    <w:name w:val="Body Text Char"/>
    <w:aliases w:val="do pr Char"/>
    <w:basedOn w:val="DefaultParagraphFont"/>
    <w:link w:val="BodyText"/>
    <w:uiPriority w:val="99"/>
    <w:locked/>
    <w:rsid w:val="00715B19"/>
    <w:rPr>
      <w:rFonts w:ascii="Garamond" w:hAnsi="Garamond" w:cs="Garamond"/>
      <w:sz w:val="22"/>
      <w:szCs w:val="22"/>
      <w:lang w:eastAsia="en-US"/>
    </w:rPr>
  </w:style>
  <w:style w:type="paragraph" w:styleId="ListBullet">
    <w:name w:val="List Bullet"/>
    <w:basedOn w:val="Normal"/>
    <w:uiPriority w:val="99"/>
    <w:rsid w:val="00425244"/>
    <w:pPr>
      <w:numPr>
        <w:numId w:val="7"/>
      </w:numPr>
      <w:spacing w:after="20" w:line="280" w:lineRule="atLeast"/>
    </w:pPr>
  </w:style>
  <w:style w:type="paragraph" w:styleId="ListNumber">
    <w:name w:val="List Number"/>
    <w:basedOn w:val="Normal"/>
    <w:uiPriority w:val="99"/>
    <w:rsid w:val="00425244"/>
    <w:pPr>
      <w:numPr>
        <w:numId w:val="8"/>
      </w:numPr>
      <w:spacing w:after="284" w:line="280" w:lineRule="atLeast"/>
    </w:pPr>
  </w:style>
  <w:style w:type="paragraph" w:styleId="Header">
    <w:name w:val="header"/>
    <w:basedOn w:val="Normal"/>
    <w:link w:val="HeaderChar"/>
    <w:uiPriority w:val="99"/>
    <w:rsid w:val="00425244"/>
    <w:pPr>
      <w:tabs>
        <w:tab w:val="right" w:pos="8562"/>
      </w:tabs>
    </w:pPr>
    <w:rPr>
      <w:rFonts w:ascii="Arial" w:hAnsi="Arial" w:cs="Arial"/>
      <w:b/>
      <w:bCs/>
      <w:color w:val="747678"/>
      <w:sz w:val="16"/>
      <w:szCs w:val="16"/>
      <w:lang w:val="en-GB"/>
    </w:rPr>
  </w:style>
  <w:style w:type="character" w:customStyle="1" w:styleId="HeaderChar">
    <w:name w:val="Header Char"/>
    <w:basedOn w:val="DefaultParagraphFont"/>
    <w:link w:val="Header"/>
    <w:uiPriority w:val="99"/>
    <w:locked/>
    <w:rsid w:val="00652CAE"/>
    <w:rPr>
      <w:rFonts w:ascii="Arial" w:hAnsi="Arial" w:cs="Arial"/>
      <w:b/>
      <w:bCs/>
      <w:color w:val="747678"/>
      <w:sz w:val="16"/>
      <w:szCs w:val="16"/>
      <w:lang w:val="en-GB" w:eastAsia="en-US"/>
    </w:rPr>
  </w:style>
  <w:style w:type="paragraph" w:styleId="Footer">
    <w:name w:val="footer"/>
    <w:basedOn w:val="Normal"/>
    <w:link w:val="FooterChar"/>
    <w:uiPriority w:val="99"/>
    <w:rsid w:val="00425244"/>
    <w:pPr>
      <w:tabs>
        <w:tab w:val="center" w:pos="4153"/>
        <w:tab w:val="right" w:pos="8306"/>
      </w:tabs>
    </w:pPr>
    <w:rPr>
      <w:rFonts w:ascii="Arial" w:hAnsi="Arial" w:cs="Arial"/>
      <w:b/>
      <w:bCs/>
      <w:color w:val="747678"/>
      <w:sz w:val="13"/>
      <w:szCs w:val="13"/>
      <w:lang w:val="en-GB"/>
    </w:rPr>
  </w:style>
  <w:style w:type="character" w:customStyle="1" w:styleId="FooterChar">
    <w:name w:val="Footer Char"/>
    <w:basedOn w:val="DefaultParagraphFont"/>
    <w:link w:val="Footer"/>
    <w:uiPriority w:val="99"/>
    <w:locked/>
    <w:rsid w:val="00652CAE"/>
    <w:rPr>
      <w:rFonts w:ascii="Arial" w:hAnsi="Arial" w:cs="Arial"/>
      <w:b/>
      <w:bCs/>
      <w:color w:val="747678"/>
      <w:sz w:val="13"/>
      <w:szCs w:val="13"/>
      <w:lang w:val="en-GB" w:eastAsia="en-US"/>
    </w:rPr>
  </w:style>
  <w:style w:type="character" w:customStyle="1" w:styleId="ReportColour">
    <w:name w:val="Report Colour"/>
    <w:uiPriority w:val="99"/>
    <w:rsid w:val="00390019"/>
    <w:rPr>
      <w:color w:val="4B217E"/>
    </w:rPr>
  </w:style>
  <w:style w:type="paragraph" w:customStyle="1" w:styleId="AppendixTitle">
    <w:name w:val="Appendix Title"/>
    <w:basedOn w:val="Normal"/>
    <w:next w:val="BodyText"/>
    <w:uiPriority w:val="99"/>
    <w:rsid w:val="00425244"/>
    <w:pPr>
      <w:spacing w:after="2520"/>
    </w:pPr>
    <w:rPr>
      <w:kern w:val="28"/>
      <w:sz w:val="48"/>
      <w:szCs w:val="48"/>
    </w:rPr>
  </w:style>
  <w:style w:type="paragraph" w:styleId="Title">
    <w:name w:val="Title"/>
    <w:basedOn w:val="Normal"/>
    <w:next w:val="BodyText"/>
    <w:link w:val="TitleChar"/>
    <w:uiPriority w:val="99"/>
    <w:qFormat/>
    <w:rsid w:val="00425244"/>
    <w:pPr>
      <w:spacing w:before="400" w:after="400" w:line="580" w:lineRule="atLeast"/>
      <w:outlineLvl w:val="0"/>
    </w:pPr>
    <w:rPr>
      <w:kern w:val="28"/>
      <w:sz w:val="66"/>
      <w:szCs w:val="66"/>
    </w:rPr>
  </w:style>
  <w:style w:type="character" w:customStyle="1" w:styleId="TitleChar">
    <w:name w:val="Title Char"/>
    <w:basedOn w:val="DefaultParagraphFont"/>
    <w:link w:val="Title"/>
    <w:uiPriority w:val="99"/>
    <w:locked/>
    <w:rsid w:val="00DD4C57"/>
    <w:rPr>
      <w:rFonts w:ascii="Cambria" w:hAnsi="Cambria" w:cs="Cambria"/>
      <w:b/>
      <w:bCs/>
      <w:kern w:val="28"/>
      <w:sz w:val="32"/>
      <w:szCs w:val="32"/>
      <w:lang w:eastAsia="en-US"/>
    </w:rPr>
  </w:style>
  <w:style w:type="paragraph" w:styleId="Subtitle">
    <w:name w:val="Subtitle"/>
    <w:basedOn w:val="Normal"/>
    <w:link w:val="SubtitleChar"/>
    <w:uiPriority w:val="99"/>
    <w:qFormat/>
    <w:rsid w:val="00425244"/>
    <w:pPr>
      <w:spacing w:line="280" w:lineRule="atLeast"/>
      <w:outlineLvl w:val="1"/>
    </w:pPr>
    <w:rPr>
      <w:rFonts w:ascii="Arial" w:hAnsi="Arial" w:cs="Arial"/>
      <w:kern w:val="28"/>
      <w:sz w:val="24"/>
      <w:szCs w:val="24"/>
      <w:lang w:val="en-GB"/>
    </w:rPr>
  </w:style>
  <w:style w:type="character" w:customStyle="1" w:styleId="SubtitleChar">
    <w:name w:val="Subtitle Char"/>
    <w:basedOn w:val="DefaultParagraphFont"/>
    <w:link w:val="Subtitle"/>
    <w:uiPriority w:val="99"/>
    <w:locked/>
    <w:rsid w:val="00DD4C57"/>
    <w:rPr>
      <w:rFonts w:ascii="Cambria" w:hAnsi="Cambria" w:cs="Cambria"/>
      <w:sz w:val="24"/>
      <w:szCs w:val="24"/>
      <w:lang w:eastAsia="en-US"/>
    </w:rPr>
  </w:style>
  <w:style w:type="paragraph" w:styleId="ListBullet2">
    <w:name w:val="List Bullet 2"/>
    <w:basedOn w:val="Normal"/>
    <w:uiPriority w:val="99"/>
    <w:rsid w:val="00425244"/>
    <w:pPr>
      <w:numPr>
        <w:ilvl w:val="1"/>
        <w:numId w:val="7"/>
      </w:numPr>
      <w:spacing w:after="20" w:line="260" w:lineRule="atLeast"/>
    </w:pPr>
  </w:style>
  <w:style w:type="paragraph" w:styleId="ListNumber2">
    <w:name w:val="List Number 2"/>
    <w:basedOn w:val="Normal"/>
    <w:uiPriority w:val="99"/>
    <w:rsid w:val="00425244"/>
    <w:pPr>
      <w:numPr>
        <w:ilvl w:val="1"/>
        <w:numId w:val="8"/>
      </w:numPr>
      <w:spacing w:after="284" w:line="280" w:lineRule="atLeast"/>
    </w:pPr>
  </w:style>
  <w:style w:type="paragraph" w:styleId="ListNumber3">
    <w:name w:val="List Number 3"/>
    <w:basedOn w:val="Normal"/>
    <w:uiPriority w:val="99"/>
    <w:rsid w:val="00425244"/>
    <w:pPr>
      <w:numPr>
        <w:ilvl w:val="2"/>
        <w:numId w:val="8"/>
      </w:numPr>
      <w:spacing w:after="284" w:line="280" w:lineRule="atLeast"/>
    </w:pPr>
  </w:style>
  <w:style w:type="paragraph" w:customStyle="1" w:styleId="MarginNotes">
    <w:name w:val="Margin Notes"/>
    <w:uiPriority w:val="99"/>
    <w:rsid w:val="00425244"/>
    <w:rPr>
      <w:rFonts w:ascii="Arial" w:hAnsi="Arial" w:cs="Arial"/>
      <w:sz w:val="16"/>
      <w:szCs w:val="16"/>
      <w:lang w:val="en-GB" w:eastAsia="en-US"/>
    </w:rPr>
  </w:style>
  <w:style w:type="paragraph" w:customStyle="1" w:styleId="SectionTitle">
    <w:name w:val="Section Title"/>
    <w:next w:val="BodyText"/>
    <w:link w:val="SectionTitleChar"/>
    <w:uiPriority w:val="99"/>
    <w:rsid w:val="00425244"/>
    <w:pPr>
      <w:spacing w:after="2520"/>
    </w:pPr>
    <w:rPr>
      <w:rFonts w:ascii="Garamond" w:hAnsi="Garamond" w:cs="Garamond"/>
      <w:sz w:val="48"/>
      <w:szCs w:val="48"/>
      <w:lang w:val="en-GB" w:eastAsia="en-US"/>
    </w:rPr>
  </w:style>
  <w:style w:type="paragraph" w:customStyle="1" w:styleId="TableHeading">
    <w:name w:val="Table Heading"/>
    <w:uiPriority w:val="99"/>
    <w:rsid w:val="00425244"/>
    <w:rPr>
      <w:rFonts w:ascii="Arial" w:hAnsi="Arial" w:cs="Arial"/>
      <w:b/>
      <w:bCs/>
      <w:kern w:val="28"/>
      <w:sz w:val="16"/>
      <w:szCs w:val="16"/>
      <w:lang w:val="en-GB" w:eastAsia="en-US"/>
    </w:rPr>
  </w:style>
  <w:style w:type="paragraph" w:customStyle="1" w:styleId="TableText">
    <w:name w:val="Table Text"/>
    <w:link w:val="TableTextChar1"/>
    <w:uiPriority w:val="99"/>
    <w:rsid w:val="00425244"/>
    <w:rPr>
      <w:rFonts w:ascii="Arial" w:hAnsi="Arial" w:cs="Arial"/>
      <w:sz w:val="16"/>
      <w:szCs w:val="16"/>
      <w:lang w:val="en-GB" w:eastAsia="en-US"/>
    </w:rPr>
  </w:style>
  <w:style w:type="paragraph" w:customStyle="1" w:styleId="TintBoxTextBlack">
    <w:name w:val="Tint Box Text Black"/>
    <w:uiPriority w:val="99"/>
    <w:rsid w:val="00425244"/>
    <w:pPr>
      <w:spacing w:after="280" w:line="280" w:lineRule="atLeast"/>
    </w:pPr>
    <w:rPr>
      <w:rFonts w:ascii="Arial" w:hAnsi="Arial" w:cs="Arial"/>
      <w:b/>
      <w:bCs/>
      <w:sz w:val="20"/>
      <w:szCs w:val="20"/>
      <w:lang w:val="en-GB" w:eastAsia="en-US"/>
    </w:rPr>
  </w:style>
  <w:style w:type="paragraph" w:customStyle="1" w:styleId="TintBoxTextWhite">
    <w:name w:val="Tint Box Text White"/>
    <w:basedOn w:val="TintBoxTextBlack"/>
    <w:uiPriority w:val="99"/>
    <w:rsid w:val="00425244"/>
    <w:rPr>
      <w:color w:val="FFFFFF"/>
    </w:rPr>
  </w:style>
  <w:style w:type="paragraph" w:styleId="TOC1">
    <w:name w:val="toc 1"/>
    <w:basedOn w:val="Normal"/>
    <w:next w:val="Normal"/>
    <w:autoRedefine/>
    <w:uiPriority w:val="99"/>
    <w:semiHidden/>
    <w:rsid w:val="00BC504E"/>
    <w:pPr>
      <w:tabs>
        <w:tab w:val="right" w:pos="8505"/>
      </w:tabs>
      <w:spacing w:before="165" w:after="100"/>
    </w:pPr>
    <w:rPr>
      <w:b/>
      <w:bCs/>
      <w:sz w:val="24"/>
      <w:szCs w:val="24"/>
      <w:lang w:val="en-GB"/>
    </w:rPr>
  </w:style>
  <w:style w:type="paragraph" w:styleId="TOC2">
    <w:name w:val="toc 2"/>
    <w:basedOn w:val="Normal"/>
    <w:next w:val="Normal"/>
    <w:autoRedefine/>
    <w:uiPriority w:val="99"/>
    <w:semiHidden/>
    <w:rsid w:val="00BC504E"/>
    <w:pPr>
      <w:tabs>
        <w:tab w:val="right" w:pos="8505"/>
      </w:tabs>
      <w:spacing w:after="100"/>
      <w:ind w:left="198"/>
    </w:pPr>
    <w:rPr>
      <w:lang w:val="en-GB"/>
    </w:rPr>
  </w:style>
  <w:style w:type="paragraph" w:styleId="TOC3">
    <w:name w:val="toc 3"/>
    <w:basedOn w:val="TOC2"/>
    <w:next w:val="Normal"/>
    <w:autoRedefine/>
    <w:uiPriority w:val="99"/>
    <w:semiHidden/>
    <w:rsid w:val="00425244"/>
    <w:pPr>
      <w:ind w:left="403"/>
    </w:pPr>
  </w:style>
  <w:style w:type="paragraph" w:customStyle="1" w:styleId="Contents">
    <w:name w:val="Contents"/>
    <w:next w:val="Normal"/>
    <w:uiPriority w:val="99"/>
    <w:rsid w:val="00425244"/>
    <w:pPr>
      <w:spacing w:after="2520" w:line="580" w:lineRule="atLeast"/>
    </w:pPr>
    <w:rPr>
      <w:rFonts w:ascii="Garamond" w:hAnsi="Garamond" w:cs="Garamond"/>
      <w:sz w:val="66"/>
      <w:szCs w:val="66"/>
      <w:lang w:val="en-GB" w:eastAsia="en-US"/>
    </w:rPr>
  </w:style>
  <w:style w:type="character" w:styleId="PageNumber">
    <w:name w:val="page number"/>
    <w:basedOn w:val="DefaultParagraphFont"/>
    <w:uiPriority w:val="99"/>
    <w:semiHidden/>
    <w:rsid w:val="00A876C6"/>
  </w:style>
  <w:style w:type="paragraph" w:customStyle="1" w:styleId="ChapterTitle">
    <w:name w:val="Chapter Title"/>
    <w:basedOn w:val="Subtitle"/>
    <w:uiPriority w:val="99"/>
    <w:rsid w:val="00425244"/>
    <w:pPr>
      <w:pBdr>
        <w:bottom w:val="single" w:sz="4" w:space="5" w:color="auto"/>
      </w:pBdr>
    </w:pPr>
    <w:rPr>
      <w:sz w:val="20"/>
      <w:szCs w:val="20"/>
    </w:rPr>
  </w:style>
  <w:style w:type="paragraph" w:customStyle="1" w:styleId="AppendicesTitle">
    <w:name w:val="Appendices Title"/>
    <w:basedOn w:val="Heading2"/>
    <w:next w:val="Normal"/>
    <w:uiPriority w:val="99"/>
    <w:rsid w:val="00425244"/>
    <w:rPr>
      <w:lang w:val="en-GB"/>
    </w:rPr>
  </w:style>
  <w:style w:type="character" w:styleId="Hyperlink">
    <w:name w:val="Hyperlink"/>
    <w:basedOn w:val="DefaultParagraphFont"/>
    <w:uiPriority w:val="99"/>
    <w:rsid w:val="00A876C6"/>
    <w:rPr>
      <w:color w:val="0000FF"/>
      <w:u w:val="single"/>
    </w:rPr>
  </w:style>
  <w:style w:type="paragraph" w:customStyle="1" w:styleId="ReferenceTitle">
    <w:name w:val="Reference Title"/>
    <w:next w:val="ReferenceText"/>
    <w:uiPriority w:val="99"/>
    <w:rsid w:val="00425244"/>
    <w:rPr>
      <w:rFonts w:ascii="Arial Black" w:hAnsi="Arial Black" w:cs="Arial Black"/>
      <w:kern w:val="32"/>
      <w:sz w:val="18"/>
      <w:szCs w:val="18"/>
      <w:lang w:val="en-GB" w:eastAsia="en-US"/>
    </w:rPr>
  </w:style>
  <w:style w:type="paragraph" w:customStyle="1" w:styleId="ReferenceText">
    <w:name w:val="Reference Text"/>
    <w:uiPriority w:val="99"/>
    <w:rsid w:val="00425244"/>
    <w:rPr>
      <w:rFonts w:ascii="Arial" w:hAnsi="Arial" w:cs="Arial"/>
      <w:kern w:val="32"/>
      <w:sz w:val="18"/>
      <w:szCs w:val="18"/>
      <w:lang w:val="en-GB" w:eastAsia="en-US"/>
    </w:rPr>
  </w:style>
  <w:style w:type="paragraph" w:customStyle="1" w:styleId="Backpage">
    <w:name w:val="Back page"/>
    <w:uiPriority w:val="99"/>
    <w:rsid w:val="00A876C6"/>
    <w:rPr>
      <w:rFonts w:ascii="Arial Black" w:hAnsi="Arial Black" w:cs="Arial Black"/>
      <w:sz w:val="18"/>
      <w:szCs w:val="18"/>
      <w:lang w:val="en-GB" w:eastAsia="en-US"/>
    </w:rPr>
  </w:style>
  <w:style w:type="paragraph" w:customStyle="1" w:styleId="Copyright">
    <w:name w:val="Copyright"/>
    <w:uiPriority w:val="99"/>
    <w:semiHidden/>
    <w:rsid w:val="00425244"/>
    <w:pPr>
      <w:spacing w:line="220" w:lineRule="atLeast"/>
    </w:pPr>
    <w:rPr>
      <w:rFonts w:ascii="Garamond" w:hAnsi="Garamond" w:cs="Garamond"/>
      <w:sz w:val="20"/>
      <w:szCs w:val="20"/>
      <w:lang w:val="en-GB" w:eastAsia="en-US"/>
    </w:rPr>
  </w:style>
  <w:style w:type="paragraph" w:customStyle="1" w:styleId="TradingName">
    <w:name w:val="Trading Name"/>
    <w:uiPriority w:val="99"/>
    <w:semiHidden/>
    <w:rsid w:val="00513853"/>
    <w:pPr>
      <w:spacing w:line="180" w:lineRule="atLeast"/>
    </w:pPr>
    <w:rPr>
      <w:rFonts w:ascii="Arial Narrow" w:eastAsia="SimHei" w:hAnsi="Arial Narrow" w:cs="Arial Narrow"/>
      <w:b/>
      <w:bCs/>
      <w:sz w:val="14"/>
      <w:szCs w:val="14"/>
      <w:lang w:val="en-GB" w:eastAsia="en-US"/>
    </w:rPr>
  </w:style>
  <w:style w:type="paragraph" w:customStyle="1" w:styleId="PartnerAddress">
    <w:name w:val="Partner Address"/>
    <w:uiPriority w:val="99"/>
    <w:semiHidden/>
    <w:rsid w:val="00513853"/>
    <w:rPr>
      <w:rFonts w:ascii="Arial Narrow" w:eastAsia="SimHei" w:hAnsi="Arial Narrow" w:cs="Arial Narrow"/>
      <w:sz w:val="14"/>
      <w:szCs w:val="14"/>
      <w:lang w:val="en-GB" w:eastAsia="en-US"/>
    </w:rPr>
  </w:style>
  <w:style w:type="paragraph" w:customStyle="1" w:styleId="HalfLineBreak">
    <w:name w:val="Half Line Break"/>
    <w:uiPriority w:val="99"/>
    <w:semiHidden/>
    <w:rsid w:val="00966490"/>
    <w:pPr>
      <w:framePr w:wrap="auto" w:vAnchor="page" w:hAnchor="page" w:x="9016" w:y="3970"/>
      <w:suppressOverlap/>
    </w:pPr>
    <w:rPr>
      <w:rFonts w:ascii="Arial Narrow" w:eastAsia="SimHei" w:hAnsi="Arial Narrow" w:cs="Arial Narrow"/>
      <w:b/>
      <w:bCs/>
      <w:sz w:val="7"/>
      <w:szCs w:val="7"/>
      <w:lang w:val="en-GB" w:eastAsia="en-US"/>
    </w:rPr>
  </w:style>
  <w:style w:type="paragraph" w:customStyle="1" w:styleId="LetterFooter">
    <w:name w:val="Letter Footer"/>
    <w:uiPriority w:val="99"/>
    <w:semiHidden/>
    <w:rsid w:val="00A51555"/>
    <w:pPr>
      <w:spacing w:line="140" w:lineRule="atLeast"/>
    </w:pPr>
    <w:rPr>
      <w:rFonts w:ascii="Arial Narrow" w:hAnsi="Arial Narrow" w:cs="Arial Narrow"/>
      <w:sz w:val="11"/>
      <w:szCs w:val="11"/>
      <w:lang w:val="en-GB" w:eastAsia="en-US"/>
    </w:rPr>
  </w:style>
  <w:style w:type="paragraph" w:customStyle="1" w:styleId="LetterFooterTitle">
    <w:name w:val="Letter Footer Title"/>
    <w:next w:val="LetterFooter"/>
    <w:uiPriority w:val="99"/>
    <w:semiHidden/>
    <w:rsid w:val="00A51555"/>
    <w:pPr>
      <w:spacing w:line="140" w:lineRule="atLeast"/>
    </w:pPr>
    <w:rPr>
      <w:rFonts w:ascii="Arial Narrow" w:hAnsi="Arial Narrow" w:cs="Arial Narrow"/>
      <w:b/>
      <w:bCs/>
      <w:sz w:val="11"/>
      <w:szCs w:val="11"/>
      <w:lang w:val="en-GB" w:eastAsia="en-US"/>
    </w:rPr>
  </w:style>
  <w:style w:type="paragraph" w:customStyle="1" w:styleId="LandscapeHeader">
    <w:name w:val="Landscape Header"/>
    <w:basedOn w:val="Header"/>
    <w:uiPriority w:val="99"/>
    <w:semiHidden/>
    <w:rsid w:val="00425244"/>
    <w:pPr>
      <w:tabs>
        <w:tab w:val="clear" w:pos="8562"/>
        <w:tab w:val="right" w:pos="13438"/>
      </w:tabs>
    </w:pPr>
  </w:style>
  <w:style w:type="paragraph" w:customStyle="1" w:styleId="NumberedHeading1">
    <w:name w:val="Numbered Heading 1"/>
    <w:next w:val="BodyText"/>
    <w:uiPriority w:val="99"/>
    <w:rsid w:val="009E2AF9"/>
    <w:pPr>
      <w:numPr>
        <w:numId w:val="9"/>
      </w:numPr>
      <w:spacing w:line="260" w:lineRule="atLeast"/>
    </w:pPr>
    <w:rPr>
      <w:rFonts w:ascii="Arial Black" w:hAnsi="Arial Black" w:cs="Arial Black"/>
      <w:color w:val="4B217E"/>
      <w:sz w:val="19"/>
      <w:szCs w:val="19"/>
      <w:lang w:val="en-GB" w:eastAsia="en-US"/>
    </w:rPr>
  </w:style>
  <w:style w:type="paragraph" w:customStyle="1" w:styleId="NumberedHeading2">
    <w:name w:val="Numbered Heading 2"/>
    <w:next w:val="BodyText"/>
    <w:uiPriority w:val="99"/>
    <w:rsid w:val="00425244"/>
    <w:pPr>
      <w:numPr>
        <w:ilvl w:val="1"/>
        <w:numId w:val="9"/>
      </w:numPr>
      <w:spacing w:line="260" w:lineRule="atLeast"/>
    </w:pPr>
    <w:rPr>
      <w:rFonts w:ascii="Arial Black" w:hAnsi="Arial Black" w:cs="Arial Black"/>
      <w:color w:val="4B217E"/>
      <w:sz w:val="19"/>
      <w:szCs w:val="19"/>
      <w:lang w:val="en-GB" w:eastAsia="en-US"/>
    </w:rPr>
  </w:style>
  <w:style w:type="table" w:styleId="TableGrid">
    <w:name w:val="Table Grid"/>
    <w:basedOn w:val="TableNormal"/>
    <w:uiPriority w:val="99"/>
    <w:rsid w:val="0065033C"/>
    <w:rPr>
      <w:rFonts w:ascii="Garamond" w:hAnsi="Garamond" w:cs="Garamond"/>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
    <w:name w:val="Paragraph Bullet"/>
    <w:basedOn w:val="Normal"/>
    <w:uiPriority w:val="99"/>
    <w:rsid w:val="00425244"/>
    <w:pPr>
      <w:tabs>
        <w:tab w:val="num" w:pos="227"/>
      </w:tabs>
      <w:spacing w:after="284" w:line="280" w:lineRule="atLeast"/>
      <w:ind w:left="227" w:hanging="227"/>
    </w:pPr>
  </w:style>
  <w:style w:type="paragraph" w:customStyle="1" w:styleId="ParagraphBullet2">
    <w:name w:val="Paragraph Bullet 2"/>
    <w:basedOn w:val="Normal"/>
    <w:uiPriority w:val="99"/>
    <w:rsid w:val="00425244"/>
    <w:pPr>
      <w:tabs>
        <w:tab w:val="num" w:pos="454"/>
      </w:tabs>
      <w:spacing w:after="284" w:line="280" w:lineRule="atLeast"/>
      <w:ind w:left="454" w:hanging="227"/>
    </w:pPr>
  </w:style>
  <w:style w:type="paragraph" w:customStyle="1" w:styleId="MarginNotesHeading">
    <w:name w:val="Margin Notes Heading"/>
    <w:basedOn w:val="MarginNotes"/>
    <w:uiPriority w:val="99"/>
    <w:rsid w:val="00425244"/>
    <w:rPr>
      <w:b/>
      <w:bCs/>
    </w:rPr>
  </w:style>
  <w:style w:type="paragraph" w:styleId="Quote">
    <w:name w:val="Quote"/>
    <w:basedOn w:val="BodyText"/>
    <w:link w:val="QuoteChar"/>
    <w:uiPriority w:val="99"/>
    <w:qFormat/>
    <w:rsid w:val="00425244"/>
    <w:pPr>
      <w:spacing w:line="340" w:lineRule="atLeast"/>
    </w:pPr>
    <w:rPr>
      <w:sz w:val="28"/>
      <w:szCs w:val="28"/>
    </w:rPr>
  </w:style>
  <w:style w:type="character" w:customStyle="1" w:styleId="QuoteChar">
    <w:name w:val="Quote Char"/>
    <w:basedOn w:val="DefaultParagraphFont"/>
    <w:link w:val="Quote"/>
    <w:uiPriority w:val="99"/>
    <w:locked/>
    <w:rsid w:val="00DD4C57"/>
    <w:rPr>
      <w:rFonts w:ascii="Garamond" w:hAnsi="Garamond" w:cs="Garamond"/>
      <w:i/>
      <w:iCs/>
      <w:color w:val="000000"/>
      <w:lang w:eastAsia="en-US"/>
    </w:rPr>
  </w:style>
  <w:style w:type="paragraph" w:customStyle="1" w:styleId="ContactDetails">
    <w:name w:val="Contact Details"/>
    <w:uiPriority w:val="99"/>
    <w:rsid w:val="00425244"/>
    <w:rPr>
      <w:rFonts w:ascii="Arial" w:hAnsi="Arial" w:cs="Arial"/>
      <w:sz w:val="16"/>
      <w:szCs w:val="16"/>
      <w:lang w:val="en-GB" w:eastAsia="en-US"/>
    </w:rPr>
  </w:style>
  <w:style w:type="paragraph" w:customStyle="1" w:styleId="ContactDetailsTitle">
    <w:name w:val="Contact Details Title"/>
    <w:basedOn w:val="ContactDetails"/>
    <w:next w:val="ContactDetails"/>
    <w:uiPriority w:val="99"/>
    <w:rsid w:val="00425244"/>
    <w:rPr>
      <w:b/>
      <w:bCs/>
    </w:rPr>
  </w:style>
  <w:style w:type="paragraph" w:styleId="MacroText">
    <w:name w:val="macro"/>
    <w:link w:val="MacroTextChar"/>
    <w:uiPriority w:val="99"/>
    <w:semiHidden/>
    <w:rsid w:val="0042524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0"/>
      <w:szCs w:val="20"/>
      <w:lang w:val="en-GB" w:eastAsia="en-US"/>
    </w:rPr>
  </w:style>
  <w:style w:type="character" w:customStyle="1" w:styleId="MacroTextChar">
    <w:name w:val="Macro Text Char"/>
    <w:basedOn w:val="DefaultParagraphFont"/>
    <w:link w:val="MacroText"/>
    <w:uiPriority w:val="99"/>
    <w:semiHidden/>
    <w:locked/>
    <w:rsid w:val="002A6E79"/>
    <w:rPr>
      <w:rFonts w:ascii="Courier New" w:hAnsi="Courier New" w:cs="Courier New"/>
      <w:lang w:val="en-GB" w:eastAsia="en-US"/>
    </w:rPr>
  </w:style>
  <w:style w:type="paragraph" w:customStyle="1" w:styleId="Intro">
    <w:name w:val="Intro"/>
    <w:basedOn w:val="Normal"/>
    <w:uiPriority w:val="99"/>
    <w:rsid w:val="000A560C"/>
    <w:pPr>
      <w:spacing w:line="580" w:lineRule="exact"/>
    </w:pPr>
    <w:rPr>
      <w:rFonts w:ascii="Arial Narrow" w:hAnsi="Arial Narrow" w:cs="Arial Narrow"/>
      <w:sz w:val="40"/>
      <w:szCs w:val="40"/>
    </w:rPr>
  </w:style>
  <w:style w:type="paragraph" w:customStyle="1" w:styleId="Bullet1">
    <w:name w:val="Bullet 1"/>
    <w:basedOn w:val="Normal"/>
    <w:uiPriority w:val="99"/>
    <w:rsid w:val="000A560C"/>
    <w:pPr>
      <w:tabs>
        <w:tab w:val="left" w:pos="227"/>
        <w:tab w:val="num" w:pos="425"/>
      </w:tabs>
      <w:ind w:left="425" w:hanging="425"/>
    </w:pPr>
  </w:style>
  <w:style w:type="paragraph" w:customStyle="1" w:styleId="Bullet2">
    <w:name w:val="Bullet 2"/>
    <w:basedOn w:val="Normal"/>
    <w:uiPriority w:val="99"/>
    <w:rsid w:val="000A560C"/>
    <w:pPr>
      <w:tabs>
        <w:tab w:val="left" w:pos="454"/>
        <w:tab w:val="num" w:pos="488"/>
      </w:tabs>
      <w:spacing w:after="120"/>
      <w:ind w:left="681" w:hanging="454"/>
    </w:pPr>
  </w:style>
  <w:style w:type="paragraph" w:customStyle="1" w:styleId="StyleRight">
    <w:name w:val="Style Right"/>
    <w:basedOn w:val="Normal"/>
    <w:uiPriority w:val="99"/>
    <w:rsid w:val="000A560C"/>
    <w:pPr>
      <w:spacing w:after="284"/>
      <w:jc w:val="right"/>
    </w:pPr>
    <w:rPr>
      <w:b/>
      <w:bCs/>
    </w:rPr>
  </w:style>
  <w:style w:type="paragraph" w:customStyle="1" w:styleId="Numberheading1">
    <w:name w:val="Number heading 1"/>
    <w:basedOn w:val="Normal"/>
    <w:autoRedefine/>
    <w:uiPriority w:val="99"/>
    <w:rsid w:val="000A560C"/>
    <w:pPr>
      <w:keepNext/>
      <w:keepLines/>
      <w:ind w:left="567" w:hanging="567"/>
    </w:pPr>
    <w:rPr>
      <w:rFonts w:ascii="Arial Black" w:hAnsi="Arial Black" w:cs="Arial Black"/>
      <w:color w:val="4B217E"/>
    </w:rPr>
  </w:style>
  <w:style w:type="paragraph" w:customStyle="1" w:styleId="TableHeading2">
    <w:name w:val="Table Heading 2"/>
    <w:basedOn w:val="TableText"/>
    <w:uiPriority w:val="99"/>
    <w:rsid w:val="000A560C"/>
    <w:pPr>
      <w:keepNext/>
      <w:keepLines/>
      <w:tabs>
        <w:tab w:val="right" w:pos="8239"/>
      </w:tabs>
    </w:pPr>
    <w:rPr>
      <w:b/>
      <w:bCs/>
      <w:sz w:val="18"/>
      <w:szCs w:val="18"/>
    </w:rPr>
  </w:style>
  <w:style w:type="paragraph" w:customStyle="1" w:styleId="Numberheading2">
    <w:name w:val="Number heading 2"/>
    <w:basedOn w:val="Normal"/>
    <w:uiPriority w:val="99"/>
    <w:rsid w:val="000A560C"/>
    <w:pPr>
      <w:keepNext/>
      <w:keepLines/>
      <w:ind w:left="567" w:hanging="567"/>
    </w:pPr>
    <w:rPr>
      <w:rFonts w:ascii="Arial Black" w:hAnsi="Arial Black" w:cs="Arial Black"/>
      <w:i/>
      <w:iCs/>
      <w:color w:val="4B217E"/>
      <w:sz w:val="19"/>
      <w:szCs w:val="19"/>
      <w:lang w:eastAsia="de-DE"/>
    </w:rPr>
  </w:style>
  <w:style w:type="character" w:styleId="FollowedHyperlink">
    <w:name w:val="FollowedHyperlink"/>
    <w:basedOn w:val="DefaultParagraphFont"/>
    <w:uiPriority w:val="99"/>
    <w:rsid w:val="000A560C"/>
    <w:rPr>
      <w:color w:val="800080"/>
      <w:u w:val="single"/>
    </w:rPr>
  </w:style>
  <w:style w:type="paragraph" w:styleId="Index1">
    <w:name w:val="index 1"/>
    <w:basedOn w:val="Normal"/>
    <w:next w:val="Normal"/>
    <w:autoRedefine/>
    <w:uiPriority w:val="99"/>
    <w:semiHidden/>
    <w:rsid w:val="000A560C"/>
    <w:pPr>
      <w:spacing w:after="120"/>
    </w:pPr>
    <w:rPr>
      <w:lang w:eastAsia="de-DE"/>
    </w:rPr>
  </w:style>
  <w:style w:type="paragraph" w:styleId="IndexHeading">
    <w:name w:val="index heading"/>
    <w:basedOn w:val="Normal"/>
    <w:next w:val="Index1"/>
    <w:uiPriority w:val="99"/>
    <w:semiHidden/>
    <w:rsid w:val="000A560C"/>
    <w:pPr>
      <w:spacing w:after="120"/>
    </w:pPr>
  </w:style>
  <w:style w:type="paragraph" w:customStyle="1" w:styleId="Verweis">
    <w:name w:val="Verweis"/>
    <w:basedOn w:val="SectionTitle"/>
    <w:uiPriority w:val="99"/>
    <w:rsid w:val="000A560C"/>
    <w:pPr>
      <w:spacing w:after="1000" w:line="580" w:lineRule="exact"/>
    </w:pPr>
    <w:rPr>
      <w:rFonts w:ascii="Arial Narrow" w:hAnsi="Arial Narrow" w:cs="Arial Narrow"/>
      <w:b/>
      <w:bCs/>
      <w:color w:val="FF6300"/>
      <w:sz w:val="40"/>
      <w:szCs w:val="40"/>
    </w:rPr>
  </w:style>
  <w:style w:type="paragraph" w:customStyle="1" w:styleId="Reference">
    <w:name w:val="Reference"/>
    <w:basedOn w:val="Verweis"/>
    <w:uiPriority w:val="99"/>
    <w:rsid w:val="000A560C"/>
    <w:pPr>
      <w:spacing w:after="0" w:line="240" w:lineRule="auto"/>
    </w:pPr>
    <w:rPr>
      <w:rFonts w:ascii="Garamond" w:hAnsi="Garamond" w:cs="Garamond"/>
      <w:b w:val="0"/>
      <w:bCs w:val="0"/>
      <w:color w:val="auto"/>
      <w:sz w:val="22"/>
      <w:szCs w:val="22"/>
    </w:rPr>
  </w:style>
  <w:style w:type="paragraph" w:customStyle="1" w:styleId="incerpt1">
    <w:name w:val="incerpt1"/>
    <w:basedOn w:val="Normal"/>
    <w:uiPriority w:val="99"/>
    <w:rsid w:val="000A560C"/>
    <w:pPr>
      <w:spacing w:after="120"/>
      <w:ind w:left="650" w:hanging="360"/>
    </w:pPr>
  </w:style>
  <w:style w:type="paragraph" w:customStyle="1" w:styleId="incerpt">
    <w:name w:val="incerpt"/>
    <w:basedOn w:val="Normal"/>
    <w:uiPriority w:val="99"/>
    <w:rsid w:val="000A560C"/>
    <w:pPr>
      <w:spacing w:after="120"/>
      <w:ind w:left="290" w:hanging="180"/>
    </w:pPr>
  </w:style>
  <w:style w:type="paragraph" w:customStyle="1" w:styleId="Heading30">
    <w:name w:val="Heading3"/>
    <w:basedOn w:val="Normal"/>
    <w:uiPriority w:val="99"/>
    <w:rsid w:val="000A560C"/>
    <w:pPr>
      <w:spacing w:after="120"/>
    </w:pPr>
    <w:rPr>
      <w:b/>
      <w:bCs/>
      <w:i/>
      <w:iCs/>
    </w:rPr>
  </w:style>
  <w:style w:type="paragraph" w:customStyle="1" w:styleId="h">
    <w:name w:val="h"/>
    <w:basedOn w:val="Normal"/>
    <w:uiPriority w:val="99"/>
    <w:rsid w:val="000A560C"/>
    <w:pPr>
      <w:spacing w:after="120"/>
    </w:pPr>
    <w:rPr>
      <w:lang w:eastAsia="de-DE"/>
    </w:rPr>
  </w:style>
  <w:style w:type="paragraph" w:styleId="List">
    <w:name w:val="List"/>
    <w:basedOn w:val="IndexHeading"/>
    <w:uiPriority w:val="99"/>
    <w:rsid w:val="000A560C"/>
    <w:pPr>
      <w:tabs>
        <w:tab w:val="left" w:pos="2010"/>
      </w:tabs>
    </w:pPr>
  </w:style>
  <w:style w:type="paragraph" w:styleId="FootnoteText">
    <w:name w:val="footnote text"/>
    <w:basedOn w:val="Normal"/>
    <w:link w:val="FootnoteTextChar"/>
    <w:uiPriority w:val="99"/>
    <w:semiHidden/>
    <w:rsid w:val="000A560C"/>
    <w:pPr>
      <w:spacing w:after="120"/>
      <w:ind w:left="1080" w:hanging="1080"/>
    </w:pPr>
    <w:rPr>
      <w:sz w:val="20"/>
      <w:szCs w:val="20"/>
    </w:rPr>
  </w:style>
  <w:style w:type="character" w:customStyle="1" w:styleId="FootnoteTextChar">
    <w:name w:val="Footnote Text Char"/>
    <w:basedOn w:val="DefaultParagraphFont"/>
    <w:link w:val="FootnoteText"/>
    <w:uiPriority w:val="99"/>
    <w:semiHidden/>
    <w:locked/>
    <w:rsid w:val="00652CAE"/>
    <w:rPr>
      <w:rFonts w:ascii="Garamond" w:hAnsi="Garamond" w:cs="Garamond"/>
      <w:lang w:eastAsia="en-US"/>
    </w:rPr>
  </w:style>
  <w:style w:type="character" w:styleId="FootnoteReference">
    <w:name w:val="footnote reference"/>
    <w:basedOn w:val="DefaultParagraphFont"/>
    <w:uiPriority w:val="99"/>
    <w:semiHidden/>
    <w:rsid w:val="000A560C"/>
    <w:rPr>
      <w:vertAlign w:val="superscript"/>
    </w:rPr>
  </w:style>
  <w:style w:type="paragraph" w:customStyle="1" w:styleId="standards">
    <w:name w:val="standards"/>
    <w:basedOn w:val="Numberheading2"/>
    <w:uiPriority w:val="99"/>
    <w:rsid w:val="000A560C"/>
  </w:style>
  <w:style w:type="paragraph" w:customStyle="1" w:styleId="StyleNumberheading2Garamond12ptBoldAuto">
    <w:name w:val="Style Number heading 2 + Garamond 12 pt Bold Auto"/>
    <w:basedOn w:val="Numberheading2"/>
    <w:uiPriority w:val="99"/>
    <w:rsid w:val="000A560C"/>
    <w:rPr>
      <w:rFonts w:ascii="Garamond" w:hAnsi="Garamond" w:cs="Garamond"/>
      <w:b/>
      <w:bCs/>
      <w:color w:val="auto"/>
      <w:sz w:val="24"/>
      <w:szCs w:val="24"/>
    </w:rPr>
  </w:style>
  <w:style w:type="paragraph" w:customStyle="1" w:styleId="xl28">
    <w:name w:val="xl28"/>
    <w:basedOn w:val="Normal"/>
    <w:uiPriority w:val="99"/>
    <w:rsid w:val="000A560C"/>
    <w:pPr>
      <w:spacing w:before="100" w:beforeAutospacing="1" w:after="100" w:afterAutospacing="1"/>
    </w:pPr>
    <w:rPr>
      <w:rFonts w:ascii="Arial Black" w:hAnsi="Arial Black" w:cs="Arial Black"/>
      <w:sz w:val="19"/>
      <w:szCs w:val="19"/>
      <w:lang w:val="de-DE" w:eastAsia="de-DE"/>
    </w:rPr>
  </w:style>
  <w:style w:type="paragraph" w:customStyle="1" w:styleId="xl29">
    <w:name w:val="xl29"/>
    <w:basedOn w:val="Normal"/>
    <w:uiPriority w:val="99"/>
    <w:rsid w:val="000A560C"/>
    <w:pPr>
      <w:spacing w:before="100" w:beforeAutospacing="1" w:after="100" w:afterAutospacing="1"/>
      <w:textAlignment w:val="top"/>
    </w:pPr>
    <w:rPr>
      <w:rFonts w:ascii="Arial Narrow" w:hAnsi="Arial Narrow" w:cs="Arial Narrow"/>
      <w:sz w:val="16"/>
      <w:szCs w:val="16"/>
      <w:lang w:val="de-DE" w:eastAsia="de-DE"/>
    </w:rPr>
  </w:style>
  <w:style w:type="paragraph" w:customStyle="1" w:styleId="xl30">
    <w:name w:val="xl30"/>
    <w:basedOn w:val="Normal"/>
    <w:uiPriority w:val="99"/>
    <w:rsid w:val="000A560C"/>
    <w:pPr>
      <w:spacing w:before="100" w:beforeAutospacing="1" w:after="100" w:afterAutospacing="1"/>
      <w:textAlignment w:val="top"/>
    </w:pPr>
    <w:rPr>
      <w:sz w:val="24"/>
      <w:szCs w:val="24"/>
      <w:lang w:val="de-DE" w:eastAsia="de-DE"/>
    </w:rPr>
  </w:style>
  <w:style w:type="paragraph" w:customStyle="1" w:styleId="xl31">
    <w:name w:val="xl31"/>
    <w:basedOn w:val="Normal"/>
    <w:uiPriority w:val="99"/>
    <w:rsid w:val="000A560C"/>
    <w:pPr>
      <w:spacing w:before="100" w:beforeAutospacing="1" w:after="100" w:afterAutospacing="1"/>
      <w:jc w:val="center"/>
    </w:pPr>
    <w:rPr>
      <w:sz w:val="24"/>
      <w:szCs w:val="24"/>
      <w:lang w:val="de-DE" w:eastAsia="de-DE"/>
    </w:rPr>
  </w:style>
  <w:style w:type="paragraph" w:customStyle="1" w:styleId="xl32">
    <w:name w:val="xl32"/>
    <w:basedOn w:val="Normal"/>
    <w:uiPriority w:val="99"/>
    <w:rsid w:val="000A560C"/>
    <w:pPr>
      <w:spacing w:before="100" w:beforeAutospacing="1" w:after="100" w:afterAutospacing="1"/>
      <w:jc w:val="right"/>
    </w:pPr>
    <w:rPr>
      <w:b/>
      <w:bCs/>
      <w:sz w:val="24"/>
      <w:szCs w:val="24"/>
      <w:lang w:val="de-DE" w:eastAsia="de-DE"/>
    </w:rPr>
  </w:style>
  <w:style w:type="paragraph" w:customStyle="1" w:styleId="xl33">
    <w:name w:val="xl33"/>
    <w:basedOn w:val="Normal"/>
    <w:uiPriority w:val="99"/>
    <w:rsid w:val="000A560C"/>
    <w:pPr>
      <w:spacing w:before="100" w:beforeAutospacing="1" w:after="100" w:afterAutospacing="1"/>
      <w:jc w:val="right"/>
    </w:pPr>
    <w:rPr>
      <w:sz w:val="24"/>
      <w:szCs w:val="24"/>
      <w:lang w:val="de-DE" w:eastAsia="de-DE"/>
    </w:rPr>
  </w:style>
  <w:style w:type="paragraph" w:customStyle="1" w:styleId="xl34">
    <w:name w:val="xl34"/>
    <w:basedOn w:val="Normal"/>
    <w:uiPriority w:val="99"/>
    <w:rsid w:val="000A560C"/>
    <w:pPr>
      <w:spacing w:before="100" w:beforeAutospacing="1" w:after="100" w:afterAutospacing="1"/>
    </w:pPr>
    <w:rPr>
      <w:sz w:val="24"/>
      <w:szCs w:val="24"/>
      <w:lang w:val="de-DE" w:eastAsia="de-DE"/>
    </w:rPr>
  </w:style>
  <w:style w:type="paragraph" w:customStyle="1" w:styleId="xl35">
    <w:name w:val="xl35"/>
    <w:basedOn w:val="Normal"/>
    <w:uiPriority w:val="99"/>
    <w:rsid w:val="000A560C"/>
    <w:pPr>
      <w:spacing w:before="100" w:beforeAutospacing="1" w:after="100" w:afterAutospacing="1"/>
      <w:textAlignment w:val="top"/>
    </w:pPr>
    <w:rPr>
      <w:rFonts w:ascii="Arial Black" w:hAnsi="Arial Black" w:cs="Arial Black"/>
      <w:sz w:val="19"/>
      <w:szCs w:val="19"/>
      <w:lang w:val="de-DE" w:eastAsia="de-DE"/>
    </w:rPr>
  </w:style>
  <w:style w:type="paragraph" w:customStyle="1" w:styleId="xl36">
    <w:name w:val="xl36"/>
    <w:basedOn w:val="Normal"/>
    <w:uiPriority w:val="99"/>
    <w:rsid w:val="000A560C"/>
    <w:pPr>
      <w:spacing w:before="100" w:beforeAutospacing="1" w:after="100" w:afterAutospacing="1"/>
      <w:textAlignment w:val="top"/>
    </w:pPr>
    <w:rPr>
      <w:b/>
      <w:bCs/>
      <w:sz w:val="24"/>
      <w:szCs w:val="24"/>
      <w:lang w:val="de-DE" w:eastAsia="de-DE"/>
    </w:rPr>
  </w:style>
  <w:style w:type="paragraph" w:customStyle="1" w:styleId="xl37">
    <w:name w:val="xl37"/>
    <w:basedOn w:val="Normal"/>
    <w:uiPriority w:val="99"/>
    <w:rsid w:val="000A560C"/>
    <w:pPr>
      <w:spacing w:before="100" w:beforeAutospacing="1" w:after="100" w:afterAutospacing="1"/>
    </w:pPr>
    <w:rPr>
      <w:sz w:val="20"/>
      <w:szCs w:val="20"/>
      <w:lang w:val="de-DE" w:eastAsia="de-DE"/>
    </w:rPr>
  </w:style>
  <w:style w:type="paragraph" w:customStyle="1" w:styleId="xl38">
    <w:name w:val="xl38"/>
    <w:basedOn w:val="Normal"/>
    <w:uiPriority w:val="99"/>
    <w:rsid w:val="000A560C"/>
    <w:pPr>
      <w:spacing w:before="100" w:beforeAutospacing="1" w:after="100" w:afterAutospacing="1"/>
      <w:jc w:val="right"/>
    </w:pPr>
    <w:rPr>
      <w:sz w:val="24"/>
      <w:szCs w:val="24"/>
      <w:lang w:val="de-DE" w:eastAsia="de-DE"/>
    </w:rPr>
  </w:style>
  <w:style w:type="paragraph" w:customStyle="1" w:styleId="xl39">
    <w:name w:val="xl39"/>
    <w:basedOn w:val="Normal"/>
    <w:uiPriority w:val="99"/>
    <w:rsid w:val="000A560C"/>
    <w:pPr>
      <w:pBdr>
        <w:bottom w:val="single" w:sz="4" w:space="0" w:color="auto"/>
      </w:pBdr>
      <w:spacing w:before="100" w:beforeAutospacing="1" w:after="100" w:afterAutospacing="1"/>
      <w:jc w:val="right"/>
    </w:pPr>
    <w:rPr>
      <w:sz w:val="24"/>
      <w:szCs w:val="24"/>
      <w:lang w:val="de-DE" w:eastAsia="de-DE"/>
    </w:rPr>
  </w:style>
  <w:style w:type="paragraph" w:customStyle="1" w:styleId="xl40">
    <w:name w:val="xl40"/>
    <w:basedOn w:val="Normal"/>
    <w:uiPriority w:val="99"/>
    <w:rsid w:val="000A560C"/>
    <w:pPr>
      <w:pBdr>
        <w:bottom w:val="single" w:sz="4" w:space="0" w:color="auto"/>
      </w:pBdr>
      <w:spacing w:before="100" w:beforeAutospacing="1" w:after="100" w:afterAutospacing="1"/>
    </w:pPr>
    <w:rPr>
      <w:sz w:val="24"/>
      <w:szCs w:val="24"/>
      <w:lang w:val="de-DE" w:eastAsia="de-DE"/>
    </w:rPr>
  </w:style>
  <w:style w:type="paragraph" w:customStyle="1" w:styleId="xl41">
    <w:name w:val="xl41"/>
    <w:basedOn w:val="Normal"/>
    <w:uiPriority w:val="99"/>
    <w:rsid w:val="000A560C"/>
    <w:pPr>
      <w:pBdr>
        <w:bottom w:val="single" w:sz="4" w:space="0" w:color="auto"/>
      </w:pBdr>
      <w:spacing w:before="100" w:beforeAutospacing="1" w:after="100" w:afterAutospacing="1"/>
      <w:jc w:val="center"/>
    </w:pPr>
    <w:rPr>
      <w:sz w:val="24"/>
      <w:szCs w:val="24"/>
      <w:lang w:val="de-DE" w:eastAsia="de-DE"/>
    </w:rPr>
  </w:style>
  <w:style w:type="paragraph" w:customStyle="1" w:styleId="xl42">
    <w:name w:val="xl42"/>
    <w:basedOn w:val="Normal"/>
    <w:uiPriority w:val="99"/>
    <w:rsid w:val="000A560C"/>
    <w:pPr>
      <w:pBdr>
        <w:bottom w:val="single" w:sz="4" w:space="0" w:color="auto"/>
      </w:pBdr>
      <w:spacing w:before="100" w:beforeAutospacing="1" w:after="100" w:afterAutospacing="1"/>
      <w:jc w:val="right"/>
    </w:pPr>
    <w:rPr>
      <w:sz w:val="24"/>
      <w:szCs w:val="24"/>
      <w:lang w:val="de-DE" w:eastAsia="de-DE"/>
    </w:rPr>
  </w:style>
  <w:style w:type="paragraph" w:customStyle="1" w:styleId="xl43">
    <w:name w:val="xl43"/>
    <w:basedOn w:val="Normal"/>
    <w:uiPriority w:val="99"/>
    <w:rsid w:val="000A560C"/>
    <w:pPr>
      <w:spacing w:before="100" w:beforeAutospacing="1" w:after="100" w:afterAutospacing="1"/>
      <w:textAlignment w:val="top"/>
    </w:pPr>
    <w:rPr>
      <w:b/>
      <w:bCs/>
      <w:sz w:val="24"/>
      <w:szCs w:val="24"/>
      <w:lang w:val="de-DE" w:eastAsia="de-DE"/>
    </w:rPr>
  </w:style>
  <w:style w:type="paragraph" w:customStyle="1" w:styleId="xl44">
    <w:name w:val="xl44"/>
    <w:basedOn w:val="Normal"/>
    <w:uiPriority w:val="99"/>
    <w:rsid w:val="000A560C"/>
    <w:pPr>
      <w:pBdr>
        <w:top w:val="single" w:sz="4" w:space="0" w:color="auto"/>
        <w:bottom w:val="double" w:sz="6" w:space="0" w:color="auto"/>
      </w:pBdr>
      <w:spacing w:before="100" w:beforeAutospacing="1" w:after="100" w:afterAutospacing="1"/>
      <w:textAlignment w:val="top"/>
    </w:pPr>
    <w:rPr>
      <w:b/>
      <w:bCs/>
      <w:sz w:val="24"/>
      <w:szCs w:val="24"/>
      <w:lang w:val="de-DE" w:eastAsia="de-DE"/>
    </w:rPr>
  </w:style>
  <w:style w:type="paragraph" w:customStyle="1" w:styleId="xl45">
    <w:name w:val="xl45"/>
    <w:basedOn w:val="Normal"/>
    <w:uiPriority w:val="99"/>
    <w:rsid w:val="000A560C"/>
    <w:pPr>
      <w:spacing w:before="100" w:beforeAutospacing="1" w:after="100" w:afterAutospacing="1"/>
    </w:pPr>
    <w:rPr>
      <w:b/>
      <w:bCs/>
      <w:sz w:val="24"/>
      <w:szCs w:val="24"/>
      <w:lang w:val="de-DE" w:eastAsia="de-DE"/>
    </w:rPr>
  </w:style>
  <w:style w:type="paragraph" w:customStyle="1" w:styleId="xl46">
    <w:name w:val="xl46"/>
    <w:basedOn w:val="Normal"/>
    <w:uiPriority w:val="99"/>
    <w:rsid w:val="000A560C"/>
    <w:pPr>
      <w:spacing w:before="100" w:beforeAutospacing="1" w:after="100" w:afterAutospacing="1"/>
      <w:jc w:val="center"/>
      <w:textAlignment w:val="top"/>
    </w:pPr>
    <w:rPr>
      <w:b/>
      <w:bCs/>
      <w:sz w:val="24"/>
      <w:szCs w:val="24"/>
      <w:lang w:val="de-DE" w:eastAsia="de-DE"/>
    </w:rPr>
  </w:style>
  <w:style w:type="paragraph" w:styleId="NormalWeb">
    <w:name w:val="Normal (Web)"/>
    <w:basedOn w:val="Normal"/>
    <w:uiPriority w:val="99"/>
    <w:rsid w:val="000A560C"/>
    <w:pPr>
      <w:spacing w:before="100" w:beforeAutospacing="1" w:after="100" w:afterAutospacing="1"/>
    </w:pPr>
    <w:rPr>
      <w:sz w:val="24"/>
      <w:szCs w:val="24"/>
      <w:lang w:val="de-DE" w:eastAsia="de-DE"/>
    </w:rPr>
  </w:style>
  <w:style w:type="paragraph" w:customStyle="1" w:styleId="References">
    <w:name w:val="References"/>
    <w:basedOn w:val="Normal"/>
    <w:uiPriority w:val="99"/>
    <w:rsid w:val="000A560C"/>
    <w:pPr>
      <w:spacing w:after="120"/>
    </w:pPr>
    <w:rPr>
      <w:lang w:val="en-US"/>
    </w:rPr>
  </w:style>
  <w:style w:type="character" w:styleId="LineNumber">
    <w:name w:val="line number"/>
    <w:basedOn w:val="DefaultParagraphFont"/>
    <w:uiPriority w:val="99"/>
    <w:rsid w:val="000A560C"/>
  </w:style>
  <w:style w:type="paragraph" w:customStyle="1" w:styleId="Vblau">
    <w:name w:val="Vblau"/>
    <w:basedOn w:val="Normal"/>
    <w:link w:val="VblauZchn"/>
    <w:uiPriority w:val="99"/>
    <w:rsid w:val="000A560C"/>
    <w:pPr>
      <w:spacing w:after="120"/>
    </w:pPr>
  </w:style>
  <w:style w:type="character" w:customStyle="1" w:styleId="VblauZchn">
    <w:name w:val="Vblau Zchn"/>
    <w:link w:val="Vblau"/>
    <w:uiPriority w:val="99"/>
    <w:locked/>
    <w:rsid w:val="000A560C"/>
    <w:rPr>
      <w:rFonts w:ascii="Garamond" w:hAnsi="Garamond" w:cs="Garamond"/>
      <w:sz w:val="22"/>
      <w:szCs w:val="22"/>
      <w:lang w:eastAsia="en-US"/>
    </w:rPr>
  </w:style>
  <w:style w:type="character" w:customStyle="1" w:styleId="FormatvorlageBlau">
    <w:name w:val="Formatvorlage Blau"/>
    <w:uiPriority w:val="99"/>
    <w:rsid w:val="000A560C"/>
    <w:rPr>
      <w:color w:val="auto"/>
    </w:rPr>
  </w:style>
  <w:style w:type="paragraph" w:customStyle="1" w:styleId="Standard-section">
    <w:name w:val="Standard-section"/>
    <w:basedOn w:val="SectionTitle"/>
    <w:uiPriority w:val="99"/>
    <w:rsid w:val="000A560C"/>
    <w:pPr>
      <w:pageBreakBefore/>
      <w:spacing w:after="1000" w:line="580" w:lineRule="exact"/>
    </w:pPr>
    <w:rPr>
      <w:rFonts w:ascii="Arial Narrow" w:hAnsi="Arial Narrow" w:cs="Arial Narrow"/>
      <w:b/>
      <w:bCs/>
      <w:color w:val="FF6300"/>
      <w:sz w:val="40"/>
      <w:szCs w:val="40"/>
    </w:rPr>
  </w:style>
  <w:style w:type="paragraph" w:customStyle="1" w:styleId="H3-EFSsectiontitle">
    <w:name w:val="H3-EFS section title"/>
    <w:basedOn w:val="Normal"/>
    <w:uiPriority w:val="99"/>
    <w:rsid w:val="000A560C"/>
    <w:pPr>
      <w:keepLines/>
      <w:tabs>
        <w:tab w:val="num" w:pos="360"/>
      </w:tabs>
      <w:ind w:left="360" w:hanging="360"/>
    </w:pPr>
    <w:rPr>
      <w:rFonts w:ascii="Arial Black" w:hAnsi="Arial Black" w:cs="Arial Black"/>
      <w:color w:val="FF6600"/>
      <w:sz w:val="19"/>
      <w:szCs w:val="19"/>
    </w:rPr>
  </w:style>
  <w:style w:type="paragraph" w:customStyle="1" w:styleId="H4-HeadinginEFSwithnumber">
    <w:name w:val="H4-Heading in EFS with number"/>
    <w:basedOn w:val="Normal"/>
    <w:uiPriority w:val="99"/>
    <w:rsid w:val="000A560C"/>
    <w:pPr>
      <w:keepNext/>
      <w:keepLines/>
      <w:spacing w:before="360" w:after="100" w:afterAutospacing="1"/>
    </w:pPr>
    <w:rPr>
      <w:rFonts w:ascii="Arial Black" w:hAnsi="Arial Black" w:cs="Arial Black"/>
      <w:color w:val="FF6600"/>
      <w:sz w:val="19"/>
      <w:szCs w:val="19"/>
    </w:rPr>
  </w:style>
  <w:style w:type="paragraph" w:customStyle="1" w:styleId="Bulet">
    <w:name w:val="Bulet"/>
    <w:basedOn w:val="Normal"/>
    <w:uiPriority w:val="99"/>
    <w:rsid w:val="000A560C"/>
    <w:pPr>
      <w:spacing w:after="120"/>
    </w:pPr>
  </w:style>
  <w:style w:type="paragraph" w:customStyle="1" w:styleId="H4-HeadinginChecklist">
    <w:name w:val="H4-Heading in Checklist"/>
    <w:basedOn w:val="H3-EFSsectiontitle"/>
    <w:uiPriority w:val="99"/>
    <w:rsid w:val="000A560C"/>
    <w:pPr>
      <w:keepNext/>
      <w:tabs>
        <w:tab w:val="clear" w:pos="360"/>
      </w:tabs>
      <w:spacing w:before="360" w:after="100" w:afterAutospacing="1"/>
      <w:ind w:left="0" w:firstLine="0"/>
    </w:pPr>
  </w:style>
  <w:style w:type="paragraph" w:customStyle="1" w:styleId="StyleSectionTitleBoldCustomColorRGB255990After24">
    <w:name w:val="Style Section Title + Bold Custom Color(RGB(255990)) After:  24..."/>
    <w:basedOn w:val="SectionTitle"/>
    <w:uiPriority w:val="99"/>
    <w:rsid w:val="000A560C"/>
    <w:pPr>
      <w:spacing w:after="120" w:line="580" w:lineRule="exact"/>
    </w:pPr>
    <w:rPr>
      <w:color w:val="4B217E"/>
    </w:rPr>
  </w:style>
  <w:style w:type="paragraph" w:customStyle="1" w:styleId="StyleAfter12pt">
    <w:name w:val="Style After:  12 pt"/>
    <w:basedOn w:val="Normal"/>
    <w:autoRedefine/>
    <w:uiPriority w:val="99"/>
    <w:rsid w:val="000A560C"/>
    <w:pPr>
      <w:spacing w:after="120"/>
    </w:pPr>
  </w:style>
  <w:style w:type="paragraph" w:styleId="BalloonText">
    <w:name w:val="Balloon Text"/>
    <w:basedOn w:val="Normal"/>
    <w:link w:val="BalloonTextChar"/>
    <w:uiPriority w:val="99"/>
    <w:semiHidden/>
    <w:rsid w:val="002A1FA6"/>
    <w:pPr>
      <w:spacing w:after="12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2CAE"/>
    <w:rPr>
      <w:rFonts w:ascii="Tahoma" w:hAnsi="Tahoma" w:cs="Tahoma"/>
      <w:sz w:val="16"/>
      <w:szCs w:val="16"/>
      <w:lang w:eastAsia="en-US"/>
    </w:rPr>
  </w:style>
  <w:style w:type="paragraph" w:styleId="EndnoteText">
    <w:name w:val="endnote text"/>
    <w:basedOn w:val="Normal"/>
    <w:link w:val="EndnoteTextChar"/>
    <w:uiPriority w:val="99"/>
    <w:semiHidden/>
    <w:rsid w:val="00983A89"/>
    <w:pPr>
      <w:spacing w:after="120"/>
    </w:pPr>
    <w:rPr>
      <w:sz w:val="20"/>
      <w:szCs w:val="20"/>
    </w:rPr>
  </w:style>
  <w:style w:type="character" w:customStyle="1" w:styleId="EndnoteTextChar">
    <w:name w:val="Endnote Text Char"/>
    <w:basedOn w:val="DefaultParagraphFont"/>
    <w:link w:val="EndnoteText"/>
    <w:uiPriority w:val="99"/>
    <w:semiHidden/>
    <w:locked/>
    <w:rsid w:val="00DD4C57"/>
    <w:rPr>
      <w:rFonts w:ascii="Garamond" w:hAnsi="Garamond" w:cs="Garamond"/>
      <w:sz w:val="20"/>
      <w:szCs w:val="20"/>
      <w:lang w:eastAsia="en-US"/>
    </w:rPr>
  </w:style>
  <w:style w:type="character" w:styleId="EndnoteReference">
    <w:name w:val="endnote reference"/>
    <w:basedOn w:val="DefaultParagraphFont"/>
    <w:uiPriority w:val="99"/>
    <w:semiHidden/>
    <w:rsid w:val="00C50D2D"/>
    <w:rPr>
      <w:vertAlign w:val="superscript"/>
    </w:rPr>
  </w:style>
  <w:style w:type="paragraph" w:styleId="TOC4">
    <w:name w:val="toc 4"/>
    <w:basedOn w:val="Normal"/>
    <w:next w:val="Normal"/>
    <w:autoRedefine/>
    <w:uiPriority w:val="99"/>
    <w:semiHidden/>
    <w:rsid w:val="009139D6"/>
    <w:pPr>
      <w:ind w:left="660"/>
    </w:pPr>
  </w:style>
  <w:style w:type="paragraph" w:styleId="CommentText">
    <w:name w:val="annotation text"/>
    <w:basedOn w:val="Normal"/>
    <w:link w:val="CommentTextChar"/>
    <w:uiPriority w:val="99"/>
    <w:semiHidden/>
    <w:rsid w:val="00B12A45"/>
    <w:rPr>
      <w:sz w:val="20"/>
      <w:szCs w:val="20"/>
    </w:rPr>
  </w:style>
  <w:style w:type="character" w:customStyle="1" w:styleId="CommentTextChar">
    <w:name w:val="Comment Text Char"/>
    <w:basedOn w:val="DefaultParagraphFont"/>
    <w:link w:val="CommentText"/>
    <w:uiPriority w:val="99"/>
    <w:semiHidden/>
    <w:locked/>
    <w:rsid w:val="00CB5D6D"/>
    <w:rPr>
      <w:rFonts w:ascii="Garamond" w:hAnsi="Garamond" w:cs="Garamond"/>
      <w:lang w:val="bg-BG" w:eastAsia="en-US"/>
    </w:rPr>
  </w:style>
  <w:style w:type="paragraph" w:styleId="CommentSubject">
    <w:name w:val="annotation subject"/>
    <w:basedOn w:val="CommentText"/>
    <w:next w:val="CommentText"/>
    <w:link w:val="CommentSubjectChar"/>
    <w:uiPriority w:val="99"/>
    <w:semiHidden/>
    <w:rsid w:val="00B12A45"/>
    <w:pPr>
      <w:spacing w:after="120"/>
    </w:pPr>
    <w:rPr>
      <w:b/>
      <w:bCs/>
    </w:rPr>
  </w:style>
  <w:style w:type="character" w:customStyle="1" w:styleId="CommentSubjectChar">
    <w:name w:val="Comment Subject Char"/>
    <w:basedOn w:val="CommentTextChar"/>
    <w:link w:val="CommentSubject"/>
    <w:uiPriority w:val="99"/>
    <w:semiHidden/>
    <w:locked/>
    <w:rsid w:val="00DD4C57"/>
    <w:rPr>
      <w:rFonts w:ascii="Garamond" w:hAnsi="Garamond" w:cs="Garamond"/>
      <w:b/>
      <w:bCs/>
      <w:sz w:val="20"/>
      <w:szCs w:val="20"/>
      <w:lang w:val="bg-BG" w:eastAsia="en-US"/>
    </w:rPr>
  </w:style>
  <w:style w:type="paragraph" w:customStyle="1" w:styleId="Style1">
    <w:name w:val="Style1"/>
    <w:basedOn w:val="SectionTitle"/>
    <w:next w:val="BodyText"/>
    <w:uiPriority w:val="99"/>
    <w:rsid w:val="00CD4ACE"/>
    <w:pPr>
      <w:spacing w:after="240"/>
    </w:pPr>
  </w:style>
  <w:style w:type="paragraph" w:customStyle="1" w:styleId="Paragraph">
    <w:name w:val="Paragraph"/>
    <w:basedOn w:val="BodyText"/>
    <w:uiPriority w:val="99"/>
    <w:rsid w:val="00A12262"/>
    <w:pPr>
      <w:spacing w:after="0"/>
    </w:pPr>
  </w:style>
  <w:style w:type="paragraph" w:customStyle="1" w:styleId="sectiontitlenottoc">
    <w:name w:val="sectiontitle_nottoc"/>
    <w:basedOn w:val="SectionTitle"/>
    <w:next w:val="BodyText"/>
    <w:uiPriority w:val="99"/>
    <w:rsid w:val="004B0177"/>
  </w:style>
  <w:style w:type="character" w:customStyle="1" w:styleId="SectionTitleChar">
    <w:name w:val="Section Title Char"/>
    <w:link w:val="SectionTitle"/>
    <w:uiPriority w:val="99"/>
    <w:locked/>
    <w:rsid w:val="00521545"/>
    <w:rPr>
      <w:rFonts w:ascii="Garamond" w:hAnsi="Garamond" w:cs="Garamond"/>
      <w:sz w:val="48"/>
      <w:szCs w:val="48"/>
      <w:lang w:val="en-GB" w:eastAsia="en-US"/>
    </w:rPr>
  </w:style>
  <w:style w:type="paragraph" w:styleId="DocumentMap">
    <w:name w:val="Document Map"/>
    <w:basedOn w:val="Normal"/>
    <w:link w:val="DocumentMapChar"/>
    <w:uiPriority w:val="99"/>
    <w:semiHidden/>
    <w:rsid w:val="003F755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DD4C57"/>
    <w:rPr>
      <w:sz w:val="2"/>
      <w:szCs w:val="2"/>
      <w:lang w:eastAsia="en-US"/>
    </w:rPr>
  </w:style>
  <w:style w:type="character" w:customStyle="1" w:styleId="Disclosuretext">
    <w:name w:val="Disclosure text"/>
    <w:uiPriority w:val="99"/>
    <w:rsid w:val="00FD1141"/>
    <w:rPr>
      <w:sz w:val="20"/>
      <w:szCs w:val="20"/>
    </w:rPr>
  </w:style>
  <w:style w:type="paragraph" w:styleId="TableofFigures">
    <w:name w:val="table of figures"/>
    <w:basedOn w:val="Normal"/>
    <w:next w:val="Normal"/>
    <w:uiPriority w:val="99"/>
    <w:semiHidden/>
    <w:rsid w:val="00FD1141"/>
    <w:pPr>
      <w:spacing w:after="284"/>
      <w:ind w:left="440" w:hanging="440"/>
    </w:pPr>
  </w:style>
  <w:style w:type="paragraph" w:styleId="BodyText2">
    <w:name w:val="Body Text 2"/>
    <w:basedOn w:val="Normal"/>
    <w:link w:val="BodyText2Char"/>
    <w:uiPriority w:val="99"/>
    <w:rsid w:val="00F54704"/>
    <w:pPr>
      <w:spacing w:after="120" w:line="480" w:lineRule="auto"/>
    </w:pPr>
  </w:style>
  <w:style w:type="character" w:customStyle="1" w:styleId="BodyText2Char">
    <w:name w:val="Body Text 2 Char"/>
    <w:basedOn w:val="DefaultParagraphFont"/>
    <w:link w:val="BodyText2"/>
    <w:uiPriority w:val="99"/>
    <w:locked/>
    <w:rsid w:val="004C2CC9"/>
    <w:rPr>
      <w:rFonts w:ascii="Garamond" w:hAnsi="Garamond" w:cs="Garamond"/>
      <w:sz w:val="22"/>
      <w:szCs w:val="22"/>
      <w:lang w:eastAsia="en-US"/>
    </w:rPr>
  </w:style>
  <w:style w:type="character" w:styleId="Emphasis">
    <w:name w:val="Emphasis"/>
    <w:basedOn w:val="DefaultParagraphFont"/>
    <w:qFormat/>
    <w:rsid w:val="00652CAE"/>
    <w:rPr>
      <w:i/>
      <w:iCs/>
    </w:rPr>
  </w:style>
  <w:style w:type="paragraph" w:styleId="BodyText3">
    <w:name w:val="Body Text 3"/>
    <w:basedOn w:val="Normal"/>
    <w:link w:val="BodyText3Char"/>
    <w:uiPriority w:val="99"/>
    <w:rsid w:val="00915F74"/>
    <w:pPr>
      <w:spacing w:after="120"/>
    </w:pPr>
    <w:rPr>
      <w:sz w:val="16"/>
      <w:szCs w:val="16"/>
    </w:rPr>
  </w:style>
  <w:style w:type="character" w:customStyle="1" w:styleId="BodyText3Char">
    <w:name w:val="Body Text 3 Char"/>
    <w:basedOn w:val="DefaultParagraphFont"/>
    <w:link w:val="BodyText3"/>
    <w:uiPriority w:val="99"/>
    <w:locked/>
    <w:rsid w:val="00915F74"/>
    <w:rPr>
      <w:rFonts w:ascii="Garamond" w:hAnsi="Garamond" w:cs="Garamond"/>
      <w:sz w:val="16"/>
      <w:szCs w:val="16"/>
      <w:lang w:eastAsia="en-US"/>
    </w:rPr>
  </w:style>
  <w:style w:type="character" w:styleId="CommentReference">
    <w:name w:val="annotation reference"/>
    <w:basedOn w:val="DefaultParagraphFont"/>
    <w:uiPriority w:val="99"/>
    <w:semiHidden/>
    <w:rsid w:val="00255497"/>
    <w:rPr>
      <w:sz w:val="16"/>
      <w:szCs w:val="16"/>
    </w:rPr>
  </w:style>
  <w:style w:type="character" w:customStyle="1" w:styleId="TableTextChar1">
    <w:name w:val="Table Text Char1"/>
    <w:link w:val="TableText"/>
    <w:uiPriority w:val="99"/>
    <w:locked/>
    <w:rsid w:val="00913416"/>
    <w:rPr>
      <w:rFonts w:ascii="Arial" w:hAnsi="Arial" w:cs="Arial"/>
      <w:sz w:val="16"/>
      <w:szCs w:val="16"/>
      <w:lang w:val="en-GB" w:eastAsia="en-US"/>
    </w:rPr>
  </w:style>
  <w:style w:type="paragraph" w:styleId="BodyTextIndent2">
    <w:name w:val="Body Text Indent 2"/>
    <w:basedOn w:val="Normal"/>
    <w:link w:val="BodyTextIndent2Char"/>
    <w:uiPriority w:val="99"/>
    <w:rsid w:val="007C05AB"/>
    <w:pPr>
      <w:spacing w:after="120" w:line="480" w:lineRule="auto"/>
      <w:ind w:left="360"/>
    </w:pPr>
    <w:rPr>
      <w:lang w:eastAsia="bg-BG"/>
    </w:rPr>
  </w:style>
  <w:style w:type="character" w:customStyle="1" w:styleId="BodyTextIndent2Char">
    <w:name w:val="Body Text Indent 2 Char"/>
    <w:basedOn w:val="DefaultParagraphFont"/>
    <w:link w:val="BodyTextIndent2"/>
    <w:uiPriority w:val="99"/>
    <w:locked/>
    <w:rsid w:val="007C05AB"/>
    <w:rPr>
      <w:rFonts w:ascii="Garamond" w:hAnsi="Garamond" w:cs="Garamond"/>
      <w:sz w:val="22"/>
      <w:szCs w:val="22"/>
      <w:lang w:val="bg-BG"/>
    </w:rPr>
  </w:style>
  <w:style w:type="paragraph" w:customStyle="1" w:styleId="xl24">
    <w:name w:val="xl24"/>
    <w:basedOn w:val="Normal"/>
    <w:uiPriority w:val="99"/>
    <w:rsid w:val="006E2711"/>
    <w:pPr>
      <w:spacing w:before="100" w:beforeAutospacing="1" w:after="100" w:afterAutospacing="1"/>
      <w:jc w:val="right"/>
      <w:textAlignment w:val="top"/>
    </w:pPr>
    <w:rPr>
      <w:sz w:val="24"/>
      <w:szCs w:val="24"/>
      <w:lang w:val="en-GB"/>
    </w:rPr>
  </w:style>
  <w:style w:type="paragraph" w:customStyle="1" w:styleId="euroheading">
    <w:name w:val="euro heading"/>
    <w:basedOn w:val="Normal"/>
    <w:uiPriority w:val="99"/>
    <w:rsid w:val="002A6E79"/>
    <w:pPr>
      <w:widowControl w:val="0"/>
      <w:overflowPunct w:val="0"/>
      <w:autoSpaceDE w:val="0"/>
      <w:autoSpaceDN w:val="0"/>
      <w:adjustRightInd w:val="0"/>
      <w:spacing w:line="260" w:lineRule="atLeast"/>
      <w:jc w:val="both"/>
      <w:textAlignment w:val="baseline"/>
    </w:pPr>
    <w:rPr>
      <w:i/>
      <w:iCs/>
      <w:sz w:val="20"/>
      <w:szCs w:val="20"/>
      <w:lang w:val="en-GB"/>
    </w:rPr>
  </w:style>
  <w:style w:type="paragraph" w:customStyle="1" w:styleId="Default">
    <w:name w:val="Default"/>
    <w:rsid w:val="00185F64"/>
    <w:pPr>
      <w:autoSpaceDE w:val="0"/>
      <w:autoSpaceDN w:val="0"/>
      <w:adjustRightInd w:val="0"/>
    </w:pPr>
    <w:rPr>
      <w:rFonts w:ascii="Georgia" w:hAnsi="Georgia" w:cs="Georgia"/>
      <w:color w:val="000000"/>
      <w:sz w:val="24"/>
      <w:szCs w:val="24"/>
      <w:lang w:val="en-US" w:eastAsia="en-US"/>
    </w:rPr>
  </w:style>
  <w:style w:type="paragraph" w:styleId="ListParagraph">
    <w:name w:val="List Paragraph"/>
    <w:basedOn w:val="Normal"/>
    <w:qFormat/>
    <w:rsid w:val="003F4F84"/>
    <w:pPr>
      <w:ind w:left="720"/>
    </w:pPr>
  </w:style>
  <w:style w:type="paragraph" w:customStyle="1" w:styleId="CharCharCharCharCharChar">
    <w:name w:val="Знак Знак Char Char Char Char Char Char"/>
    <w:basedOn w:val="Normal"/>
    <w:uiPriority w:val="99"/>
    <w:rsid w:val="005E0168"/>
    <w:pPr>
      <w:tabs>
        <w:tab w:val="left" w:pos="709"/>
      </w:tabs>
    </w:pPr>
    <w:rPr>
      <w:rFonts w:ascii="Tahoma" w:hAnsi="Tahoma" w:cs="Tahoma"/>
      <w:sz w:val="24"/>
      <w:szCs w:val="24"/>
      <w:lang w:val="pl-PL" w:eastAsia="pl-PL"/>
    </w:rPr>
  </w:style>
  <w:style w:type="paragraph" w:customStyle="1" w:styleId="CharCharCharCharCharChar2">
    <w:name w:val="Знак Знак Char Char Char Char Char Char2"/>
    <w:basedOn w:val="Normal"/>
    <w:uiPriority w:val="99"/>
    <w:rsid w:val="00A17D02"/>
    <w:pPr>
      <w:tabs>
        <w:tab w:val="left" w:pos="709"/>
      </w:tabs>
    </w:pPr>
    <w:rPr>
      <w:rFonts w:ascii="Tahoma" w:hAnsi="Tahoma" w:cs="Tahoma"/>
      <w:sz w:val="24"/>
      <w:szCs w:val="24"/>
      <w:lang w:val="pl-PL" w:eastAsia="pl-PL"/>
    </w:rPr>
  </w:style>
  <w:style w:type="paragraph" w:customStyle="1" w:styleId="IAS">
    <w:name w:val="IAS"/>
    <w:basedOn w:val="Header"/>
    <w:uiPriority w:val="99"/>
    <w:rsid w:val="000C10CA"/>
    <w:pPr>
      <w:tabs>
        <w:tab w:val="clear" w:pos="8562"/>
      </w:tabs>
      <w:overflowPunct w:val="0"/>
      <w:autoSpaceDE w:val="0"/>
      <w:autoSpaceDN w:val="0"/>
      <w:adjustRightInd w:val="0"/>
      <w:spacing w:line="260" w:lineRule="exact"/>
      <w:textAlignment w:val="baseline"/>
    </w:pPr>
    <w:rPr>
      <w:rFonts w:ascii="Times" w:hAnsi="Times" w:cs="Times"/>
      <w:b w:val="0"/>
      <w:bCs w:val="0"/>
      <w:i/>
      <w:iCs/>
      <w:color w:val="auto"/>
      <w:sz w:val="20"/>
      <w:szCs w:val="20"/>
    </w:rPr>
  </w:style>
  <w:style w:type="paragraph" w:customStyle="1" w:styleId="bullet">
    <w:name w:val="bullet"/>
    <w:basedOn w:val="Normal"/>
    <w:uiPriority w:val="99"/>
    <w:rsid w:val="000C10CA"/>
    <w:pPr>
      <w:tabs>
        <w:tab w:val="left" w:pos="360"/>
      </w:tabs>
      <w:spacing w:line="260" w:lineRule="atLeast"/>
      <w:ind w:left="357" w:hanging="357"/>
      <w:jc w:val="both"/>
    </w:pPr>
    <w:rPr>
      <w:sz w:val="20"/>
      <w:szCs w:val="20"/>
      <w:lang w:val="en-GB"/>
    </w:rPr>
  </w:style>
  <w:style w:type="paragraph" w:customStyle="1" w:styleId="CharCharCharCharCharChar1">
    <w:name w:val="Знак Знак Char Char Char Char Char Char1"/>
    <w:basedOn w:val="Normal"/>
    <w:uiPriority w:val="99"/>
    <w:rsid w:val="00CF74DA"/>
    <w:pPr>
      <w:tabs>
        <w:tab w:val="left" w:pos="709"/>
      </w:tabs>
    </w:pPr>
    <w:rPr>
      <w:rFonts w:ascii="Tahoma" w:hAnsi="Tahoma" w:cs="Tahoma"/>
      <w:sz w:val="24"/>
      <w:szCs w:val="24"/>
      <w:lang w:val="pl-PL" w:eastAsia="pl-PL"/>
    </w:rPr>
  </w:style>
  <w:style w:type="paragraph" w:styleId="Revision">
    <w:name w:val="Revision"/>
    <w:hidden/>
    <w:uiPriority w:val="99"/>
    <w:semiHidden/>
    <w:rsid w:val="000F05BE"/>
    <w:rPr>
      <w:rFonts w:ascii="Garamond" w:hAnsi="Garamond" w:cs="Garamond"/>
      <w:lang w:eastAsia="en-US"/>
    </w:rPr>
  </w:style>
  <w:style w:type="character" w:customStyle="1" w:styleId="FontStyle15">
    <w:name w:val="Font Style15"/>
    <w:rsid w:val="00AA1D23"/>
    <w:rPr>
      <w:rFonts w:ascii="Times New Roman" w:hAnsi="Times New Roman" w:cs="Times New Roman" w:hint="default"/>
      <w:sz w:val="22"/>
      <w:szCs w:val="22"/>
    </w:rPr>
  </w:style>
  <w:style w:type="paragraph" w:customStyle="1" w:styleId="CharChar1Char">
    <w:name w:val="Char Char1 Знак Знак Char"/>
    <w:basedOn w:val="Normal"/>
    <w:rsid w:val="00AA1D23"/>
    <w:pPr>
      <w:tabs>
        <w:tab w:val="left" w:pos="709"/>
      </w:tabs>
    </w:pPr>
    <w:rPr>
      <w:rFonts w:ascii="Tahoma" w:hAnsi="Tahoma" w:cs="Times New Roman"/>
      <w:sz w:val="24"/>
      <w:szCs w:val="24"/>
      <w:lang w:val="pl-PL" w:eastAsia="pl-PL"/>
    </w:rPr>
  </w:style>
</w:styles>
</file>

<file path=word/webSettings.xml><?xml version="1.0" encoding="utf-8"?>
<w:webSettings xmlns:r="http://schemas.openxmlformats.org/officeDocument/2006/relationships" xmlns:w="http://schemas.openxmlformats.org/wordprocessingml/2006/main">
  <w:divs>
    <w:div w:id="110822794">
      <w:bodyDiv w:val="1"/>
      <w:marLeft w:val="0"/>
      <w:marRight w:val="0"/>
      <w:marTop w:val="0"/>
      <w:marBottom w:val="0"/>
      <w:divBdr>
        <w:top w:val="none" w:sz="0" w:space="0" w:color="auto"/>
        <w:left w:val="none" w:sz="0" w:space="0" w:color="auto"/>
        <w:bottom w:val="none" w:sz="0" w:space="0" w:color="auto"/>
        <w:right w:val="none" w:sz="0" w:space="0" w:color="auto"/>
      </w:divBdr>
    </w:div>
    <w:div w:id="118571000">
      <w:bodyDiv w:val="1"/>
      <w:marLeft w:val="0"/>
      <w:marRight w:val="0"/>
      <w:marTop w:val="0"/>
      <w:marBottom w:val="0"/>
      <w:divBdr>
        <w:top w:val="none" w:sz="0" w:space="0" w:color="auto"/>
        <w:left w:val="none" w:sz="0" w:space="0" w:color="auto"/>
        <w:bottom w:val="none" w:sz="0" w:space="0" w:color="auto"/>
        <w:right w:val="none" w:sz="0" w:space="0" w:color="auto"/>
      </w:divBdr>
    </w:div>
    <w:div w:id="147944456">
      <w:bodyDiv w:val="1"/>
      <w:marLeft w:val="0"/>
      <w:marRight w:val="0"/>
      <w:marTop w:val="0"/>
      <w:marBottom w:val="0"/>
      <w:divBdr>
        <w:top w:val="none" w:sz="0" w:space="0" w:color="auto"/>
        <w:left w:val="none" w:sz="0" w:space="0" w:color="auto"/>
        <w:bottom w:val="none" w:sz="0" w:space="0" w:color="auto"/>
        <w:right w:val="none" w:sz="0" w:space="0" w:color="auto"/>
      </w:divBdr>
    </w:div>
    <w:div w:id="410540986">
      <w:bodyDiv w:val="1"/>
      <w:marLeft w:val="0"/>
      <w:marRight w:val="0"/>
      <w:marTop w:val="0"/>
      <w:marBottom w:val="0"/>
      <w:divBdr>
        <w:top w:val="none" w:sz="0" w:space="0" w:color="auto"/>
        <w:left w:val="none" w:sz="0" w:space="0" w:color="auto"/>
        <w:bottom w:val="none" w:sz="0" w:space="0" w:color="auto"/>
        <w:right w:val="none" w:sz="0" w:space="0" w:color="auto"/>
      </w:divBdr>
    </w:div>
    <w:div w:id="466239949">
      <w:bodyDiv w:val="1"/>
      <w:marLeft w:val="0"/>
      <w:marRight w:val="0"/>
      <w:marTop w:val="0"/>
      <w:marBottom w:val="0"/>
      <w:divBdr>
        <w:top w:val="none" w:sz="0" w:space="0" w:color="auto"/>
        <w:left w:val="none" w:sz="0" w:space="0" w:color="auto"/>
        <w:bottom w:val="none" w:sz="0" w:space="0" w:color="auto"/>
        <w:right w:val="none" w:sz="0" w:space="0" w:color="auto"/>
      </w:divBdr>
    </w:div>
    <w:div w:id="582449884">
      <w:bodyDiv w:val="1"/>
      <w:marLeft w:val="0"/>
      <w:marRight w:val="0"/>
      <w:marTop w:val="0"/>
      <w:marBottom w:val="0"/>
      <w:divBdr>
        <w:top w:val="none" w:sz="0" w:space="0" w:color="auto"/>
        <w:left w:val="none" w:sz="0" w:space="0" w:color="auto"/>
        <w:bottom w:val="none" w:sz="0" w:space="0" w:color="auto"/>
        <w:right w:val="none" w:sz="0" w:space="0" w:color="auto"/>
      </w:divBdr>
    </w:div>
    <w:div w:id="625819105">
      <w:bodyDiv w:val="1"/>
      <w:marLeft w:val="0"/>
      <w:marRight w:val="0"/>
      <w:marTop w:val="0"/>
      <w:marBottom w:val="0"/>
      <w:divBdr>
        <w:top w:val="none" w:sz="0" w:space="0" w:color="auto"/>
        <w:left w:val="none" w:sz="0" w:space="0" w:color="auto"/>
        <w:bottom w:val="none" w:sz="0" w:space="0" w:color="auto"/>
        <w:right w:val="none" w:sz="0" w:space="0" w:color="auto"/>
      </w:divBdr>
    </w:div>
    <w:div w:id="748581597">
      <w:bodyDiv w:val="1"/>
      <w:marLeft w:val="0"/>
      <w:marRight w:val="0"/>
      <w:marTop w:val="0"/>
      <w:marBottom w:val="0"/>
      <w:divBdr>
        <w:top w:val="none" w:sz="0" w:space="0" w:color="auto"/>
        <w:left w:val="none" w:sz="0" w:space="0" w:color="auto"/>
        <w:bottom w:val="none" w:sz="0" w:space="0" w:color="auto"/>
        <w:right w:val="none" w:sz="0" w:space="0" w:color="auto"/>
      </w:divBdr>
    </w:div>
    <w:div w:id="779497883">
      <w:bodyDiv w:val="1"/>
      <w:marLeft w:val="0"/>
      <w:marRight w:val="0"/>
      <w:marTop w:val="0"/>
      <w:marBottom w:val="0"/>
      <w:divBdr>
        <w:top w:val="none" w:sz="0" w:space="0" w:color="auto"/>
        <w:left w:val="none" w:sz="0" w:space="0" w:color="auto"/>
        <w:bottom w:val="none" w:sz="0" w:space="0" w:color="auto"/>
        <w:right w:val="none" w:sz="0" w:space="0" w:color="auto"/>
      </w:divBdr>
    </w:div>
    <w:div w:id="1038160104">
      <w:marLeft w:val="0"/>
      <w:marRight w:val="0"/>
      <w:marTop w:val="0"/>
      <w:marBottom w:val="0"/>
      <w:divBdr>
        <w:top w:val="none" w:sz="0" w:space="0" w:color="auto"/>
        <w:left w:val="none" w:sz="0" w:space="0" w:color="auto"/>
        <w:bottom w:val="none" w:sz="0" w:space="0" w:color="auto"/>
        <w:right w:val="none" w:sz="0" w:space="0" w:color="auto"/>
      </w:divBdr>
    </w:div>
    <w:div w:id="1038160105">
      <w:marLeft w:val="0"/>
      <w:marRight w:val="0"/>
      <w:marTop w:val="0"/>
      <w:marBottom w:val="0"/>
      <w:divBdr>
        <w:top w:val="none" w:sz="0" w:space="0" w:color="auto"/>
        <w:left w:val="none" w:sz="0" w:space="0" w:color="auto"/>
        <w:bottom w:val="none" w:sz="0" w:space="0" w:color="auto"/>
        <w:right w:val="none" w:sz="0" w:space="0" w:color="auto"/>
      </w:divBdr>
    </w:div>
    <w:div w:id="1038160106">
      <w:marLeft w:val="0"/>
      <w:marRight w:val="0"/>
      <w:marTop w:val="0"/>
      <w:marBottom w:val="0"/>
      <w:divBdr>
        <w:top w:val="none" w:sz="0" w:space="0" w:color="auto"/>
        <w:left w:val="none" w:sz="0" w:space="0" w:color="auto"/>
        <w:bottom w:val="none" w:sz="0" w:space="0" w:color="auto"/>
        <w:right w:val="none" w:sz="0" w:space="0" w:color="auto"/>
      </w:divBdr>
    </w:div>
    <w:div w:id="1038160107">
      <w:marLeft w:val="0"/>
      <w:marRight w:val="0"/>
      <w:marTop w:val="0"/>
      <w:marBottom w:val="0"/>
      <w:divBdr>
        <w:top w:val="none" w:sz="0" w:space="0" w:color="auto"/>
        <w:left w:val="none" w:sz="0" w:space="0" w:color="auto"/>
        <w:bottom w:val="none" w:sz="0" w:space="0" w:color="auto"/>
        <w:right w:val="none" w:sz="0" w:space="0" w:color="auto"/>
      </w:divBdr>
    </w:div>
    <w:div w:id="1038160109">
      <w:marLeft w:val="0"/>
      <w:marRight w:val="0"/>
      <w:marTop w:val="0"/>
      <w:marBottom w:val="0"/>
      <w:divBdr>
        <w:top w:val="none" w:sz="0" w:space="0" w:color="auto"/>
        <w:left w:val="none" w:sz="0" w:space="0" w:color="auto"/>
        <w:bottom w:val="none" w:sz="0" w:space="0" w:color="auto"/>
        <w:right w:val="none" w:sz="0" w:space="0" w:color="auto"/>
      </w:divBdr>
    </w:div>
    <w:div w:id="1038160110">
      <w:marLeft w:val="0"/>
      <w:marRight w:val="0"/>
      <w:marTop w:val="0"/>
      <w:marBottom w:val="0"/>
      <w:divBdr>
        <w:top w:val="none" w:sz="0" w:space="0" w:color="auto"/>
        <w:left w:val="none" w:sz="0" w:space="0" w:color="auto"/>
        <w:bottom w:val="none" w:sz="0" w:space="0" w:color="auto"/>
        <w:right w:val="none" w:sz="0" w:space="0" w:color="auto"/>
      </w:divBdr>
    </w:div>
    <w:div w:id="1038160111">
      <w:marLeft w:val="0"/>
      <w:marRight w:val="0"/>
      <w:marTop w:val="0"/>
      <w:marBottom w:val="0"/>
      <w:divBdr>
        <w:top w:val="none" w:sz="0" w:space="0" w:color="auto"/>
        <w:left w:val="none" w:sz="0" w:space="0" w:color="auto"/>
        <w:bottom w:val="none" w:sz="0" w:space="0" w:color="auto"/>
        <w:right w:val="none" w:sz="0" w:space="0" w:color="auto"/>
      </w:divBdr>
    </w:div>
    <w:div w:id="1038160112">
      <w:marLeft w:val="0"/>
      <w:marRight w:val="0"/>
      <w:marTop w:val="0"/>
      <w:marBottom w:val="0"/>
      <w:divBdr>
        <w:top w:val="none" w:sz="0" w:space="0" w:color="auto"/>
        <w:left w:val="none" w:sz="0" w:space="0" w:color="auto"/>
        <w:bottom w:val="none" w:sz="0" w:space="0" w:color="auto"/>
        <w:right w:val="none" w:sz="0" w:space="0" w:color="auto"/>
      </w:divBdr>
    </w:div>
    <w:div w:id="1038160113">
      <w:marLeft w:val="0"/>
      <w:marRight w:val="0"/>
      <w:marTop w:val="0"/>
      <w:marBottom w:val="0"/>
      <w:divBdr>
        <w:top w:val="none" w:sz="0" w:space="0" w:color="auto"/>
        <w:left w:val="none" w:sz="0" w:space="0" w:color="auto"/>
        <w:bottom w:val="none" w:sz="0" w:space="0" w:color="auto"/>
        <w:right w:val="none" w:sz="0" w:space="0" w:color="auto"/>
      </w:divBdr>
    </w:div>
    <w:div w:id="1038160114">
      <w:marLeft w:val="0"/>
      <w:marRight w:val="0"/>
      <w:marTop w:val="0"/>
      <w:marBottom w:val="0"/>
      <w:divBdr>
        <w:top w:val="none" w:sz="0" w:space="0" w:color="auto"/>
        <w:left w:val="none" w:sz="0" w:space="0" w:color="auto"/>
        <w:bottom w:val="none" w:sz="0" w:space="0" w:color="auto"/>
        <w:right w:val="none" w:sz="0" w:space="0" w:color="auto"/>
      </w:divBdr>
    </w:div>
    <w:div w:id="1038160115">
      <w:marLeft w:val="0"/>
      <w:marRight w:val="0"/>
      <w:marTop w:val="0"/>
      <w:marBottom w:val="0"/>
      <w:divBdr>
        <w:top w:val="none" w:sz="0" w:space="0" w:color="auto"/>
        <w:left w:val="none" w:sz="0" w:space="0" w:color="auto"/>
        <w:bottom w:val="none" w:sz="0" w:space="0" w:color="auto"/>
        <w:right w:val="none" w:sz="0" w:space="0" w:color="auto"/>
      </w:divBdr>
    </w:div>
    <w:div w:id="1038160116">
      <w:marLeft w:val="0"/>
      <w:marRight w:val="0"/>
      <w:marTop w:val="0"/>
      <w:marBottom w:val="0"/>
      <w:divBdr>
        <w:top w:val="none" w:sz="0" w:space="0" w:color="auto"/>
        <w:left w:val="none" w:sz="0" w:space="0" w:color="auto"/>
        <w:bottom w:val="none" w:sz="0" w:space="0" w:color="auto"/>
        <w:right w:val="none" w:sz="0" w:space="0" w:color="auto"/>
      </w:divBdr>
    </w:div>
    <w:div w:id="1038160117">
      <w:marLeft w:val="0"/>
      <w:marRight w:val="0"/>
      <w:marTop w:val="0"/>
      <w:marBottom w:val="0"/>
      <w:divBdr>
        <w:top w:val="none" w:sz="0" w:space="0" w:color="auto"/>
        <w:left w:val="none" w:sz="0" w:space="0" w:color="auto"/>
        <w:bottom w:val="none" w:sz="0" w:space="0" w:color="auto"/>
        <w:right w:val="none" w:sz="0" w:space="0" w:color="auto"/>
      </w:divBdr>
    </w:div>
    <w:div w:id="1038160118">
      <w:marLeft w:val="0"/>
      <w:marRight w:val="0"/>
      <w:marTop w:val="0"/>
      <w:marBottom w:val="0"/>
      <w:divBdr>
        <w:top w:val="none" w:sz="0" w:space="0" w:color="auto"/>
        <w:left w:val="none" w:sz="0" w:space="0" w:color="auto"/>
        <w:bottom w:val="none" w:sz="0" w:space="0" w:color="auto"/>
        <w:right w:val="none" w:sz="0" w:space="0" w:color="auto"/>
      </w:divBdr>
    </w:div>
    <w:div w:id="1038160120">
      <w:marLeft w:val="0"/>
      <w:marRight w:val="0"/>
      <w:marTop w:val="0"/>
      <w:marBottom w:val="0"/>
      <w:divBdr>
        <w:top w:val="none" w:sz="0" w:space="0" w:color="auto"/>
        <w:left w:val="none" w:sz="0" w:space="0" w:color="auto"/>
        <w:bottom w:val="none" w:sz="0" w:space="0" w:color="auto"/>
        <w:right w:val="none" w:sz="0" w:space="0" w:color="auto"/>
      </w:divBdr>
    </w:div>
    <w:div w:id="1038160121">
      <w:marLeft w:val="0"/>
      <w:marRight w:val="0"/>
      <w:marTop w:val="0"/>
      <w:marBottom w:val="0"/>
      <w:divBdr>
        <w:top w:val="none" w:sz="0" w:space="0" w:color="auto"/>
        <w:left w:val="none" w:sz="0" w:space="0" w:color="auto"/>
        <w:bottom w:val="none" w:sz="0" w:space="0" w:color="auto"/>
        <w:right w:val="none" w:sz="0" w:space="0" w:color="auto"/>
      </w:divBdr>
    </w:div>
    <w:div w:id="1038160122">
      <w:marLeft w:val="0"/>
      <w:marRight w:val="0"/>
      <w:marTop w:val="0"/>
      <w:marBottom w:val="0"/>
      <w:divBdr>
        <w:top w:val="none" w:sz="0" w:space="0" w:color="auto"/>
        <w:left w:val="none" w:sz="0" w:space="0" w:color="auto"/>
        <w:bottom w:val="none" w:sz="0" w:space="0" w:color="auto"/>
        <w:right w:val="none" w:sz="0" w:space="0" w:color="auto"/>
      </w:divBdr>
    </w:div>
    <w:div w:id="1038160123">
      <w:marLeft w:val="0"/>
      <w:marRight w:val="0"/>
      <w:marTop w:val="0"/>
      <w:marBottom w:val="0"/>
      <w:divBdr>
        <w:top w:val="none" w:sz="0" w:space="0" w:color="auto"/>
        <w:left w:val="none" w:sz="0" w:space="0" w:color="auto"/>
        <w:bottom w:val="none" w:sz="0" w:space="0" w:color="auto"/>
        <w:right w:val="none" w:sz="0" w:space="0" w:color="auto"/>
      </w:divBdr>
    </w:div>
    <w:div w:id="1038160125">
      <w:marLeft w:val="0"/>
      <w:marRight w:val="0"/>
      <w:marTop w:val="0"/>
      <w:marBottom w:val="0"/>
      <w:divBdr>
        <w:top w:val="none" w:sz="0" w:space="0" w:color="auto"/>
        <w:left w:val="none" w:sz="0" w:space="0" w:color="auto"/>
        <w:bottom w:val="none" w:sz="0" w:space="0" w:color="auto"/>
        <w:right w:val="none" w:sz="0" w:space="0" w:color="auto"/>
      </w:divBdr>
    </w:div>
    <w:div w:id="1038160126">
      <w:marLeft w:val="0"/>
      <w:marRight w:val="0"/>
      <w:marTop w:val="0"/>
      <w:marBottom w:val="0"/>
      <w:divBdr>
        <w:top w:val="none" w:sz="0" w:space="0" w:color="auto"/>
        <w:left w:val="none" w:sz="0" w:space="0" w:color="auto"/>
        <w:bottom w:val="none" w:sz="0" w:space="0" w:color="auto"/>
        <w:right w:val="none" w:sz="0" w:space="0" w:color="auto"/>
      </w:divBdr>
    </w:div>
    <w:div w:id="1038160127">
      <w:marLeft w:val="0"/>
      <w:marRight w:val="0"/>
      <w:marTop w:val="0"/>
      <w:marBottom w:val="0"/>
      <w:divBdr>
        <w:top w:val="none" w:sz="0" w:space="0" w:color="auto"/>
        <w:left w:val="none" w:sz="0" w:space="0" w:color="auto"/>
        <w:bottom w:val="none" w:sz="0" w:space="0" w:color="auto"/>
        <w:right w:val="none" w:sz="0" w:space="0" w:color="auto"/>
      </w:divBdr>
    </w:div>
    <w:div w:id="1038160128">
      <w:marLeft w:val="0"/>
      <w:marRight w:val="0"/>
      <w:marTop w:val="0"/>
      <w:marBottom w:val="0"/>
      <w:divBdr>
        <w:top w:val="none" w:sz="0" w:space="0" w:color="auto"/>
        <w:left w:val="none" w:sz="0" w:space="0" w:color="auto"/>
        <w:bottom w:val="none" w:sz="0" w:space="0" w:color="auto"/>
        <w:right w:val="none" w:sz="0" w:space="0" w:color="auto"/>
      </w:divBdr>
    </w:div>
    <w:div w:id="1038160129">
      <w:marLeft w:val="0"/>
      <w:marRight w:val="0"/>
      <w:marTop w:val="0"/>
      <w:marBottom w:val="0"/>
      <w:divBdr>
        <w:top w:val="none" w:sz="0" w:space="0" w:color="auto"/>
        <w:left w:val="none" w:sz="0" w:space="0" w:color="auto"/>
        <w:bottom w:val="none" w:sz="0" w:space="0" w:color="auto"/>
        <w:right w:val="none" w:sz="0" w:space="0" w:color="auto"/>
      </w:divBdr>
    </w:div>
    <w:div w:id="1038160130">
      <w:marLeft w:val="0"/>
      <w:marRight w:val="0"/>
      <w:marTop w:val="0"/>
      <w:marBottom w:val="0"/>
      <w:divBdr>
        <w:top w:val="none" w:sz="0" w:space="0" w:color="auto"/>
        <w:left w:val="none" w:sz="0" w:space="0" w:color="auto"/>
        <w:bottom w:val="none" w:sz="0" w:space="0" w:color="auto"/>
        <w:right w:val="none" w:sz="0" w:space="0" w:color="auto"/>
      </w:divBdr>
    </w:div>
    <w:div w:id="1038160131">
      <w:marLeft w:val="0"/>
      <w:marRight w:val="0"/>
      <w:marTop w:val="0"/>
      <w:marBottom w:val="0"/>
      <w:divBdr>
        <w:top w:val="none" w:sz="0" w:space="0" w:color="auto"/>
        <w:left w:val="none" w:sz="0" w:space="0" w:color="auto"/>
        <w:bottom w:val="none" w:sz="0" w:space="0" w:color="auto"/>
        <w:right w:val="none" w:sz="0" w:space="0" w:color="auto"/>
      </w:divBdr>
    </w:div>
    <w:div w:id="1038160132">
      <w:marLeft w:val="0"/>
      <w:marRight w:val="0"/>
      <w:marTop w:val="0"/>
      <w:marBottom w:val="0"/>
      <w:divBdr>
        <w:top w:val="none" w:sz="0" w:space="0" w:color="auto"/>
        <w:left w:val="none" w:sz="0" w:space="0" w:color="auto"/>
        <w:bottom w:val="none" w:sz="0" w:space="0" w:color="auto"/>
        <w:right w:val="none" w:sz="0" w:space="0" w:color="auto"/>
      </w:divBdr>
    </w:div>
    <w:div w:id="1038160133">
      <w:marLeft w:val="0"/>
      <w:marRight w:val="0"/>
      <w:marTop w:val="0"/>
      <w:marBottom w:val="0"/>
      <w:divBdr>
        <w:top w:val="none" w:sz="0" w:space="0" w:color="auto"/>
        <w:left w:val="none" w:sz="0" w:space="0" w:color="auto"/>
        <w:bottom w:val="none" w:sz="0" w:space="0" w:color="auto"/>
        <w:right w:val="none" w:sz="0" w:space="0" w:color="auto"/>
      </w:divBdr>
    </w:div>
    <w:div w:id="1038160134">
      <w:marLeft w:val="0"/>
      <w:marRight w:val="0"/>
      <w:marTop w:val="0"/>
      <w:marBottom w:val="0"/>
      <w:divBdr>
        <w:top w:val="none" w:sz="0" w:space="0" w:color="auto"/>
        <w:left w:val="none" w:sz="0" w:space="0" w:color="auto"/>
        <w:bottom w:val="none" w:sz="0" w:space="0" w:color="auto"/>
        <w:right w:val="none" w:sz="0" w:space="0" w:color="auto"/>
      </w:divBdr>
    </w:div>
    <w:div w:id="1038160135">
      <w:marLeft w:val="0"/>
      <w:marRight w:val="0"/>
      <w:marTop w:val="0"/>
      <w:marBottom w:val="0"/>
      <w:divBdr>
        <w:top w:val="none" w:sz="0" w:space="0" w:color="auto"/>
        <w:left w:val="none" w:sz="0" w:space="0" w:color="auto"/>
        <w:bottom w:val="none" w:sz="0" w:space="0" w:color="auto"/>
        <w:right w:val="none" w:sz="0" w:space="0" w:color="auto"/>
      </w:divBdr>
    </w:div>
    <w:div w:id="1038160136">
      <w:marLeft w:val="0"/>
      <w:marRight w:val="0"/>
      <w:marTop w:val="0"/>
      <w:marBottom w:val="0"/>
      <w:divBdr>
        <w:top w:val="none" w:sz="0" w:space="0" w:color="auto"/>
        <w:left w:val="none" w:sz="0" w:space="0" w:color="auto"/>
        <w:bottom w:val="none" w:sz="0" w:space="0" w:color="auto"/>
        <w:right w:val="none" w:sz="0" w:space="0" w:color="auto"/>
      </w:divBdr>
    </w:div>
    <w:div w:id="1038160137">
      <w:marLeft w:val="0"/>
      <w:marRight w:val="0"/>
      <w:marTop w:val="0"/>
      <w:marBottom w:val="0"/>
      <w:divBdr>
        <w:top w:val="none" w:sz="0" w:space="0" w:color="auto"/>
        <w:left w:val="none" w:sz="0" w:space="0" w:color="auto"/>
        <w:bottom w:val="none" w:sz="0" w:space="0" w:color="auto"/>
        <w:right w:val="none" w:sz="0" w:space="0" w:color="auto"/>
      </w:divBdr>
    </w:div>
    <w:div w:id="1038160138">
      <w:marLeft w:val="0"/>
      <w:marRight w:val="0"/>
      <w:marTop w:val="0"/>
      <w:marBottom w:val="0"/>
      <w:divBdr>
        <w:top w:val="none" w:sz="0" w:space="0" w:color="auto"/>
        <w:left w:val="none" w:sz="0" w:space="0" w:color="auto"/>
        <w:bottom w:val="none" w:sz="0" w:space="0" w:color="auto"/>
        <w:right w:val="none" w:sz="0" w:space="0" w:color="auto"/>
      </w:divBdr>
    </w:div>
    <w:div w:id="1038160139">
      <w:marLeft w:val="0"/>
      <w:marRight w:val="0"/>
      <w:marTop w:val="0"/>
      <w:marBottom w:val="0"/>
      <w:divBdr>
        <w:top w:val="none" w:sz="0" w:space="0" w:color="auto"/>
        <w:left w:val="none" w:sz="0" w:space="0" w:color="auto"/>
        <w:bottom w:val="none" w:sz="0" w:space="0" w:color="auto"/>
        <w:right w:val="none" w:sz="0" w:space="0" w:color="auto"/>
      </w:divBdr>
    </w:div>
    <w:div w:id="1038160140">
      <w:marLeft w:val="0"/>
      <w:marRight w:val="0"/>
      <w:marTop w:val="0"/>
      <w:marBottom w:val="0"/>
      <w:divBdr>
        <w:top w:val="none" w:sz="0" w:space="0" w:color="auto"/>
        <w:left w:val="none" w:sz="0" w:space="0" w:color="auto"/>
        <w:bottom w:val="none" w:sz="0" w:space="0" w:color="auto"/>
        <w:right w:val="none" w:sz="0" w:space="0" w:color="auto"/>
      </w:divBdr>
    </w:div>
    <w:div w:id="1038160141">
      <w:marLeft w:val="0"/>
      <w:marRight w:val="0"/>
      <w:marTop w:val="0"/>
      <w:marBottom w:val="0"/>
      <w:divBdr>
        <w:top w:val="none" w:sz="0" w:space="0" w:color="auto"/>
        <w:left w:val="none" w:sz="0" w:space="0" w:color="auto"/>
        <w:bottom w:val="none" w:sz="0" w:space="0" w:color="auto"/>
        <w:right w:val="none" w:sz="0" w:space="0" w:color="auto"/>
      </w:divBdr>
    </w:div>
    <w:div w:id="1038160143">
      <w:marLeft w:val="0"/>
      <w:marRight w:val="0"/>
      <w:marTop w:val="0"/>
      <w:marBottom w:val="0"/>
      <w:divBdr>
        <w:top w:val="none" w:sz="0" w:space="0" w:color="auto"/>
        <w:left w:val="none" w:sz="0" w:space="0" w:color="auto"/>
        <w:bottom w:val="none" w:sz="0" w:space="0" w:color="auto"/>
        <w:right w:val="none" w:sz="0" w:space="0" w:color="auto"/>
      </w:divBdr>
    </w:div>
    <w:div w:id="1038160144">
      <w:marLeft w:val="0"/>
      <w:marRight w:val="0"/>
      <w:marTop w:val="0"/>
      <w:marBottom w:val="0"/>
      <w:divBdr>
        <w:top w:val="none" w:sz="0" w:space="0" w:color="auto"/>
        <w:left w:val="none" w:sz="0" w:space="0" w:color="auto"/>
        <w:bottom w:val="none" w:sz="0" w:space="0" w:color="auto"/>
        <w:right w:val="none" w:sz="0" w:space="0" w:color="auto"/>
      </w:divBdr>
    </w:div>
    <w:div w:id="1038160145">
      <w:marLeft w:val="0"/>
      <w:marRight w:val="0"/>
      <w:marTop w:val="0"/>
      <w:marBottom w:val="0"/>
      <w:divBdr>
        <w:top w:val="none" w:sz="0" w:space="0" w:color="auto"/>
        <w:left w:val="none" w:sz="0" w:space="0" w:color="auto"/>
        <w:bottom w:val="none" w:sz="0" w:space="0" w:color="auto"/>
        <w:right w:val="none" w:sz="0" w:space="0" w:color="auto"/>
      </w:divBdr>
    </w:div>
    <w:div w:id="1038160146">
      <w:marLeft w:val="0"/>
      <w:marRight w:val="0"/>
      <w:marTop w:val="0"/>
      <w:marBottom w:val="0"/>
      <w:divBdr>
        <w:top w:val="none" w:sz="0" w:space="0" w:color="auto"/>
        <w:left w:val="none" w:sz="0" w:space="0" w:color="auto"/>
        <w:bottom w:val="none" w:sz="0" w:space="0" w:color="auto"/>
        <w:right w:val="none" w:sz="0" w:space="0" w:color="auto"/>
      </w:divBdr>
    </w:div>
    <w:div w:id="1038160147">
      <w:marLeft w:val="0"/>
      <w:marRight w:val="0"/>
      <w:marTop w:val="0"/>
      <w:marBottom w:val="0"/>
      <w:divBdr>
        <w:top w:val="none" w:sz="0" w:space="0" w:color="auto"/>
        <w:left w:val="none" w:sz="0" w:space="0" w:color="auto"/>
        <w:bottom w:val="none" w:sz="0" w:space="0" w:color="auto"/>
        <w:right w:val="none" w:sz="0" w:space="0" w:color="auto"/>
      </w:divBdr>
    </w:div>
    <w:div w:id="1038160148">
      <w:marLeft w:val="0"/>
      <w:marRight w:val="0"/>
      <w:marTop w:val="0"/>
      <w:marBottom w:val="0"/>
      <w:divBdr>
        <w:top w:val="none" w:sz="0" w:space="0" w:color="auto"/>
        <w:left w:val="none" w:sz="0" w:space="0" w:color="auto"/>
        <w:bottom w:val="none" w:sz="0" w:space="0" w:color="auto"/>
        <w:right w:val="none" w:sz="0" w:space="0" w:color="auto"/>
      </w:divBdr>
    </w:div>
    <w:div w:id="1038160149">
      <w:marLeft w:val="0"/>
      <w:marRight w:val="0"/>
      <w:marTop w:val="0"/>
      <w:marBottom w:val="0"/>
      <w:divBdr>
        <w:top w:val="none" w:sz="0" w:space="0" w:color="auto"/>
        <w:left w:val="none" w:sz="0" w:space="0" w:color="auto"/>
        <w:bottom w:val="none" w:sz="0" w:space="0" w:color="auto"/>
        <w:right w:val="none" w:sz="0" w:space="0" w:color="auto"/>
      </w:divBdr>
    </w:div>
    <w:div w:id="1038160150">
      <w:marLeft w:val="0"/>
      <w:marRight w:val="0"/>
      <w:marTop w:val="0"/>
      <w:marBottom w:val="0"/>
      <w:divBdr>
        <w:top w:val="none" w:sz="0" w:space="0" w:color="auto"/>
        <w:left w:val="none" w:sz="0" w:space="0" w:color="auto"/>
        <w:bottom w:val="none" w:sz="0" w:space="0" w:color="auto"/>
        <w:right w:val="none" w:sz="0" w:space="0" w:color="auto"/>
      </w:divBdr>
    </w:div>
    <w:div w:id="1038160151">
      <w:marLeft w:val="0"/>
      <w:marRight w:val="0"/>
      <w:marTop w:val="0"/>
      <w:marBottom w:val="0"/>
      <w:divBdr>
        <w:top w:val="none" w:sz="0" w:space="0" w:color="auto"/>
        <w:left w:val="none" w:sz="0" w:space="0" w:color="auto"/>
        <w:bottom w:val="none" w:sz="0" w:space="0" w:color="auto"/>
        <w:right w:val="none" w:sz="0" w:space="0" w:color="auto"/>
      </w:divBdr>
    </w:div>
    <w:div w:id="1038160152">
      <w:marLeft w:val="0"/>
      <w:marRight w:val="0"/>
      <w:marTop w:val="0"/>
      <w:marBottom w:val="0"/>
      <w:divBdr>
        <w:top w:val="none" w:sz="0" w:space="0" w:color="auto"/>
        <w:left w:val="none" w:sz="0" w:space="0" w:color="auto"/>
        <w:bottom w:val="none" w:sz="0" w:space="0" w:color="auto"/>
        <w:right w:val="none" w:sz="0" w:space="0" w:color="auto"/>
      </w:divBdr>
    </w:div>
    <w:div w:id="1038160153">
      <w:marLeft w:val="0"/>
      <w:marRight w:val="0"/>
      <w:marTop w:val="0"/>
      <w:marBottom w:val="0"/>
      <w:divBdr>
        <w:top w:val="none" w:sz="0" w:space="0" w:color="auto"/>
        <w:left w:val="none" w:sz="0" w:space="0" w:color="auto"/>
        <w:bottom w:val="none" w:sz="0" w:space="0" w:color="auto"/>
        <w:right w:val="none" w:sz="0" w:space="0" w:color="auto"/>
      </w:divBdr>
    </w:div>
    <w:div w:id="1038160154">
      <w:marLeft w:val="0"/>
      <w:marRight w:val="0"/>
      <w:marTop w:val="0"/>
      <w:marBottom w:val="0"/>
      <w:divBdr>
        <w:top w:val="none" w:sz="0" w:space="0" w:color="auto"/>
        <w:left w:val="none" w:sz="0" w:space="0" w:color="auto"/>
        <w:bottom w:val="none" w:sz="0" w:space="0" w:color="auto"/>
        <w:right w:val="none" w:sz="0" w:space="0" w:color="auto"/>
      </w:divBdr>
    </w:div>
    <w:div w:id="1038160155">
      <w:marLeft w:val="0"/>
      <w:marRight w:val="0"/>
      <w:marTop w:val="0"/>
      <w:marBottom w:val="0"/>
      <w:divBdr>
        <w:top w:val="none" w:sz="0" w:space="0" w:color="auto"/>
        <w:left w:val="none" w:sz="0" w:space="0" w:color="auto"/>
        <w:bottom w:val="none" w:sz="0" w:space="0" w:color="auto"/>
        <w:right w:val="none" w:sz="0" w:space="0" w:color="auto"/>
      </w:divBdr>
    </w:div>
    <w:div w:id="1038160156">
      <w:marLeft w:val="0"/>
      <w:marRight w:val="0"/>
      <w:marTop w:val="0"/>
      <w:marBottom w:val="0"/>
      <w:divBdr>
        <w:top w:val="none" w:sz="0" w:space="0" w:color="auto"/>
        <w:left w:val="none" w:sz="0" w:space="0" w:color="auto"/>
        <w:bottom w:val="none" w:sz="0" w:space="0" w:color="auto"/>
        <w:right w:val="none" w:sz="0" w:space="0" w:color="auto"/>
      </w:divBdr>
    </w:div>
    <w:div w:id="1038160157">
      <w:marLeft w:val="0"/>
      <w:marRight w:val="0"/>
      <w:marTop w:val="0"/>
      <w:marBottom w:val="0"/>
      <w:divBdr>
        <w:top w:val="none" w:sz="0" w:space="0" w:color="auto"/>
        <w:left w:val="none" w:sz="0" w:space="0" w:color="auto"/>
        <w:bottom w:val="none" w:sz="0" w:space="0" w:color="auto"/>
        <w:right w:val="none" w:sz="0" w:space="0" w:color="auto"/>
      </w:divBdr>
    </w:div>
    <w:div w:id="1038160158">
      <w:marLeft w:val="0"/>
      <w:marRight w:val="0"/>
      <w:marTop w:val="0"/>
      <w:marBottom w:val="0"/>
      <w:divBdr>
        <w:top w:val="none" w:sz="0" w:space="0" w:color="auto"/>
        <w:left w:val="none" w:sz="0" w:space="0" w:color="auto"/>
        <w:bottom w:val="none" w:sz="0" w:space="0" w:color="auto"/>
        <w:right w:val="none" w:sz="0" w:space="0" w:color="auto"/>
      </w:divBdr>
    </w:div>
    <w:div w:id="1038160159">
      <w:marLeft w:val="0"/>
      <w:marRight w:val="0"/>
      <w:marTop w:val="0"/>
      <w:marBottom w:val="0"/>
      <w:divBdr>
        <w:top w:val="none" w:sz="0" w:space="0" w:color="auto"/>
        <w:left w:val="none" w:sz="0" w:space="0" w:color="auto"/>
        <w:bottom w:val="none" w:sz="0" w:space="0" w:color="auto"/>
        <w:right w:val="none" w:sz="0" w:space="0" w:color="auto"/>
      </w:divBdr>
    </w:div>
    <w:div w:id="1038160160">
      <w:marLeft w:val="0"/>
      <w:marRight w:val="0"/>
      <w:marTop w:val="0"/>
      <w:marBottom w:val="0"/>
      <w:divBdr>
        <w:top w:val="none" w:sz="0" w:space="0" w:color="auto"/>
        <w:left w:val="none" w:sz="0" w:space="0" w:color="auto"/>
        <w:bottom w:val="none" w:sz="0" w:space="0" w:color="auto"/>
        <w:right w:val="none" w:sz="0" w:space="0" w:color="auto"/>
      </w:divBdr>
    </w:div>
    <w:div w:id="1038160162">
      <w:marLeft w:val="0"/>
      <w:marRight w:val="0"/>
      <w:marTop w:val="0"/>
      <w:marBottom w:val="0"/>
      <w:divBdr>
        <w:top w:val="none" w:sz="0" w:space="0" w:color="auto"/>
        <w:left w:val="none" w:sz="0" w:space="0" w:color="auto"/>
        <w:bottom w:val="none" w:sz="0" w:space="0" w:color="auto"/>
        <w:right w:val="none" w:sz="0" w:space="0" w:color="auto"/>
      </w:divBdr>
    </w:div>
    <w:div w:id="1038160163">
      <w:marLeft w:val="0"/>
      <w:marRight w:val="0"/>
      <w:marTop w:val="0"/>
      <w:marBottom w:val="0"/>
      <w:divBdr>
        <w:top w:val="none" w:sz="0" w:space="0" w:color="auto"/>
        <w:left w:val="none" w:sz="0" w:space="0" w:color="auto"/>
        <w:bottom w:val="none" w:sz="0" w:space="0" w:color="auto"/>
        <w:right w:val="none" w:sz="0" w:space="0" w:color="auto"/>
      </w:divBdr>
    </w:div>
    <w:div w:id="1038160164">
      <w:marLeft w:val="0"/>
      <w:marRight w:val="0"/>
      <w:marTop w:val="0"/>
      <w:marBottom w:val="0"/>
      <w:divBdr>
        <w:top w:val="none" w:sz="0" w:space="0" w:color="auto"/>
        <w:left w:val="none" w:sz="0" w:space="0" w:color="auto"/>
        <w:bottom w:val="none" w:sz="0" w:space="0" w:color="auto"/>
        <w:right w:val="none" w:sz="0" w:space="0" w:color="auto"/>
      </w:divBdr>
    </w:div>
    <w:div w:id="1038160165">
      <w:marLeft w:val="0"/>
      <w:marRight w:val="0"/>
      <w:marTop w:val="0"/>
      <w:marBottom w:val="0"/>
      <w:divBdr>
        <w:top w:val="none" w:sz="0" w:space="0" w:color="auto"/>
        <w:left w:val="none" w:sz="0" w:space="0" w:color="auto"/>
        <w:bottom w:val="none" w:sz="0" w:space="0" w:color="auto"/>
        <w:right w:val="none" w:sz="0" w:space="0" w:color="auto"/>
      </w:divBdr>
    </w:div>
    <w:div w:id="1038160166">
      <w:marLeft w:val="0"/>
      <w:marRight w:val="0"/>
      <w:marTop w:val="0"/>
      <w:marBottom w:val="0"/>
      <w:divBdr>
        <w:top w:val="none" w:sz="0" w:space="0" w:color="auto"/>
        <w:left w:val="none" w:sz="0" w:space="0" w:color="auto"/>
        <w:bottom w:val="none" w:sz="0" w:space="0" w:color="auto"/>
        <w:right w:val="none" w:sz="0" w:space="0" w:color="auto"/>
      </w:divBdr>
    </w:div>
    <w:div w:id="1038160167">
      <w:marLeft w:val="0"/>
      <w:marRight w:val="0"/>
      <w:marTop w:val="0"/>
      <w:marBottom w:val="0"/>
      <w:divBdr>
        <w:top w:val="none" w:sz="0" w:space="0" w:color="auto"/>
        <w:left w:val="none" w:sz="0" w:space="0" w:color="auto"/>
        <w:bottom w:val="none" w:sz="0" w:space="0" w:color="auto"/>
        <w:right w:val="none" w:sz="0" w:space="0" w:color="auto"/>
      </w:divBdr>
    </w:div>
    <w:div w:id="1038160168">
      <w:marLeft w:val="0"/>
      <w:marRight w:val="0"/>
      <w:marTop w:val="0"/>
      <w:marBottom w:val="0"/>
      <w:divBdr>
        <w:top w:val="none" w:sz="0" w:space="0" w:color="auto"/>
        <w:left w:val="none" w:sz="0" w:space="0" w:color="auto"/>
        <w:bottom w:val="none" w:sz="0" w:space="0" w:color="auto"/>
        <w:right w:val="none" w:sz="0" w:space="0" w:color="auto"/>
      </w:divBdr>
    </w:div>
    <w:div w:id="1038160169">
      <w:marLeft w:val="0"/>
      <w:marRight w:val="0"/>
      <w:marTop w:val="0"/>
      <w:marBottom w:val="0"/>
      <w:divBdr>
        <w:top w:val="none" w:sz="0" w:space="0" w:color="auto"/>
        <w:left w:val="none" w:sz="0" w:space="0" w:color="auto"/>
        <w:bottom w:val="none" w:sz="0" w:space="0" w:color="auto"/>
        <w:right w:val="none" w:sz="0" w:space="0" w:color="auto"/>
      </w:divBdr>
    </w:div>
    <w:div w:id="1038160170">
      <w:marLeft w:val="0"/>
      <w:marRight w:val="0"/>
      <w:marTop w:val="0"/>
      <w:marBottom w:val="0"/>
      <w:divBdr>
        <w:top w:val="none" w:sz="0" w:space="0" w:color="auto"/>
        <w:left w:val="none" w:sz="0" w:space="0" w:color="auto"/>
        <w:bottom w:val="none" w:sz="0" w:space="0" w:color="auto"/>
        <w:right w:val="none" w:sz="0" w:space="0" w:color="auto"/>
      </w:divBdr>
    </w:div>
    <w:div w:id="1038160171">
      <w:marLeft w:val="0"/>
      <w:marRight w:val="0"/>
      <w:marTop w:val="0"/>
      <w:marBottom w:val="0"/>
      <w:divBdr>
        <w:top w:val="none" w:sz="0" w:space="0" w:color="auto"/>
        <w:left w:val="none" w:sz="0" w:space="0" w:color="auto"/>
        <w:bottom w:val="none" w:sz="0" w:space="0" w:color="auto"/>
        <w:right w:val="none" w:sz="0" w:space="0" w:color="auto"/>
      </w:divBdr>
    </w:div>
    <w:div w:id="1038160172">
      <w:marLeft w:val="0"/>
      <w:marRight w:val="0"/>
      <w:marTop w:val="0"/>
      <w:marBottom w:val="0"/>
      <w:divBdr>
        <w:top w:val="none" w:sz="0" w:space="0" w:color="auto"/>
        <w:left w:val="none" w:sz="0" w:space="0" w:color="auto"/>
        <w:bottom w:val="none" w:sz="0" w:space="0" w:color="auto"/>
        <w:right w:val="none" w:sz="0" w:space="0" w:color="auto"/>
      </w:divBdr>
    </w:div>
    <w:div w:id="1038160173">
      <w:marLeft w:val="0"/>
      <w:marRight w:val="0"/>
      <w:marTop w:val="0"/>
      <w:marBottom w:val="0"/>
      <w:divBdr>
        <w:top w:val="none" w:sz="0" w:space="0" w:color="auto"/>
        <w:left w:val="none" w:sz="0" w:space="0" w:color="auto"/>
        <w:bottom w:val="none" w:sz="0" w:space="0" w:color="auto"/>
        <w:right w:val="none" w:sz="0" w:space="0" w:color="auto"/>
      </w:divBdr>
    </w:div>
    <w:div w:id="1038160174">
      <w:marLeft w:val="0"/>
      <w:marRight w:val="0"/>
      <w:marTop w:val="0"/>
      <w:marBottom w:val="0"/>
      <w:divBdr>
        <w:top w:val="none" w:sz="0" w:space="0" w:color="auto"/>
        <w:left w:val="none" w:sz="0" w:space="0" w:color="auto"/>
        <w:bottom w:val="none" w:sz="0" w:space="0" w:color="auto"/>
        <w:right w:val="none" w:sz="0" w:space="0" w:color="auto"/>
      </w:divBdr>
    </w:div>
    <w:div w:id="1038160175">
      <w:marLeft w:val="0"/>
      <w:marRight w:val="0"/>
      <w:marTop w:val="0"/>
      <w:marBottom w:val="0"/>
      <w:divBdr>
        <w:top w:val="none" w:sz="0" w:space="0" w:color="auto"/>
        <w:left w:val="none" w:sz="0" w:space="0" w:color="auto"/>
        <w:bottom w:val="none" w:sz="0" w:space="0" w:color="auto"/>
        <w:right w:val="none" w:sz="0" w:space="0" w:color="auto"/>
      </w:divBdr>
    </w:div>
    <w:div w:id="1038160176">
      <w:marLeft w:val="0"/>
      <w:marRight w:val="0"/>
      <w:marTop w:val="0"/>
      <w:marBottom w:val="0"/>
      <w:divBdr>
        <w:top w:val="none" w:sz="0" w:space="0" w:color="auto"/>
        <w:left w:val="none" w:sz="0" w:space="0" w:color="auto"/>
        <w:bottom w:val="none" w:sz="0" w:space="0" w:color="auto"/>
        <w:right w:val="none" w:sz="0" w:space="0" w:color="auto"/>
      </w:divBdr>
    </w:div>
    <w:div w:id="1038160177">
      <w:marLeft w:val="0"/>
      <w:marRight w:val="0"/>
      <w:marTop w:val="0"/>
      <w:marBottom w:val="0"/>
      <w:divBdr>
        <w:top w:val="none" w:sz="0" w:space="0" w:color="auto"/>
        <w:left w:val="none" w:sz="0" w:space="0" w:color="auto"/>
        <w:bottom w:val="none" w:sz="0" w:space="0" w:color="auto"/>
        <w:right w:val="none" w:sz="0" w:space="0" w:color="auto"/>
      </w:divBdr>
    </w:div>
    <w:div w:id="1038160178">
      <w:marLeft w:val="0"/>
      <w:marRight w:val="0"/>
      <w:marTop w:val="0"/>
      <w:marBottom w:val="0"/>
      <w:divBdr>
        <w:top w:val="none" w:sz="0" w:space="0" w:color="auto"/>
        <w:left w:val="none" w:sz="0" w:space="0" w:color="auto"/>
        <w:bottom w:val="none" w:sz="0" w:space="0" w:color="auto"/>
        <w:right w:val="none" w:sz="0" w:space="0" w:color="auto"/>
      </w:divBdr>
    </w:div>
    <w:div w:id="1038160179">
      <w:marLeft w:val="0"/>
      <w:marRight w:val="0"/>
      <w:marTop w:val="0"/>
      <w:marBottom w:val="0"/>
      <w:divBdr>
        <w:top w:val="none" w:sz="0" w:space="0" w:color="auto"/>
        <w:left w:val="none" w:sz="0" w:space="0" w:color="auto"/>
        <w:bottom w:val="none" w:sz="0" w:space="0" w:color="auto"/>
        <w:right w:val="none" w:sz="0" w:space="0" w:color="auto"/>
      </w:divBdr>
    </w:div>
    <w:div w:id="1038160180">
      <w:marLeft w:val="0"/>
      <w:marRight w:val="0"/>
      <w:marTop w:val="0"/>
      <w:marBottom w:val="0"/>
      <w:divBdr>
        <w:top w:val="none" w:sz="0" w:space="0" w:color="auto"/>
        <w:left w:val="none" w:sz="0" w:space="0" w:color="auto"/>
        <w:bottom w:val="none" w:sz="0" w:space="0" w:color="auto"/>
        <w:right w:val="none" w:sz="0" w:space="0" w:color="auto"/>
      </w:divBdr>
    </w:div>
    <w:div w:id="1038160181">
      <w:marLeft w:val="0"/>
      <w:marRight w:val="0"/>
      <w:marTop w:val="0"/>
      <w:marBottom w:val="0"/>
      <w:divBdr>
        <w:top w:val="none" w:sz="0" w:space="0" w:color="auto"/>
        <w:left w:val="none" w:sz="0" w:space="0" w:color="auto"/>
        <w:bottom w:val="none" w:sz="0" w:space="0" w:color="auto"/>
        <w:right w:val="none" w:sz="0" w:space="0" w:color="auto"/>
      </w:divBdr>
    </w:div>
    <w:div w:id="1038160182">
      <w:marLeft w:val="0"/>
      <w:marRight w:val="0"/>
      <w:marTop w:val="0"/>
      <w:marBottom w:val="0"/>
      <w:divBdr>
        <w:top w:val="none" w:sz="0" w:space="0" w:color="auto"/>
        <w:left w:val="none" w:sz="0" w:space="0" w:color="auto"/>
        <w:bottom w:val="none" w:sz="0" w:space="0" w:color="auto"/>
        <w:right w:val="none" w:sz="0" w:space="0" w:color="auto"/>
      </w:divBdr>
    </w:div>
    <w:div w:id="1038160183">
      <w:marLeft w:val="0"/>
      <w:marRight w:val="0"/>
      <w:marTop w:val="0"/>
      <w:marBottom w:val="0"/>
      <w:divBdr>
        <w:top w:val="none" w:sz="0" w:space="0" w:color="auto"/>
        <w:left w:val="none" w:sz="0" w:space="0" w:color="auto"/>
        <w:bottom w:val="none" w:sz="0" w:space="0" w:color="auto"/>
        <w:right w:val="none" w:sz="0" w:space="0" w:color="auto"/>
      </w:divBdr>
    </w:div>
    <w:div w:id="1038160184">
      <w:marLeft w:val="0"/>
      <w:marRight w:val="0"/>
      <w:marTop w:val="0"/>
      <w:marBottom w:val="0"/>
      <w:divBdr>
        <w:top w:val="none" w:sz="0" w:space="0" w:color="auto"/>
        <w:left w:val="none" w:sz="0" w:space="0" w:color="auto"/>
        <w:bottom w:val="none" w:sz="0" w:space="0" w:color="auto"/>
        <w:right w:val="none" w:sz="0" w:space="0" w:color="auto"/>
      </w:divBdr>
    </w:div>
    <w:div w:id="1038160185">
      <w:marLeft w:val="0"/>
      <w:marRight w:val="0"/>
      <w:marTop w:val="0"/>
      <w:marBottom w:val="0"/>
      <w:divBdr>
        <w:top w:val="none" w:sz="0" w:space="0" w:color="auto"/>
        <w:left w:val="none" w:sz="0" w:space="0" w:color="auto"/>
        <w:bottom w:val="none" w:sz="0" w:space="0" w:color="auto"/>
        <w:right w:val="none" w:sz="0" w:space="0" w:color="auto"/>
      </w:divBdr>
    </w:div>
    <w:div w:id="1038160186">
      <w:marLeft w:val="0"/>
      <w:marRight w:val="0"/>
      <w:marTop w:val="0"/>
      <w:marBottom w:val="0"/>
      <w:divBdr>
        <w:top w:val="none" w:sz="0" w:space="0" w:color="auto"/>
        <w:left w:val="none" w:sz="0" w:space="0" w:color="auto"/>
        <w:bottom w:val="none" w:sz="0" w:space="0" w:color="auto"/>
        <w:right w:val="none" w:sz="0" w:space="0" w:color="auto"/>
      </w:divBdr>
    </w:div>
    <w:div w:id="1038160187">
      <w:marLeft w:val="0"/>
      <w:marRight w:val="0"/>
      <w:marTop w:val="0"/>
      <w:marBottom w:val="0"/>
      <w:divBdr>
        <w:top w:val="none" w:sz="0" w:space="0" w:color="auto"/>
        <w:left w:val="none" w:sz="0" w:space="0" w:color="auto"/>
        <w:bottom w:val="none" w:sz="0" w:space="0" w:color="auto"/>
        <w:right w:val="none" w:sz="0" w:space="0" w:color="auto"/>
      </w:divBdr>
    </w:div>
    <w:div w:id="1038160188">
      <w:marLeft w:val="0"/>
      <w:marRight w:val="0"/>
      <w:marTop w:val="0"/>
      <w:marBottom w:val="0"/>
      <w:divBdr>
        <w:top w:val="none" w:sz="0" w:space="0" w:color="auto"/>
        <w:left w:val="none" w:sz="0" w:space="0" w:color="auto"/>
        <w:bottom w:val="none" w:sz="0" w:space="0" w:color="auto"/>
        <w:right w:val="none" w:sz="0" w:space="0" w:color="auto"/>
      </w:divBdr>
    </w:div>
    <w:div w:id="1038160189">
      <w:marLeft w:val="0"/>
      <w:marRight w:val="0"/>
      <w:marTop w:val="0"/>
      <w:marBottom w:val="0"/>
      <w:divBdr>
        <w:top w:val="none" w:sz="0" w:space="0" w:color="auto"/>
        <w:left w:val="none" w:sz="0" w:space="0" w:color="auto"/>
        <w:bottom w:val="none" w:sz="0" w:space="0" w:color="auto"/>
        <w:right w:val="none" w:sz="0" w:space="0" w:color="auto"/>
      </w:divBdr>
    </w:div>
    <w:div w:id="1038160190">
      <w:marLeft w:val="0"/>
      <w:marRight w:val="0"/>
      <w:marTop w:val="0"/>
      <w:marBottom w:val="0"/>
      <w:divBdr>
        <w:top w:val="none" w:sz="0" w:space="0" w:color="auto"/>
        <w:left w:val="none" w:sz="0" w:space="0" w:color="auto"/>
        <w:bottom w:val="none" w:sz="0" w:space="0" w:color="auto"/>
        <w:right w:val="none" w:sz="0" w:space="0" w:color="auto"/>
      </w:divBdr>
    </w:div>
    <w:div w:id="1038160191">
      <w:marLeft w:val="0"/>
      <w:marRight w:val="0"/>
      <w:marTop w:val="0"/>
      <w:marBottom w:val="0"/>
      <w:divBdr>
        <w:top w:val="none" w:sz="0" w:space="0" w:color="auto"/>
        <w:left w:val="none" w:sz="0" w:space="0" w:color="auto"/>
        <w:bottom w:val="none" w:sz="0" w:space="0" w:color="auto"/>
        <w:right w:val="none" w:sz="0" w:space="0" w:color="auto"/>
      </w:divBdr>
    </w:div>
    <w:div w:id="1038160192">
      <w:marLeft w:val="0"/>
      <w:marRight w:val="0"/>
      <w:marTop w:val="0"/>
      <w:marBottom w:val="0"/>
      <w:divBdr>
        <w:top w:val="none" w:sz="0" w:space="0" w:color="auto"/>
        <w:left w:val="none" w:sz="0" w:space="0" w:color="auto"/>
        <w:bottom w:val="none" w:sz="0" w:space="0" w:color="auto"/>
        <w:right w:val="none" w:sz="0" w:space="0" w:color="auto"/>
      </w:divBdr>
    </w:div>
    <w:div w:id="1038160193">
      <w:marLeft w:val="0"/>
      <w:marRight w:val="0"/>
      <w:marTop w:val="0"/>
      <w:marBottom w:val="0"/>
      <w:divBdr>
        <w:top w:val="none" w:sz="0" w:space="0" w:color="auto"/>
        <w:left w:val="none" w:sz="0" w:space="0" w:color="auto"/>
        <w:bottom w:val="none" w:sz="0" w:space="0" w:color="auto"/>
        <w:right w:val="none" w:sz="0" w:space="0" w:color="auto"/>
      </w:divBdr>
    </w:div>
    <w:div w:id="1038160194">
      <w:marLeft w:val="0"/>
      <w:marRight w:val="0"/>
      <w:marTop w:val="0"/>
      <w:marBottom w:val="0"/>
      <w:divBdr>
        <w:top w:val="none" w:sz="0" w:space="0" w:color="auto"/>
        <w:left w:val="none" w:sz="0" w:space="0" w:color="auto"/>
        <w:bottom w:val="none" w:sz="0" w:space="0" w:color="auto"/>
        <w:right w:val="none" w:sz="0" w:space="0" w:color="auto"/>
      </w:divBdr>
    </w:div>
    <w:div w:id="1038160195">
      <w:marLeft w:val="0"/>
      <w:marRight w:val="0"/>
      <w:marTop w:val="0"/>
      <w:marBottom w:val="0"/>
      <w:divBdr>
        <w:top w:val="none" w:sz="0" w:space="0" w:color="auto"/>
        <w:left w:val="none" w:sz="0" w:space="0" w:color="auto"/>
        <w:bottom w:val="none" w:sz="0" w:space="0" w:color="auto"/>
        <w:right w:val="none" w:sz="0" w:space="0" w:color="auto"/>
      </w:divBdr>
    </w:div>
    <w:div w:id="1038160196">
      <w:marLeft w:val="0"/>
      <w:marRight w:val="0"/>
      <w:marTop w:val="0"/>
      <w:marBottom w:val="0"/>
      <w:divBdr>
        <w:top w:val="none" w:sz="0" w:space="0" w:color="auto"/>
        <w:left w:val="none" w:sz="0" w:space="0" w:color="auto"/>
        <w:bottom w:val="none" w:sz="0" w:space="0" w:color="auto"/>
        <w:right w:val="none" w:sz="0" w:space="0" w:color="auto"/>
      </w:divBdr>
    </w:div>
    <w:div w:id="1038160197">
      <w:marLeft w:val="0"/>
      <w:marRight w:val="0"/>
      <w:marTop w:val="0"/>
      <w:marBottom w:val="0"/>
      <w:divBdr>
        <w:top w:val="none" w:sz="0" w:space="0" w:color="auto"/>
        <w:left w:val="none" w:sz="0" w:space="0" w:color="auto"/>
        <w:bottom w:val="none" w:sz="0" w:space="0" w:color="auto"/>
        <w:right w:val="none" w:sz="0" w:space="0" w:color="auto"/>
      </w:divBdr>
    </w:div>
    <w:div w:id="1038160198">
      <w:marLeft w:val="0"/>
      <w:marRight w:val="0"/>
      <w:marTop w:val="0"/>
      <w:marBottom w:val="0"/>
      <w:divBdr>
        <w:top w:val="none" w:sz="0" w:space="0" w:color="auto"/>
        <w:left w:val="none" w:sz="0" w:space="0" w:color="auto"/>
        <w:bottom w:val="none" w:sz="0" w:space="0" w:color="auto"/>
        <w:right w:val="none" w:sz="0" w:space="0" w:color="auto"/>
      </w:divBdr>
    </w:div>
    <w:div w:id="1038160199">
      <w:marLeft w:val="0"/>
      <w:marRight w:val="0"/>
      <w:marTop w:val="0"/>
      <w:marBottom w:val="0"/>
      <w:divBdr>
        <w:top w:val="none" w:sz="0" w:space="0" w:color="auto"/>
        <w:left w:val="none" w:sz="0" w:space="0" w:color="auto"/>
        <w:bottom w:val="none" w:sz="0" w:space="0" w:color="auto"/>
        <w:right w:val="none" w:sz="0" w:space="0" w:color="auto"/>
      </w:divBdr>
    </w:div>
    <w:div w:id="1038160200">
      <w:marLeft w:val="0"/>
      <w:marRight w:val="0"/>
      <w:marTop w:val="0"/>
      <w:marBottom w:val="0"/>
      <w:divBdr>
        <w:top w:val="none" w:sz="0" w:space="0" w:color="auto"/>
        <w:left w:val="none" w:sz="0" w:space="0" w:color="auto"/>
        <w:bottom w:val="none" w:sz="0" w:space="0" w:color="auto"/>
        <w:right w:val="none" w:sz="0" w:space="0" w:color="auto"/>
      </w:divBdr>
      <w:divsChild>
        <w:div w:id="1038160235">
          <w:marLeft w:val="0"/>
          <w:marRight w:val="0"/>
          <w:marTop w:val="0"/>
          <w:marBottom w:val="0"/>
          <w:divBdr>
            <w:top w:val="none" w:sz="0" w:space="0" w:color="auto"/>
            <w:left w:val="none" w:sz="0" w:space="0" w:color="auto"/>
            <w:bottom w:val="none" w:sz="0" w:space="0" w:color="auto"/>
            <w:right w:val="none" w:sz="0" w:space="0" w:color="auto"/>
          </w:divBdr>
          <w:divsChild>
            <w:div w:id="1038160161">
              <w:marLeft w:val="0"/>
              <w:marRight w:val="0"/>
              <w:marTop w:val="0"/>
              <w:marBottom w:val="0"/>
              <w:divBdr>
                <w:top w:val="none" w:sz="0" w:space="0" w:color="auto"/>
                <w:left w:val="none" w:sz="0" w:space="0" w:color="auto"/>
                <w:bottom w:val="none" w:sz="0" w:space="0" w:color="auto"/>
                <w:right w:val="none" w:sz="0" w:space="0" w:color="auto"/>
              </w:divBdr>
              <w:divsChild>
                <w:div w:id="1038160108">
                  <w:marLeft w:val="0"/>
                  <w:marRight w:val="0"/>
                  <w:marTop w:val="0"/>
                  <w:marBottom w:val="0"/>
                  <w:divBdr>
                    <w:top w:val="none" w:sz="0" w:space="0" w:color="auto"/>
                    <w:left w:val="none" w:sz="0" w:space="0" w:color="auto"/>
                    <w:bottom w:val="none" w:sz="0" w:space="0" w:color="auto"/>
                    <w:right w:val="none" w:sz="0" w:space="0" w:color="auto"/>
                  </w:divBdr>
                  <w:divsChild>
                    <w:div w:id="1038160236">
                      <w:marLeft w:val="0"/>
                      <w:marRight w:val="0"/>
                      <w:marTop w:val="0"/>
                      <w:marBottom w:val="0"/>
                      <w:divBdr>
                        <w:top w:val="none" w:sz="0" w:space="0" w:color="auto"/>
                        <w:left w:val="none" w:sz="0" w:space="0" w:color="auto"/>
                        <w:bottom w:val="none" w:sz="0" w:space="0" w:color="auto"/>
                        <w:right w:val="none" w:sz="0" w:space="0" w:color="auto"/>
                      </w:divBdr>
                      <w:divsChild>
                        <w:div w:id="1038160142">
                          <w:marLeft w:val="0"/>
                          <w:marRight w:val="0"/>
                          <w:marTop w:val="0"/>
                          <w:marBottom w:val="0"/>
                          <w:divBdr>
                            <w:top w:val="none" w:sz="0" w:space="0" w:color="auto"/>
                            <w:left w:val="none" w:sz="0" w:space="0" w:color="auto"/>
                            <w:bottom w:val="none" w:sz="0" w:space="0" w:color="auto"/>
                            <w:right w:val="none" w:sz="0" w:space="0" w:color="auto"/>
                          </w:divBdr>
                          <w:divsChild>
                            <w:div w:id="1038160124">
                              <w:marLeft w:val="0"/>
                              <w:marRight w:val="0"/>
                              <w:marTop w:val="0"/>
                              <w:marBottom w:val="0"/>
                              <w:divBdr>
                                <w:top w:val="none" w:sz="0" w:space="0" w:color="auto"/>
                                <w:left w:val="none" w:sz="0" w:space="0" w:color="auto"/>
                                <w:bottom w:val="none" w:sz="0" w:space="0" w:color="auto"/>
                                <w:right w:val="none" w:sz="0" w:space="0" w:color="auto"/>
                              </w:divBdr>
                              <w:divsChild>
                                <w:div w:id="103816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8160201">
      <w:marLeft w:val="0"/>
      <w:marRight w:val="0"/>
      <w:marTop w:val="0"/>
      <w:marBottom w:val="0"/>
      <w:divBdr>
        <w:top w:val="none" w:sz="0" w:space="0" w:color="auto"/>
        <w:left w:val="none" w:sz="0" w:space="0" w:color="auto"/>
        <w:bottom w:val="none" w:sz="0" w:space="0" w:color="auto"/>
        <w:right w:val="none" w:sz="0" w:space="0" w:color="auto"/>
      </w:divBdr>
    </w:div>
    <w:div w:id="1038160202">
      <w:marLeft w:val="0"/>
      <w:marRight w:val="0"/>
      <w:marTop w:val="0"/>
      <w:marBottom w:val="0"/>
      <w:divBdr>
        <w:top w:val="none" w:sz="0" w:space="0" w:color="auto"/>
        <w:left w:val="none" w:sz="0" w:space="0" w:color="auto"/>
        <w:bottom w:val="none" w:sz="0" w:space="0" w:color="auto"/>
        <w:right w:val="none" w:sz="0" w:space="0" w:color="auto"/>
      </w:divBdr>
    </w:div>
    <w:div w:id="1038160203">
      <w:marLeft w:val="0"/>
      <w:marRight w:val="0"/>
      <w:marTop w:val="0"/>
      <w:marBottom w:val="0"/>
      <w:divBdr>
        <w:top w:val="none" w:sz="0" w:space="0" w:color="auto"/>
        <w:left w:val="none" w:sz="0" w:space="0" w:color="auto"/>
        <w:bottom w:val="none" w:sz="0" w:space="0" w:color="auto"/>
        <w:right w:val="none" w:sz="0" w:space="0" w:color="auto"/>
      </w:divBdr>
    </w:div>
    <w:div w:id="1038160204">
      <w:marLeft w:val="0"/>
      <w:marRight w:val="0"/>
      <w:marTop w:val="0"/>
      <w:marBottom w:val="0"/>
      <w:divBdr>
        <w:top w:val="none" w:sz="0" w:space="0" w:color="auto"/>
        <w:left w:val="none" w:sz="0" w:space="0" w:color="auto"/>
        <w:bottom w:val="none" w:sz="0" w:space="0" w:color="auto"/>
        <w:right w:val="none" w:sz="0" w:space="0" w:color="auto"/>
      </w:divBdr>
    </w:div>
    <w:div w:id="1038160205">
      <w:marLeft w:val="0"/>
      <w:marRight w:val="0"/>
      <w:marTop w:val="0"/>
      <w:marBottom w:val="0"/>
      <w:divBdr>
        <w:top w:val="none" w:sz="0" w:space="0" w:color="auto"/>
        <w:left w:val="none" w:sz="0" w:space="0" w:color="auto"/>
        <w:bottom w:val="none" w:sz="0" w:space="0" w:color="auto"/>
        <w:right w:val="none" w:sz="0" w:space="0" w:color="auto"/>
      </w:divBdr>
    </w:div>
    <w:div w:id="1038160206">
      <w:marLeft w:val="0"/>
      <w:marRight w:val="0"/>
      <w:marTop w:val="0"/>
      <w:marBottom w:val="0"/>
      <w:divBdr>
        <w:top w:val="none" w:sz="0" w:space="0" w:color="auto"/>
        <w:left w:val="none" w:sz="0" w:space="0" w:color="auto"/>
        <w:bottom w:val="none" w:sz="0" w:space="0" w:color="auto"/>
        <w:right w:val="none" w:sz="0" w:space="0" w:color="auto"/>
      </w:divBdr>
    </w:div>
    <w:div w:id="1038160207">
      <w:marLeft w:val="0"/>
      <w:marRight w:val="0"/>
      <w:marTop w:val="0"/>
      <w:marBottom w:val="0"/>
      <w:divBdr>
        <w:top w:val="none" w:sz="0" w:space="0" w:color="auto"/>
        <w:left w:val="none" w:sz="0" w:space="0" w:color="auto"/>
        <w:bottom w:val="none" w:sz="0" w:space="0" w:color="auto"/>
        <w:right w:val="none" w:sz="0" w:space="0" w:color="auto"/>
      </w:divBdr>
    </w:div>
    <w:div w:id="1038160208">
      <w:marLeft w:val="0"/>
      <w:marRight w:val="0"/>
      <w:marTop w:val="0"/>
      <w:marBottom w:val="0"/>
      <w:divBdr>
        <w:top w:val="none" w:sz="0" w:space="0" w:color="auto"/>
        <w:left w:val="none" w:sz="0" w:space="0" w:color="auto"/>
        <w:bottom w:val="none" w:sz="0" w:space="0" w:color="auto"/>
        <w:right w:val="none" w:sz="0" w:space="0" w:color="auto"/>
      </w:divBdr>
    </w:div>
    <w:div w:id="1038160209">
      <w:marLeft w:val="0"/>
      <w:marRight w:val="0"/>
      <w:marTop w:val="0"/>
      <w:marBottom w:val="0"/>
      <w:divBdr>
        <w:top w:val="none" w:sz="0" w:space="0" w:color="auto"/>
        <w:left w:val="none" w:sz="0" w:space="0" w:color="auto"/>
        <w:bottom w:val="none" w:sz="0" w:space="0" w:color="auto"/>
        <w:right w:val="none" w:sz="0" w:space="0" w:color="auto"/>
      </w:divBdr>
    </w:div>
    <w:div w:id="1038160210">
      <w:marLeft w:val="0"/>
      <w:marRight w:val="0"/>
      <w:marTop w:val="0"/>
      <w:marBottom w:val="0"/>
      <w:divBdr>
        <w:top w:val="none" w:sz="0" w:space="0" w:color="auto"/>
        <w:left w:val="none" w:sz="0" w:space="0" w:color="auto"/>
        <w:bottom w:val="none" w:sz="0" w:space="0" w:color="auto"/>
        <w:right w:val="none" w:sz="0" w:space="0" w:color="auto"/>
      </w:divBdr>
    </w:div>
    <w:div w:id="1038160211">
      <w:marLeft w:val="0"/>
      <w:marRight w:val="0"/>
      <w:marTop w:val="0"/>
      <w:marBottom w:val="0"/>
      <w:divBdr>
        <w:top w:val="none" w:sz="0" w:space="0" w:color="auto"/>
        <w:left w:val="none" w:sz="0" w:space="0" w:color="auto"/>
        <w:bottom w:val="none" w:sz="0" w:space="0" w:color="auto"/>
        <w:right w:val="none" w:sz="0" w:space="0" w:color="auto"/>
      </w:divBdr>
    </w:div>
    <w:div w:id="1038160212">
      <w:marLeft w:val="0"/>
      <w:marRight w:val="0"/>
      <w:marTop w:val="0"/>
      <w:marBottom w:val="0"/>
      <w:divBdr>
        <w:top w:val="none" w:sz="0" w:space="0" w:color="auto"/>
        <w:left w:val="none" w:sz="0" w:space="0" w:color="auto"/>
        <w:bottom w:val="none" w:sz="0" w:space="0" w:color="auto"/>
        <w:right w:val="none" w:sz="0" w:space="0" w:color="auto"/>
      </w:divBdr>
    </w:div>
    <w:div w:id="1038160213">
      <w:marLeft w:val="0"/>
      <w:marRight w:val="0"/>
      <w:marTop w:val="0"/>
      <w:marBottom w:val="0"/>
      <w:divBdr>
        <w:top w:val="none" w:sz="0" w:space="0" w:color="auto"/>
        <w:left w:val="none" w:sz="0" w:space="0" w:color="auto"/>
        <w:bottom w:val="none" w:sz="0" w:space="0" w:color="auto"/>
        <w:right w:val="none" w:sz="0" w:space="0" w:color="auto"/>
      </w:divBdr>
    </w:div>
    <w:div w:id="1038160214">
      <w:marLeft w:val="0"/>
      <w:marRight w:val="0"/>
      <w:marTop w:val="0"/>
      <w:marBottom w:val="0"/>
      <w:divBdr>
        <w:top w:val="none" w:sz="0" w:space="0" w:color="auto"/>
        <w:left w:val="none" w:sz="0" w:space="0" w:color="auto"/>
        <w:bottom w:val="none" w:sz="0" w:space="0" w:color="auto"/>
        <w:right w:val="none" w:sz="0" w:space="0" w:color="auto"/>
      </w:divBdr>
    </w:div>
    <w:div w:id="1038160215">
      <w:marLeft w:val="0"/>
      <w:marRight w:val="0"/>
      <w:marTop w:val="0"/>
      <w:marBottom w:val="0"/>
      <w:divBdr>
        <w:top w:val="none" w:sz="0" w:space="0" w:color="auto"/>
        <w:left w:val="none" w:sz="0" w:space="0" w:color="auto"/>
        <w:bottom w:val="none" w:sz="0" w:space="0" w:color="auto"/>
        <w:right w:val="none" w:sz="0" w:space="0" w:color="auto"/>
      </w:divBdr>
    </w:div>
    <w:div w:id="1038160216">
      <w:marLeft w:val="0"/>
      <w:marRight w:val="0"/>
      <w:marTop w:val="0"/>
      <w:marBottom w:val="0"/>
      <w:divBdr>
        <w:top w:val="none" w:sz="0" w:space="0" w:color="auto"/>
        <w:left w:val="none" w:sz="0" w:space="0" w:color="auto"/>
        <w:bottom w:val="none" w:sz="0" w:space="0" w:color="auto"/>
        <w:right w:val="none" w:sz="0" w:space="0" w:color="auto"/>
      </w:divBdr>
    </w:div>
    <w:div w:id="1038160217">
      <w:marLeft w:val="0"/>
      <w:marRight w:val="0"/>
      <w:marTop w:val="0"/>
      <w:marBottom w:val="0"/>
      <w:divBdr>
        <w:top w:val="none" w:sz="0" w:space="0" w:color="auto"/>
        <w:left w:val="none" w:sz="0" w:space="0" w:color="auto"/>
        <w:bottom w:val="none" w:sz="0" w:space="0" w:color="auto"/>
        <w:right w:val="none" w:sz="0" w:space="0" w:color="auto"/>
      </w:divBdr>
    </w:div>
    <w:div w:id="1038160218">
      <w:marLeft w:val="0"/>
      <w:marRight w:val="0"/>
      <w:marTop w:val="0"/>
      <w:marBottom w:val="0"/>
      <w:divBdr>
        <w:top w:val="none" w:sz="0" w:space="0" w:color="auto"/>
        <w:left w:val="none" w:sz="0" w:space="0" w:color="auto"/>
        <w:bottom w:val="none" w:sz="0" w:space="0" w:color="auto"/>
        <w:right w:val="none" w:sz="0" w:space="0" w:color="auto"/>
      </w:divBdr>
    </w:div>
    <w:div w:id="1038160219">
      <w:marLeft w:val="0"/>
      <w:marRight w:val="0"/>
      <w:marTop w:val="0"/>
      <w:marBottom w:val="0"/>
      <w:divBdr>
        <w:top w:val="none" w:sz="0" w:space="0" w:color="auto"/>
        <w:left w:val="none" w:sz="0" w:space="0" w:color="auto"/>
        <w:bottom w:val="none" w:sz="0" w:space="0" w:color="auto"/>
        <w:right w:val="none" w:sz="0" w:space="0" w:color="auto"/>
      </w:divBdr>
    </w:div>
    <w:div w:id="1038160220">
      <w:marLeft w:val="0"/>
      <w:marRight w:val="0"/>
      <w:marTop w:val="0"/>
      <w:marBottom w:val="0"/>
      <w:divBdr>
        <w:top w:val="none" w:sz="0" w:space="0" w:color="auto"/>
        <w:left w:val="none" w:sz="0" w:space="0" w:color="auto"/>
        <w:bottom w:val="none" w:sz="0" w:space="0" w:color="auto"/>
        <w:right w:val="none" w:sz="0" w:space="0" w:color="auto"/>
      </w:divBdr>
    </w:div>
    <w:div w:id="1038160221">
      <w:marLeft w:val="0"/>
      <w:marRight w:val="0"/>
      <w:marTop w:val="0"/>
      <w:marBottom w:val="0"/>
      <w:divBdr>
        <w:top w:val="none" w:sz="0" w:space="0" w:color="auto"/>
        <w:left w:val="none" w:sz="0" w:space="0" w:color="auto"/>
        <w:bottom w:val="none" w:sz="0" w:space="0" w:color="auto"/>
        <w:right w:val="none" w:sz="0" w:space="0" w:color="auto"/>
      </w:divBdr>
    </w:div>
    <w:div w:id="1038160222">
      <w:marLeft w:val="0"/>
      <w:marRight w:val="0"/>
      <w:marTop w:val="0"/>
      <w:marBottom w:val="0"/>
      <w:divBdr>
        <w:top w:val="none" w:sz="0" w:space="0" w:color="auto"/>
        <w:left w:val="none" w:sz="0" w:space="0" w:color="auto"/>
        <w:bottom w:val="none" w:sz="0" w:space="0" w:color="auto"/>
        <w:right w:val="none" w:sz="0" w:space="0" w:color="auto"/>
      </w:divBdr>
    </w:div>
    <w:div w:id="1038160223">
      <w:marLeft w:val="0"/>
      <w:marRight w:val="0"/>
      <w:marTop w:val="0"/>
      <w:marBottom w:val="0"/>
      <w:divBdr>
        <w:top w:val="none" w:sz="0" w:space="0" w:color="auto"/>
        <w:left w:val="none" w:sz="0" w:space="0" w:color="auto"/>
        <w:bottom w:val="none" w:sz="0" w:space="0" w:color="auto"/>
        <w:right w:val="none" w:sz="0" w:space="0" w:color="auto"/>
      </w:divBdr>
    </w:div>
    <w:div w:id="1038160224">
      <w:marLeft w:val="0"/>
      <w:marRight w:val="0"/>
      <w:marTop w:val="0"/>
      <w:marBottom w:val="0"/>
      <w:divBdr>
        <w:top w:val="none" w:sz="0" w:space="0" w:color="auto"/>
        <w:left w:val="none" w:sz="0" w:space="0" w:color="auto"/>
        <w:bottom w:val="none" w:sz="0" w:space="0" w:color="auto"/>
        <w:right w:val="none" w:sz="0" w:space="0" w:color="auto"/>
      </w:divBdr>
    </w:div>
    <w:div w:id="1038160225">
      <w:marLeft w:val="0"/>
      <w:marRight w:val="0"/>
      <w:marTop w:val="0"/>
      <w:marBottom w:val="0"/>
      <w:divBdr>
        <w:top w:val="none" w:sz="0" w:space="0" w:color="auto"/>
        <w:left w:val="none" w:sz="0" w:space="0" w:color="auto"/>
        <w:bottom w:val="none" w:sz="0" w:space="0" w:color="auto"/>
        <w:right w:val="none" w:sz="0" w:space="0" w:color="auto"/>
      </w:divBdr>
    </w:div>
    <w:div w:id="1038160226">
      <w:marLeft w:val="0"/>
      <w:marRight w:val="0"/>
      <w:marTop w:val="0"/>
      <w:marBottom w:val="0"/>
      <w:divBdr>
        <w:top w:val="none" w:sz="0" w:space="0" w:color="auto"/>
        <w:left w:val="none" w:sz="0" w:space="0" w:color="auto"/>
        <w:bottom w:val="none" w:sz="0" w:space="0" w:color="auto"/>
        <w:right w:val="none" w:sz="0" w:space="0" w:color="auto"/>
      </w:divBdr>
    </w:div>
    <w:div w:id="1038160227">
      <w:marLeft w:val="0"/>
      <w:marRight w:val="0"/>
      <w:marTop w:val="0"/>
      <w:marBottom w:val="0"/>
      <w:divBdr>
        <w:top w:val="none" w:sz="0" w:space="0" w:color="auto"/>
        <w:left w:val="none" w:sz="0" w:space="0" w:color="auto"/>
        <w:bottom w:val="none" w:sz="0" w:space="0" w:color="auto"/>
        <w:right w:val="none" w:sz="0" w:space="0" w:color="auto"/>
      </w:divBdr>
    </w:div>
    <w:div w:id="1038160228">
      <w:marLeft w:val="0"/>
      <w:marRight w:val="0"/>
      <w:marTop w:val="0"/>
      <w:marBottom w:val="0"/>
      <w:divBdr>
        <w:top w:val="none" w:sz="0" w:space="0" w:color="auto"/>
        <w:left w:val="none" w:sz="0" w:space="0" w:color="auto"/>
        <w:bottom w:val="none" w:sz="0" w:space="0" w:color="auto"/>
        <w:right w:val="none" w:sz="0" w:space="0" w:color="auto"/>
      </w:divBdr>
    </w:div>
    <w:div w:id="1038160229">
      <w:marLeft w:val="0"/>
      <w:marRight w:val="0"/>
      <w:marTop w:val="0"/>
      <w:marBottom w:val="0"/>
      <w:divBdr>
        <w:top w:val="none" w:sz="0" w:space="0" w:color="auto"/>
        <w:left w:val="none" w:sz="0" w:space="0" w:color="auto"/>
        <w:bottom w:val="none" w:sz="0" w:space="0" w:color="auto"/>
        <w:right w:val="none" w:sz="0" w:space="0" w:color="auto"/>
      </w:divBdr>
    </w:div>
    <w:div w:id="1038160230">
      <w:marLeft w:val="0"/>
      <w:marRight w:val="0"/>
      <w:marTop w:val="0"/>
      <w:marBottom w:val="0"/>
      <w:divBdr>
        <w:top w:val="none" w:sz="0" w:space="0" w:color="auto"/>
        <w:left w:val="none" w:sz="0" w:space="0" w:color="auto"/>
        <w:bottom w:val="none" w:sz="0" w:space="0" w:color="auto"/>
        <w:right w:val="none" w:sz="0" w:space="0" w:color="auto"/>
      </w:divBdr>
    </w:div>
    <w:div w:id="1038160231">
      <w:marLeft w:val="0"/>
      <w:marRight w:val="0"/>
      <w:marTop w:val="0"/>
      <w:marBottom w:val="0"/>
      <w:divBdr>
        <w:top w:val="none" w:sz="0" w:space="0" w:color="auto"/>
        <w:left w:val="none" w:sz="0" w:space="0" w:color="auto"/>
        <w:bottom w:val="none" w:sz="0" w:space="0" w:color="auto"/>
        <w:right w:val="none" w:sz="0" w:space="0" w:color="auto"/>
      </w:divBdr>
    </w:div>
    <w:div w:id="1038160232">
      <w:marLeft w:val="0"/>
      <w:marRight w:val="0"/>
      <w:marTop w:val="0"/>
      <w:marBottom w:val="0"/>
      <w:divBdr>
        <w:top w:val="none" w:sz="0" w:space="0" w:color="auto"/>
        <w:left w:val="none" w:sz="0" w:space="0" w:color="auto"/>
        <w:bottom w:val="none" w:sz="0" w:space="0" w:color="auto"/>
        <w:right w:val="none" w:sz="0" w:space="0" w:color="auto"/>
      </w:divBdr>
    </w:div>
    <w:div w:id="1038160233">
      <w:marLeft w:val="0"/>
      <w:marRight w:val="0"/>
      <w:marTop w:val="0"/>
      <w:marBottom w:val="0"/>
      <w:divBdr>
        <w:top w:val="none" w:sz="0" w:space="0" w:color="auto"/>
        <w:left w:val="none" w:sz="0" w:space="0" w:color="auto"/>
        <w:bottom w:val="none" w:sz="0" w:space="0" w:color="auto"/>
        <w:right w:val="none" w:sz="0" w:space="0" w:color="auto"/>
      </w:divBdr>
    </w:div>
    <w:div w:id="1038160234">
      <w:marLeft w:val="0"/>
      <w:marRight w:val="0"/>
      <w:marTop w:val="0"/>
      <w:marBottom w:val="0"/>
      <w:divBdr>
        <w:top w:val="none" w:sz="0" w:space="0" w:color="auto"/>
        <w:left w:val="none" w:sz="0" w:space="0" w:color="auto"/>
        <w:bottom w:val="none" w:sz="0" w:space="0" w:color="auto"/>
        <w:right w:val="none" w:sz="0" w:space="0" w:color="auto"/>
      </w:divBdr>
    </w:div>
    <w:div w:id="1038160237">
      <w:marLeft w:val="0"/>
      <w:marRight w:val="0"/>
      <w:marTop w:val="0"/>
      <w:marBottom w:val="0"/>
      <w:divBdr>
        <w:top w:val="none" w:sz="0" w:space="0" w:color="auto"/>
        <w:left w:val="none" w:sz="0" w:space="0" w:color="auto"/>
        <w:bottom w:val="none" w:sz="0" w:space="0" w:color="auto"/>
        <w:right w:val="none" w:sz="0" w:space="0" w:color="auto"/>
      </w:divBdr>
    </w:div>
    <w:div w:id="1038160238">
      <w:marLeft w:val="0"/>
      <w:marRight w:val="0"/>
      <w:marTop w:val="0"/>
      <w:marBottom w:val="0"/>
      <w:divBdr>
        <w:top w:val="none" w:sz="0" w:space="0" w:color="auto"/>
        <w:left w:val="none" w:sz="0" w:space="0" w:color="auto"/>
        <w:bottom w:val="none" w:sz="0" w:space="0" w:color="auto"/>
        <w:right w:val="none" w:sz="0" w:space="0" w:color="auto"/>
      </w:divBdr>
    </w:div>
    <w:div w:id="1038160239">
      <w:marLeft w:val="0"/>
      <w:marRight w:val="0"/>
      <w:marTop w:val="0"/>
      <w:marBottom w:val="0"/>
      <w:divBdr>
        <w:top w:val="none" w:sz="0" w:space="0" w:color="auto"/>
        <w:left w:val="none" w:sz="0" w:space="0" w:color="auto"/>
        <w:bottom w:val="none" w:sz="0" w:space="0" w:color="auto"/>
        <w:right w:val="none" w:sz="0" w:space="0" w:color="auto"/>
      </w:divBdr>
    </w:div>
    <w:div w:id="1038160240">
      <w:marLeft w:val="0"/>
      <w:marRight w:val="0"/>
      <w:marTop w:val="0"/>
      <w:marBottom w:val="0"/>
      <w:divBdr>
        <w:top w:val="none" w:sz="0" w:space="0" w:color="auto"/>
        <w:left w:val="none" w:sz="0" w:space="0" w:color="auto"/>
        <w:bottom w:val="none" w:sz="0" w:space="0" w:color="auto"/>
        <w:right w:val="none" w:sz="0" w:space="0" w:color="auto"/>
      </w:divBdr>
    </w:div>
    <w:div w:id="1038160241">
      <w:marLeft w:val="0"/>
      <w:marRight w:val="0"/>
      <w:marTop w:val="0"/>
      <w:marBottom w:val="0"/>
      <w:divBdr>
        <w:top w:val="none" w:sz="0" w:space="0" w:color="auto"/>
        <w:left w:val="none" w:sz="0" w:space="0" w:color="auto"/>
        <w:bottom w:val="none" w:sz="0" w:space="0" w:color="auto"/>
        <w:right w:val="none" w:sz="0" w:space="0" w:color="auto"/>
      </w:divBdr>
    </w:div>
    <w:div w:id="1038160242">
      <w:marLeft w:val="0"/>
      <w:marRight w:val="0"/>
      <w:marTop w:val="0"/>
      <w:marBottom w:val="0"/>
      <w:divBdr>
        <w:top w:val="none" w:sz="0" w:space="0" w:color="auto"/>
        <w:left w:val="none" w:sz="0" w:space="0" w:color="auto"/>
        <w:bottom w:val="none" w:sz="0" w:space="0" w:color="auto"/>
        <w:right w:val="none" w:sz="0" w:space="0" w:color="auto"/>
      </w:divBdr>
    </w:div>
    <w:div w:id="1281300556">
      <w:bodyDiv w:val="1"/>
      <w:marLeft w:val="0"/>
      <w:marRight w:val="0"/>
      <w:marTop w:val="0"/>
      <w:marBottom w:val="0"/>
      <w:divBdr>
        <w:top w:val="none" w:sz="0" w:space="0" w:color="auto"/>
        <w:left w:val="none" w:sz="0" w:space="0" w:color="auto"/>
        <w:bottom w:val="none" w:sz="0" w:space="0" w:color="auto"/>
        <w:right w:val="none" w:sz="0" w:space="0" w:color="auto"/>
      </w:divBdr>
    </w:div>
    <w:div w:id="1466125374">
      <w:bodyDiv w:val="1"/>
      <w:marLeft w:val="0"/>
      <w:marRight w:val="0"/>
      <w:marTop w:val="0"/>
      <w:marBottom w:val="0"/>
      <w:divBdr>
        <w:top w:val="none" w:sz="0" w:space="0" w:color="auto"/>
        <w:left w:val="none" w:sz="0" w:space="0" w:color="auto"/>
        <w:bottom w:val="none" w:sz="0" w:space="0" w:color="auto"/>
        <w:right w:val="none" w:sz="0" w:space="0" w:color="auto"/>
      </w:divBdr>
    </w:div>
    <w:div w:id="1548302236">
      <w:bodyDiv w:val="1"/>
      <w:marLeft w:val="0"/>
      <w:marRight w:val="0"/>
      <w:marTop w:val="0"/>
      <w:marBottom w:val="0"/>
      <w:divBdr>
        <w:top w:val="none" w:sz="0" w:space="0" w:color="auto"/>
        <w:left w:val="none" w:sz="0" w:space="0" w:color="auto"/>
        <w:bottom w:val="none" w:sz="0" w:space="0" w:color="auto"/>
        <w:right w:val="none" w:sz="0" w:space="0" w:color="auto"/>
      </w:divBdr>
    </w:div>
    <w:div w:id="200697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429496-C496-4124-ADCB-B2DD7847B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10211</Words>
  <Characters>58208</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Grant Thornton</Company>
  <LinksUpToDate>false</LinksUpToDate>
  <CharactersWithSpaces>68283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Fitzgibbon</dc:creator>
  <cp:lastModifiedBy>Rumen Sokolov</cp:lastModifiedBy>
  <cp:revision>2</cp:revision>
  <cp:lastPrinted>2016-10-31T12:58:00Z</cp:lastPrinted>
  <dcterms:created xsi:type="dcterms:W3CDTF">2016-11-01T10:39:00Z</dcterms:created>
  <dcterms:modified xsi:type="dcterms:W3CDTF">2016-11-01T10:39:00Z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Name">
    <vt:lpwstr>Company Name</vt:lpwstr>
  </property>
  <property fmtid="{D5CDD505-2E9C-101B-9397-08002B2CF9AE}" pid="3" name="CountryAdjective">
    <vt:lpwstr>Canadian</vt:lpwstr>
  </property>
  <property fmtid="{D5CDD505-2E9C-101B-9397-08002B2CF9AE}" pid="4" name="AccountsDate">
    <vt:lpwstr>Date of Accounts</vt:lpwstr>
  </property>
  <property fmtid="{D5CDD505-2E9C-101B-9397-08002B2CF9AE}" pid="5" name="AccountsName">
    <vt:lpwstr>Name of Accounts</vt:lpwstr>
  </property>
  <property fmtid="{D5CDD505-2E9C-101B-9397-08002B2CF9AE}" pid="6" name="DocType">
    <vt:lpwstr>Financial Statements</vt:lpwstr>
  </property>
</Properties>
</file>