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 w:rsidRPr="00006E48">
        <w:rPr>
          <w:rFonts w:ascii="Verdana Bold" w:hAnsi="Verdana Bold" w:cs="Verdana Bold"/>
          <w:b/>
          <w:bCs/>
          <w:sz w:val="32"/>
          <w:szCs w:val="32"/>
        </w:rPr>
        <w:t>МВЕЦ РАКИТА ООД ,ЕИК 202523706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През месец юни 2016 г.са продадени дружествени дялове от капитала на МВЕЦ Ракита ООД от Йорданка Лазарова Димова на Синерджи Холдинг ООД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7728B4"/>
    <w:rsid w:val="00006E48"/>
    <w:rsid w:val="007728B4"/>
    <w:rsid w:val="008C4420"/>
    <w:rsid w:val="00C947A2"/>
    <w:rsid w:val="00D356BD"/>
    <w:rsid w:val="00DF7B83"/>
    <w:rsid w:val="00E1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2</cp:revision>
  <dcterms:created xsi:type="dcterms:W3CDTF">2016-10-27T10:57:00Z</dcterms:created>
  <dcterms:modified xsi:type="dcterms:W3CDTF">2016-10-27T10:57:00Z</dcterms:modified>
</cp:coreProperties>
</file>