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B3E" w:rsidRPr="00CF0E5F" w:rsidRDefault="00201B3E" w:rsidP="00201B3E">
      <w:pPr>
        <w:pStyle w:val="Heading1"/>
        <w:spacing w:before="120" w:line="260" w:lineRule="atLeast"/>
        <w:jc w:val="center"/>
        <w:rPr>
          <w:rFonts w:ascii="Verdana" w:hAnsi="Verdana" w:cs="Arial"/>
          <w:snapToGrid w:val="0"/>
          <w:sz w:val="20"/>
          <w:szCs w:val="20"/>
        </w:rPr>
      </w:pPr>
      <w:bookmarkStart w:id="0" w:name="_Toc247959122"/>
      <w:bookmarkStart w:id="1" w:name="_Toc270424830"/>
      <w:bookmarkStart w:id="2" w:name="_Toc4328748"/>
      <w:bookmarkStart w:id="3" w:name="_GoBack"/>
      <w:bookmarkEnd w:id="3"/>
      <w:r w:rsidRPr="00CF0E5F">
        <w:rPr>
          <w:rFonts w:ascii="Verdana" w:hAnsi="Verdana" w:cs="Arial"/>
          <w:snapToGrid w:val="0"/>
          <w:sz w:val="20"/>
          <w:szCs w:val="20"/>
        </w:rPr>
        <w:t>СЧЕТОВОДНА ПОЛИТИКА И ПОЯС</w:t>
      </w:r>
      <w:r>
        <w:rPr>
          <w:rFonts w:ascii="Verdana" w:hAnsi="Verdana" w:cs="Arial"/>
          <w:snapToGrid w:val="0"/>
          <w:sz w:val="20"/>
          <w:szCs w:val="20"/>
          <w:lang w:val="bg-BG"/>
        </w:rPr>
        <w:t>Н</w:t>
      </w:r>
      <w:r w:rsidRPr="00CF0E5F">
        <w:rPr>
          <w:rFonts w:ascii="Verdana" w:hAnsi="Verdana" w:cs="Arial"/>
          <w:snapToGrid w:val="0"/>
          <w:sz w:val="20"/>
          <w:szCs w:val="20"/>
        </w:rPr>
        <w:t>ИТЕЛНИ ПРИЛОЖЕНИЯ</w:t>
      </w:r>
    </w:p>
    <w:p w:rsidR="00201B3E" w:rsidRDefault="00201B3E" w:rsidP="00201B3E">
      <w:pPr>
        <w:pStyle w:val="Heading1"/>
        <w:spacing w:before="120" w:line="260" w:lineRule="atLeast"/>
        <w:jc w:val="center"/>
        <w:rPr>
          <w:rFonts w:ascii="Verdana" w:hAnsi="Verdana" w:cs="Arial"/>
          <w:snapToGrid w:val="0"/>
          <w:sz w:val="20"/>
          <w:szCs w:val="20"/>
        </w:rPr>
      </w:pPr>
      <w:r w:rsidRPr="00CF0E5F">
        <w:rPr>
          <w:rFonts w:ascii="Verdana" w:hAnsi="Verdana" w:cs="Arial"/>
          <w:snapToGrid w:val="0"/>
          <w:sz w:val="20"/>
          <w:szCs w:val="20"/>
        </w:rPr>
        <w:t xml:space="preserve">КЪМ </w:t>
      </w:r>
      <w:r>
        <w:rPr>
          <w:rFonts w:ascii="Verdana" w:hAnsi="Verdana" w:cs="Arial"/>
          <w:snapToGrid w:val="0"/>
          <w:sz w:val="20"/>
          <w:szCs w:val="20"/>
        </w:rPr>
        <w:t>ФИНАНСОВИЯ ОТЧЕТ КЪМ 30 ЮНИ 2019</w:t>
      </w:r>
      <w:r w:rsidRPr="00CF0E5F">
        <w:rPr>
          <w:rFonts w:ascii="Verdana" w:hAnsi="Verdana" w:cs="Arial"/>
          <w:snapToGrid w:val="0"/>
          <w:sz w:val="20"/>
          <w:szCs w:val="20"/>
        </w:rPr>
        <w:t>г.</w:t>
      </w:r>
    </w:p>
    <w:p w:rsidR="00201B3E" w:rsidRDefault="00201B3E" w:rsidP="00201B3E">
      <w:pPr>
        <w:rPr>
          <w:lang w:val="en-US"/>
        </w:rPr>
      </w:pPr>
    </w:p>
    <w:p w:rsidR="00863C99" w:rsidRDefault="00863C99" w:rsidP="00B66DF8">
      <w:pPr>
        <w:pStyle w:val="Heading1"/>
        <w:spacing w:before="0"/>
        <w:ind w:right="-1370"/>
        <w:rPr>
          <w:rFonts w:ascii="Verdana" w:hAnsi="Verdana" w:cs="Verdana"/>
          <w:snapToGrid w:val="0"/>
          <w:sz w:val="20"/>
          <w:szCs w:val="20"/>
          <w:lang w:val="bg-BG"/>
        </w:rPr>
      </w:pPr>
    </w:p>
    <w:p w:rsidR="00863C99" w:rsidRDefault="00863C99" w:rsidP="00B66DF8">
      <w:pPr>
        <w:pStyle w:val="Heading1"/>
        <w:spacing w:before="0"/>
        <w:ind w:right="-1370"/>
        <w:rPr>
          <w:rFonts w:ascii="Verdana" w:hAnsi="Verdana" w:cs="Verdana"/>
          <w:snapToGrid w:val="0"/>
          <w:sz w:val="20"/>
          <w:szCs w:val="20"/>
          <w:lang w:val="bg-BG"/>
        </w:rPr>
      </w:pPr>
    </w:p>
    <w:p w:rsidR="00863C99" w:rsidRPr="000E54EB" w:rsidRDefault="00863C99" w:rsidP="008B5819">
      <w:pPr>
        <w:rPr>
          <w:rFonts w:ascii="Verdana" w:hAnsi="Verdana" w:cs="Verdana"/>
          <w:sz w:val="20"/>
          <w:szCs w:val="20"/>
        </w:rPr>
      </w:pPr>
      <w:bookmarkStart w:id="4" w:name="_Toc247959124"/>
      <w:bookmarkStart w:id="5" w:name="_Toc270424832"/>
      <w:bookmarkStart w:id="6" w:name="_Toc4328750"/>
      <w:bookmarkEnd w:id="0"/>
      <w:bookmarkEnd w:id="1"/>
      <w:bookmarkEnd w:id="2"/>
    </w:p>
    <w:p w:rsidR="00863C99" w:rsidRPr="000E54EB" w:rsidRDefault="00863C99" w:rsidP="008B5819">
      <w:pPr>
        <w:pStyle w:val="Heading1"/>
        <w:spacing w:before="0"/>
        <w:rPr>
          <w:rFonts w:ascii="Verdana" w:hAnsi="Verdana" w:cs="Verdana"/>
          <w:snapToGrid w:val="0"/>
          <w:sz w:val="20"/>
          <w:szCs w:val="20"/>
          <w:lang w:val="bg-BG"/>
        </w:rPr>
      </w:pPr>
      <w:r w:rsidRPr="000E54EB">
        <w:rPr>
          <w:rFonts w:ascii="Verdana" w:hAnsi="Verdana" w:cs="Verdana"/>
          <w:snapToGrid w:val="0"/>
          <w:sz w:val="20"/>
          <w:szCs w:val="20"/>
          <w:lang w:val="bg-BG"/>
        </w:rPr>
        <w:t>I. ОБЩА</w:t>
      </w:r>
      <w:r w:rsidR="00201B3E">
        <w:rPr>
          <w:rFonts w:ascii="Verdana" w:hAnsi="Verdana" w:cs="Verdana"/>
          <w:snapToGrid w:val="0"/>
          <w:sz w:val="20"/>
          <w:szCs w:val="20"/>
          <w:lang w:val="bg-BG"/>
        </w:rPr>
        <w:t xml:space="preserve"> </w:t>
      </w:r>
      <w:r w:rsidRPr="000E54EB">
        <w:rPr>
          <w:rFonts w:ascii="Verdana" w:hAnsi="Verdana" w:cs="Verdana"/>
          <w:snapToGrid w:val="0"/>
          <w:sz w:val="20"/>
          <w:szCs w:val="20"/>
          <w:lang w:val="bg-BG"/>
        </w:rPr>
        <w:t>ИНФОРМАЦИЯ</w:t>
      </w:r>
    </w:p>
    <w:p w:rsidR="00863C99" w:rsidRPr="000E54EB" w:rsidRDefault="00863C99" w:rsidP="008B5819">
      <w:pPr>
        <w:ind w:right="-31"/>
        <w:rPr>
          <w:rFonts w:ascii="Verdana" w:hAnsi="Verdana" w:cs="Verdana"/>
          <w:b/>
          <w:bCs/>
          <w:sz w:val="20"/>
          <w:szCs w:val="20"/>
        </w:rPr>
      </w:pPr>
    </w:p>
    <w:p w:rsidR="00863C99" w:rsidRPr="005A72D5" w:rsidRDefault="00863C99" w:rsidP="008B5819">
      <w:pPr>
        <w:spacing w:before="120" w:line="360" w:lineRule="auto"/>
        <w:rPr>
          <w:rFonts w:ascii="Verdana" w:hAnsi="Verdana" w:cs="Verdana"/>
          <w:sz w:val="20"/>
          <w:szCs w:val="20"/>
        </w:rPr>
      </w:pPr>
      <w:r w:rsidRPr="005A72D5">
        <w:rPr>
          <w:rFonts w:ascii="Verdana" w:hAnsi="Verdana" w:cs="Verdana"/>
          <w:b/>
          <w:bCs/>
          <w:sz w:val="20"/>
          <w:szCs w:val="20"/>
        </w:rPr>
        <w:t>Наименование на Дружеството</w:t>
      </w:r>
      <w:r w:rsidRPr="005A72D5">
        <w:rPr>
          <w:rFonts w:ascii="Verdana" w:hAnsi="Verdana" w:cs="Verdana"/>
          <w:sz w:val="20"/>
          <w:szCs w:val="20"/>
        </w:rPr>
        <w:t>: ТОПЛОФИКАЦИЯ – РАЗГРАД АД</w:t>
      </w:r>
    </w:p>
    <w:p w:rsidR="00863C99" w:rsidRPr="005A72D5" w:rsidRDefault="00863C99" w:rsidP="008B5819">
      <w:pPr>
        <w:spacing w:line="360" w:lineRule="auto"/>
        <w:rPr>
          <w:rFonts w:ascii="Verdana" w:hAnsi="Verdana" w:cs="Verdana"/>
          <w:b/>
          <w:bCs/>
          <w:sz w:val="20"/>
          <w:szCs w:val="20"/>
        </w:rPr>
      </w:pPr>
      <w:r w:rsidRPr="005A72D5">
        <w:rPr>
          <w:rFonts w:ascii="Verdana" w:hAnsi="Verdana" w:cs="Verdana"/>
          <w:b/>
          <w:bCs/>
          <w:sz w:val="20"/>
          <w:szCs w:val="20"/>
        </w:rPr>
        <w:t xml:space="preserve">Съвет на директорите: Председател </w:t>
      </w:r>
      <w:r w:rsidRPr="005A72D5">
        <w:rPr>
          <w:rFonts w:ascii="Verdana" w:hAnsi="Verdana" w:cs="Verdana"/>
          <w:sz w:val="20"/>
          <w:szCs w:val="20"/>
        </w:rPr>
        <w:t xml:space="preserve">ОВЕРГАЗ ХОЛДИНГ АД, </w:t>
      </w:r>
      <w:r w:rsidRPr="005A72D5">
        <w:rPr>
          <w:rFonts w:ascii="Verdana" w:hAnsi="Verdana" w:cs="Verdana"/>
          <w:sz w:val="20"/>
          <w:szCs w:val="20"/>
          <w:lang w:eastAsia="bg-BG"/>
        </w:rPr>
        <w:t>представлявано от Сергей Тодоров Андреев</w:t>
      </w:r>
    </w:p>
    <w:p w:rsidR="00863C99" w:rsidRPr="005A72D5" w:rsidRDefault="00863C99" w:rsidP="008B5819">
      <w:pPr>
        <w:spacing w:line="360" w:lineRule="auto"/>
        <w:rPr>
          <w:rFonts w:ascii="Verdana" w:hAnsi="Verdana" w:cs="Verdana"/>
          <w:b/>
          <w:bCs/>
          <w:sz w:val="20"/>
          <w:szCs w:val="20"/>
        </w:rPr>
      </w:pPr>
      <w:r w:rsidRPr="005A72D5">
        <w:rPr>
          <w:rFonts w:ascii="Verdana" w:hAnsi="Verdana" w:cs="Verdana"/>
          <w:b/>
          <w:bCs/>
          <w:sz w:val="20"/>
          <w:szCs w:val="20"/>
        </w:rPr>
        <w:t xml:space="preserve">Членове: </w:t>
      </w:r>
    </w:p>
    <w:p w:rsidR="00863C99" w:rsidRPr="005A72D5" w:rsidRDefault="00863C99" w:rsidP="008B5819">
      <w:pPr>
        <w:spacing w:line="360" w:lineRule="auto"/>
        <w:jc w:val="left"/>
        <w:rPr>
          <w:rFonts w:ascii="Verdana" w:hAnsi="Verdana" w:cs="Verdana"/>
          <w:sz w:val="20"/>
          <w:szCs w:val="20"/>
          <w:lang w:eastAsia="bg-BG"/>
        </w:rPr>
      </w:pPr>
      <w:r w:rsidRPr="005A72D5">
        <w:rPr>
          <w:rFonts w:ascii="Verdana" w:hAnsi="Verdana" w:cs="Verdana"/>
          <w:caps/>
          <w:sz w:val="20"/>
          <w:szCs w:val="20"/>
          <w:lang w:eastAsia="bg-BG"/>
        </w:rPr>
        <w:t>Пламен Георгиев Дончев</w:t>
      </w:r>
      <w:r w:rsidRPr="005A72D5">
        <w:rPr>
          <w:rFonts w:ascii="Verdana" w:hAnsi="Verdana" w:cs="Verdana"/>
          <w:sz w:val="20"/>
          <w:szCs w:val="20"/>
          <w:lang w:eastAsia="bg-BG"/>
        </w:rPr>
        <w:t>–  Зам. Председател на Съветана директорите;</w:t>
      </w:r>
    </w:p>
    <w:p w:rsidR="00863C99" w:rsidRPr="005A72D5" w:rsidRDefault="00863C99" w:rsidP="008B5819">
      <w:pPr>
        <w:spacing w:line="360" w:lineRule="auto"/>
        <w:jc w:val="left"/>
        <w:rPr>
          <w:rFonts w:ascii="Verdana" w:hAnsi="Verdana" w:cs="Verdana"/>
          <w:sz w:val="20"/>
          <w:szCs w:val="20"/>
          <w:lang w:eastAsia="bg-BG"/>
        </w:rPr>
      </w:pPr>
      <w:r w:rsidRPr="005A72D5">
        <w:rPr>
          <w:rFonts w:ascii="Verdana" w:hAnsi="Verdana" w:cs="Verdana"/>
          <w:caps/>
          <w:sz w:val="20"/>
          <w:szCs w:val="20"/>
          <w:lang w:eastAsia="bg-BG"/>
        </w:rPr>
        <w:t>Петко Любенов Милевски</w:t>
      </w:r>
      <w:r w:rsidRPr="005A72D5">
        <w:rPr>
          <w:rFonts w:ascii="Verdana" w:hAnsi="Verdana" w:cs="Verdana"/>
          <w:sz w:val="20"/>
          <w:szCs w:val="20"/>
          <w:lang w:eastAsia="bg-BG"/>
        </w:rPr>
        <w:t xml:space="preserve"> – Членна Съвета на директорите;</w:t>
      </w:r>
    </w:p>
    <w:p w:rsidR="00863C99" w:rsidRPr="005A72D5" w:rsidRDefault="00863C99" w:rsidP="008B5819">
      <w:pPr>
        <w:spacing w:line="360" w:lineRule="auto"/>
        <w:rPr>
          <w:rFonts w:ascii="Verdana" w:hAnsi="Verdana" w:cs="Verdana"/>
          <w:sz w:val="20"/>
          <w:szCs w:val="20"/>
          <w:lang w:eastAsia="bg-BG"/>
        </w:rPr>
      </w:pPr>
      <w:r w:rsidRPr="005A72D5">
        <w:rPr>
          <w:rFonts w:ascii="Verdana" w:hAnsi="Verdana" w:cs="Verdana"/>
          <w:caps/>
          <w:sz w:val="20"/>
          <w:szCs w:val="20"/>
          <w:lang w:eastAsia="bg-BG"/>
        </w:rPr>
        <w:t>Ивайло Станков Чавдаров</w:t>
      </w:r>
      <w:r w:rsidRPr="005A72D5">
        <w:rPr>
          <w:rFonts w:ascii="Verdana" w:hAnsi="Verdana" w:cs="Verdana"/>
          <w:sz w:val="20"/>
          <w:szCs w:val="20"/>
          <w:lang w:eastAsia="bg-BG"/>
        </w:rPr>
        <w:t xml:space="preserve"> – Член на Съвета на директорите;</w:t>
      </w:r>
    </w:p>
    <w:p w:rsidR="00863C99" w:rsidRPr="000E54EB" w:rsidRDefault="00863C99" w:rsidP="008B5819">
      <w:pPr>
        <w:spacing w:line="360" w:lineRule="auto"/>
        <w:rPr>
          <w:rFonts w:ascii="Verdana" w:hAnsi="Verdana" w:cs="Verdana"/>
          <w:sz w:val="20"/>
          <w:szCs w:val="20"/>
          <w:lang w:eastAsia="bg-BG"/>
        </w:rPr>
      </w:pPr>
      <w:r w:rsidRPr="005A72D5">
        <w:rPr>
          <w:rFonts w:ascii="Verdana" w:hAnsi="Verdana" w:cs="Verdana"/>
          <w:caps/>
          <w:sz w:val="20"/>
          <w:szCs w:val="20"/>
          <w:lang w:eastAsia="bg-BG"/>
        </w:rPr>
        <w:t>Михаил Николаев Ковачев</w:t>
      </w:r>
      <w:r w:rsidRPr="005A72D5">
        <w:rPr>
          <w:rFonts w:ascii="Verdana" w:hAnsi="Verdana" w:cs="Verdana"/>
          <w:sz w:val="20"/>
          <w:szCs w:val="20"/>
          <w:lang w:eastAsia="bg-BG"/>
        </w:rPr>
        <w:t xml:space="preserve"> – Изпълнителен директор</w:t>
      </w:r>
    </w:p>
    <w:p w:rsidR="00863C99" w:rsidRPr="000E54EB" w:rsidRDefault="00863C99" w:rsidP="008B5819">
      <w:pPr>
        <w:spacing w:line="360" w:lineRule="auto"/>
        <w:rPr>
          <w:rFonts w:ascii="Verdana" w:hAnsi="Verdana" w:cs="Verdana"/>
          <w:b/>
          <w:bCs/>
          <w:sz w:val="20"/>
          <w:szCs w:val="20"/>
        </w:rPr>
      </w:pPr>
      <w:r w:rsidRPr="000E54EB">
        <w:rPr>
          <w:rFonts w:ascii="Verdana" w:hAnsi="Verdana" w:cs="Verdana"/>
          <w:b/>
          <w:bCs/>
          <w:sz w:val="20"/>
          <w:szCs w:val="20"/>
        </w:rPr>
        <w:t>Изпълнителен</w:t>
      </w:r>
      <w:r>
        <w:rPr>
          <w:rFonts w:ascii="Verdana" w:hAnsi="Verdana" w:cs="Verdana"/>
          <w:b/>
          <w:bCs/>
          <w:sz w:val="20"/>
          <w:szCs w:val="20"/>
        </w:rPr>
        <w:t xml:space="preserve"> </w:t>
      </w:r>
      <w:r w:rsidRPr="000E54EB">
        <w:rPr>
          <w:rFonts w:ascii="Verdana" w:hAnsi="Verdana" w:cs="Verdana"/>
          <w:b/>
          <w:bCs/>
          <w:sz w:val="20"/>
          <w:szCs w:val="20"/>
        </w:rPr>
        <w:t xml:space="preserve">директор: </w:t>
      </w:r>
      <w:r w:rsidRPr="000E54EB">
        <w:rPr>
          <w:rFonts w:ascii="Verdana" w:hAnsi="Verdana" w:cs="Verdana"/>
          <w:sz w:val="20"/>
          <w:szCs w:val="20"/>
        </w:rPr>
        <w:t>МИХАИЛ</w:t>
      </w:r>
      <w:r w:rsidR="006D5623">
        <w:rPr>
          <w:rFonts w:ascii="Verdana" w:hAnsi="Verdana" w:cs="Verdana"/>
          <w:sz w:val="20"/>
          <w:szCs w:val="20"/>
        </w:rPr>
        <w:t xml:space="preserve"> </w:t>
      </w:r>
      <w:r w:rsidRPr="000E54EB">
        <w:rPr>
          <w:rFonts w:ascii="Verdana" w:hAnsi="Verdana" w:cs="Verdana"/>
          <w:sz w:val="20"/>
          <w:szCs w:val="20"/>
        </w:rPr>
        <w:t>КОВАЧЕВ</w:t>
      </w:r>
    </w:p>
    <w:p w:rsidR="00863C99" w:rsidRPr="002860C2" w:rsidRDefault="00863C99" w:rsidP="008B5819">
      <w:pPr>
        <w:spacing w:line="360" w:lineRule="auto"/>
        <w:rPr>
          <w:rFonts w:ascii="Verdana" w:hAnsi="Verdana" w:cs="Verdana"/>
          <w:b/>
          <w:bCs/>
          <w:sz w:val="20"/>
          <w:szCs w:val="20"/>
        </w:rPr>
      </w:pPr>
      <w:r w:rsidRPr="000E54EB">
        <w:rPr>
          <w:rFonts w:ascii="Verdana" w:hAnsi="Verdana" w:cs="Verdana"/>
          <w:b/>
          <w:bCs/>
          <w:sz w:val="20"/>
          <w:szCs w:val="20"/>
        </w:rPr>
        <w:t xml:space="preserve">Съставител: </w:t>
      </w:r>
      <w:r w:rsidRPr="00A52D1E">
        <w:rPr>
          <w:rFonts w:ascii="Verdana" w:hAnsi="Verdana" w:cs="Verdana"/>
          <w:sz w:val="20"/>
          <w:szCs w:val="20"/>
          <w:lang w:val="ru-RU"/>
        </w:rPr>
        <w:t>Румен Стойчев</w:t>
      </w:r>
    </w:p>
    <w:p w:rsidR="00863C99" w:rsidRPr="000E54EB" w:rsidRDefault="00863C99" w:rsidP="008B5819">
      <w:pPr>
        <w:spacing w:line="360" w:lineRule="auto"/>
        <w:rPr>
          <w:rFonts w:ascii="Verdana" w:hAnsi="Verdana" w:cs="Verdana"/>
          <w:b/>
          <w:bCs/>
          <w:sz w:val="20"/>
          <w:szCs w:val="20"/>
        </w:rPr>
      </w:pPr>
      <w:r w:rsidRPr="000E54EB">
        <w:rPr>
          <w:rFonts w:ascii="Verdana" w:hAnsi="Verdana" w:cs="Verdana"/>
          <w:b/>
          <w:bCs/>
          <w:sz w:val="20"/>
          <w:szCs w:val="20"/>
        </w:rPr>
        <w:t xml:space="preserve">Юристи: </w:t>
      </w:r>
      <w:r>
        <w:rPr>
          <w:rFonts w:ascii="Verdana" w:hAnsi="Verdana" w:cs="Verdana"/>
          <w:sz w:val="20"/>
          <w:szCs w:val="20"/>
        </w:rPr>
        <w:t>Ипек Юмерова</w:t>
      </w:r>
    </w:p>
    <w:p w:rsidR="00863C99" w:rsidRPr="000E54EB" w:rsidRDefault="00863C99" w:rsidP="008B5819">
      <w:pPr>
        <w:spacing w:line="360" w:lineRule="auto"/>
        <w:rPr>
          <w:rFonts w:ascii="Verdana" w:hAnsi="Verdana" w:cs="Verdana"/>
          <w:sz w:val="20"/>
          <w:szCs w:val="20"/>
        </w:rPr>
      </w:pPr>
      <w:r w:rsidRPr="000E54EB">
        <w:rPr>
          <w:rFonts w:ascii="Verdana" w:hAnsi="Verdana" w:cs="Verdana"/>
          <w:b/>
          <w:bCs/>
          <w:sz w:val="20"/>
          <w:szCs w:val="20"/>
        </w:rPr>
        <w:t>Държава</w:t>
      </w:r>
      <w:r>
        <w:rPr>
          <w:rFonts w:ascii="Verdana" w:hAnsi="Verdana" w:cs="Verdana"/>
          <w:b/>
          <w:bCs/>
          <w:sz w:val="20"/>
          <w:szCs w:val="20"/>
        </w:rPr>
        <w:t xml:space="preserve"> </w:t>
      </w:r>
      <w:r w:rsidRPr="000E54EB">
        <w:rPr>
          <w:rFonts w:ascii="Verdana" w:hAnsi="Verdana" w:cs="Verdana"/>
          <w:b/>
          <w:bCs/>
          <w:sz w:val="20"/>
          <w:szCs w:val="20"/>
        </w:rPr>
        <w:t>на</w:t>
      </w:r>
      <w:r>
        <w:rPr>
          <w:rFonts w:ascii="Verdana" w:hAnsi="Verdana" w:cs="Verdana"/>
          <w:b/>
          <w:bCs/>
          <w:sz w:val="20"/>
          <w:szCs w:val="20"/>
        </w:rPr>
        <w:t xml:space="preserve"> </w:t>
      </w:r>
      <w:r w:rsidRPr="000E54EB">
        <w:rPr>
          <w:rFonts w:ascii="Verdana" w:hAnsi="Verdana" w:cs="Verdana"/>
          <w:b/>
          <w:bCs/>
          <w:sz w:val="20"/>
          <w:szCs w:val="20"/>
        </w:rPr>
        <w:t>регистрация</w:t>
      </w:r>
      <w:r>
        <w:rPr>
          <w:rFonts w:ascii="Verdana" w:hAnsi="Verdana" w:cs="Verdana"/>
          <w:b/>
          <w:bCs/>
          <w:sz w:val="20"/>
          <w:szCs w:val="20"/>
        </w:rPr>
        <w:t xml:space="preserve"> </w:t>
      </w:r>
      <w:r w:rsidRPr="000E54EB">
        <w:rPr>
          <w:rFonts w:ascii="Verdana" w:hAnsi="Verdana" w:cs="Verdana"/>
          <w:b/>
          <w:bCs/>
          <w:sz w:val="20"/>
          <w:szCs w:val="20"/>
        </w:rPr>
        <w:t>на</w:t>
      </w:r>
      <w:r>
        <w:rPr>
          <w:rFonts w:ascii="Verdana" w:hAnsi="Verdana" w:cs="Verdana"/>
          <w:b/>
          <w:bCs/>
          <w:sz w:val="20"/>
          <w:szCs w:val="20"/>
        </w:rPr>
        <w:t xml:space="preserve"> </w:t>
      </w:r>
      <w:r w:rsidRPr="000E54EB">
        <w:rPr>
          <w:rFonts w:ascii="Verdana" w:hAnsi="Verdana" w:cs="Verdana"/>
          <w:b/>
          <w:bCs/>
          <w:sz w:val="20"/>
          <w:szCs w:val="20"/>
        </w:rPr>
        <w:t xml:space="preserve">Дружеството: </w:t>
      </w:r>
      <w:r w:rsidRPr="000E54EB">
        <w:rPr>
          <w:rFonts w:ascii="Verdana" w:hAnsi="Verdana" w:cs="Verdana"/>
          <w:sz w:val="20"/>
          <w:szCs w:val="20"/>
        </w:rPr>
        <w:t>РЕПУБЛИКА</w:t>
      </w:r>
      <w:r>
        <w:rPr>
          <w:rFonts w:ascii="Verdana" w:hAnsi="Verdana" w:cs="Verdana"/>
          <w:sz w:val="20"/>
          <w:szCs w:val="20"/>
        </w:rPr>
        <w:t xml:space="preserve"> </w:t>
      </w:r>
      <w:r w:rsidRPr="000E54EB">
        <w:rPr>
          <w:rFonts w:ascii="Verdana" w:hAnsi="Verdana" w:cs="Verdana"/>
          <w:sz w:val="20"/>
          <w:szCs w:val="20"/>
        </w:rPr>
        <w:t>БЪЛГАРИЯ</w:t>
      </w:r>
    </w:p>
    <w:p w:rsidR="00863C99" w:rsidRPr="000E54EB" w:rsidRDefault="00863C99" w:rsidP="008B5819">
      <w:pPr>
        <w:spacing w:line="360" w:lineRule="auto"/>
        <w:ind w:right="-86"/>
        <w:rPr>
          <w:rFonts w:ascii="Verdana" w:hAnsi="Verdana" w:cs="Verdana"/>
          <w:sz w:val="20"/>
          <w:szCs w:val="20"/>
        </w:rPr>
      </w:pPr>
      <w:r w:rsidRPr="000E54EB">
        <w:rPr>
          <w:rFonts w:ascii="Verdana" w:hAnsi="Verdana" w:cs="Verdana"/>
          <w:b/>
          <w:bCs/>
          <w:sz w:val="20"/>
          <w:szCs w:val="20"/>
        </w:rPr>
        <w:t>Седалище</w:t>
      </w:r>
      <w:r>
        <w:rPr>
          <w:rFonts w:ascii="Verdana" w:hAnsi="Verdana" w:cs="Verdana"/>
          <w:b/>
          <w:bCs/>
          <w:sz w:val="20"/>
          <w:szCs w:val="20"/>
        </w:rPr>
        <w:t xml:space="preserve"> </w:t>
      </w:r>
      <w:r w:rsidRPr="000E54EB">
        <w:rPr>
          <w:rFonts w:ascii="Verdana" w:hAnsi="Verdana" w:cs="Verdana"/>
          <w:b/>
          <w:bCs/>
          <w:sz w:val="20"/>
          <w:szCs w:val="20"/>
        </w:rPr>
        <w:t>и</w:t>
      </w:r>
      <w:r>
        <w:rPr>
          <w:rFonts w:ascii="Verdana" w:hAnsi="Verdana" w:cs="Verdana"/>
          <w:b/>
          <w:bCs/>
          <w:sz w:val="20"/>
          <w:szCs w:val="20"/>
        </w:rPr>
        <w:t xml:space="preserve"> </w:t>
      </w:r>
      <w:r w:rsidRPr="000E54EB">
        <w:rPr>
          <w:rFonts w:ascii="Verdana" w:hAnsi="Verdana" w:cs="Verdana"/>
          <w:b/>
          <w:bCs/>
          <w:sz w:val="20"/>
          <w:szCs w:val="20"/>
        </w:rPr>
        <w:t>адресна</w:t>
      </w:r>
      <w:r>
        <w:rPr>
          <w:rFonts w:ascii="Verdana" w:hAnsi="Verdana" w:cs="Verdana"/>
          <w:b/>
          <w:bCs/>
          <w:sz w:val="20"/>
          <w:szCs w:val="20"/>
        </w:rPr>
        <w:t xml:space="preserve"> </w:t>
      </w:r>
      <w:r w:rsidRPr="000E54EB">
        <w:rPr>
          <w:rFonts w:ascii="Verdana" w:hAnsi="Verdana" w:cs="Verdana"/>
          <w:b/>
          <w:bCs/>
          <w:sz w:val="20"/>
          <w:szCs w:val="20"/>
        </w:rPr>
        <w:t xml:space="preserve">регистрация: </w:t>
      </w:r>
      <w:r w:rsidRPr="000E54EB">
        <w:rPr>
          <w:rFonts w:ascii="Verdana" w:hAnsi="Verdana" w:cs="Verdana"/>
          <w:sz w:val="20"/>
          <w:szCs w:val="20"/>
        </w:rPr>
        <w:t>гр. РАЗГРАД, ИНДУСТРИАЛНАЗОНА, ул. ЧЕРНА</w:t>
      </w:r>
    </w:p>
    <w:p w:rsidR="00863C99" w:rsidRPr="000E54EB" w:rsidRDefault="00863C99" w:rsidP="008B5819">
      <w:pPr>
        <w:spacing w:line="360" w:lineRule="auto"/>
        <w:rPr>
          <w:rFonts w:ascii="Verdana" w:hAnsi="Verdana" w:cs="Verdana"/>
          <w:sz w:val="20"/>
          <w:szCs w:val="20"/>
        </w:rPr>
      </w:pPr>
      <w:r w:rsidRPr="000E54EB">
        <w:rPr>
          <w:rFonts w:ascii="Verdana" w:hAnsi="Verdana" w:cs="Verdana"/>
          <w:b/>
          <w:bCs/>
          <w:sz w:val="20"/>
          <w:szCs w:val="20"/>
        </w:rPr>
        <w:t>Обслужващи</w:t>
      </w:r>
      <w:r>
        <w:rPr>
          <w:rFonts w:ascii="Verdana" w:hAnsi="Verdana" w:cs="Verdana"/>
          <w:b/>
          <w:bCs/>
          <w:sz w:val="20"/>
          <w:szCs w:val="20"/>
        </w:rPr>
        <w:t xml:space="preserve"> </w:t>
      </w:r>
      <w:r w:rsidRPr="000E54EB">
        <w:rPr>
          <w:rFonts w:ascii="Verdana" w:hAnsi="Verdana" w:cs="Verdana"/>
          <w:b/>
          <w:bCs/>
          <w:sz w:val="20"/>
          <w:szCs w:val="20"/>
        </w:rPr>
        <w:t xml:space="preserve">банки: </w:t>
      </w:r>
      <w:r w:rsidRPr="000E54EB">
        <w:rPr>
          <w:rFonts w:ascii="Verdana" w:hAnsi="Verdana" w:cs="Verdana"/>
          <w:sz w:val="20"/>
          <w:szCs w:val="20"/>
        </w:rPr>
        <w:t>ПРОКРЕДИТБАНК</w:t>
      </w:r>
      <w:r>
        <w:rPr>
          <w:rFonts w:ascii="Verdana" w:hAnsi="Verdana" w:cs="Verdana"/>
          <w:sz w:val="20"/>
          <w:szCs w:val="20"/>
        </w:rPr>
        <w:t xml:space="preserve"> </w:t>
      </w:r>
      <w:r w:rsidRPr="000E54EB">
        <w:rPr>
          <w:rFonts w:ascii="Verdana" w:hAnsi="Verdana" w:cs="Verdana"/>
          <w:sz w:val="20"/>
          <w:szCs w:val="20"/>
        </w:rPr>
        <w:t>АД</w:t>
      </w:r>
      <w:r w:rsidRPr="000E54EB">
        <w:rPr>
          <w:rFonts w:ascii="Verdana" w:hAnsi="Verdana" w:cs="Verdana"/>
          <w:b/>
          <w:bCs/>
          <w:sz w:val="20"/>
          <w:szCs w:val="20"/>
        </w:rPr>
        <w:t xml:space="preserve">, </w:t>
      </w:r>
      <w:r w:rsidRPr="000E54EB">
        <w:rPr>
          <w:rFonts w:ascii="Verdana" w:hAnsi="Verdana" w:cs="Verdana"/>
          <w:sz w:val="20"/>
          <w:szCs w:val="20"/>
        </w:rPr>
        <w:t>УНИКРЕДИТ</w:t>
      </w:r>
      <w:r>
        <w:rPr>
          <w:rFonts w:ascii="Verdana" w:hAnsi="Verdana" w:cs="Verdana"/>
          <w:sz w:val="20"/>
          <w:szCs w:val="20"/>
        </w:rPr>
        <w:t xml:space="preserve"> </w:t>
      </w:r>
      <w:r w:rsidRPr="000E54EB">
        <w:rPr>
          <w:rFonts w:ascii="Verdana" w:hAnsi="Verdana" w:cs="Verdana"/>
          <w:sz w:val="20"/>
          <w:szCs w:val="20"/>
        </w:rPr>
        <w:t>БУЛБАНК</w:t>
      </w:r>
      <w:r>
        <w:rPr>
          <w:rFonts w:ascii="Verdana" w:hAnsi="Verdana" w:cs="Verdana"/>
          <w:sz w:val="20"/>
          <w:szCs w:val="20"/>
        </w:rPr>
        <w:t xml:space="preserve"> </w:t>
      </w:r>
      <w:r w:rsidRPr="000E54EB">
        <w:rPr>
          <w:rFonts w:ascii="Verdana" w:hAnsi="Verdana" w:cs="Verdana"/>
          <w:sz w:val="20"/>
          <w:szCs w:val="20"/>
        </w:rPr>
        <w:t>АД</w:t>
      </w:r>
      <w:r w:rsidRPr="000E54EB">
        <w:rPr>
          <w:rFonts w:ascii="Verdana" w:hAnsi="Verdana" w:cs="Verdana"/>
          <w:b/>
          <w:bCs/>
          <w:sz w:val="20"/>
          <w:szCs w:val="20"/>
        </w:rPr>
        <w:t xml:space="preserve">, </w:t>
      </w:r>
      <w:r w:rsidRPr="000E54EB">
        <w:rPr>
          <w:rFonts w:ascii="Verdana" w:hAnsi="Verdana" w:cs="Verdana"/>
          <w:sz w:val="20"/>
          <w:szCs w:val="20"/>
        </w:rPr>
        <w:t>ЦЕНТРАЛНА</w:t>
      </w:r>
    </w:p>
    <w:p w:rsidR="00863C99" w:rsidRPr="000E54EB" w:rsidRDefault="00863C99" w:rsidP="008B5819">
      <w:pPr>
        <w:spacing w:line="360" w:lineRule="auto"/>
        <w:rPr>
          <w:rFonts w:ascii="Verdana" w:hAnsi="Verdana" w:cs="Verdana"/>
          <w:b/>
          <w:bCs/>
          <w:sz w:val="20"/>
          <w:szCs w:val="20"/>
        </w:rPr>
      </w:pPr>
      <w:r w:rsidRPr="000E54EB">
        <w:rPr>
          <w:rFonts w:ascii="Verdana" w:hAnsi="Verdana" w:cs="Verdana"/>
          <w:sz w:val="20"/>
          <w:szCs w:val="20"/>
        </w:rPr>
        <w:t>КООПЕРАТИВНА</w:t>
      </w:r>
      <w:r>
        <w:rPr>
          <w:rFonts w:ascii="Verdana" w:hAnsi="Verdana" w:cs="Verdana"/>
          <w:sz w:val="20"/>
          <w:szCs w:val="20"/>
        </w:rPr>
        <w:t xml:space="preserve"> </w:t>
      </w:r>
      <w:r w:rsidRPr="000E54EB">
        <w:rPr>
          <w:rFonts w:ascii="Verdana" w:hAnsi="Verdana" w:cs="Verdana"/>
          <w:sz w:val="20"/>
          <w:szCs w:val="20"/>
        </w:rPr>
        <w:t>БАНКА</w:t>
      </w:r>
      <w:r>
        <w:rPr>
          <w:rFonts w:ascii="Verdana" w:hAnsi="Verdana" w:cs="Verdana"/>
          <w:sz w:val="20"/>
          <w:szCs w:val="20"/>
        </w:rPr>
        <w:t xml:space="preserve"> </w:t>
      </w:r>
      <w:r w:rsidRPr="000E54EB">
        <w:rPr>
          <w:rFonts w:ascii="Verdana" w:hAnsi="Verdana" w:cs="Verdana"/>
          <w:sz w:val="20"/>
          <w:szCs w:val="20"/>
        </w:rPr>
        <w:t>АД, ОБЕДИНЕНА</w:t>
      </w:r>
      <w:r>
        <w:rPr>
          <w:rFonts w:ascii="Verdana" w:hAnsi="Verdana" w:cs="Verdana"/>
          <w:sz w:val="20"/>
          <w:szCs w:val="20"/>
        </w:rPr>
        <w:t xml:space="preserve"> </w:t>
      </w:r>
      <w:r w:rsidRPr="000E54EB">
        <w:rPr>
          <w:rFonts w:ascii="Verdana" w:hAnsi="Verdana" w:cs="Verdana"/>
          <w:sz w:val="20"/>
          <w:szCs w:val="20"/>
        </w:rPr>
        <w:t>БЪЛГАРСКА</w:t>
      </w:r>
      <w:r>
        <w:rPr>
          <w:rFonts w:ascii="Verdana" w:hAnsi="Verdana" w:cs="Verdana"/>
          <w:sz w:val="20"/>
          <w:szCs w:val="20"/>
        </w:rPr>
        <w:t xml:space="preserve"> </w:t>
      </w:r>
      <w:r w:rsidRPr="000E54EB">
        <w:rPr>
          <w:rFonts w:ascii="Verdana" w:hAnsi="Verdana" w:cs="Verdana"/>
          <w:sz w:val="20"/>
          <w:szCs w:val="20"/>
        </w:rPr>
        <w:t>БАНКА</w:t>
      </w:r>
    </w:p>
    <w:p w:rsidR="00863C99" w:rsidRPr="000F258F" w:rsidRDefault="00863C99" w:rsidP="008B5819">
      <w:pPr>
        <w:spacing w:line="360" w:lineRule="auto"/>
        <w:rPr>
          <w:rFonts w:ascii="Verdana" w:hAnsi="Verdana" w:cs="Verdana"/>
          <w:sz w:val="20"/>
          <w:szCs w:val="20"/>
        </w:rPr>
      </w:pPr>
      <w:r w:rsidRPr="000E54EB">
        <w:rPr>
          <w:rFonts w:ascii="Verdana" w:hAnsi="Verdana" w:cs="Verdana"/>
          <w:b/>
          <w:bCs/>
          <w:sz w:val="20"/>
          <w:szCs w:val="20"/>
        </w:rPr>
        <w:t xml:space="preserve">Регистрация: </w:t>
      </w:r>
      <w:r w:rsidRPr="000F258F">
        <w:rPr>
          <w:rFonts w:ascii="Verdana" w:hAnsi="Verdana" w:cs="Verdana"/>
          <w:sz w:val="20"/>
          <w:szCs w:val="20"/>
        </w:rPr>
        <w:t xml:space="preserve">Дружеството е вписано в </w:t>
      </w:r>
      <w:r>
        <w:rPr>
          <w:rFonts w:ascii="Verdana" w:hAnsi="Verdana" w:cs="Verdana"/>
          <w:sz w:val="20"/>
          <w:szCs w:val="20"/>
        </w:rPr>
        <w:t>т</w:t>
      </w:r>
      <w:r w:rsidRPr="000F258F">
        <w:rPr>
          <w:rFonts w:ascii="Verdana" w:hAnsi="Verdana" w:cs="Verdana"/>
          <w:sz w:val="20"/>
          <w:szCs w:val="20"/>
        </w:rPr>
        <w:t>ърговския регистър към</w:t>
      </w:r>
    </w:p>
    <w:p w:rsidR="00863C99" w:rsidRPr="000F258F" w:rsidRDefault="00863C99" w:rsidP="008B5819">
      <w:pPr>
        <w:spacing w:line="360" w:lineRule="auto"/>
        <w:rPr>
          <w:rFonts w:ascii="Verdana" w:hAnsi="Verdana" w:cs="Verdana"/>
          <w:sz w:val="20"/>
          <w:szCs w:val="20"/>
        </w:rPr>
      </w:pPr>
      <w:r w:rsidRPr="000F258F">
        <w:rPr>
          <w:rFonts w:ascii="Verdana" w:hAnsi="Verdana" w:cs="Verdana"/>
          <w:sz w:val="20"/>
          <w:szCs w:val="20"/>
        </w:rPr>
        <w:t>Агенцията по</w:t>
      </w:r>
      <w:r>
        <w:rPr>
          <w:rFonts w:ascii="Verdana" w:hAnsi="Verdana" w:cs="Verdana"/>
          <w:sz w:val="20"/>
          <w:szCs w:val="20"/>
        </w:rPr>
        <w:t xml:space="preserve"> </w:t>
      </w:r>
      <w:r w:rsidRPr="000F258F">
        <w:rPr>
          <w:rFonts w:ascii="Verdana" w:hAnsi="Verdana" w:cs="Verdana"/>
          <w:sz w:val="20"/>
          <w:szCs w:val="20"/>
        </w:rPr>
        <w:t>вписванията, с ЕИК 116019472</w:t>
      </w:r>
    </w:p>
    <w:p w:rsidR="00863C99" w:rsidRPr="000E54EB" w:rsidRDefault="00863C99" w:rsidP="008B5819">
      <w:pPr>
        <w:ind w:right="-1370"/>
        <w:rPr>
          <w:rFonts w:ascii="Verdana" w:hAnsi="Verdana" w:cs="Verdana"/>
          <w:b/>
          <w:bCs/>
          <w:sz w:val="20"/>
          <w:szCs w:val="20"/>
        </w:rPr>
      </w:pPr>
    </w:p>
    <w:p w:rsidR="00863C99" w:rsidRPr="000F258F" w:rsidRDefault="00863C99" w:rsidP="001B2D28">
      <w:pPr>
        <w:ind w:right="-31"/>
        <w:rPr>
          <w:rFonts w:ascii="Verdana" w:hAnsi="Verdana" w:cs="Verdana"/>
          <w:sz w:val="20"/>
          <w:szCs w:val="20"/>
        </w:rPr>
      </w:pPr>
      <w:r w:rsidRPr="000F258F">
        <w:rPr>
          <w:rFonts w:ascii="Verdana" w:hAnsi="Verdana" w:cs="Verdana"/>
          <w:sz w:val="20"/>
          <w:szCs w:val="20"/>
        </w:rPr>
        <w:t>Финансовият отчет е индивидуален отчет на Дружеството.</w:t>
      </w:r>
    </w:p>
    <w:p w:rsidR="00863C99" w:rsidRPr="000F258F" w:rsidRDefault="00863C99" w:rsidP="001B2D28">
      <w:pPr>
        <w:ind w:right="-31"/>
        <w:rPr>
          <w:rFonts w:ascii="Verdana" w:hAnsi="Verdana" w:cs="Verdana"/>
          <w:sz w:val="20"/>
          <w:szCs w:val="20"/>
        </w:rPr>
      </w:pPr>
      <w:r w:rsidRPr="000F258F">
        <w:rPr>
          <w:rFonts w:ascii="Verdana" w:hAnsi="Verdana" w:cs="Verdana"/>
          <w:sz w:val="20"/>
          <w:szCs w:val="20"/>
        </w:rPr>
        <w:t xml:space="preserve">Дружеството е част от групата на Овергаз </w:t>
      </w:r>
      <w:r>
        <w:rPr>
          <w:rFonts w:ascii="Verdana" w:hAnsi="Verdana" w:cs="Verdana"/>
          <w:sz w:val="20"/>
          <w:szCs w:val="20"/>
        </w:rPr>
        <w:t>Х</w:t>
      </w:r>
      <w:r w:rsidRPr="000F258F">
        <w:rPr>
          <w:rFonts w:ascii="Verdana" w:hAnsi="Verdana" w:cs="Verdana"/>
          <w:sz w:val="20"/>
          <w:szCs w:val="20"/>
        </w:rPr>
        <w:t>олдинг АД</w:t>
      </w:r>
      <w:r>
        <w:rPr>
          <w:rFonts w:ascii="Verdana" w:hAnsi="Verdana" w:cs="Verdana"/>
          <w:sz w:val="20"/>
          <w:szCs w:val="20"/>
        </w:rPr>
        <w:t>.</w:t>
      </w:r>
      <w:r w:rsidRPr="000F258F">
        <w:rPr>
          <w:rFonts w:ascii="Verdana" w:hAnsi="Verdana" w:cs="Verdana"/>
          <w:sz w:val="20"/>
          <w:szCs w:val="20"/>
        </w:rPr>
        <w:t xml:space="preserve"> </w:t>
      </w:r>
    </w:p>
    <w:p w:rsidR="00863C99" w:rsidRPr="000E54EB" w:rsidRDefault="00863C99" w:rsidP="008B5819">
      <w:pPr>
        <w:rPr>
          <w:rFonts w:ascii="Verdana" w:hAnsi="Verdana" w:cs="Verdana"/>
          <w:sz w:val="20"/>
          <w:szCs w:val="20"/>
        </w:rPr>
      </w:pPr>
    </w:p>
    <w:p w:rsidR="00863C99" w:rsidRPr="000E54EB" w:rsidRDefault="00863C99" w:rsidP="008B5819">
      <w:pPr>
        <w:rPr>
          <w:rFonts w:ascii="Verdana" w:hAnsi="Verdana" w:cs="Verdana"/>
          <w:sz w:val="20"/>
          <w:szCs w:val="20"/>
        </w:rPr>
      </w:pPr>
      <w:r w:rsidRPr="000E54EB">
        <w:rPr>
          <w:rFonts w:ascii="Verdana" w:hAnsi="Verdana" w:cs="Verdana"/>
          <w:sz w:val="20"/>
          <w:szCs w:val="20"/>
        </w:rPr>
        <w:t>Дружеството</w:t>
      </w:r>
      <w:r>
        <w:rPr>
          <w:rFonts w:ascii="Verdana" w:hAnsi="Verdana" w:cs="Verdana"/>
          <w:sz w:val="20"/>
          <w:szCs w:val="20"/>
        </w:rPr>
        <w:t xml:space="preserve"> </w:t>
      </w:r>
      <w:r w:rsidRPr="000E54EB">
        <w:rPr>
          <w:rFonts w:ascii="Verdana" w:hAnsi="Verdana" w:cs="Verdana"/>
          <w:sz w:val="20"/>
          <w:szCs w:val="20"/>
        </w:rPr>
        <w:t>няма</w:t>
      </w:r>
      <w:r>
        <w:rPr>
          <w:rFonts w:ascii="Verdana" w:hAnsi="Verdana" w:cs="Verdana"/>
          <w:sz w:val="20"/>
          <w:szCs w:val="20"/>
        </w:rPr>
        <w:t xml:space="preserve"> </w:t>
      </w:r>
      <w:r w:rsidRPr="000E54EB">
        <w:rPr>
          <w:rFonts w:ascii="Verdana" w:hAnsi="Verdana" w:cs="Verdana"/>
          <w:sz w:val="20"/>
          <w:szCs w:val="20"/>
        </w:rPr>
        <w:t>регистрирани</w:t>
      </w:r>
      <w:r>
        <w:rPr>
          <w:rFonts w:ascii="Verdana" w:hAnsi="Verdana" w:cs="Verdana"/>
          <w:sz w:val="20"/>
          <w:szCs w:val="20"/>
        </w:rPr>
        <w:t xml:space="preserve"> </w:t>
      </w:r>
      <w:r w:rsidRPr="000E54EB">
        <w:rPr>
          <w:rFonts w:ascii="Verdana" w:hAnsi="Verdana" w:cs="Verdana"/>
          <w:sz w:val="20"/>
          <w:szCs w:val="20"/>
        </w:rPr>
        <w:t>клонове</w:t>
      </w:r>
      <w:r>
        <w:rPr>
          <w:rFonts w:ascii="Verdana" w:hAnsi="Verdana" w:cs="Verdana"/>
          <w:sz w:val="20"/>
          <w:szCs w:val="20"/>
        </w:rPr>
        <w:t xml:space="preserve"> </w:t>
      </w:r>
      <w:r w:rsidRPr="000E54EB">
        <w:rPr>
          <w:rFonts w:ascii="Verdana" w:hAnsi="Verdana" w:cs="Verdana"/>
          <w:sz w:val="20"/>
          <w:szCs w:val="20"/>
        </w:rPr>
        <w:t>в</w:t>
      </w:r>
      <w:r>
        <w:rPr>
          <w:rFonts w:ascii="Verdana" w:hAnsi="Verdana" w:cs="Verdana"/>
          <w:sz w:val="20"/>
          <w:szCs w:val="20"/>
        </w:rPr>
        <w:t xml:space="preserve"> </w:t>
      </w:r>
      <w:r w:rsidRPr="000E54EB">
        <w:rPr>
          <w:rFonts w:ascii="Verdana" w:hAnsi="Verdana" w:cs="Verdana"/>
          <w:sz w:val="20"/>
          <w:szCs w:val="20"/>
        </w:rPr>
        <w:t>страната</w:t>
      </w:r>
      <w:r>
        <w:rPr>
          <w:rFonts w:ascii="Verdana" w:hAnsi="Verdana" w:cs="Verdana"/>
          <w:sz w:val="20"/>
          <w:szCs w:val="20"/>
        </w:rPr>
        <w:t xml:space="preserve"> </w:t>
      </w:r>
      <w:r w:rsidRPr="000E54EB">
        <w:rPr>
          <w:rFonts w:ascii="Verdana" w:hAnsi="Verdana" w:cs="Verdana"/>
          <w:sz w:val="20"/>
          <w:szCs w:val="20"/>
        </w:rPr>
        <w:t>и/или</w:t>
      </w:r>
      <w:r>
        <w:rPr>
          <w:rFonts w:ascii="Verdana" w:hAnsi="Verdana" w:cs="Verdana"/>
          <w:sz w:val="20"/>
          <w:szCs w:val="20"/>
        </w:rPr>
        <w:t xml:space="preserve"> </w:t>
      </w:r>
      <w:r w:rsidRPr="000E54EB">
        <w:rPr>
          <w:rFonts w:ascii="Verdana" w:hAnsi="Verdana" w:cs="Verdana"/>
          <w:sz w:val="20"/>
          <w:szCs w:val="20"/>
        </w:rPr>
        <w:t>чужбина.</w:t>
      </w:r>
    </w:p>
    <w:p w:rsidR="00863C99" w:rsidRPr="000E54EB" w:rsidRDefault="00863C99" w:rsidP="008B5819">
      <w:pPr>
        <w:rPr>
          <w:rFonts w:ascii="Verdana" w:hAnsi="Verdana" w:cs="Verdana"/>
          <w:sz w:val="20"/>
          <w:szCs w:val="20"/>
        </w:rPr>
      </w:pPr>
      <w:r w:rsidRPr="000E54EB">
        <w:rPr>
          <w:rFonts w:ascii="Verdana" w:hAnsi="Verdana" w:cs="Verdana"/>
          <w:sz w:val="20"/>
          <w:szCs w:val="20"/>
        </w:rPr>
        <w:t>Дружеството</w:t>
      </w:r>
      <w:r>
        <w:rPr>
          <w:rFonts w:ascii="Verdana" w:hAnsi="Verdana" w:cs="Verdana"/>
          <w:sz w:val="20"/>
          <w:szCs w:val="20"/>
        </w:rPr>
        <w:t xml:space="preserve"> </w:t>
      </w:r>
      <w:r w:rsidRPr="000E54EB">
        <w:rPr>
          <w:rFonts w:ascii="Verdana" w:hAnsi="Verdana" w:cs="Verdana"/>
          <w:sz w:val="20"/>
          <w:szCs w:val="20"/>
        </w:rPr>
        <w:t>не</w:t>
      </w:r>
      <w:r>
        <w:rPr>
          <w:rFonts w:ascii="Verdana" w:hAnsi="Verdana" w:cs="Verdana"/>
          <w:sz w:val="20"/>
          <w:szCs w:val="20"/>
        </w:rPr>
        <w:t xml:space="preserve"> </w:t>
      </w:r>
      <w:r w:rsidRPr="000E54EB">
        <w:rPr>
          <w:rFonts w:ascii="Verdana" w:hAnsi="Verdana" w:cs="Verdana"/>
          <w:sz w:val="20"/>
          <w:szCs w:val="20"/>
        </w:rPr>
        <w:t>е</w:t>
      </w:r>
      <w:r>
        <w:rPr>
          <w:rFonts w:ascii="Verdana" w:hAnsi="Verdana" w:cs="Verdana"/>
          <w:sz w:val="20"/>
          <w:szCs w:val="20"/>
        </w:rPr>
        <w:t xml:space="preserve"> </w:t>
      </w:r>
      <w:r w:rsidRPr="000E54EB">
        <w:rPr>
          <w:rFonts w:ascii="Verdana" w:hAnsi="Verdana" w:cs="Verdana"/>
          <w:sz w:val="20"/>
          <w:szCs w:val="20"/>
        </w:rPr>
        <w:t>публично</w:t>
      </w:r>
      <w:r>
        <w:rPr>
          <w:rFonts w:ascii="Verdana" w:hAnsi="Verdana" w:cs="Verdana"/>
          <w:sz w:val="20"/>
          <w:szCs w:val="20"/>
        </w:rPr>
        <w:t xml:space="preserve"> </w:t>
      </w:r>
      <w:r w:rsidRPr="000E54EB">
        <w:rPr>
          <w:rFonts w:ascii="Verdana" w:hAnsi="Verdana" w:cs="Verdana"/>
          <w:sz w:val="20"/>
          <w:szCs w:val="20"/>
        </w:rPr>
        <w:t>дружество</w:t>
      </w:r>
      <w:r>
        <w:rPr>
          <w:rFonts w:ascii="Verdana" w:hAnsi="Verdana" w:cs="Verdana"/>
          <w:sz w:val="20"/>
          <w:szCs w:val="20"/>
        </w:rPr>
        <w:t xml:space="preserve"> </w:t>
      </w:r>
      <w:r w:rsidRPr="000E54EB">
        <w:rPr>
          <w:rFonts w:ascii="Verdana" w:hAnsi="Verdana" w:cs="Verdana"/>
          <w:sz w:val="20"/>
          <w:szCs w:val="20"/>
        </w:rPr>
        <w:t>по</w:t>
      </w:r>
      <w:r>
        <w:rPr>
          <w:rFonts w:ascii="Verdana" w:hAnsi="Verdana" w:cs="Verdana"/>
          <w:sz w:val="20"/>
          <w:szCs w:val="20"/>
        </w:rPr>
        <w:t xml:space="preserve"> </w:t>
      </w:r>
      <w:r w:rsidRPr="000E54EB">
        <w:rPr>
          <w:rFonts w:ascii="Verdana" w:hAnsi="Verdana" w:cs="Verdana"/>
          <w:sz w:val="20"/>
          <w:szCs w:val="20"/>
        </w:rPr>
        <w:t>смисъла</w:t>
      </w:r>
      <w:r>
        <w:rPr>
          <w:rFonts w:ascii="Verdana" w:hAnsi="Verdana" w:cs="Verdana"/>
          <w:sz w:val="20"/>
          <w:szCs w:val="20"/>
        </w:rPr>
        <w:t xml:space="preserve"> </w:t>
      </w:r>
      <w:r w:rsidRPr="000E54EB">
        <w:rPr>
          <w:rFonts w:ascii="Verdana" w:hAnsi="Verdana" w:cs="Verdana"/>
          <w:sz w:val="20"/>
          <w:szCs w:val="20"/>
        </w:rPr>
        <w:t>на</w:t>
      </w:r>
      <w:r>
        <w:rPr>
          <w:rFonts w:ascii="Verdana" w:hAnsi="Verdana" w:cs="Verdana"/>
          <w:sz w:val="20"/>
          <w:szCs w:val="20"/>
        </w:rPr>
        <w:t xml:space="preserve"> </w:t>
      </w:r>
      <w:r w:rsidRPr="000E54EB">
        <w:rPr>
          <w:rFonts w:ascii="Verdana" w:hAnsi="Verdana" w:cs="Verdana"/>
          <w:sz w:val="20"/>
          <w:szCs w:val="20"/>
        </w:rPr>
        <w:t>ЗППЦК.</w:t>
      </w:r>
    </w:p>
    <w:p w:rsidR="00863C99" w:rsidRPr="000E54EB" w:rsidRDefault="00863C99" w:rsidP="008B5819">
      <w:pPr>
        <w:ind w:right="-31"/>
        <w:rPr>
          <w:rFonts w:ascii="Verdana" w:hAnsi="Verdana" w:cs="Verdana"/>
          <w:sz w:val="20"/>
          <w:szCs w:val="20"/>
        </w:rPr>
      </w:pPr>
      <w:r w:rsidRPr="000E54EB">
        <w:rPr>
          <w:rFonts w:ascii="Verdana" w:hAnsi="Verdana" w:cs="Verdana"/>
          <w:sz w:val="20"/>
          <w:szCs w:val="20"/>
        </w:rPr>
        <w:t>Дружеството</w:t>
      </w:r>
      <w:r>
        <w:rPr>
          <w:rFonts w:ascii="Verdana" w:hAnsi="Verdana" w:cs="Verdana"/>
          <w:sz w:val="20"/>
          <w:szCs w:val="20"/>
        </w:rPr>
        <w:t xml:space="preserve"> </w:t>
      </w:r>
      <w:r w:rsidRPr="000E54EB">
        <w:rPr>
          <w:rFonts w:ascii="Verdana" w:hAnsi="Verdana" w:cs="Verdana"/>
          <w:sz w:val="20"/>
          <w:szCs w:val="20"/>
        </w:rPr>
        <w:t>не</w:t>
      </w:r>
      <w:r>
        <w:rPr>
          <w:rFonts w:ascii="Verdana" w:hAnsi="Verdana" w:cs="Verdana"/>
          <w:sz w:val="20"/>
          <w:szCs w:val="20"/>
        </w:rPr>
        <w:t xml:space="preserve"> </w:t>
      </w:r>
      <w:r w:rsidRPr="000E54EB">
        <w:rPr>
          <w:rFonts w:ascii="Verdana" w:hAnsi="Verdana" w:cs="Verdana"/>
          <w:sz w:val="20"/>
          <w:szCs w:val="20"/>
        </w:rPr>
        <w:t>е</w:t>
      </w:r>
      <w:r>
        <w:rPr>
          <w:rFonts w:ascii="Verdana" w:hAnsi="Verdana" w:cs="Verdana"/>
          <w:sz w:val="20"/>
          <w:szCs w:val="20"/>
        </w:rPr>
        <w:t xml:space="preserve"> </w:t>
      </w:r>
      <w:r w:rsidRPr="000E54EB">
        <w:rPr>
          <w:rFonts w:ascii="Verdana" w:hAnsi="Verdana" w:cs="Verdana"/>
          <w:sz w:val="20"/>
          <w:szCs w:val="20"/>
        </w:rPr>
        <w:t>регистрирано</w:t>
      </w:r>
      <w:r>
        <w:rPr>
          <w:rFonts w:ascii="Verdana" w:hAnsi="Verdana" w:cs="Verdana"/>
          <w:sz w:val="20"/>
          <w:szCs w:val="20"/>
        </w:rPr>
        <w:t xml:space="preserve"> </w:t>
      </w:r>
      <w:r w:rsidRPr="000E54EB">
        <w:rPr>
          <w:rFonts w:ascii="Verdana" w:hAnsi="Verdana" w:cs="Verdana"/>
          <w:sz w:val="20"/>
          <w:szCs w:val="20"/>
        </w:rPr>
        <w:t>като</w:t>
      </w:r>
      <w:r>
        <w:rPr>
          <w:rFonts w:ascii="Verdana" w:hAnsi="Verdana" w:cs="Verdana"/>
          <w:sz w:val="20"/>
          <w:szCs w:val="20"/>
        </w:rPr>
        <w:t xml:space="preserve"> </w:t>
      </w:r>
      <w:r w:rsidRPr="000E54EB">
        <w:rPr>
          <w:rFonts w:ascii="Verdana" w:hAnsi="Verdana" w:cs="Verdana"/>
          <w:sz w:val="20"/>
          <w:szCs w:val="20"/>
        </w:rPr>
        <w:t>финансова</w:t>
      </w:r>
      <w:r>
        <w:rPr>
          <w:rFonts w:ascii="Verdana" w:hAnsi="Verdana" w:cs="Verdana"/>
          <w:sz w:val="20"/>
          <w:szCs w:val="20"/>
        </w:rPr>
        <w:t xml:space="preserve"> </w:t>
      </w:r>
      <w:r w:rsidRPr="000E54EB">
        <w:rPr>
          <w:rFonts w:ascii="Verdana" w:hAnsi="Verdana" w:cs="Verdana"/>
          <w:sz w:val="20"/>
          <w:szCs w:val="20"/>
        </w:rPr>
        <w:t>институция.</w:t>
      </w:r>
    </w:p>
    <w:p w:rsidR="00863C99" w:rsidRPr="000E54EB" w:rsidRDefault="00863C99" w:rsidP="008B5819">
      <w:pPr>
        <w:ind w:right="-31"/>
        <w:rPr>
          <w:rFonts w:ascii="Verdana" w:hAnsi="Verdana" w:cs="Verdana"/>
          <w:sz w:val="20"/>
          <w:szCs w:val="20"/>
        </w:rPr>
      </w:pPr>
    </w:p>
    <w:p w:rsidR="00863C99" w:rsidRPr="00DD3764" w:rsidRDefault="00863C99" w:rsidP="008B5819">
      <w:pPr>
        <w:ind w:right="-31"/>
        <w:rPr>
          <w:rFonts w:ascii="Verdana" w:hAnsi="Verdana" w:cs="Verdana"/>
          <w:sz w:val="20"/>
          <w:szCs w:val="20"/>
        </w:rPr>
      </w:pPr>
      <w:r w:rsidRPr="00DD3764">
        <w:rPr>
          <w:rFonts w:ascii="Verdana" w:hAnsi="Verdana" w:cs="Verdana"/>
          <w:sz w:val="20"/>
          <w:szCs w:val="20"/>
        </w:rPr>
        <w:t>Дата на финансовия отчет</w:t>
      </w:r>
      <w:r w:rsidR="00574B53" w:rsidRPr="00DD3764">
        <w:rPr>
          <w:rFonts w:ascii="Verdana" w:hAnsi="Verdana" w:cs="Verdana"/>
          <w:sz w:val="20"/>
          <w:szCs w:val="20"/>
        </w:rPr>
        <w:t>: 30.06.2020</w:t>
      </w:r>
      <w:r w:rsidRPr="00DD3764">
        <w:rPr>
          <w:rFonts w:ascii="Verdana" w:hAnsi="Verdana" w:cs="Verdana"/>
          <w:sz w:val="20"/>
          <w:szCs w:val="20"/>
        </w:rPr>
        <w:t xml:space="preserve">г. </w:t>
      </w:r>
    </w:p>
    <w:p w:rsidR="00863C99" w:rsidRPr="00DD3764" w:rsidRDefault="00863C99" w:rsidP="008B5819">
      <w:pPr>
        <w:ind w:right="-31"/>
        <w:rPr>
          <w:rFonts w:ascii="Verdana" w:hAnsi="Verdana" w:cs="Verdana"/>
          <w:sz w:val="20"/>
          <w:szCs w:val="20"/>
        </w:rPr>
      </w:pPr>
    </w:p>
    <w:p w:rsidR="00863C99" w:rsidRPr="00DD3764" w:rsidRDefault="00863C99" w:rsidP="008B5819">
      <w:pPr>
        <w:pStyle w:val="BodyTextIndent"/>
        <w:spacing w:before="0"/>
        <w:ind w:left="0" w:right="-31"/>
        <w:rPr>
          <w:rFonts w:ascii="Verdana" w:hAnsi="Verdana" w:cs="Verdana"/>
          <w:sz w:val="20"/>
          <w:szCs w:val="20"/>
        </w:rPr>
      </w:pPr>
      <w:r w:rsidRPr="00DD3764">
        <w:rPr>
          <w:rFonts w:ascii="Verdana" w:hAnsi="Verdana" w:cs="Verdana"/>
          <w:sz w:val="20"/>
          <w:szCs w:val="20"/>
        </w:rPr>
        <w:t>Текущ период: г</w:t>
      </w:r>
      <w:r w:rsidR="00574B53" w:rsidRPr="00DD3764">
        <w:rPr>
          <w:rFonts w:ascii="Verdana" w:hAnsi="Verdana" w:cs="Verdana"/>
          <w:sz w:val="20"/>
          <w:szCs w:val="20"/>
        </w:rPr>
        <w:t>одината, започваща на 01.01.2020</w:t>
      </w:r>
      <w:r w:rsidRPr="00DD3764">
        <w:rPr>
          <w:rFonts w:ascii="Verdana" w:hAnsi="Verdana" w:cs="Verdana"/>
          <w:sz w:val="20"/>
          <w:szCs w:val="20"/>
        </w:rPr>
        <w:t>г. и</w:t>
      </w:r>
      <w:r w:rsidR="00574B53" w:rsidRPr="00DD3764">
        <w:rPr>
          <w:rFonts w:ascii="Verdana" w:hAnsi="Verdana" w:cs="Verdana"/>
          <w:sz w:val="20"/>
          <w:szCs w:val="20"/>
        </w:rPr>
        <w:t xml:space="preserve"> завършваща на 30.06.2020</w:t>
      </w:r>
      <w:r w:rsidRPr="00DD3764">
        <w:rPr>
          <w:rFonts w:ascii="Verdana" w:hAnsi="Verdana" w:cs="Verdana"/>
          <w:sz w:val="20"/>
          <w:szCs w:val="20"/>
        </w:rPr>
        <w:t xml:space="preserve">г. </w:t>
      </w:r>
    </w:p>
    <w:p w:rsidR="00863C99" w:rsidRPr="00DD3764" w:rsidRDefault="00863C99" w:rsidP="008B5819">
      <w:pPr>
        <w:pStyle w:val="BodyTextIndent"/>
        <w:spacing w:before="0"/>
        <w:ind w:left="0" w:right="-31"/>
        <w:rPr>
          <w:rFonts w:ascii="Verdana" w:hAnsi="Verdana" w:cs="Verdana"/>
          <w:sz w:val="20"/>
          <w:szCs w:val="20"/>
        </w:rPr>
      </w:pPr>
    </w:p>
    <w:p w:rsidR="00863C99" w:rsidRPr="000E54EB" w:rsidRDefault="00863C99" w:rsidP="008B5819">
      <w:pPr>
        <w:pStyle w:val="BodyTextIndent"/>
        <w:spacing w:before="0"/>
        <w:ind w:left="0" w:right="-31"/>
        <w:rPr>
          <w:rFonts w:ascii="Verdana" w:hAnsi="Verdana" w:cs="Verdana"/>
          <w:sz w:val="20"/>
          <w:szCs w:val="20"/>
        </w:rPr>
      </w:pPr>
      <w:r w:rsidRPr="00DD3764">
        <w:rPr>
          <w:rFonts w:ascii="Verdana" w:hAnsi="Verdana" w:cs="Verdana"/>
          <w:sz w:val="20"/>
          <w:szCs w:val="20"/>
        </w:rPr>
        <w:t>Предходен период: г</w:t>
      </w:r>
      <w:r w:rsidR="00574B53" w:rsidRPr="00DD3764">
        <w:rPr>
          <w:rFonts w:ascii="Verdana" w:hAnsi="Verdana" w:cs="Verdana"/>
          <w:sz w:val="20"/>
          <w:szCs w:val="20"/>
        </w:rPr>
        <w:t>одината, започваща на 01.01.2019</w:t>
      </w:r>
      <w:r w:rsidRPr="00DD3764">
        <w:rPr>
          <w:rFonts w:ascii="Verdana" w:hAnsi="Verdana" w:cs="Verdana"/>
          <w:sz w:val="20"/>
          <w:szCs w:val="20"/>
        </w:rPr>
        <w:t xml:space="preserve">г. и завършваща на </w:t>
      </w:r>
      <w:r w:rsidR="00574B53" w:rsidRPr="00DD3764">
        <w:rPr>
          <w:rFonts w:ascii="Verdana" w:hAnsi="Verdana" w:cs="Verdana"/>
          <w:sz w:val="20"/>
          <w:szCs w:val="20"/>
        </w:rPr>
        <w:t>31.12.2019</w:t>
      </w:r>
      <w:r w:rsidRPr="00DD3764">
        <w:rPr>
          <w:rFonts w:ascii="Verdana" w:hAnsi="Verdana" w:cs="Verdana"/>
          <w:sz w:val="20"/>
          <w:szCs w:val="20"/>
        </w:rPr>
        <w:t>г.</w:t>
      </w:r>
    </w:p>
    <w:p w:rsidR="00426BBA" w:rsidRDefault="00426BBA" w:rsidP="002E4EBE">
      <w:pPr>
        <w:pStyle w:val="BodyTextIndent"/>
        <w:spacing w:after="40" w:line="260" w:lineRule="atLeast"/>
        <w:ind w:left="0"/>
        <w:rPr>
          <w:rFonts w:ascii="Verdana" w:hAnsi="Verdana" w:cs="Verdana"/>
          <w:b/>
          <w:bCs/>
          <w:sz w:val="20"/>
          <w:szCs w:val="20"/>
        </w:rPr>
      </w:pPr>
    </w:p>
    <w:p w:rsidR="00426BBA" w:rsidRDefault="00426BBA" w:rsidP="002E4EBE">
      <w:pPr>
        <w:pStyle w:val="BodyTextIndent"/>
        <w:spacing w:after="40" w:line="260" w:lineRule="atLeast"/>
        <w:ind w:left="0"/>
        <w:rPr>
          <w:rFonts w:ascii="Verdana" w:hAnsi="Verdana" w:cs="Verdana"/>
          <w:b/>
          <w:bCs/>
          <w:sz w:val="20"/>
          <w:szCs w:val="20"/>
        </w:rPr>
      </w:pPr>
    </w:p>
    <w:p w:rsidR="00426BBA" w:rsidRDefault="00426BBA" w:rsidP="002E4EBE">
      <w:pPr>
        <w:pStyle w:val="BodyTextIndent"/>
        <w:spacing w:after="40" w:line="260" w:lineRule="atLeast"/>
        <w:ind w:left="0"/>
        <w:rPr>
          <w:rFonts w:ascii="Verdana" w:hAnsi="Verdana" w:cs="Verdana"/>
          <w:b/>
          <w:bCs/>
          <w:sz w:val="20"/>
          <w:szCs w:val="20"/>
        </w:rPr>
      </w:pPr>
    </w:p>
    <w:p w:rsidR="00426BBA" w:rsidRDefault="00426BBA" w:rsidP="002E4EBE">
      <w:pPr>
        <w:pStyle w:val="BodyTextIndent"/>
        <w:spacing w:after="40" w:line="260" w:lineRule="atLeast"/>
        <w:ind w:left="0"/>
        <w:rPr>
          <w:rFonts w:ascii="Verdana" w:hAnsi="Verdana" w:cs="Verdana"/>
          <w:b/>
          <w:bCs/>
          <w:sz w:val="20"/>
          <w:szCs w:val="20"/>
        </w:rPr>
      </w:pPr>
    </w:p>
    <w:p w:rsidR="00426BBA" w:rsidRDefault="00426BBA" w:rsidP="002E4EBE">
      <w:pPr>
        <w:pStyle w:val="BodyTextIndent"/>
        <w:spacing w:after="40" w:line="260" w:lineRule="atLeast"/>
        <w:ind w:left="0"/>
        <w:rPr>
          <w:rFonts w:ascii="Verdana" w:hAnsi="Verdana" w:cs="Verdana"/>
          <w:b/>
          <w:bCs/>
          <w:sz w:val="20"/>
          <w:szCs w:val="20"/>
        </w:rPr>
      </w:pPr>
    </w:p>
    <w:p w:rsidR="00863C99" w:rsidRPr="00C46C41" w:rsidRDefault="00863C99" w:rsidP="002E4EBE">
      <w:pPr>
        <w:pStyle w:val="BodyTextIndent"/>
        <w:spacing w:after="40" w:line="260" w:lineRule="atLeast"/>
        <w:ind w:left="0"/>
        <w:rPr>
          <w:rFonts w:ascii="Verdana" w:hAnsi="Verdana" w:cs="Verdana"/>
          <w:b/>
          <w:bCs/>
          <w:sz w:val="20"/>
          <w:szCs w:val="20"/>
        </w:rPr>
      </w:pPr>
      <w:r w:rsidRPr="00C46C41">
        <w:rPr>
          <w:rFonts w:ascii="Verdana" w:hAnsi="Verdana" w:cs="Verdana"/>
          <w:b/>
          <w:bCs/>
          <w:sz w:val="20"/>
          <w:szCs w:val="20"/>
        </w:rPr>
        <w:t>Структура на основния капитал</w:t>
      </w:r>
    </w:p>
    <w:tbl>
      <w:tblPr>
        <w:tblW w:w="5000" w:type="pct"/>
        <w:tblCellSpacing w:w="1440" w:type="nil"/>
        <w:tblInd w:w="-106" w:type="dxa"/>
        <w:tblBorders>
          <w:top w:val="outset" w:sz="6" w:space="0" w:color="auto"/>
          <w:bottom w:val="outset" w:sz="6" w:space="0" w:color="auto"/>
          <w:insideH w:val="outset" w:sz="6" w:space="0" w:color="auto"/>
        </w:tblBorders>
        <w:tblLook w:val="0000" w:firstRow="0" w:lastRow="0" w:firstColumn="0" w:lastColumn="0" w:noHBand="0" w:noVBand="0"/>
      </w:tblPr>
      <w:tblGrid>
        <w:gridCol w:w="5194"/>
        <w:gridCol w:w="1522"/>
        <w:gridCol w:w="1439"/>
        <w:gridCol w:w="1528"/>
      </w:tblGrid>
      <w:tr w:rsidR="00863C99">
        <w:trPr>
          <w:tblCellSpacing w:w="1440" w:type="nil"/>
        </w:trPr>
        <w:tc>
          <w:tcPr>
            <w:tcW w:w="2674" w:type="pct"/>
          </w:tcPr>
          <w:p w:rsidR="00863C99" w:rsidRPr="00611ED0" w:rsidRDefault="00863C99" w:rsidP="001F704A">
            <w:pPr>
              <w:spacing w:line="260" w:lineRule="atLeast"/>
              <w:rPr>
                <w:rFonts w:ascii="Verdana" w:hAnsi="Verdana" w:cs="Verdana"/>
                <w:b/>
                <w:bCs/>
                <w:sz w:val="20"/>
                <w:szCs w:val="20"/>
              </w:rPr>
            </w:pPr>
            <w:r w:rsidRPr="00611ED0">
              <w:rPr>
                <w:rFonts w:ascii="Verdana" w:hAnsi="Verdana" w:cs="Verdana"/>
                <w:b/>
                <w:bCs/>
                <w:sz w:val="20"/>
                <w:szCs w:val="20"/>
              </w:rPr>
              <w:t>Акционери</w:t>
            </w:r>
          </w:p>
        </w:tc>
        <w:tc>
          <w:tcPr>
            <w:tcW w:w="651" w:type="pct"/>
          </w:tcPr>
          <w:p w:rsidR="00863C99" w:rsidRPr="00611ED0" w:rsidRDefault="00863C99" w:rsidP="001F704A">
            <w:pPr>
              <w:spacing w:line="260" w:lineRule="atLeast"/>
              <w:jc w:val="center"/>
              <w:rPr>
                <w:rFonts w:ascii="Verdana" w:hAnsi="Verdana" w:cs="Verdana"/>
                <w:b/>
                <w:bCs/>
                <w:sz w:val="20"/>
                <w:szCs w:val="20"/>
              </w:rPr>
            </w:pPr>
            <w:r w:rsidRPr="00611ED0">
              <w:rPr>
                <w:rFonts w:ascii="Verdana" w:hAnsi="Verdana" w:cs="Verdana"/>
                <w:b/>
                <w:bCs/>
                <w:sz w:val="20"/>
                <w:szCs w:val="20"/>
              </w:rPr>
              <w:t>Участие</w:t>
            </w:r>
          </w:p>
        </w:tc>
        <w:tc>
          <w:tcPr>
            <w:tcW w:w="775" w:type="pct"/>
          </w:tcPr>
          <w:p w:rsidR="00863C99" w:rsidRPr="00611ED0" w:rsidRDefault="00863C99" w:rsidP="001F704A">
            <w:pPr>
              <w:spacing w:line="260" w:lineRule="atLeast"/>
              <w:jc w:val="center"/>
              <w:rPr>
                <w:rFonts w:ascii="Verdana" w:hAnsi="Verdana" w:cs="Verdana"/>
                <w:b/>
                <w:bCs/>
                <w:sz w:val="20"/>
                <w:szCs w:val="20"/>
              </w:rPr>
            </w:pPr>
            <w:r w:rsidRPr="00611ED0">
              <w:rPr>
                <w:rFonts w:ascii="Verdana" w:hAnsi="Verdana" w:cs="Verdana"/>
                <w:b/>
                <w:bCs/>
                <w:sz w:val="20"/>
                <w:szCs w:val="20"/>
              </w:rPr>
              <w:t>Брой акции</w:t>
            </w:r>
          </w:p>
        </w:tc>
        <w:tc>
          <w:tcPr>
            <w:tcW w:w="798" w:type="pct"/>
          </w:tcPr>
          <w:p w:rsidR="00863C99" w:rsidRDefault="00863C99" w:rsidP="001F704A">
            <w:pPr>
              <w:spacing w:line="260" w:lineRule="atLeast"/>
              <w:jc w:val="center"/>
              <w:rPr>
                <w:rFonts w:ascii="Verdana" w:hAnsi="Verdana" w:cs="Verdana"/>
                <w:b/>
                <w:bCs/>
                <w:sz w:val="20"/>
                <w:szCs w:val="20"/>
                <w:lang w:val="en-US"/>
              </w:rPr>
            </w:pPr>
            <w:r w:rsidRPr="00611ED0">
              <w:rPr>
                <w:rFonts w:ascii="Verdana" w:hAnsi="Verdana" w:cs="Verdana"/>
                <w:b/>
                <w:bCs/>
                <w:sz w:val="20"/>
                <w:szCs w:val="20"/>
              </w:rPr>
              <w:t>Номинална стойност</w:t>
            </w:r>
          </w:p>
          <w:p w:rsidR="00863C99" w:rsidRPr="00C46C41" w:rsidRDefault="00863C99" w:rsidP="001F704A">
            <w:pPr>
              <w:spacing w:line="260" w:lineRule="atLeast"/>
              <w:jc w:val="center"/>
              <w:rPr>
                <w:rFonts w:ascii="Verdana" w:hAnsi="Verdana" w:cs="Verdana"/>
                <w:b/>
                <w:bCs/>
                <w:sz w:val="20"/>
                <w:szCs w:val="20"/>
              </w:rPr>
            </w:pPr>
            <w:r w:rsidRPr="00D151A7">
              <w:rPr>
                <w:rFonts w:ascii="Verdana" w:hAnsi="Verdana" w:cs="Verdana"/>
                <w:b/>
                <w:bCs/>
                <w:sz w:val="20"/>
                <w:szCs w:val="20"/>
              </w:rPr>
              <w:t>BGN</w:t>
            </w:r>
            <w:r>
              <w:rPr>
                <w:rFonts w:ascii="Verdana" w:hAnsi="Verdana" w:cs="Verdana"/>
                <w:b/>
                <w:bCs/>
                <w:sz w:val="20"/>
                <w:szCs w:val="20"/>
              </w:rPr>
              <w:t>’</w:t>
            </w:r>
            <w:r w:rsidRPr="00D151A7">
              <w:rPr>
                <w:rFonts w:ascii="Verdana" w:hAnsi="Verdana" w:cs="Verdana"/>
                <w:b/>
                <w:bCs/>
                <w:sz w:val="20"/>
                <w:szCs w:val="20"/>
              </w:rPr>
              <w:t>000</w:t>
            </w:r>
          </w:p>
        </w:tc>
      </w:tr>
      <w:tr w:rsidR="00863C99">
        <w:trPr>
          <w:tblCellSpacing w:w="1440" w:type="nil"/>
        </w:trPr>
        <w:tc>
          <w:tcPr>
            <w:tcW w:w="2674" w:type="pct"/>
          </w:tcPr>
          <w:p w:rsidR="00863C99" w:rsidRPr="00611ED0" w:rsidRDefault="00863C99" w:rsidP="001F704A">
            <w:pPr>
              <w:spacing w:line="260" w:lineRule="atLeast"/>
              <w:rPr>
                <w:rFonts w:ascii="Verdana" w:hAnsi="Verdana" w:cs="Verdana"/>
                <w:sz w:val="20"/>
                <w:szCs w:val="20"/>
              </w:rPr>
            </w:pPr>
            <w:r w:rsidRPr="00611ED0">
              <w:rPr>
                <w:rFonts w:ascii="Verdana" w:hAnsi="Verdana" w:cs="Verdana"/>
                <w:sz w:val="20"/>
                <w:szCs w:val="20"/>
              </w:rPr>
              <w:t>Овергаз Холдинг АД</w:t>
            </w:r>
          </w:p>
        </w:tc>
        <w:tc>
          <w:tcPr>
            <w:tcW w:w="651" w:type="pct"/>
          </w:tcPr>
          <w:p w:rsidR="00863C99" w:rsidRPr="00611ED0" w:rsidRDefault="00863C99" w:rsidP="001F704A">
            <w:pPr>
              <w:spacing w:line="260" w:lineRule="atLeast"/>
              <w:jc w:val="center"/>
              <w:rPr>
                <w:rFonts w:ascii="Verdana" w:hAnsi="Verdana" w:cs="Verdana"/>
                <w:sz w:val="20"/>
                <w:szCs w:val="20"/>
              </w:rPr>
            </w:pPr>
            <w:r>
              <w:rPr>
                <w:rFonts w:ascii="Verdana" w:hAnsi="Verdana" w:cs="Verdana"/>
                <w:sz w:val="20"/>
                <w:szCs w:val="20"/>
              </w:rPr>
              <w:t>99.999999</w:t>
            </w:r>
            <w:r w:rsidRPr="00611ED0">
              <w:rPr>
                <w:rFonts w:ascii="Verdana" w:hAnsi="Verdana" w:cs="Verdana"/>
                <w:sz w:val="20"/>
                <w:szCs w:val="20"/>
              </w:rPr>
              <w:t>%</w:t>
            </w:r>
          </w:p>
        </w:tc>
        <w:tc>
          <w:tcPr>
            <w:tcW w:w="775" w:type="pct"/>
          </w:tcPr>
          <w:p w:rsidR="00863C99" w:rsidRPr="00611ED0" w:rsidRDefault="00863C99" w:rsidP="005E1578">
            <w:pPr>
              <w:spacing w:line="260" w:lineRule="atLeast"/>
              <w:jc w:val="center"/>
              <w:rPr>
                <w:rFonts w:ascii="Verdana" w:hAnsi="Verdana" w:cs="Verdana"/>
                <w:sz w:val="20"/>
                <w:szCs w:val="20"/>
              </w:rPr>
            </w:pPr>
            <w:r>
              <w:rPr>
                <w:rFonts w:ascii="Verdana" w:hAnsi="Verdana" w:cs="Verdana"/>
                <w:sz w:val="20"/>
                <w:szCs w:val="20"/>
              </w:rPr>
              <w:t>6 9</w:t>
            </w:r>
            <w:r w:rsidRPr="00611ED0">
              <w:rPr>
                <w:rFonts w:ascii="Verdana" w:hAnsi="Verdana" w:cs="Verdana"/>
                <w:sz w:val="20"/>
                <w:szCs w:val="20"/>
              </w:rPr>
              <w:t>99</w:t>
            </w:r>
            <w:r>
              <w:rPr>
                <w:rFonts w:ascii="Verdana" w:hAnsi="Verdana" w:cs="Verdana"/>
                <w:sz w:val="20"/>
                <w:szCs w:val="20"/>
              </w:rPr>
              <w:t xml:space="preserve"> 999</w:t>
            </w:r>
          </w:p>
        </w:tc>
        <w:tc>
          <w:tcPr>
            <w:tcW w:w="798" w:type="pct"/>
          </w:tcPr>
          <w:p w:rsidR="00863C99" w:rsidRPr="00611ED0" w:rsidRDefault="00863C99" w:rsidP="001F704A">
            <w:pPr>
              <w:spacing w:line="260" w:lineRule="atLeast"/>
              <w:jc w:val="center"/>
              <w:rPr>
                <w:rFonts w:ascii="Verdana" w:hAnsi="Verdana" w:cs="Verdana"/>
                <w:sz w:val="20"/>
                <w:szCs w:val="20"/>
              </w:rPr>
            </w:pPr>
            <w:r w:rsidRPr="00611ED0">
              <w:rPr>
                <w:rFonts w:ascii="Verdana" w:hAnsi="Verdana" w:cs="Verdana"/>
                <w:sz w:val="20"/>
                <w:szCs w:val="20"/>
              </w:rPr>
              <w:t xml:space="preserve">1 </w:t>
            </w:r>
          </w:p>
        </w:tc>
      </w:tr>
      <w:tr w:rsidR="00863C99">
        <w:trPr>
          <w:tblCellSpacing w:w="1440" w:type="nil"/>
        </w:trPr>
        <w:tc>
          <w:tcPr>
            <w:tcW w:w="2674" w:type="pct"/>
          </w:tcPr>
          <w:p w:rsidR="00863C99" w:rsidRPr="00611ED0" w:rsidRDefault="00863C99" w:rsidP="001F704A">
            <w:pPr>
              <w:spacing w:line="260" w:lineRule="atLeast"/>
              <w:rPr>
                <w:rFonts w:ascii="Verdana" w:hAnsi="Verdana" w:cs="Verdana"/>
                <w:sz w:val="20"/>
                <w:szCs w:val="20"/>
              </w:rPr>
            </w:pPr>
            <w:r>
              <w:rPr>
                <w:rFonts w:ascii="Verdana" w:hAnsi="Verdana" w:cs="Verdana"/>
                <w:sz w:val="20"/>
                <w:szCs w:val="20"/>
              </w:rPr>
              <w:t>Овергаз Директ ООД</w:t>
            </w:r>
          </w:p>
        </w:tc>
        <w:tc>
          <w:tcPr>
            <w:tcW w:w="651" w:type="pct"/>
          </w:tcPr>
          <w:p w:rsidR="00863C99" w:rsidRPr="00611ED0" w:rsidRDefault="00863C99" w:rsidP="001F704A">
            <w:pPr>
              <w:spacing w:line="260" w:lineRule="atLeast"/>
              <w:jc w:val="center"/>
              <w:rPr>
                <w:rFonts w:ascii="Verdana" w:hAnsi="Verdana" w:cs="Verdana"/>
                <w:sz w:val="20"/>
                <w:szCs w:val="20"/>
              </w:rPr>
            </w:pPr>
            <w:r>
              <w:rPr>
                <w:rFonts w:ascii="Verdana" w:hAnsi="Verdana" w:cs="Verdana"/>
                <w:sz w:val="20"/>
                <w:szCs w:val="20"/>
              </w:rPr>
              <w:t>0.0000001%</w:t>
            </w:r>
          </w:p>
        </w:tc>
        <w:tc>
          <w:tcPr>
            <w:tcW w:w="775" w:type="pct"/>
          </w:tcPr>
          <w:p w:rsidR="00863C99" w:rsidRPr="00611ED0" w:rsidRDefault="00863C99" w:rsidP="001F704A">
            <w:pPr>
              <w:spacing w:line="260" w:lineRule="atLeast"/>
              <w:jc w:val="center"/>
              <w:rPr>
                <w:rFonts w:ascii="Verdana" w:hAnsi="Verdana" w:cs="Verdana"/>
                <w:sz w:val="20"/>
                <w:szCs w:val="20"/>
              </w:rPr>
            </w:pPr>
            <w:r>
              <w:rPr>
                <w:rFonts w:ascii="Verdana" w:hAnsi="Verdana" w:cs="Verdana"/>
                <w:sz w:val="20"/>
                <w:szCs w:val="20"/>
              </w:rPr>
              <w:t>1</w:t>
            </w:r>
          </w:p>
        </w:tc>
        <w:tc>
          <w:tcPr>
            <w:tcW w:w="798" w:type="pct"/>
          </w:tcPr>
          <w:p w:rsidR="00863C99" w:rsidRPr="00611ED0" w:rsidRDefault="00863C99" w:rsidP="001F704A">
            <w:pPr>
              <w:spacing w:line="260" w:lineRule="atLeast"/>
              <w:jc w:val="center"/>
              <w:rPr>
                <w:rFonts w:ascii="Verdana" w:hAnsi="Verdana" w:cs="Verdana"/>
                <w:sz w:val="20"/>
                <w:szCs w:val="20"/>
              </w:rPr>
            </w:pPr>
            <w:r>
              <w:rPr>
                <w:rFonts w:ascii="Verdana" w:hAnsi="Verdana" w:cs="Verdana"/>
                <w:sz w:val="20"/>
                <w:szCs w:val="20"/>
              </w:rPr>
              <w:t>1</w:t>
            </w:r>
          </w:p>
        </w:tc>
      </w:tr>
      <w:tr w:rsidR="00863C99">
        <w:trPr>
          <w:tblCellSpacing w:w="1440" w:type="nil"/>
        </w:trPr>
        <w:tc>
          <w:tcPr>
            <w:tcW w:w="2674" w:type="pct"/>
          </w:tcPr>
          <w:p w:rsidR="00863C99" w:rsidRPr="00CF2829" w:rsidRDefault="00863C99" w:rsidP="001F704A">
            <w:pPr>
              <w:spacing w:line="260" w:lineRule="atLeast"/>
              <w:rPr>
                <w:rFonts w:ascii="Verdana" w:hAnsi="Verdana" w:cs="Verdana"/>
                <w:b/>
                <w:bCs/>
                <w:sz w:val="20"/>
                <w:szCs w:val="20"/>
              </w:rPr>
            </w:pPr>
            <w:r w:rsidRPr="00CF2829">
              <w:rPr>
                <w:rFonts w:ascii="Verdana" w:hAnsi="Verdana" w:cs="Verdana"/>
                <w:b/>
                <w:bCs/>
                <w:sz w:val="20"/>
                <w:szCs w:val="20"/>
              </w:rPr>
              <w:t>Общо</w:t>
            </w:r>
          </w:p>
        </w:tc>
        <w:tc>
          <w:tcPr>
            <w:tcW w:w="651" w:type="pct"/>
          </w:tcPr>
          <w:p w:rsidR="00863C99" w:rsidRPr="00CF2829" w:rsidRDefault="00863C99" w:rsidP="001F704A">
            <w:pPr>
              <w:spacing w:line="260" w:lineRule="atLeast"/>
              <w:jc w:val="center"/>
              <w:rPr>
                <w:rFonts w:ascii="Verdana" w:hAnsi="Verdana" w:cs="Verdana"/>
                <w:b/>
                <w:bCs/>
                <w:sz w:val="20"/>
                <w:szCs w:val="20"/>
              </w:rPr>
            </w:pPr>
            <w:r w:rsidRPr="00CF2829">
              <w:rPr>
                <w:rFonts w:ascii="Verdana" w:hAnsi="Verdana" w:cs="Verdana"/>
                <w:b/>
                <w:bCs/>
                <w:sz w:val="20"/>
                <w:szCs w:val="20"/>
              </w:rPr>
              <w:t>100%</w:t>
            </w:r>
          </w:p>
        </w:tc>
        <w:tc>
          <w:tcPr>
            <w:tcW w:w="775" w:type="pct"/>
          </w:tcPr>
          <w:p w:rsidR="00863C99" w:rsidRPr="00CF2829" w:rsidRDefault="00863C99" w:rsidP="005E1578">
            <w:pPr>
              <w:spacing w:line="260" w:lineRule="atLeast"/>
              <w:jc w:val="center"/>
              <w:rPr>
                <w:rFonts w:ascii="Verdana" w:hAnsi="Verdana" w:cs="Verdana"/>
                <w:b/>
                <w:bCs/>
                <w:sz w:val="20"/>
                <w:szCs w:val="20"/>
              </w:rPr>
            </w:pPr>
            <w:r>
              <w:rPr>
                <w:rFonts w:ascii="Verdana" w:hAnsi="Verdana" w:cs="Verdana"/>
                <w:b/>
                <w:bCs/>
                <w:sz w:val="20"/>
                <w:szCs w:val="20"/>
              </w:rPr>
              <w:t>7 000 000</w:t>
            </w:r>
          </w:p>
        </w:tc>
        <w:tc>
          <w:tcPr>
            <w:tcW w:w="798" w:type="pct"/>
          </w:tcPr>
          <w:p w:rsidR="00863C99" w:rsidRPr="00CF2829" w:rsidRDefault="00863C99" w:rsidP="001F704A">
            <w:pPr>
              <w:spacing w:line="260" w:lineRule="atLeast"/>
              <w:jc w:val="center"/>
              <w:rPr>
                <w:rFonts w:ascii="Verdana" w:hAnsi="Verdana" w:cs="Verdana"/>
                <w:b/>
                <w:bCs/>
                <w:sz w:val="20"/>
                <w:szCs w:val="20"/>
              </w:rPr>
            </w:pPr>
            <w:r w:rsidRPr="00CF2829">
              <w:rPr>
                <w:rFonts w:ascii="Verdana" w:hAnsi="Verdana" w:cs="Verdana"/>
                <w:b/>
                <w:bCs/>
                <w:sz w:val="20"/>
                <w:szCs w:val="20"/>
              </w:rPr>
              <w:t xml:space="preserve">1 </w:t>
            </w:r>
          </w:p>
        </w:tc>
      </w:tr>
    </w:tbl>
    <w:p w:rsidR="00863C99" w:rsidRDefault="00863C99" w:rsidP="002E4EBE">
      <w:pPr>
        <w:spacing w:before="60" w:line="260" w:lineRule="atLeast"/>
        <w:rPr>
          <w:rFonts w:ascii="Verdana" w:hAnsi="Verdana" w:cs="Verdana"/>
          <w:sz w:val="20"/>
          <w:szCs w:val="20"/>
        </w:rPr>
      </w:pPr>
      <w:r w:rsidRPr="006F43FA">
        <w:rPr>
          <w:rFonts w:ascii="Verdana" w:hAnsi="Verdana" w:cs="Verdana"/>
          <w:sz w:val="20"/>
          <w:szCs w:val="20"/>
        </w:rPr>
        <w:t xml:space="preserve">Към </w:t>
      </w:r>
      <w:r w:rsidRPr="006F43FA">
        <w:rPr>
          <w:rFonts w:ascii="Verdana" w:hAnsi="Verdana" w:cs="Verdana"/>
          <w:sz w:val="20"/>
          <w:szCs w:val="20"/>
          <w:lang w:val="ru-RU"/>
        </w:rPr>
        <w:t>3</w:t>
      </w:r>
      <w:r w:rsidR="006F43FA" w:rsidRPr="006F43FA">
        <w:rPr>
          <w:rFonts w:ascii="Verdana" w:hAnsi="Verdana" w:cs="Verdana"/>
          <w:sz w:val="20"/>
          <w:szCs w:val="20"/>
        </w:rPr>
        <w:t>0</w:t>
      </w:r>
      <w:r w:rsidRPr="006F43FA">
        <w:rPr>
          <w:rFonts w:ascii="Verdana" w:hAnsi="Verdana" w:cs="Verdana"/>
          <w:sz w:val="20"/>
          <w:szCs w:val="20"/>
          <w:lang w:val="ru-RU"/>
        </w:rPr>
        <w:t>.</w:t>
      </w:r>
      <w:r w:rsidR="006F43FA" w:rsidRPr="006F43FA">
        <w:rPr>
          <w:rFonts w:ascii="Verdana" w:hAnsi="Verdana" w:cs="Verdana"/>
          <w:sz w:val="20"/>
          <w:szCs w:val="20"/>
        </w:rPr>
        <w:t>06</w:t>
      </w:r>
      <w:r w:rsidR="006F43FA" w:rsidRPr="006F43FA">
        <w:rPr>
          <w:rFonts w:ascii="Verdana" w:hAnsi="Verdana" w:cs="Verdana"/>
          <w:sz w:val="20"/>
          <w:szCs w:val="20"/>
          <w:lang w:val="ru-RU"/>
        </w:rPr>
        <w:t>.2020</w:t>
      </w:r>
      <w:r w:rsidRPr="006F43FA">
        <w:rPr>
          <w:rFonts w:ascii="Verdana" w:hAnsi="Verdana" w:cs="Verdana"/>
          <w:sz w:val="20"/>
          <w:szCs w:val="20"/>
        </w:rPr>
        <w:t xml:space="preserve"> г</w:t>
      </w:r>
      <w:r w:rsidR="006F43FA" w:rsidRPr="006F43FA">
        <w:rPr>
          <w:rFonts w:ascii="Verdana" w:hAnsi="Verdana" w:cs="Verdana"/>
          <w:sz w:val="20"/>
          <w:szCs w:val="20"/>
        </w:rPr>
        <w:t>. Топлофикация</w:t>
      </w:r>
      <w:r w:rsidR="006F43FA">
        <w:rPr>
          <w:rFonts w:ascii="Verdana" w:hAnsi="Verdana" w:cs="Verdana"/>
          <w:sz w:val="20"/>
          <w:szCs w:val="20"/>
        </w:rPr>
        <w:t xml:space="preserve"> – Разград  </w:t>
      </w:r>
      <w:r w:rsidRPr="00611ED0">
        <w:rPr>
          <w:rFonts w:ascii="Verdana" w:hAnsi="Verdana" w:cs="Verdana"/>
          <w:sz w:val="20"/>
          <w:szCs w:val="20"/>
        </w:rPr>
        <w:t>АД няма участия в дъщерни и асоциирани дружества.</w:t>
      </w:r>
    </w:p>
    <w:p w:rsidR="00863C99" w:rsidRPr="00C2255D" w:rsidRDefault="00863C99" w:rsidP="002E4EBE">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sidRPr="00C2255D">
        <w:rPr>
          <w:rFonts w:ascii="Verdana" w:hAnsi="Verdana" w:cs="Verdana"/>
          <w:b/>
          <w:bCs/>
          <w:sz w:val="20"/>
          <w:szCs w:val="20"/>
          <w:lang w:val="bg-BG"/>
        </w:rPr>
        <w:t>Управление</w:t>
      </w:r>
    </w:p>
    <w:p w:rsidR="00863C99" w:rsidRPr="00C2255D" w:rsidRDefault="00863C99" w:rsidP="002E4EBE">
      <w:pPr>
        <w:spacing w:line="260" w:lineRule="atLeast"/>
        <w:rPr>
          <w:rFonts w:ascii="Verdana" w:hAnsi="Verdana" w:cs="Verdana"/>
          <w:sz w:val="20"/>
          <w:szCs w:val="20"/>
        </w:rPr>
      </w:pPr>
      <w:r w:rsidRPr="00C2255D">
        <w:rPr>
          <w:rFonts w:ascii="Verdana" w:hAnsi="Verdana" w:cs="Verdana"/>
          <w:sz w:val="20"/>
          <w:szCs w:val="20"/>
        </w:rPr>
        <w:t xml:space="preserve">Съгласно действащия Търговски закон в България, към </w:t>
      </w:r>
      <w:r>
        <w:rPr>
          <w:rFonts w:ascii="Verdana" w:hAnsi="Verdana" w:cs="Verdana"/>
          <w:sz w:val="20"/>
          <w:szCs w:val="20"/>
        </w:rPr>
        <w:t>31.12.2019</w:t>
      </w:r>
      <w:r w:rsidRPr="00C2255D">
        <w:rPr>
          <w:rFonts w:ascii="Verdana" w:hAnsi="Verdana" w:cs="Verdana"/>
          <w:sz w:val="20"/>
          <w:szCs w:val="20"/>
        </w:rPr>
        <w:t xml:space="preserve"> г., </w:t>
      </w:r>
      <w:r>
        <w:rPr>
          <w:rFonts w:ascii="Verdana" w:hAnsi="Verdana" w:cs="Verdana"/>
          <w:sz w:val="20"/>
          <w:szCs w:val="20"/>
        </w:rPr>
        <w:t>„</w:t>
      </w:r>
      <w:r w:rsidRPr="00C2255D">
        <w:rPr>
          <w:rFonts w:ascii="Verdana" w:hAnsi="Verdana" w:cs="Verdana"/>
          <w:sz w:val="20"/>
          <w:szCs w:val="20"/>
        </w:rPr>
        <w:t>Топлофикация – Разград</w:t>
      </w:r>
      <w:r>
        <w:rPr>
          <w:rFonts w:ascii="Verdana" w:hAnsi="Verdana" w:cs="Verdana"/>
          <w:sz w:val="20"/>
          <w:szCs w:val="20"/>
        </w:rPr>
        <w:t xml:space="preserve">“ </w:t>
      </w:r>
      <w:r w:rsidRPr="00C2255D">
        <w:rPr>
          <w:rFonts w:ascii="Verdana" w:hAnsi="Verdana" w:cs="Verdana"/>
          <w:sz w:val="20"/>
          <w:szCs w:val="20"/>
        </w:rPr>
        <w:t>АД е акционерно Дружество с едностепенна система на управление.</w:t>
      </w:r>
    </w:p>
    <w:p w:rsidR="00863C99" w:rsidRPr="006F43FA" w:rsidRDefault="006F43FA" w:rsidP="002E4EBE">
      <w:pPr>
        <w:spacing w:before="120" w:line="260" w:lineRule="atLeast"/>
        <w:rPr>
          <w:rFonts w:ascii="Verdana" w:hAnsi="Verdana" w:cs="Verdana"/>
          <w:sz w:val="20"/>
          <w:szCs w:val="20"/>
        </w:rPr>
      </w:pPr>
      <w:r w:rsidRPr="006F43FA">
        <w:rPr>
          <w:rFonts w:ascii="Verdana" w:hAnsi="Verdana" w:cs="Verdana"/>
          <w:sz w:val="20"/>
          <w:szCs w:val="20"/>
        </w:rPr>
        <w:t>Към 30.06.2020</w:t>
      </w:r>
      <w:r w:rsidR="00863C99" w:rsidRPr="006F43FA">
        <w:rPr>
          <w:rFonts w:ascii="Verdana" w:hAnsi="Verdana" w:cs="Verdana"/>
          <w:sz w:val="20"/>
          <w:szCs w:val="20"/>
        </w:rPr>
        <w:t xml:space="preserve"> г., Съветът на директорите се състои от следните членове:</w:t>
      </w:r>
    </w:p>
    <w:p w:rsidR="00863C99" w:rsidRPr="006F43FA" w:rsidRDefault="00863C99" w:rsidP="002E4EBE">
      <w:pPr>
        <w:pStyle w:val="Document1"/>
        <w:keepNext w:val="0"/>
        <w:keepLines w:val="0"/>
        <w:widowControl/>
        <w:tabs>
          <w:tab w:val="clear" w:pos="-720"/>
        </w:tabs>
        <w:suppressAutoHyphens w:val="0"/>
        <w:spacing w:line="260" w:lineRule="atLeast"/>
        <w:jc w:val="both"/>
        <w:rPr>
          <w:rFonts w:ascii="Verdana" w:hAnsi="Verdana" w:cs="Verdana"/>
          <w:sz w:val="20"/>
          <w:szCs w:val="20"/>
          <w:lang w:val="bg-BG"/>
        </w:rPr>
      </w:pPr>
      <w:r w:rsidRPr="006F43FA">
        <w:rPr>
          <w:rFonts w:ascii="Verdana" w:hAnsi="Verdana" w:cs="Verdana"/>
          <w:sz w:val="20"/>
          <w:szCs w:val="20"/>
          <w:lang w:val="bg-BG"/>
        </w:rPr>
        <w:t>1. „Овергаз Холдинг” АД</w:t>
      </w:r>
    </w:p>
    <w:p w:rsidR="00863C99" w:rsidRPr="006F43FA" w:rsidRDefault="00863C99" w:rsidP="002E4EBE">
      <w:pPr>
        <w:pStyle w:val="Document1"/>
        <w:keepNext w:val="0"/>
        <w:keepLines w:val="0"/>
        <w:widowControl/>
        <w:tabs>
          <w:tab w:val="clear" w:pos="-720"/>
        </w:tabs>
        <w:suppressAutoHyphens w:val="0"/>
        <w:spacing w:line="260" w:lineRule="atLeast"/>
        <w:jc w:val="both"/>
        <w:rPr>
          <w:rFonts w:ascii="Verdana" w:hAnsi="Verdana" w:cs="Verdana"/>
          <w:sz w:val="20"/>
          <w:szCs w:val="20"/>
          <w:lang w:val="bg-BG"/>
        </w:rPr>
      </w:pPr>
      <w:r w:rsidRPr="006F43FA">
        <w:rPr>
          <w:rFonts w:ascii="Verdana" w:hAnsi="Verdana" w:cs="Verdana"/>
          <w:sz w:val="20"/>
          <w:szCs w:val="20"/>
          <w:lang w:val="bg-BG"/>
        </w:rPr>
        <w:t>2. Пламен Дончев</w:t>
      </w:r>
    </w:p>
    <w:p w:rsidR="00863C99" w:rsidRPr="006F43FA" w:rsidRDefault="00863C99" w:rsidP="002E4EBE">
      <w:pPr>
        <w:pStyle w:val="Document1"/>
        <w:keepNext w:val="0"/>
        <w:keepLines w:val="0"/>
        <w:widowControl/>
        <w:tabs>
          <w:tab w:val="clear" w:pos="-720"/>
        </w:tabs>
        <w:suppressAutoHyphens w:val="0"/>
        <w:spacing w:line="260" w:lineRule="atLeast"/>
        <w:jc w:val="both"/>
        <w:rPr>
          <w:rFonts w:ascii="Verdana" w:hAnsi="Verdana" w:cs="Verdana"/>
          <w:sz w:val="20"/>
          <w:szCs w:val="20"/>
          <w:lang w:val="bg-BG"/>
        </w:rPr>
      </w:pPr>
      <w:r w:rsidRPr="006F43FA">
        <w:rPr>
          <w:rFonts w:ascii="Verdana" w:hAnsi="Verdana" w:cs="Verdana"/>
          <w:sz w:val="20"/>
          <w:szCs w:val="20"/>
          <w:lang w:val="bg-BG"/>
        </w:rPr>
        <w:t>3. Петко Милевски</w:t>
      </w:r>
    </w:p>
    <w:p w:rsidR="00863C99" w:rsidRPr="006F43FA" w:rsidRDefault="00863C99" w:rsidP="002E4EBE">
      <w:pPr>
        <w:pStyle w:val="Document1"/>
        <w:keepNext w:val="0"/>
        <w:keepLines w:val="0"/>
        <w:widowControl/>
        <w:tabs>
          <w:tab w:val="clear" w:pos="-720"/>
        </w:tabs>
        <w:suppressAutoHyphens w:val="0"/>
        <w:spacing w:line="260" w:lineRule="atLeast"/>
        <w:jc w:val="both"/>
        <w:rPr>
          <w:rFonts w:ascii="Verdana" w:hAnsi="Verdana" w:cs="Verdana"/>
          <w:sz w:val="20"/>
          <w:szCs w:val="20"/>
          <w:lang w:val="bg-BG"/>
        </w:rPr>
      </w:pPr>
      <w:r w:rsidRPr="006F43FA">
        <w:rPr>
          <w:rFonts w:ascii="Verdana" w:hAnsi="Verdana" w:cs="Verdana"/>
          <w:sz w:val="20"/>
          <w:szCs w:val="20"/>
          <w:lang w:val="bg-BG"/>
        </w:rPr>
        <w:t>4. Ивайло Чавдаров</w:t>
      </w:r>
    </w:p>
    <w:p w:rsidR="00863C99" w:rsidRPr="00C2255D" w:rsidRDefault="00863C99" w:rsidP="002E4EBE">
      <w:pPr>
        <w:pStyle w:val="Document1"/>
        <w:keepNext w:val="0"/>
        <w:keepLines w:val="0"/>
        <w:widowControl/>
        <w:tabs>
          <w:tab w:val="clear" w:pos="-720"/>
        </w:tabs>
        <w:suppressAutoHyphens w:val="0"/>
        <w:spacing w:line="260" w:lineRule="atLeast"/>
        <w:jc w:val="both"/>
        <w:rPr>
          <w:rFonts w:ascii="Verdana" w:hAnsi="Verdana" w:cs="Verdana"/>
          <w:sz w:val="20"/>
          <w:szCs w:val="20"/>
          <w:lang w:val="bg-BG"/>
        </w:rPr>
      </w:pPr>
      <w:r w:rsidRPr="006F43FA">
        <w:rPr>
          <w:rFonts w:ascii="Verdana" w:hAnsi="Verdana" w:cs="Verdana"/>
          <w:sz w:val="20"/>
          <w:szCs w:val="20"/>
          <w:lang w:val="bg-BG"/>
        </w:rPr>
        <w:t>5. Михаил Ковачев</w:t>
      </w:r>
    </w:p>
    <w:p w:rsidR="00863C99" w:rsidRDefault="00863C99" w:rsidP="002E4EBE">
      <w:pPr>
        <w:spacing w:before="100" w:line="260" w:lineRule="atLeast"/>
        <w:rPr>
          <w:rFonts w:ascii="Verdana" w:hAnsi="Verdana" w:cs="Verdana"/>
          <w:sz w:val="20"/>
          <w:szCs w:val="20"/>
        </w:rPr>
      </w:pPr>
      <w:r w:rsidRPr="00C2255D">
        <w:rPr>
          <w:rFonts w:ascii="Verdana" w:hAnsi="Verdana" w:cs="Verdana"/>
          <w:sz w:val="20"/>
          <w:szCs w:val="20"/>
        </w:rPr>
        <w:t>Изпълнителен Директор на Дружеството е Михаил Николаев Ковачев.</w:t>
      </w:r>
    </w:p>
    <w:p w:rsidR="00863C99" w:rsidRDefault="00863C99" w:rsidP="002E4EBE">
      <w:pPr>
        <w:spacing w:before="100" w:line="260" w:lineRule="atLeast"/>
        <w:rPr>
          <w:rFonts w:ascii="Verdana" w:hAnsi="Verdana" w:cs="Verdana"/>
          <w:sz w:val="20"/>
          <w:szCs w:val="20"/>
        </w:rPr>
      </w:pPr>
    </w:p>
    <w:p w:rsidR="00863C99" w:rsidRPr="000E54EB" w:rsidRDefault="00863C99" w:rsidP="00B66DF8">
      <w:pPr>
        <w:pStyle w:val="Heading1"/>
        <w:spacing w:before="0"/>
        <w:rPr>
          <w:rFonts w:ascii="Verdana" w:hAnsi="Verdana" w:cs="Verdana"/>
          <w:sz w:val="20"/>
          <w:szCs w:val="20"/>
          <w:lang w:val="bg-BG"/>
        </w:rPr>
      </w:pPr>
      <w:r w:rsidRPr="000E54EB">
        <w:rPr>
          <w:rFonts w:ascii="Verdana" w:hAnsi="Verdana" w:cs="Verdana"/>
          <w:snapToGrid w:val="0"/>
          <w:sz w:val="20"/>
          <w:szCs w:val="20"/>
          <w:lang w:val="bg-BG"/>
        </w:rPr>
        <w:t>ІІ. БАЗА ЗА ИЗГОТВЯНЕ НА ФИНАНСОВИТЕ ОТЧЕТИ И ПРИЛОЖЕНИ СЪЩЕСТВЕНИ СЧЕТОВОДНИ ПОЛИТИКИ</w:t>
      </w:r>
      <w:bookmarkEnd w:id="4"/>
      <w:bookmarkEnd w:id="5"/>
      <w:bookmarkEnd w:id="6"/>
    </w:p>
    <w:p w:rsidR="00863C99" w:rsidRPr="000E54EB" w:rsidRDefault="00863C99" w:rsidP="00B66DF8">
      <w:pPr>
        <w:pStyle w:val="BodyTextIndent"/>
        <w:spacing w:before="0"/>
        <w:ind w:left="0"/>
        <w:rPr>
          <w:rFonts w:ascii="Verdana" w:hAnsi="Verdana" w:cs="Verdana"/>
          <w:color w:val="FF0000"/>
          <w:sz w:val="20"/>
          <w:szCs w:val="20"/>
          <w:highlight w:val="yellow"/>
        </w:rPr>
      </w:pPr>
    </w:p>
    <w:p w:rsidR="00863C99" w:rsidRPr="000E54EB" w:rsidRDefault="00863C99" w:rsidP="00B66DF8">
      <w:pPr>
        <w:pStyle w:val="BodyTextIndent"/>
        <w:spacing w:before="0"/>
        <w:ind w:left="0"/>
        <w:rPr>
          <w:rFonts w:ascii="Verdana" w:hAnsi="Verdana" w:cs="Verdana"/>
          <w:sz w:val="20"/>
          <w:szCs w:val="20"/>
        </w:rPr>
      </w:pPr>
      <w:r w:rsidRPr="000E54EB">
        <w:rPr>
          <w:rFonts w:ascii="Verdana" w:hAnsi="Verdana" w:cs="Verdana"/>
          <w:sz w:val="20"/>
          <w:szCs w:val="20"/>
        </w:rPr>
        <w:t>Индивидуалният</w:t>
      </w:r>
      <w:r w:rsidRPr="00A52D1E">
        <w:rPr>
          <w:rFonts w:ascii="Verdana" w:hAnsi="Verdana" w:cs="Verdana"/>
          <w:sz w:val="20"/>
          <w:szCs w:val="20"/>
          <w:lang w:val="ru-RU"/>
        </w:rPr>
        <w:t xml:space="preserve"> </w:t>
      </w:r>
      <w:r w:rsidRPr="000E54EB">
        <w:rPr>
          <w:rFonts w:ascii="Verdana" w:hAnsi="Verdana" w:cs="Verdana"/>
          <w:sz w:val="20"/>
          <w:szCs w:val="20"/>
        </w:rPr>
        <w:t>Финансов</w:t>
      </w:r>
      <w:r>
        <w:rPr>
          <w:rFonts w:ascii="Verdana" w:hAnsi="Verdana" w:cs="Verdana"/>
          <w:sz w:val="20"/>
          <w:szCs w:val="20"/>
        </w:rPr>
        <w:t xml:space="preserve"> </w:t>
      </w:r>
      <w:r w:rsidRPr="000E54EB">
        <w:rPr>
          <w:rFonts w:ascii="Verdana" w:hAnsi="Verdana" w:cs="Verdana"/>
          <w:sz w:val="20"/>
          <w:szCs w:val="20"/>
        </w:rPr>
        <w:t xml:space="preserve">отчет е изготвен съгласно изискванията на българското счетоводно законодателство в националната валута на Република България – български лев. </w:t>
      </w:r>
    </w:p>
    <w:p w:rsidR="00863C99" w:rsidRPr="000E54EB" w:rsidRDefault="00863C99" w:rsidP="00B66DF8">
      <w:pPr>
        <w:pStyle w:val="BodyTextIndent"/>
        <w:spacing w:before="0"/>
        <w:ind w:left="0"/>
        <w:rPr>
          <w:rFonts w:ascii="Verdana" w:hAnsi="Verdana" w:cs="Verdana"/>
          <w:sz w:val="20"/>
          <w:szCs w:val="20"/>
        </w:rPr>
      </w:pPr>
      <w:r w:rsidRPr="000E54EB">
        <w:rPr>
          <w:rFonts w:ascii="Verdana" w:hAnsi="Verdana" w:cs="Verdana"/>
          <w:sz w:val="20"/>
          <w:szCs w:val="20"/>
        </w:rPr>
        <w:t xml:space="preserve">От 1 януари 1999 година българският лев е с фиксиран курс към еврото: 1.95583 лева за 1 евро. </w:t>
      </w:r>
    </w:p>
    <w:p w:rsidR="00863C99" w:rsidRPr="000E54EB" w:rsidRDefault="00863C99" w:rsidP="00B66DF8">
      <w:pPr>
        <w:rPr>
          <w:rFonts w:ascii="Verdana" w:hAnsi="Verdana" w:cs="Verdana"/>
          <w:b/>
          <w:bCs/>
          <w:sz w:val="20"/>
          <w:szCs w:val="20"/>
        </w:rPr>
      </w:pPr>
      <w:r w:rsidRPr="000E54EB">
        <w:rPr>
          <w:rFonts w:ascii="Verdana" w:hAnsi="Verdana" w:cs="Verdana"/>
          <w:sz w:val="20"/>
          <w:szCs w:val="20"/>
        </w:rPr>
        <w:t>Точността на сумите представени в индивидуалния</w:t>
      </w:r>
      <w:r w:rsidRPr="00A52D1E">
        <w:rPr>
          <w:rFonts w:ascii="Verdana" w:hAnsi="Verdana" w:cs="Verdana"/>
          <w:sz w:val="20"/>
          <w:szCs w:val="20"/>
          <w:lang w:val="ru-RU"/>
        </w:rPr>
        <w:t xml:space="preserve"> </w:t>
      </w:r>
      <w:r w:rsidRPr="000E54EB">
        <w:rPr>
          <w:rFonts w:ascii="Verdana" w:hAnsi="Verdana" w:cs="Verdana"/>
          <w:sz w:val="20"/>
          <w:szCs w:val="20"/>
        </w:rPr>
        <w:t>финансов отчет е хиляди български лева</w:t>
      </w:r>
      <w:r w:rsidRPr="000E54EB">
        <w:rPr>
          <w:rFonts w:ascii="Verdana" w:hAnsi="Verdana" w:cs="Verdana"/>
          <w:b/>
          <w:bCs/>
          <w:sz w:val="20"/>
          <w:szCs w:val="20"/>
        </w:rPr>
        <w:t xml:space="preserve">. </w:t>
      </w:r>
    </w:p>
    <w:p w:rsidR="00863C99" w:rsidRPr="000E54EB" w:rsidRDefault="00863C99" w:rsidP="00B66DF8">
      <w:pPr>
        <w:rPr>
          <w:rFonts w:ascii="Verdana" w:hAnsi="Verdana" w:cs="Verdana"/>
          <w:sz w:val="20"/>
          <w:szCs w:val="20"/>
        </w:rPr>
      </w:pPr>
      <w:bookmarkStart w:id="7" w:name="complianceifrsnote2"/>
      <w:bookmarkEnd w:id="7"/>
      <w:r w:rsidRPr="000E54EB">
        <w:rPr>
          <w:rFonts w:ascii="Verdana" w:hAnsi="Verdana" w:cs="Verdana"/>
          <w:sz w:val="20"/>
          <w:szCs w:val="20"/>
        </w:rPr>
        <w:t>Настоящият индивидуален финансов отчет е изготвен в съответствие с изискванията на Международните стандарти за финансово отчитане (МСФО), приети от Комисията на Европейския съюз. Финансовият отчет е изготвен и в съответствие с изискванията на Международните стандарти за финансово отчитане, публикувани от Международния съвет по счетоводни стандарти. Всички Международни стандарти за финансово отчитане са публикувани от Международния съвет по счетоводни стандарти, в сила за периода на изготвяне на тези и финансови отчети, са приети от Европейския съюз чрез процедура за одобрение, установена от Комисията на Европейския съюз.</w:t>
      </w:r>
    </w:p>
    <w:p w:rsidR="00863C99" w:rsidRPr="000E54EB" w:rsidRDefault="00863C99" w:rsidP="00B66DF8">
      <w:pPr>
        <w:rPr>
          <w:rFonts w:ascii="Verdana" w:hAnsi="Verdana" w:cs="Verdana"/>
          <w:sz w:val="20"/>
          <w:szCs w:val="20"/>
        </w:rPr>
      </w:pPr>
    </w:p>
    <w:p w:rsidR="00863C99" w:rsidRPr="000E54EB" w:rsidRDefault="00863C99" w:rsidP="00B66DF8">
      <w:pPr>
        <w:rPr>
          <w:rFonts w:ascii="Verdana" w:hAnsi="Verdana" w:cs="Verdana"/>
          <w:sz w:val="20"/>
          <w:szCs w:val="20"/>
        </w:rPr>
      </w:pPr>
      <w:r w:rsidRPr="000E54EB">
        <w:rPr>
          <w:rFonts w:ascii="Verdana" w:hAnsi="Verdana" w:cs="Verdana"/>
          <w:sz w:val="20"/>
          <w:szCs w:val="20"/>
        </w:rPr>
        <w:t>Индивидуалният</w:t>
      </w:r>
      <w:r w:rsidRPr="00A52D1E">
        <w:rPr>
          <w:rFonts w:ascii="Verdana" w:hAnsi="Verdana" w:cs="Verdana"/>
          <w:sz w:val="20"/>
          <w:szCs w:val="20"/>
          <w:lang w:val="ru-RU"/>
        </w:rPr>
        <w:t xml:space="preserve"> </w:t>
      </w:r>
      <w:r w:rsidRPr="000E54EB">
        <w:rPr>
          <w:rFonts w:ascii="Verdana" w:hAnsi="Verdana" w:cs="Verdana"/>
          <w:sz w:val="20"/>
          <w:szCs w:val="20"/>
        </w:rPr>
        <w:t>финансов отчет е изготвен на принципа - предположение за действащо предприятие, което предполага, че Дружеството ще продължи дейността си в обозримо бъдеще.</w:t>
      </w:r>
    </w:p>
    <w:p w:rsidR="00863C99" w:rsidRPr="000E54EB" w:rsidRDefault="00863C99" w:rsidP="00B66DF8">
      <w:pPr>
        <w:rPr>
          <w:rFonts w:ascii="Verdana" w:hAnsi="Verdana" w:cs="Verdana"/>
          <w:sz w:val="20"/>
          <w:szCs w:val="20"/>
        </w:rPr>
      </w:pPr>
      <w:r w:rsidRPr="000E54EB">
        <w:rPr>
          <w:rFonts w:ascii="Verdana" w:hAnsi="Verdana" w:cs="Verdana"/>
          <w:sz w:val="20"/>
          <w:szCs w:val="20"/>
        </w:rPr>
        <w:t>Изготвянето на индивидуалния</w:t>
      </w:r>
      <w:r w:rsidRPr="00A52D1E">
        <w:rPr>
          <w:rFonts w:ascii="Verdana" w:hAnsi="Verdana" w:cs="Verdana"/>
          <w:sz w:val="20"/>
          <w:szCs w:val="20"/>
          <w:lang w:val="ru-RU"/>
        </w:rPr>
        <w:t xml:space="preserve"> </w:t>
      </w:r>
      <w:r w:rsidRPr="000E54EB">
        <w:rPr>
          <w:rFonts w:ascii="Verdana" w:hAnsi="Verdana" w:cs="Verdana"/>
          <w:sz w:val="20"/>
          <w:szCs w:val="20"/>
        </w:rPr>
        <w:t xml:space="preserve">финансов отчет в съответствие с МСФО, изисква употребата на счетоводни приблизителни оценки. Когато е прилагало счетоводната политика, ръководството се е основавало на собствената си преценка. Елементите на финансовите отчети, чието представяне включва по-висока степен на преценка или </w:t>
      </w:r>
      <w:r w:rsidRPr="000E54EB">
        <w:rPr>
          <w:rFonts w:ascii="Verdana" w:hAnsi="Verdana" w:cs="Verdana"/>
          <w:sz w:val="20"/>
          <w:szCs w:val="20"/>
        </w:rPr>
        <w:lastRenderedPageBreak/>
        <w:t>субективност, както и тези елементи, за които предположенията и оценките имат значително влияние върху финансовите отчети като цяло</w:t>
      </w:r>
    </w:p>
    <w:p w:rsidR="00863C99" w:rsidRPr="000E54EB" w:rsidRDefault="00863C99" w:rsidP="00B66DF8">
      <w:pPr>
        <w:rPr>
          <w:rFonts w:ascii="Verdana" w:hAnsi="Verdana" w:cs="Verdana"/>
          <w:sz w:val="20"/>
          <w:szCs w:val="20"/>
        </w:rPr>
      </w:pPr>
      <w:r w:rsidRPr="000E54EB">
        <w:rPr>
          <w:rFonts w:ascii="Verdana" w:hAnsi="Verdana" w:cs="Verdana"/>
          <w:sz w:val="20"/>
          <w:szCs w:val="20"/>
        </w:rPr>
        <w:t>При прилагане счетоводна политика със задна дата, при преизчисляване на статии (грешки) със задна дата или когато се прекласифицират статии във финансовите отчети, се представят три отчета за финансово състояние и два от всички други отчети, и свързаните с тях пояснителни приложения.</w:t>
      </w:r>
    </w:p>
    <w:p w:rsidR="00863C99" w:rsidRPr="000E54EB" w:rsidRDefault="00863C99" w:rsidP="00B66DF8">
      <w:pPr>
        <w:rPr>
          <w:rFonts w:ascii="Verdana" w:hAnsi="Verdana" w:cs="Verdana"/>
          <w:sz w:val="20"/>
          <w:szCs w:val="20"/>
        </w:rPr>
      </w:pPr>
    </w:p>
    <w:p w:rsidR="00863C99" w:rsidRPr="000E54EB" w:rsidRDefault="00863C99" w:rsidP="00B66DF8">
      <w:pPr>
        <w:pStyle w:val="Heading2"/>
        <w:spacing w:before="0"/>
        <w:rPr>
          <w:rFonts w:ascii="Verdana" w:hAnsi="Verdana" w:cs="Verdana"/>
          <w:sz w:val="20"/>
          <w:szCs w:val="20"/>
          <w:lang w:val="bg-BG"/>
        </w:rPr>
      </w:pPr>
      <w:bookmarkStart w:id="8" w:name="_Toc247959126"/>
      <w:bookmarkStart w:id="9" w:name="_Toc270424834"/>
      <w:bookmarkStart w:id="10" w:name="_Toc4328752"/>
      <w:r w:rsidRPr="000E54EB">
        <w:rPr>
          <w:rFonts w:ascii="Verdana" w:hAnsi="Verdana" w:cs="Verdana"/>
          <w:sz w:val="20"/>
          <w:szCs w:val="20"/>
          <w:lang w:val="bg-BG"/>
        </w:rPr>
        <w:t>ИЗЯВЛЕНИЕ ЗА СЪОТВЕТСТВИЕ</w:t>
      </w:r>
      <w:bookmarkEnd w:id="8"/>
      <w:bookmarkEnd w:id="9"/>
      <w:bookmarkEnd w:id="10"/>
      <w:r w:rsidRPr="000E54EB">
        <w:rPr>
          <w:rFonts w:ascii="Verdana" w:hAnsi="Verdana" w:cs="Verdana"/>
          <w:sz w:val="20"/>
          <w:szCs w:val="20"/>
          <w:lang w:val="bg-BG"/>
        </w:rPr>
        <w:tab/>
      </w:r>
    </w:p>
    <w:p w:rsidR="00863C99" w:rsidRPr="001B2D28" w:rsidRDefault="00863C99" w:rsidP="00B66DF8">
      <w:pPr>
        <w:pStyle w:val="000Normal"/>
        <w:spacing w:before="0" w:after="0" w:line="240" w:lineRule="auto"/>
        <w:rPr>
          <w:rFonts w:ascii="Verdana" w:hAnsi="Verdana" w:cs="Verdana"/>
          <w:sz w:val="20"/>
          <w:szCs w:val="20"/>
        </w:rPr>
      </w:pPr>
      <w:r w:rsidRPr="001B2D28">
        <w:rPr>
          <w:rFonts w:ascii="Verdana" w:hAnsi="Verdana" w:cs="Verdana"/>
          <w:sz w:val="20"/>
          <w:szCs w:val="20"/>
        </w:rPr>
        <w:t>Дружеството води своето текущо счетоводство и изготвя финансовите си отчети в съответствие с Международните стандарти за финансово отчитане (МСФО), приети от Комисията на Европейск</w:t>
      </w:r>
      <w:r>
        <w:rPr>
          <w:rFonts w:ascii="Verdana" w:hAnsi="Verdana" w:cs="Verdana"/>
          <w:sz w:val="20"/>
          <w:szCs w:val="20"/>
        </w:rPr>
        <w:t>ия съюз.</w:t>
      </w:r>
    </w:p>
    <w:p w:rsidR="00863C99" w:rsidRPr="00A52D1E" w:rsidRDefault="00863C99" w:rsidP="00B66DF8">
      <w:pPr>
        <w:pStyle w:val="Heading2"/>
        <w:spacing w:before="0"/>
        <w:rPr>
          <w:rFonts w:ascii="Verdana" w:hAnsi="Verdana" w:cs="Verdana"/>
          <w:sz w:val="20"/>
          <w:szCs w:val="20"/>
          <w:lang w:val="ru-RU"/>
        </w:rPr>
      </w:pPr>
      <w:bookmarkStart w:id="11" w:name="_Toc4328753"/>
      <w:bookmarkStart w:id="12" w:name="_Toc247959128"/>
    </w:p>
    <w:p w:rsidR="00863C99" w:rsidRPr="000E54EB" w:rsidRDefault="00863C99" w:rsidP="00B66DF8">
      <w:pPr>
        <w:pStyle w:val="Heading2"/>
        <w:spacing w:before="0"/>
        <w:rPr>
          <w:rFonts w:ascii="Verdana" w:hAnsi="Verdana" w:cs="Verdana"/>
          <w:sz w:val="20"/>
          <w:szCs w:val="20"/>
          <w:lang w:val="bg-BG"/>
        </w:rPr>
      </w:pPr>
      <w:r w:rsidRPr="000E54EB">
        <w:rPr>
          <w:rFonts w:ascii="Verdana" w:hAnsi="Verdana" w:cs="Verdana"/>
          <w:sz w:val="20"/>
          <w:szCs w:val="20"/>
          <w:lang w:val="bg-BG"/>
        </w:rPr>
        <w:t>ПРИЛОЖЕНИ СЪЩЕСТВЕНИ СЧЕТОВОДНИ ПОЛИТИКИ</w:t>
      </w:r>
      <w:bookmarkEnd w:id="11"/>
    </w:p>
    <w:bookmarkEnd w:id="12"/>
    <w:p w:rsidR="00863C99" w:rsidRPr="00A52D1E" w:rsidRDefault="00863C99" w:rsidP="00B66DF8">
      <w:pPr>
        <w:pStyle w:val="Heading3"/>
        <w:spacing w:before="0"/>
        <w:rPr>
          <w:rFonts w:ascii="Verdana" w:hAnsi="Verdana" w:cs="Verdana"/>
          <w:lang w:val="ru-RU"/>
        </w:rPr>
      </w:pPr>
    </w:p>
    <w:p w:rsidR="00863C99" w:rsidRPr="000E54EB" w:rsidRDefault="00863C99" w:rsidP="00B66DF8">
      <w:pPr>
        <w:pStyle w:val="Heading3"/>
        <w:spacing w:before="0"/>
        <w:rPr>
          <w:rFonts w:ascii="Verdana" w:hAnsi="Verdana" w:cs="Verdana"/>
          <w:b w:val="0"/>
          <w:bCs w:val="0"/>
          <w:color w:val="auto"/>
          <w:lang w:val="bg-BG"/>
        </w:rPr>
      </w:pPr>
      <w:bookmarkStart w:id="13" w:name="_Toc4328754"/>
      <w:r w:rsidRPr="000E54EB">
        <w:rPr>
          <w:rFonts w:ascii="Verdana" w:hAnsi="Verdana" w:cs="Verdana"/>
          <w:lang w:val="bg-BG"/>
        </w:rPr>
        <w:t>База за изготвяне</w:t>
      </w:r>
      <w:bookmarkEnd w:id="13"/>
    </w:p>
    <w:p w:rsidR="00863C99" w:rsidRPr="00942817" w:rsidRDefault="00863C99" w:rsidP="00942817">
      <w:pPr>
        <w:rPr>
          <w:rFonts w:ascii="Verdana" w:hAnsi="Verdana" w:cs="Verdana"/>
          <w:sz w:val="20"/>
          <w:szCs w:val="20"/>
        </w:rPr>
      </w:pPr>
      <w:bookmarkStart w:id="14" w:name="_Toc247959129"/>
      <w:r w:rsidRPr="00942817">
        <w:rPr>
          <w:rFonts w:ascii="Verdana" w:hAnsi="Verdana" w:cs="Verdana"/>
          <w:sz w:val="20"/>
          <w:szCs w:val="20"/>
        </w:rPr>
        <w:t>Този годишен индивидуален финансов отчет е изготвен, спазвайки принципа-предположение за действащо предприятие в съответствие с Международните Стандарти за Финансово Отчитане, издадени от Съвета за Международния Счетоводни Стандарти (СМСС) и всички разяснения издадени от Комитета за Разяснения на МСФО, в сила на и от 1 януари 20</w:t>
      </w:r>
      <w:r>
        <w:rPr>
          <w:rFonts w:ascii="Verdana" w:hAnsi="Verdana" w:cs="Verdana"/>
          <w:sz w:val="20"/>
          <w:szCs w:val="20"/>
        </w:rPr>
        <w:t>20</w:t>
      </w:r>
      <w:r w:rsidRPr="00942817">
        <w:rPr>
          <w:rFonts w:ascii="Verdana" w:hAnsi="Verdana" w:cs="Verdana"/>
          <w:sz w:val="20"/>
          <w:szCs w:val="20"/>
        </w:rPr>
        <w:t xml:space="preserve"> г. и които са приети от Комисията на европейския съюз.</w:t>
      </w:r>
    </w:p>
    <w:p w:rsidR="00863C99" w:rsidRPr="00942817" w:rsidRDefault="00863C99" w:rsidP="00942817">
      <w:pPr>
        <w:rPr>
          <w:rFonts w:ascii="Verdana" w:hAnsi="Verdana" w:cs="Verdana"/>
          <w:sz w:val="20"/>
          <w:szCs w:val="20"/>
        </w:rPr>
      </w:pPr>
      <w:r w:rsidRPr="00942817">
        <w:rPr>
          <w:rFonts w:ascii="Verdana" w:hAnsi="Verdana" w:cs="Verdana"/>
          <w:sz w:val="20"/>
          <w:szCs w:val="20"/>
        </w:rPr>
        <w:t>Индивидуалният годишен финансов отчет включва индивидуален отчет за печалбата или загубата и другия всеобхватен доход, индивидуален отчет за финансовото състояние, индивидуален отчет за промените в собствения капитал, индивидуален отчет за паричните потоци, както и пояснителни приложения. Приходи и разходи, с изключение на компоненти на друг всеобхватен доход, се признават в отчета за печалбата или загубата и другия всеобхватен доход. Друг всеобхватен доход се признава в отчета за печалбата или загубата и другия всеобхватен доход и включва елементи на приходи и разходи (включително корекции от прекласификация), които не са признати в отчета за печалбата или загубата и другия всеобхватен доход, както изисква или както е разрешено от МСФО. Корекции от прекласификация са сумите, прекласифицирани в печалба или загуба в отчета за печалбата или загубата и другия всеобхватен доход за текущия период, които са били признати в друг всеобхватен доход през текущия и предходни периоди. Транзакции със собствениците на Дружеството в качеството им на собственици се признават в отчета за промените в собствения капитал.</w:t>
      </w:r>
    </w:p>
    <w:p w:rsidR="00863C99" w:rsidRPr="00942817" w:rsidRDefault="00863C99" w:rsidP="00942817">
      <w:pPr>
        <w:rPr>
          <w:rFonts w:ascii="Verdana" w:hAnsi="Verdana" w:cs="Verdana"/>
          <w:sz w:val="20"/>
          <w:szCs w:val="20"/>
        </w:rPr>
      </w:pPr>
      <w:r w:rsidRPr="00942817">
        <w:rPr>
          <w:rFonts w:ascii="Verdana" w:hAnsi="Verdana" w:cs="Verdana"/>
          <w:sz w:val="20"/>
          <w:szCs w:val="20"/>
        </w:rPr>
        <w:t>Дружеството избира да представи един отчет за печалбата или загубата и другия всеобхватен доход или да представи печалбата или загубата и другия всеобхватен доход в два раздела. Разделите се представят заедно, като този за печалбата или загубата е първи, следван непосредствено от раздела за другия всеобхватен доход.</w:t>
      </w:r>
    </w:p>
    <w:p w:rsidR="00863C99" w:rsidRPr="00942817" w:rsidRDefault="00863C99" w:rsidP="00942817">
      <w:pPr>
        <w:rPr>
          <w:rFonts w:ascii="Verdana" w:hAnsi="Verdana" w:cs="Verdana"/>
          <w:sz w:val="20"/>
          <w:szCs w:val="20"/>
        </w:rPr>
      </w:pPr>
      <w:r w:rsidRPr="00942817">
        <w:rPr>
          <w:rFonts w:ascii="Verdana" w:hAnsi="Verdana" w:cs="Verdana"/>
          <w:sz w:val="20"/>
          <w:szCs w:val="20"/>
        </w:rPr>
        <w:t xml:space="preserve">Дружеството избира да представя отчета си за печалбата или загубата и другия всеобхватен доход, като при класификацията използва метода „същност на разходите”. </w:t>
      </w:r>
    </w:p>
    <w:p w:rsidR="00863C99" w:rsidRPr="00942817" w:rsidRDefault="00863C99" w:rsidP="00942817">
      <w:pPr>
        <w:rPr>
          <w:rFonts w:ascii="Verdana" w:hAnsi="Verdana" w:cs="Verdana"/>
          <w:sz w:val="20"/>
          <w:szCs w:val="20"/>
        </w:rPr>
      </w:pPr>
      <w:r w:rsidRPr="00942817">
        <w:rPr>
          <w:rFonts w:ascii="Verdana" w:hAnsi="Verdana" w:cs="Verdana"/>
          <w:sz w:val="20"/>
          <w:szCs w:val="20"/>
        </w:rPr>
        <w:t xml:space="preserve">Форматът на отчета за финансовото състояние е базиран на разграничението текущ/нетекущ. </w:t>
      </w:r>
    </w:p>
    <w:p w:rsidR="00863C99" w:rsidRPr="00942817" w:rsidRDefault="00863C99" w:rsidP="00942817">
      <w:pPr>
        <w:rPr>
          <w:rFonts w:ascii="Verdana" w:hAnsi="Verdana" w:cs="Verdana"/>
          <w:sz w:val="20"/>
          <w:szCs w:val="20"/>
        </w:rPr>
      </w:pPr>
    </w:p>
    <w:p w:rsidR="00863C99" w:rsidRPr="00942817" w:rsidRDefault="00863C99" w:rsidP="00942817">
      <w:pPr>
        <w:rPr>
          <w:rFonts w:ascii="Verdana" w:hAnsi="Verdana" w:cs="Verdana"/>
          <w:sz w:val="20"/>
          <w:szCs w:val="20"/>
        </w:rPr>
      </w:pPr>
    </w:p>
    <w:p w:rsidR="00863C99" w:rsidRPr="00283F46" w:rsidRDefault="00863C99" w:rsidP="00942817">
      <w:pPr>
        <w:pStyle w:val="Heading3"/>
        <w:spacing w:before="0"/>
        <w:rPr>
          <w:rFonts w:ascii="Verdana" w:hAnsi="Verdana" w:cs="Verdana"/>
          <w:lang w:val="bg-BG"/>
        </w:rPr>
      </w:pPr>
      <w:bookmarkStart w:id="15" w:name="_Toc483986875"/>
      <w:bookmarkStart w:id="16" w:name="_Toc534532263"/>
      <w:bookmarkStart w:id="17" w:name="_Toc4409977"/>
      <w:r w:rsidRPr="00283F46">
        <w:rPr>
          <w:rFonts w:ascii="Verdana" w:hAnsi="Verdana" w:cs="Verdana"/>
          <w:lang w:val="bg-BG"/>
        </w:rPr>
        <w:t>База за изготвяне - Промени в счетоводната политика</w:t>
      </w:r>
      <w:bookmarkEnd w:id="15"/>
      <w:bookmarkEnd w:id="16"/>
      <w:bookmarkEnd w:id="17"/>
    </w:p>
    <w:p w:rsidR="00863C99" w:rsidRPr="00942817" w:rsidRDefault="00863C99" w:rsidP="00942817">
      <w:pPr>
        <w:rPr>
          <w:rFonts w:ascii="Verdana" w:hAnsi="Verdana" w:cs="Verdana"/>
          <w:sz w:val="20"/>
          <w:szCs w:val="20"/>
        </w:rPr>
      </w:pPr>
      <w:r w:rsidRPr="00942817">
        <w:rPr>
          <w:rFonts w:ascii="Verdana" w:hAnsi="Verdana" w:cs="Verdana"/>
          <w:sz w:val="20"/>
          <w:szCs w:val="20"/>
        </w:rPr>
        <w:t>Възприетата счетоводна политика е последователна с прилаганата през предходната година, с изключение на стандарт МСФО 16, който е приложен за първи път, считано от 01 януари 2019 г.</w:t>
      </w:r>
    </w:p>
    <w:p w:rsidR="00863C99" w:rsidRPr="00942817" w:rsidRDefault="00863C99" w:rsidP="00942817">
      <w:pPr>
        <w:rPr>
          <w:rFonts w:ascii="Verdana" w:hAnsi="Verdana" w:cs="Verdana"/>
          <w:sz w:val="20"/>
          <w:szCs w:val="20"/>
        </w:rPr>
      </w:pPr>
    </w:p>
    <w:p w:rsidR="00863C99" w:rsidRPr="000F5174" w:rsidRDefault="00863C99" w:rsidP="00EA698B">
      <w:pPr>
        <w:rPr>
          <w:rFonts w:ascii="Verdana" w:hAnsi="Verdana" w:cs="Verdana"/>
          <w:color w:val="4472C4"/>
          <w:sz w:val="20"/>
          <w:szCs w:val="20"/>
        </w:rPr>
      </w:pPr>
    </w:p>
    <w:p w:rsidR="00863C99" w:rsidRPr="000E54EB" w:rsidRDefault="00863C99" w:rsidP="00B66DF8">
      <w:pPr>
        <w:pStyle w:val="Heading3"/>
        <w:spacing w:before="0"/>
        <w:rPr>
          <w:rFonts w:ascii="Verdana" w:hAnsi="Verdana" w:cs="Verdana"/>
          <w:lang w:val="bg-BG"/>
        </w:rPr>
      </w:pPr>
      <w:bookmarkStart w:id="18" w:name="_Toc4328756"/>
      <w:r w:rsidRPr="000E54EB">
        <w:rPr>
          <w:rFonts w:ascii="Verdana" w:hAnsi="Verdana" w:cs="Verdana"/>
          <w:lang w:val="bg-BG"/>
        </w:rPr>
        <w:t>Минимална сравнителна информация</w:t>
      </w:r>
      <w:bookmarkEnd w:id="18"/>
    </w:p>
    <w:p w:rsidR="00863C99" w:rsidRPr="000E54EB" w:rsidRDefault="00863C99"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szCs w:val="20"/>
          <w:lang w:eastAsia="bg-BG"/>
        </w:rPr>
      </w:pPr>
      <w:bookmarkStart w:id="19" w:name="p12441973"/>
      <w:bookmarkEnd w:id="19"/>
      <w:r w:rsidRPr="000E54EB">
        <w:rPr>
          <w:rFonts w:ascii="Verdana" w:hAnsi="Verdana" w:cs="Verdana"/>
          <w:sz w:val="20"/>
          <w:szCs w:val="20"/>
          <w:lang w:eastAsia="bg-BG"/>
        </w:rPr>
        <w:t xml:space="preserve">С изключение на случаите, когато МСФО разрешават или изискват друго, Дружеството представя сравнителна информация по отношение на предходен период за всички суми, отчетени във финансовите отчети за текущия период.  </w:t>
      </w:r>
    </w:p>
    <w:p w:rsidR="00863C99" w:rsidRPr="000E54EB" w:rsidRDefault="00863C99"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szCs w:val="20"/>
          <w:lang w:eastAsia="bg-BG"/>
        </w:rPr>
      </w:pPr>
      <w:r w:rsidRPr="000E54EB">
        <w:rPr>
          <w:rFonts w:ascii="Verdana" w:hAnsi="Verdana" w:cs="Verdana"/>
          <w:sz w:val="20"/>
          <w:szCs w:val="20"/>
          <w:lang w:eastAsia="bg-BG"/>
        </w:rPr>
        <w:lastRenderedPageBreak/>
        <w:t>Дружеството представя като минимум два отчета за финансовото състояние, два отчета за печалбата или загубата и другия всеобхватен доход, два отделни отчета за печалбата или загубата (ако се представят такива), два отчета за паричните потоци и два отчета за промените в собствения капитал и свързаните с тях пояснителни приложения.</w:t>
      </w:r>
    </w:p>
    <w:p w:rsidR="00863C99" w:rsidRPr="000E54EB" w:rsidRDefault="00863C99"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szCs w:val="20"/>
          <w:lang w:eastAsia="bg-BG"/>
        </w:rPr>
      </w:pPr>
      <w:bookmarkStart w:id="20" w:name="_Hlk512172385"/>
      <w:r w:rsidRPr="000E54EB">
        <w:rPr>
          <w:rFonts w:ascii="Verdana" w:hAnsi="Verdana" w:cs="Verdana"/>
          <w:sz w:val="20"/>
          <w:szCs w:val="20"/>
          <w:lang w:eastAsia="bg-BG"/>
        </w:rPr>
        <w:t>Когато текстовата описателна информация, съдържаща се във финансовите отчети за предходния/предходните период(и), продължава да бъде актуална и за текущия период  се прави връзка с предходния, особено когато това е свързано с несигурности, приблизителни оценки, провизии или обезценки.</w:t>
      </w:r>
    </w:p>
    <w:bookmarkEnd w:id="20"/>
    <w:p w:rsidR="00863C99" w:rsidRPr="000E54EB" w:rsidRDefault="00863C99" w:rsidP="00B66DF8">
      <w:pPr>
        <w:rPr>
          <w:rFonts w:ascii="Verdana" w:hAnsi="Verdana" w:cs="Verdana"/>
          <w:sz w:val="20"/>
          <w:szCs w:val="20"/>
        </w:rPr>
      </w:pPr>
    </w:p>
    <w:p w:rsidR="00863C99" w:rsidRPr="000E54EB" w:rsidRDefault="00863C99" w:rsidP="00B66DF8">
      <w:pPr>
        <w:pStyle w:val="Heading3"/>
        <w:spacing w:before="0"/>
        <w:rPr>
          <w:rFonts w:ascii="Verdana" w:hAnsi="Verdana" w:cs="Verdana"/>
          <w:lang w:val="bg-BG"/>
        </w:rPr>
      </w:pPr>
      <w:bookmarkStart w:id="21" w:name="_Toc4328758"/>
      <w:bookmarkStart w:id="22" w:name="_Hlk512172492"/>
      <w:r w:rsidRPr="000E54EB">
        <w:rPr>
          <w:rFonts w:ascii="Verdana" w:hAnsi="Verdana" w:cs="Verdana"/>
          <w:lang w:val="bg-BG"/>
        </w:rPr>
        <w:t>Бази за оценяване, използвани при изготвянето на финансовите отчети</w:t>
      </w:r>
      <w:bookmarkEnd w:id="21"/>
    </w:p>
    <w:p w:rsidR="00863C99" w:rsidRPr="000E54EB" w:rsidRDefault="00863C99" w:rsidP="00B66DF8">
      <w:pPr>
        <w:rPr>
          <w:rFonts w:ascii="Verdana" w:hAnsi="Verdana" w:cs="Verdana"/>
          <w:sz w:val="20"/>
          <w:szCs w:val="20"/>
        </w:rPr>
      </w:pPr>
      <w:bookmarkStart w:id="23" w:name="_Hlk512606900"/>
      <w:r w:rsidRPr="000E54EB">
        <w:rPr>
          <w:rFonts w:ascii="Verdana" w:hAnsi="Verdana" w:cs="Verdana"/>
          <w:sz w:val="20"/>
          <w:szCs w:val="20"/>
        </w:rPr>
        <w:t>Финансовият отчет е изготвен на базата на историческата цена, с изключение на определени имоти и финансови инструменти, които се отчитат по преоценена стойност или справедлива стойност в края на всеки отчетен период, както е обяснено в счетоводната политика по-долу.</w:t>
      </w:r>
    </w:p>
    <w:bookmarkEnd w:id="23"/>
    <w:p w:rsidR="00863C99" w:rsidRPr="000E54EB" w:rsidRDefault="00863C99" w:rsidP="00B66DF8">
      <w:pPr>
        <w:rPr>
          <w:rFonts w:ascii="Verdana" w:hAnsi="Verdana" w:cs="Verdana"/>
          <w:sz w:val="20"/>
          <w:szCs w:val="20"/>
        </w:rPr>
      </w:pPr>
      <w:r w:rsidRPr="000E54EB">
        <w:rPr>
          <w:rFonts w:ascii="Verdana" w:hAnsi="Verdana" w:cs="Verdana"/>
          <w:sz w:val="20"/>
          <w:szCs w:val="20"/>
        </w:rPr>
        <w:t>Историческата цена обикновено се базира на справедливата стойност на възнаграждението, което е дължимо (договорено) при замяна на стоки и услуги.</w:t>
      </w:r>
    </w:p>
    <w:p w:rsidR="00863C99" w:rsidRPr="000E54EB" w:rsidRDefault="00863C99" w:rsidP="00B66DF8">
      <w:pPr>
        <w:rPr>
          <w:rFonts w:ascii="Verdana" w:hAnsi="Verdana" w:cs="Verdana"/>
          <w:sz w:val="20"/>
          <w:szCs w:val="20"/>
        </w:rPr>
      </w:pPr>
      <w:r w:rsidRPr="000E54EB">
        <w:rPr>
          <w:rFonts w:ascii="Verdana" w:hAnsi="Verdana" w:cs="Verdana"/>
          <w:sz w:val="20"/>
          <w:szCs w:val="20"/>
        </w:rPr>
        <w:t>Справедлива стойност е цената, която би била получена при продажба на актив или платена при прехвърлянето на задължение при обичайна сделка между пазарни участници към датата на оценяване, независимо от това дали тази цена е пряко наблюдавана или оценява като се използва друга техника за оценка. При определяне на справедливата стойност на един актив или пасив, Дружеството взема под внимание характеристиките на актив или пасив, така, както участниците на пазара биха взели тези характеристики предвид при ценообразуването на актива или пасива към датата на оценяване. Справедлива стойност за измерване и/или оповестяване в този финансов отчет, се определя на такава база, с изключение на базата на акции, платежни операции, които са в обхвата на МСФО 2, лизингови сделки, които са в обхвата на МСС 17, и измервания, които имат някои прилики със справедлива стойност, но не са по справедлива стойност, като нетна реализируема стойност в МСС 2 или стойност в употреба в МСС 36.</w:t>
      </w:r>
    </w:p>
    <w:p w:rsidR="00863C99" w:rsidRPr="000E54EB" w:rsidRDefault="00863C99" w:rsidP="00B66DF8">
      <w:pPr>
        <w:rPr>
          <w:rFonts w:ascii="Verdana" w:hAnsi="Verdana" w:cs="Verdana"/>
          <w:sz w:val="20"/>
          <w:szCs w:val="20"/>
        </w:rPr>
      </w:pPr>
      <w:r w:rsidRPr="000E54EB">
        <w:rPr>
          <w:rFonts w:ascii="Verdana" w:hAnsi="Verdana" w:cs="Verdana"/>
          <w:sz w:val="20"/>
          <w:szCs w:val="20"/>
        </w:rPr>
        <w:t>Прилагането на справедлива стойност е подробно оповестено раздел „Определяне на справедлива стойност“.</w:t>
      </w:r>
    </w:p>
    <w:p w:rsidR="00863C99" w:rsidRPr="000E54EB" w:rsidRDefault="00863C99" w:rsidP="00B66DF8">
      <w:pPr>
        <w:rPr>
          <w:rFonts w:ascii="Verdana" w:hAnsi="Verdana" w:cs="Verdana"/>
          <w:color w:val="FF0000"/>
          <w:sz w:val="20"/>
          <w:szCs w:val="20"/>
          <w:highlight w:val="green"/>
        </w:rPr>
      </w:pPr>
    </w:p>
    <w:p w:rsidR="00863C99" w:rsidRPr="000E54EB" w:rsidRDefault="00863C99" w:rsidP="00B66DF8">
      <w:pPr>
        <w:pStyle w:val="Heading3"/>
        <w:spacing w:before="0"/>
        <w:rPr>
          <w:rFonts w:ascii="Verdana" w:hAnsi="Verdana" w:cs="Verdana"/>
          <w:lang w:val="bg-BG"/>
        </w:rPr>
      </w:pPr>
      <w:bookmarkStart w:id="24" w:name="_Toc4328759"/>
      <w:r w:rsidRPr="000E54EB">
        <w:rPr>
          <w:rFonts w:ascii="Verdana" w:hAnsi="Verdana" w:cs="Verdana"/>
          <w:lang w:val="bg-BG"/>
        </w:rPr>
        <w:t>Критични счетоводни преценки</w:t>
      </w:r>
      <w:bookmarkEnd w:id="24"/>
    </w:p>
    <w:p w:rsidR="00863C99" w:rsidRPr="000E54EB" w:rsidRDefault="00863C99" w:rsidP="00B66DF8">
      <w:pPr>
        <w:rPr>
          <w:rFonts w:ascii="Verdana" w:hAnsi="Verdana" w:cs="Verdana"/>
          <w:sz w:val="20"/>
          <w:szCs w:val="20"/>
        </w:rPr>
      </w:pPr>
      <w:r w:rsidRPr="000E54EB">
        <w:rPr>
          <w:rFonts w:ascii="Verdana" w:hAnsi="Verdana" w:cs="Verdana"/>
          <w:sz w:val="20"/>
          <w:szCs w:val="20"/>
        </w:rPr>
        <w:t>При прилагането на счетоводните политики на Дружеството, които са описани в бележките в настоящото приложение, ръководството на Дружеството е длъжно да прави преценки, приблизителни оценки и предположения за балансовата стойност на активите и пасивите, които не са лесно видими от други източници. Преценките и свързаните с тях предположения се базират на историческия опит и други фактори, които се считат за подходящи. Действителните резултати могат да се различават от тези оценки.</w:t>
      </w:r>
    </w:p>
    <w:p w:rsidR="00863C99" w:rsidRPr="000E54EB" w:rsidRDefault="00863C99" w:rsidP="00B66DF8">
      <w:pPr>
        <w:rPr>
          <w:rFonts w:ascii="Verdana" w:hAnsi="Verdana" w:cs="Verdana"/>
          <w:sz w:val="20"/>
          <w:szCs w:val="20"/>
        </w:rPr>
      </w:pPr>
      <w:r w:rsidRPr="000E54EB">
        <w:rPr>
          <w:rFonts w:ascii="Verdana" w:hAnsi="Verdana" w:cs="Verdana"/>
          <w:sz w:val="20"/>
          <w:szCs w:val="20"/>
        </w:rPr>
        <w:t>Преценките и основните предположения се преглеждат на текуща база. Преработените счетоводни оценки се признават в периода, в който оценката е преразгледана, ако прегледа засяга само този период, или в периода на преразглеждането и бъдещи периоди, ако прегледите засягат както текущия и бъдещите периоди.</w:t>
      </w:r>
    </w:p>
    <w:p w:rsidR="00863C99" w:rsidRPr="000E54EB" w:rsidRDefault="00863C99" w:rsidP="00B66DF8">
      <w:pPr>
        <w:rPr>
          <w:rFonts w:ascii="Verdana" w:hAnsi="Verdana" w:cs="Verdana"/>
          <w:sz w:val="20"/>
          <w:szCs w:val="20"/>
        </w:rPr>
      </w:pPr>
      <w:r w:rsidRPr="000E54EB">
        <w:rPr>
          <w:rFonts w:ascii="Verdana" w:hAnsi="Verdana" w:cs="Verdana"/>
          <w:sz w:val="20"/>
          <w:szCs w:val="20"/>
        </w:rPr>
        <w:t>Критичните счетоводни преценки са подробно оповестени в раздел „Критични счетоводни преценки и приблизителни оценки“.</w:t>
      </w:r>
    </w:p>
    <w:bookmarkEnd w:id="22"/>
    <w:p w:rsidR="00863C99" w:rsidRPr="000E54EB" w:rsidRDefault="00863C99" w:rsidP="00B66DF8">
      <w:pPr>
        <w:rPr>
          <w:rFonts w:ascii="Verdana" w:hAnsi="Verdana" w:cs="Verdana"/>
          <w:sz w:val="20"/>
          <w:szCs w:val="20"/>
          <w:highlight w:val="green"/>
        </w:rPr>
      </w:pPr>
    </w:p>
    <w:p w:rsidR="00863C99" w:rsidRPr="000E54EB" w:rsidRDefault="00863C99" w:rsidP="00B66DF8">
      <w:pPr>
        <w:pStyle w:val="Heading3"/>
        <w:spacing w:before="0"/>
        <w:rPr>
          <w:rFonts w:ascii="Verdana" w:hAnsi="Verdana" w:cs="Verdana"/>
          <w:lang w:val="bg-BG"/>
        </w:rPr>
      </w:pPr>
      <w:bookmarkStart w:id="25" w:name="_Toc4328760"/>
      <w:r w:rsidRPr="000E54EB">
        <w:rPr>
          <w:rFonts w:ascii="Verdana" w:hAnsi="Verdana" w:cs="Verdana"/>
          <w:lang w:val="bg-BG"/>
        </w:rPr>
        <w:t>Оповестявания за комплекта финансови отчети</w:t>
      </w:r>
      <w:bookmarkEnd w:id="25"/>
    </w:p>
    <w:p w:rsidR="00863C99" w:rsidRPr="000E54EB" w:rsidRDefault="00863C99" w:rsidP="00B66DF8">
      <w:pPr>
        <w:rPr>
          <w:rFonts w:ascii="Verdana" w:hAnsi="Verdana" w:cs="Verdana"/>
          <w:sz w:val="20"/>
          <w:szCs w:val="20"/>
        </w:rPr>
      </w:pPr>
      <w:r w:rsidRPr="000E54EB">
        <w:rPr>
          <w:rFonts w:ascii="Verdana" w:hAnsi="Verdana" w:cs="Verdana"/>
          <w:sz w:val="20"/>
          <w:szCs w:val="20"/>
        </w:rPr>
        <w:t>Пълния комплект финансови отчети, включва следните компоненти:</w:t>
      </w:r>
    </w:p>
    <w:p w:rsidR="00863C99" w:rsidRPr="000E54EB" w:rsidRDefault="00863C99" w:rsidP="00E60E88">
      <w:pPr>
        <w:numPr>
          <w:ilvl w:val="0"/>
          <w:numId w:val="8"/>
        </w:numPr>
        <w:rPr>
          <w:rFonts w:ascii="Verdana" w:hAnsi="Verdana" w:cs="Verdana"/>
          <w:sz w:val="20"/>
          <w:szCs w:val="20"/>
        </w:rPr>
      </w:pPr>
      <w:r w:rsidRPr="000E54EB">
        <w:rPr>
          <w:rFonts w:ascii="Verdana" w:hAnsi="Verdana" w:cs="Verdana"/>
          <w:sz w:val="20"/>
          <w:szCs w:val="20"/>
        </w:rPr>
        <w:t>индивидуален отчет за финансовото състояние към края на периода;</w:t>
      </w:r>
    </w:p>
    <w:p w:rsidR="00863C99" w:rsidRPr="000E54EB" w:rsidRDefault="00863C99" w:rsidP="00E60E88">
      <w:pPr>
        <w:numPr>
          <w:ilvl w:val="0"/>
          <w:numId w:val="8"/>
        </w:numPr>
        <w:rPr>
          <w:rFonts w:ascii="Verdana" w:hAnsi="Verdana" w:cs="Verdana"/>
          <w:sz w:val="20"/>
          <w:szCs w:val="20"/>
        </w:rPr>
      </w:pPr>
      <w:r w:rsidRPr="000E54EB">
        <w:rPr>
          <w:rFonts w:ascii="Verdana" w:hAnsi="Verdana" w:cs="Verdana"/>
          <w:sz w:val="20"/>
          <w:szCs w:val="20"/>
        </w:rPr>
        <w:t>индивидуален</w:t>
      </w:r>
      <w:r>
        <w:rPr>
          <w:rFonts w:ascii="Verdana" w:hAnsi="Verdana" w:cs="Verdana"/>
          <w:sz w:val="20"/>
          <w:szCs w:val="20"/>
        </w:rPr>
        <w:t xml:space="preserve"> </w:t>
      </w:r>
      <w:r w:rsidRPr="000E54EB">
        <w:rPr>
          <w:rFonts w:ascii="Verdana" w:hAnsi="Verdana" w:cs="Verdana"/>
          <w:sz w:val="20"/>
          <w:szCs w:val="20"/>
        </w:rPr>
        <w:t>отчет за печалбата или загубата и другия всеобхватен доход за периода;</w:t>
      </w:r>
    </w:p>
    <w:p w:rsidR="00863C99" w:rsidRPr="000E54EB" w:rsidRDefault="00863C99" w:rsidP="00E60E88">
      <w:pPr>
        <w:numPr>
          <w:ilvl w:val="0"/>
          <w:numId w:val="8"/>
        </w:numPr>
        <w:rPr>
          <w:rFonts w:ascii="Verdana" w:hAnsi="Verdana" w:cs="Verdana"/>
          <w:sz w:val="20"/>
          <w:szCs w:val="20"/>
        </w:rPr>
      </w:pPr>
      <w:r w:rsidRPr="000E54EB">
        <w:rPr>
          <w:rFonts w:ascii="Verdana" w:hAnsi="Verdana" w:cs="Verdana"/>
          <w:sz w:val="20"/>
          <w:szCs w:val="20"/>
        </w:rPr>
        <w:t>индивидуален</w:t>
      </w:r>
      <w:r>
        <w:rPr>
          <w:rFonts w:ascii="Verdana" w:hAnsi="Verdana" w:cs="Verdana"/>
          <w:sz w:val="20"/>
          <w:szCs w:val="20"/>
        </w:rPr>
        <w:t xml:space="preserve"> </w:t>
      </w:r>
      <w:r w:rsidRPr="000E54EB">
        <w:rPr>
          <w:rFonts w:ascii="Verdana" w:hAnsi="Verdana" w:cs="Verdana"/>
          <w:sz w:val="20"/>
          <w:szCs w:val="20"/>
        </w:rPr>
        <w:t>отчет за промените в собствения капитал за периода;</w:t>
      </w:r>
    </w:p>
    <w:p w:rsidR="00863C99" w:rsidRPr="000E54EB" w:rsidRDefault="00863C99" w:rsidP="00E60E88">
      <w:pPr>
        <w:numPr>
          <w:ilvl w:val="0"/>
          <w:numId w:val="8"/>
        </w:numPr>
        <w:rPr>
          <w:rFonts w:ascii="Verdana" w:hAnsi="Verdana" w:cs="Verdana"/>
          <w:sz w:val="20"/>
          <w:szCs w:val="20"/>
        </w:rPr>
      </w:pPr>
      <w:r w:rsidRPr="000E54EB">
        <w:rPr>
          <w:rFonts w:ascii="Verdana" w:hAnsi="Verdana" w:cs="Verdana"/>
          <w:sz w:val="20"/>
          <w:szCs w:val="20"/>
        </w:rPr>
        <w:t>индивидуален</w:t>
      </w:r>
      <w:r>
        <w:rPr>
          <w:rFonts w:ascii="Verdana" w:hAnsi="Verdana" w:cs="Verdana"/>
          <w:sz w:val="20"/>
          <w:szCs w:val="20"/>
        </w:rPr>
        <w:t xml:space="preserve"> </w:t>
      </w:r>
      <w:r w:rsidRPr="000E54EB">
        <w:rPr>
          <w:rFonts w:ascii="Verdana" w:hAnsi="Verdana" w:cs="Verdana"/>
          <w:sz w:val="20"/>
          <w:szCs w:val="20"/>
        </w:rPr>
        <w:t>отчет за паричните потоци за периода;</w:t>
      </w:r>
    </w:p>
    <w:p w:rsidR="00863C99" w:rsidRPr="000E54EB" w:rsidRDefault="00863C99" w:rsidP="00E60E88">
      <w:pPr>
        <w:numPr>
          <w:ilvl w:val="0"/>
          <w:numId w:val="8"/>
        </w:numPr>
        <w:rPr>
          <w:rFonts w:ascii="Verdana" w:hAnsi="Verdana" w:cs="Verdana"/>
          <w:sz w:val="20"/>
          <w:szCs w:val="20"/>
        </w:rPr>
      </w:pPr>
      <w:r w:rsidRPr="000E54EB">
        <w:rPr>
          <w:rFonts w:ascii="Verdana" w:hAnsi="Verdana" w:cs="Verdana"/>
          <w:sz w:val="20"/>
          <w:szCs w:val="20"/>
        </w:rPr>
        <w:lastRenderedPageBreak/>
        <w:t>пояснителни приложения, представляващи обобщение на по-важните счетоводни политики и друга пояснителна информация, сравнителна информация по отношение на предходния период  и</w:t>
      </w:r>
    </w:p>
    <w:p w:rsidR="00863C99" w:rsidRPr="000E54EB" w:rsidRDefault="00863C99" w:rsidP="00E60E88">
      <w:pPr>
        <w:numPr>
          <w:ilvl w:val="0"/>
          <w:numId w:val="8"/>
        </w:numPr>
        <w:rPr>
          <w:rFonts w:ascii="Verdana" w:hAnsi="Verdana" w:cs="Verdana"/>
          <w:sz w:val="20"/>
          <w:szCs w:val="20"/>
        </w:rPr>
      </w:pPr>
      <w:r w:rsidRPr="000E54EB">
        <w:rPr>
          <w:rFonts w:ascii="Verdana" w:hAnsi="Verdana" w:cs="Verdana"/>
          <w:sz w:val="20"/>
          <w:szCs w:val="20"/>
        </w:rPr>
        <w:t>отчет за финансовото състояние към началото на най-ранния сравнителен период, когато дружеството прилага счетоводна политика със задна дата или прави преизчисление със задна дата на статии в своите финансови отчети, или когато прекласифицира статии в своите финансови отчети.</w:t>
      </w:r>
    </w:p>
    <w:p w:rsidR="00863C99" w:rsidRPr="000E54EB" w:rsidRDefault="00863C99" w:rsidP="00B66DF8">
      <w:pPr>
        <w:rPr>
          <w:rFonts w:ascii="Verdana" w:hAnsi="Verdana" w:cs="Verdana"/>
          <w:sz w:val="20"/>
          <w:szCs w:val="20"/>
        </w:rPr>
      </w:pPr>
      <w:r w:rsidRPr="000E54EB">
        <w:rPr>
          <w:rFonts w:ascii="Verdana" w:hAnsi="Verdana" w:cs="Verdana"/>
          <w:sz w:val="20"/>
          <w:szCs w:val="20"/>
        </w:rPr>
        <w:t>Представят се с еднакво значение всички финансови отчети в пълен комплект от финансови отчети.</w:t>
      </w:r>
    </w:p>
    <w:p w:rsidR="00863C99" w:rsidRPr="000E54EB" w:rsidRDefault="00863C99" w:rsidP="00B66DF8">
      <w:pPr>
        <w:rPr>
          <w:rFonts w:ascii="Verdana" w:hAnsi="Verdana" w:cs="Verdana"/>
          <w:sz w:val="20"/>
          <w:szCs w:val="20"/>
        </w:rPr>
      </w:pPr>
    </w:p>
    <w:p w:rsidR="00863C99" w:rsidRPr="000E54EB" w:rsidRDefault="00863C99" w:rsidP="00B66DF8">
      <w:pPr>
        <w:pStyle w:val="Heading3"/>
        <w:spacing w:before="0"/>
        <w:rPr>
          <w:rFonts w:ascii="Verdana" w:hAnsi="Verdana" w:cs="Verdana"/>
          <w:lang w:val="bg-BG"/>
        </w:rPr>
      </w:pPr>
      <w:bookmarkStart w:id="26" w:name="_Toc4328761"/>
      <w:r w:rsidRPr="000E54EB">
        <w:rPr>
          <w:rFonts w:ascii="Verdana" w:hAnsi="Verdana" w:cs="Verdana"/>
          <w:lang w:val="bg-BG"/>
        </w:rPr>
        <w:t>Допустимо алтернативно третиране</w:t>
      </w:r>
      <w:bookmarkEnd w:id="26"/>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В определени случаи, МСФО позволява повече от едно възможно счетоводно третиране на определена сделка или събитие. Лицата, изготвящи финансовите отчети, трябва да изберат това третиране, което най-точно съответства на дейността на Дружеството. </w:t>
      </w:r>
    </w:p>
    <w:p w:rsidR="00863C99" w:rsidRPr="000E54EB" w:rsidRDefault="00863C99" w:rsidP="00B66DF8">
      <w:pPr>
        <w:rPr>
          <w:rFonts w:ascii="Verdana" w:hAnsi="Verdana" w:cs="Verdana"/>
          <w:sz w:val="20"/>
          <w:szCs w:val="20"/>
        </w:rPr>
      </w:pPr>
      <w:r w:rsidRPr="000E54EB">
        <w:rPr>
          <w:rFonts w:ascii="Verdana" w:hAnsi="Verdana" w:cs="Verdana"/>
          <w:sz w:val="20"/>
          <w:szCs w:val="20"/>
        </w:rPr>
        <w:t>Съгласно МСС 8, от Дружеството се изисква да подбере и да прилага своите счетоводни политики последователно за подобните сделки и/или за други събития и условия, освен когато даден МСФО конкретно изисква или позволява категоризация на позициите, за които могат да са подходящи различни политики. Когато даден МСФО изисква или позволява такава категоризация, за всяка една отделна категория се подбира и последователно се прилага най-подходящата счетоводна политика. Поради това, след като вече е избрано някое от алтернативните третирания, то се превръща в счетоводна политика и се прилага последователно. Промени по счетоводната политика се извършват само когато това се изисква по силата на стандарт или тълкуване, или ако, в резултат на промяната, въпросните финансови отчети ще предоставят по-надеждна и релевантна информация.</w:t>
      </w:r>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Когато МСФО дава възможност за избор, Дружеството възприема едно от възможните третирания, а именно това, което е най-подходящо за обстоятелствата, в които се намира. </w:t>
      </w:r>
    </w:p>
    <w:p w:rsidR="00863C99" w:rsidRPr="000E54EB" w:rsidRDefault="00863C99" w:rsidP="00B66DF8">
      <w:pPr>
        <w:rPr>
          <w:rFonts w:ascii="Verdana" w:hAnsi="Verdana" w:cs="Verdana"/>
          <w:sz w:val="20"/>
          <w:szCs w:val="20"/>
        </w:rPr>
      </w:pPr>
    </w:p>
    <w:p w:rsidR="00863C99" w:rsidRPr="000E54EB" w:rsidRDefault="00863C99" w:rsidP="00B66DF8">
      <w:pPr>
        <w:pStyle w:val="Heading3"/>
        <w:spacing w:before="0"/>
        <w:rPr>
          <w:rFonts w:ascii="Verdana" w:hAnsi="Verdana" w:cs="Verdana"/>
          <w:lang w:val="bg-BG"/>
        </w:rPr>
      </w:pPr>
      <w:bookmarkStart w:id="27" w:name="_Toc4328762"/>
      <w:r w:rsidRPr="000E54EB">
        <w:rPr>
          <w:rFonts w:ascii="Verdana" w:hAnsi="Verdana" w:cs="Verdana"/>
          <w:lang w:val="bg-BG"/>
        </w:rPr>
        <w:t>Финансов обзор от ръководството</w:t>
      </w:r>
      <w:bookmarkEnd w:id="27"/>
    </w:p>
    <w:p w:rsidR="00863C99" w:rsidRPr="000E54EB" w:rsidRDefault="00863C99" w:rsidP="00B66DF8">
      <w:pPr>
        <w:rPr>
          <w:rFonts w:ascii="Verdana" w:hAnsi="Verdana" w:cs="Verdana"/>
          <w:sz w:val="20"/>
          <w:szCs w:val="20"/>
        </w:rPr>
      </w:pPr>
      <w:r w:rsidRPr="000E54EB">
        <w:rPr>
          <w:rFonts w:ascii="Verdana" w:hAnsi="Verdana" w:cs="Verdana"/>
          <w:sz w:val="20"/>
          <w:szCs w:val="20"/>
        </w:rPr>
        <w:t>В допълнение към финансовите отчети, Дружеството представя</w:t>
      </w:r>
      <w:r>
        <w:rPr>
          <w:rFonts w:ascii="Verdana" w:hAnsi="Verdana" w:cs="Verdana"/>
          <w:sz w:val="20"/>
          <w:szCs w:val="20"/>
        </w:rPr>
        <w:t xml:space="preserve"> </w:t>
      </w:r>
      <w:r w:rsidRPr="000E54EB">
        <w:rPr>
          <w:rFonts w:ascii="Verdana" w:hAnsi="Verdana" w:cs="Verdana"/>
          <w:sz w:val="20"/>
          <w:szCs w:val="20"/>
        </w:rPr>
        <w:t>Годишен доклад за дейността. В МСФО няма изискване да се представя такава информация, макар че параграф 13 от МСС 1 съдържа кратко описание на това, което може да бъде включено в един годишен доклад. През декември 2011г. Съветът по международни счетоводни стандарти (СМСС) издаде МСФО Изложение за практиката - Коментар на ръководството, който очертава една широка, необвързваща рамка за представянето на коментара на ръководството във връзка с финансовите отчети, изготвени в съответствие с МСФО. Ако Дружеството реши да следва указанията, съдържащи се в Изложението за практиката, то ръководството се насърчава да обясни степента, в която е било следвано Изложението за практиката. Изявлението за съответствие с Изложението за практиката се допуска само, ако въпросното Изложение е било следвано изцяло.</w:t>
      </w:r>
    </w:p>
    <w:p w:rsidR="00863C99" w:rsidRPr="000E54EB" w:rsidRDefault="00863C99" w:rsidP="00B66DF8">
      <w:pPr>
        <w:rPr>
          <w:rFonts w:ascii="Verdana" w:hAnsi="Verdana" w:cs="Verdana"/>
          <w:sz w:val="20"/>
          <w:szCs w:val="20"/>
        </w:rPr>
      </w:pPr>
      <w:r w:rsidRPr="000E54EB">
        <w:rPr>
          <w:rFonts w:ascii="Verdana" w:hAnsi="Verdana" w:cs="Verdana"/>
          <w:sz w:val="20"/>
          <w:szCs w:val="20"/>
        </w:rPr>
        <w:t>Съдържанието на финансовия обзор от ръководството се определя от местни изисквания на пазара и от въпросите, които са специфични за дадена юрисдикция. Поради това, Дружеството не е представило финансов обзор от ръководството, а годишен доклад за дейността.</w:t>
      </w:r>
    </w:p>
    <w:p w:rsidR="00863C99" w:rsidRPr="000E54EB" w:rsidRDefault="00863C99" w:rsidP="00B66DF8">
      <w:pPr>
        <w:rPr>
          <w:rFonts w:ascii="Verdana" w:hAnsi="Verdana" w:cs="Verdana"/>
          <w:sz w:val="20"/>
          <w:szCs w:val="20"/>
        </w:rPr>
      </w:pPr>
    </w:p>
    <w:p w:rsidR="00863C99" w:rsidRPr="000E54EB" w:rsidRDefault="00863C99" w:rsidP="00B66DF8">
      <w:pPr>
        <w:pStyle w:val="Heading2"/>
        <w:spacing w:before="0"/>
        <w:rPr>
          <w:rFonts w:ascii="Verdana" w:hAnsi="Verdana" w:cs="Verdana"/>
          <w:sz w:val="20"/>
          <w:szCs w:val="20"/>
          <w:lang w:val="bg-BG"/>
        </w:rPr>
      </w:pPr>
      <w:bookmarkStart w:id="28" w:name="_Toc4328763"/>
      <w:r w:rsidRPr="000E54EB">
        <w:rPr>
          <w:rFonts w:ascii="Verdana" w:hAnsi="Verdana" w:cs="Verdana"/>
          <w:sz w:val="20"/>
          <w:szCs w:val="20"/>
          <w:lang w:val="bg-BG"/>
        </w:rPr>
        <w:t>ПРИЗНАВАНЕ НА ПРИХОД</w:t>
      </w:r>
      <w:bookmarkEnd w:id="28"/>
    </w:p>
    <w:p w:rsidR="00863C99" w:rsidRPr="000E54EB" w:rsidRDefault="00863C99" w:rsidP="00B66DF8">
      <w:pPr>
        <w:rPr>
          <w:rFonts w:ascii="Verdana" w:hAnsi="Verdana" w:cs="Verdana"/>
          <w:sz w:val="20"/>
          <w:szCs w:val="20"/>
        </w:rPr>
      </w:pPr>
    </w:p>
    <w:p w:rsidR="00863C99" w:rsidRPr="000E54EB" w:rsidRDefault="00863C99" w:rsidP="00856239">
      <w:pPr>
        <w:pStyle w:val="Heading3"/>
        <w:spacing w:before="0"/>
        <w:rPr>
          <w:rFonts w:ascii="Verdana" w:hAnsi="Verdana" w:cs="Verdana"/>
          <w:lang w:val="bg-BG"/>
        </w:rPr>
      </w:pPr>
      <w:bookmarkStart w:id="29" w:name="_Toc4328764"/>
      <w:r w:rsidRPr="000E54EB">
        <w:rPr>
          <w:rFonts w:ascii="Verdana" w:hAnsi="Verdana" w:cs="Verdana"/>
          <w:lang w:val="bg-BG"/>
        </w:rPr>
        <w:t>Приходи</w:t>
      </w:r>
      <w:r>
        <w:rPr>
          <w:rFonts w:ascii="Verdana" w:hAnsi="Verdana" w:cs="Verdana"/>
          <w:lang w:val="bg-BG"/>
        </w:rPr>
        <w:t xml:space="preserve"> </w:t>
      </w:r>
      <w:r w:rsidRPr="000E54EB">
        <w:rPr>
          <w:rFonts w:ascii="Verdana" w:hAnsi="Verdana" w:cs="Verdana"/>
          <w:lang w:val="bg-BG"/>
        </w:rPr>
        <w:t>от договори с клиенти</w:t>
      </w:r>
      <w:bookmarkEnd w:id="29"/>
    </w:p>
    <w:p w:rsidR="00863C99" w:rsidRPr="000E54EB" w:rsidRDefault="00863C99" w:rsidP="00B66DF8">
      <w:pPr>
        <w:rPr>
          <w:rFonts w:ascii="Verdana" w:hAnsi="Verdana" w:cs="Verdana"/>
          <w:sz w:val="20"/>
          <w:szCs w:val="20"/>
        </w:rPr>
      </w:pPr>
      <w:r w:rsidRPr="000E54EB">
        <w:rPr>
          <w:rFonts w:ascii="Verdana" w:hAnsi="Verdana" w:cs="Verdana"/>
          <w:sz w:val="20"/>
          <w:szCs w:val="20"/>
        </w:rPr>
        <w:t>Договор е съглашение между две или повече страни, което създава права и задължения за страните по него. Клиент е страна, която е сключила договор с Дружеството да получи стоки или услуги, които са продукция от обичайната дейност на Дружеството, в замяна на възнаграждение.</w:t>
      </w:r>
    </w:p>
    <w:p w:rsidR="00863C99" w:rsidRPr="000E54EB" w:rsidRDefault="00863C99" w:rsidP="00B66DF8">
      <w:pPr>
        <w:rPr>
          <w:rFonts w:ascii="Verdana" w:hAnsi="Verdana" w:cs="Verdana"/>
          <w:sz w:val="20"/>
          <w:szCs w:val="20"/>
        </w:rPr>
      </w:pPr>
      <w:r w:rsidRPr="000E54EB">
        <w:rPr>
          <w:rFonts w:ascii="Verdana" w:hAnsi="Verdana" w:cs="Verdana"/>
          <w:sz w:val="20"/>
          <w:szCs w:val="20"/>
        </w:rPr>
        <w:lastRenderedPageBreak/>
        <w:t>Дружеството признава приходи, да са отрази прехвърлянето на обещаните с договора стоки или услуги на клиенти, в размер, който отразява възнаграждението, на което Дружеството очаква да има право в замяна на прехвърлените стоки или услуги.</w:t>
      </w:r>
    </w:p>
    <w:p w:rsidR="00863C99" w:rsidRPr="000E54EB" w:rsidRDefault="00863C99" w:rsidP="00B66DF8">
      <w:pPr>
        <w:rPr>
          <w:rFonts w:ascii="Verdana" w:hAnsi="Verdana" w:cs="Verdana"/>
          <w:sz w:val="20"/>
          <w:szCs w:val="20"/>
        </w:rPr>
      </w:pPr>
      <w:r w:rsidRPr="000E54EB">
        <w:rPr>
          <w:rFonts w:ascii="Verdana" w:hAnsi="Verdana" w:cs="Verdana"/>
          <w:sz w:val="20"/>
          <w:szCs w:val="20"/>
        </w:rPr>
        <w:t>Прехвърлянето на стоките или услугите се основава на концепцията за прехвърляне на контрола върху тях, способността да се ръководи използването на актива и да се получават по същество всички останали ползи от него. Контролът включва и способността за предотвратяване на това други дружества да ръководят използването на актива и получаването на ползи от него.</w:t>
      </w:r>
    </w:p>
    <w:p w:rsidR="00863C99" w:rsidRPr="000E54EB" w:rsidRDefault="00863C99" w:rsidP="00B66DF8">
      <w:pPr>
        <w:rPr>
          <w:rFonts w:ascii="Verdana" w:hAnsi="Verdana" w:cs="Verdana"/>
          <w:sz w:val="20"/>
          <w:szCs w:val="20"/>
        </w:rPr>
      </w:pPr>
      <w:r w:rsidRPr="000E54EB">
        <w:rPr>
          <w:rFonts w:ascii="Verdana" w:hAnsi="Verdana" w:cs="Verdana"/>
          <w:sz w:val="20"/>
          <w:szCs w:val="20"/>
        </w:rPr>
        <w:t>Приходите от договори с клиенти се признават, както следва:</w:t>
      </w:r>
    </w:p>
    <w:p w:rsidR="00863C99" w:rsidRPr="000E54EB" w:rsidRDefault="00863C99" w:rsidP="00E60E88">
      <w:pPr>
        <w:pStyle w:val="ListParagraph"/>
        <w:numPr>
          <w:ilvl w:val="0"/>
          <w:numId w:val="18"/>
        </w:numPr>
        <w:ind w:left="0" w:firstLine="284"/>
        <w:rPr>
          <w:rFonts w:ascii="Verdana" w:hAnsi="Verdana" w:cs="Verdana"/>
          <w:sz w:val="20"/>
          <w:szCs w:val="20"/>
        </w:rPr>
      </w:pPr>
      <w:r w:rsidRPr="000E54EB">
        <w:rPr>
          <w:rFonts w:ascii="Verdana" w:hAnsi="Verdana" w:cs="Verdana"/>
          <w:sz w:val="20"/>
          <w:szCs w:val="20"/>
        </w:rPr>
        <w:t>в течение на времето по начин, който отразява извършаната от Дружеството работа по договора;</w:t>
      </w:r>
    </w:p>
    <w:p w:rsidR="00863C99" w:rsidRPr="000E54EB" w:rsidRDefault="00863C99" w:rsidP="00E60E88">
      <w:pPr>
        <w:pStyle w:val="ListParagraph"/>
        <w:numPr>
          <w:ilvl w:val="0"/>
          <w:numId w:val="18"/>
        </w:numPr>
        <w:ind w:left="0" w:firstLine="284"/>
        <w:rPr>
          <w:rFonts w:ascii="Verdana" w:hAnsi="Verdana" w:cs="Verdana"/>
          <w:sz w:val="20"/>
          <w:szCs w:val="20"/>
        </w:rPr>
      </w:pPr>
      <w:r w:rsidRPr="000E54EB">
        <w:rPr>
          <w:rFonts w:ascii="Verdana" w:hAnsi="Verdana" w:cs="Verdana"/>
          <w:sz w:val="20"/>
          <w:szCs w:val="20"/>
        </w:rPr>
        <w:t>в определен момент, когато се прехвърля контролът върху стоките или услугите на клиента.</w:t>
      </w:r>
    </w:p>
    <w:p w:rsidR="00863C99" w:rsidRPr="000E54EB" w:rsidRDefault="00863C99" w:rsidP="00A955B4">
      <w:pPr>
        <w:rPr>
          <w:rFonts w:ascii="Verdana" w:hAnsi="Verdana" w:cs="Verdana"/>
          <w:sz w:val="20"/>
          <w:szCs w:val="20"/>
        </w:rPr>
      </w:pPr>
      <w:r w:rsidRPr="000E54EB">
        <w:rPr>
          <w:rFonts w:ascii="Verdana" w:hAnsi="Verdana" w:cs="Verdana"/>
          <w:sz w:val="20"/>
          <w:szCs w:val="20"/>
        </w:rPr>
        <w:t>Приходите от договори с клиенти се признават на база 5-етапен модел за признаване, представен по-долу, като разграничение се прави в следните две насоки според момента на удовлетворяване на задължението за изпълнение:</w:t>
      </w:r>
    </w:p>
    <w:p w:rsidR="00863C99" w:rsidRPr="000E54EB" w:rsidRDefault="00863C99" w:rsidP="00E60E88">
      <w:pPr>
        <w:pStyle w:val="ListParagraph"/>
        <w:numPr>
          <w:ilvl w:val="0"/>
          <w:numId w:val="18"/>
        </w:numPr>
        <w:ind w:left="0" w:firstLine="284"/>
        <w:rPr>
          <w:rFonts w:ascii="Verdana" w:hAnsi="Verdana" w:cs="Verdana"/>
          <w:sz w:val="20"/>
          <w:szCs w:val="20"/>
        </w:rPr>
      </w:pPr>
      <w:r w:rsidRPr="000E54EB">
        <w:rPr>
          <w:rFonts w:ascii="Verdana" w:hAnsi="Verdana" w:cs="Verdana"/>
          <w:sz w:val="20"/>
          <w:szCs w:val="20"/>
        </w:rPr>
        <w:t>задължение за изпълнение (прехвърляне на контрол) в течение на времето – в този случай приходите се признават постепенно, следвайки степента на прехвърляне на контрола върху стоките или услугите на клиента;</w:t>
      </w:r>
    </w:p>
    <w:p w:rsidR="00863C99" w:rsidRPr="000E54EB" w:rsidRDefault="00863C99" w:rsidP="00E60E88">
      <w:pPr>
        <w:pStyle w:val="ListParagraph"/>
        <w:numPr>
          <w:ilvl w:val="0"/>
          <w:numId w:val="18"/>
        </w:numPr>
        <w:ind w:left="0" w:firstLine="284"/>
        <w:rPr>
          <w:rFonts w:ascii="Verdana" w:hAnsi="Verdana" w:cs="Verdana"/>
          <w:sz w:val="20"/>
          <w:szCs w:val="20"/>
        </w:rPr>
      </w:pPr>
      <w:r w:rsidRPr="000E54EB">
        <w:rPr>
          <w:rFonts w:ascii="Verdana" w:hAnsi="Verdana" w:cs="Verdana"/>
          <w:sz w:val="20"/>
          <w:szCs w:val="20"/>
        </w:rPr>
        <w:t>задължение за изпълнение, удовлетворено (прехвърлен контрол) в определен момент – клиентът получава контрол върху стоките или услугите в определено време и приходите се признават изцяло наведнъж.</w:t>
      </w:r>
    </w:p>
    <w:p w:rsidR="00863C99" w:rsidRPr="000E54EB" w:rsidRDefault="00863C99" w:rsidP="00E75D9E">
      <w:pPr>
        <w:rPr>
          <w:rFonts w:ascii="Verdana" w:hAnsi="Verdana" w:cs="Verdana"/>
          <w:sz w:val="20"/>
          <w:szCs w:val="20"/>
        </w:rPr>
      </w:pPr>
      <w:r w:rsidRPr="000E54EB">
        <w:rPr>
          <w:rFonts w:ascii="Verdana" w:hAnsi="Verdana" w:cs="Verdana"/>
          <w:sz w:val="20"/>
          <w:szCs w:val="20"/>
        </w:rPr>
        <w:t>5-етапният модел за признаване на приходи от договори с клиенти включва следните етапи:</w:t>
      </w:r>
    </w:p>
    <w:p w:rsidR="00863C99" w:rsidRPr="000E54EB" w:rsidRDefault="00863C99" w:rsidP="00E60E88">
      <w:pPr>
        <w:pStyle w:val="ListParagraph"/>
        <w:numPr>
          <w:ilvl w:val="0"/>
          <w:numId w:val="19"/>
        </w:numPr>
        <w:ind w:left="0" w:firstLine="284"/>
        <w:rPr>
          <w:rFonts w:ascii="Verdana" w:hAnsi="Verdana" w:cs="Verdana"/>
          <w:sz w:val="20"/>
          <w:szCs w:val="20"/>
        </w:rPr>
      </w:pPr>
      <w:r w:rsidRPr="000E54EB">
        <w:rPr>
          <w:rFonts w:ascii="Verdana" w:hAnsi="Verdana" w:cs="Verdana"/>
          <w:sz w:val="20"/>
          <w:szCs w:val="20"/>
        </w:rPr>
        <w:t>Етап 1 – идентифициране на договора – договор с клиент се отчита, когато са изпълнени всички от следните критерии:</w:t>
      </w:r>
    </w:p>
    <w:p w:rsidR="00863C99" w:rsidRPr="000E54EB" w:rsidRDefault="00863C99" w:rsidP="001A1576">
      <w:pPr>
        <w:ind w:firstLine="708"/>
        <w:rPr>
          <w:rFonts w:ascii="Verdana" w:hAnsi="Verdana" w:cs="Verdana"/>
          <w:sz w:val="20"/>
          <w:szCs w:val="20"/>
        </w:rPr>
      </w:pPr>
      <w:r w:rsidRPr="000E54EB">
        <w:rPr>
          <w:rFonts w:ascii="Verdana" w:hAnsi="Verdana" w:cs="Verdana"/>
          <w:sz w:val="20"/>
          <w:szCs w:val="20"/>
        </w:rPr>
        <w:t>- договорът е одобрен от страните по него;</w:t>
      </w:r>
    </w:p>
    <w:p w:rsidR="00863C99" w:rsidRPr="000E54EB" w:rsidRDefault="00863C99" w:rsidP="001A1576">
      <w:pPr>
        <w:ind w:firstLine="708"/>
        <w:rPr>
          <w:rFonts w:ascii="Verdana" w:hAnsi="Verdana" w:cs="Verdana"/>
          <w:sz w:val="20"/>
          <w:szCs w:val="20"/>
        </w:rPr>
      </w:pPr>
      <w:r w:rsidRPr="000E54EB">
        <w:rPr>
          <w:rFonts w:ascii="Verdana" w:hAnsi="Verdana" w:cs="Verdana"/>
          <w:sz w:val="20"/>
          <w:szCs w:val="20"/>
        </w:rPr>
        <w:t>- могат да бъдат идентифицирани правата на всяка от страните по договора по отношение на стоките или услугите, които се прехвърлят;</w:t>
      </w:r>
    </w:p>
    <w:p w:rsidR="00863C99" w:rsidRPr="000E54EB" w:rsidRDefault="00863C99" w:rsidP="00E75D9E">
      <w:pPr>
        <w:ind w:firstLine="708"/>
        <w:rPr>
          <w:rFonts w:ascii="Verdana" w:hAnsi="Verdana" w:cs="Verdana"/>
          <w:sz w:val="20"/>
          <w:szCs w:val="20"/>
        </w:rPr>
      </w:pPr>
      <w:r w:rsidRPr="000E54EB">
        <w:rPr>
          <w:rFonts w:ascii="Verdana" w:hAnsi="Verdana" w:cs="Verdana"/>
          <w:sz w:val="20"/>
          <w:szCs w:val="20"/>
        </w:rPr>
        <w:t>- могат да бъдат идентифицирани условията на плащане за стоките или услугите, които трябва да бъдат прехвърлени;</w:t>
      </w:r>
    </w:p>
    <w:p w:rsidR="00863C99" w:rsidRPr="000E54EB" w:rsidRDefault="00863C99" w:rsidP="00E75D9E">
      <w:pPr>
        <w:ind w:firstLine="708"/>
        <w:rPr>
          <w:rFonts w:ascii="Verdana" w:hAnsi="Verdana" w:cs="Verdana"/>
          <w:sz w:val="20"/>
          <w:szCs w:val="20"/>
        </w:rPr>
      </w:pPr>
      <w:r w:rsidRPr="000E54EB">
        <w:rPr>
          <w:rFonts w:ascii="Verdana" w:hAnsi="Verdana" w:cs="Verdana"/>
          <w:sz w:val="20"/>
          <w:szCs w:val="20"/>
        </w:rPr>
        <w:t>- договорът има търговска същност;</w:t>
      </w:r>
    </w:p>
    <w:p w:rsidR="00863C99" w:rsidRPr="000E54EB" w:rsidRDefault="00863C99" w:rsidP="00E75D9E">
      <w:pPr>
        <w:ind w:firstLine="708"/>
        <w:rPr>
          <w:rFonts w:ascii="Verdana" w:hAnsi="Verdana" w:cs="Verdana"/>
          <w:sz w:val="20"/>
          <w:szCs w:val="20"/>
        </w:rPr>
      </w:pPr>
      <w:r w:rsidRPr="000E54EB">
        <w:rPr>
          <w:rFonts w:ascii="Verdana" w:hAnsi="Verdana" w:cs="Verdana"/>
          <w:sz w:val="20"/>
          <w:szCs w:val="20"/>
        </w:rPr>
        <w:t>- има вероятност Дружеството да получи възнаграждението, на което то има право в замяна на стоките или услугите, които ще бъдат прехвърлени на клиента.</w:t>
      </w:r>
    </w:p>
    <w:p w:rsidR="00863C99" w:rsidRPr="000E54EB" w:rsidRDefault="00863C99" w:rsidP="00E75D9E">
      <w:pPr>
        <w:rPr>
          <w:rFonts w:ascii="Verdana" w:hAnsi="Verdana" w:cs="Verdana"/>
          <w:sz w:val="20"/>
          <w:szCs w:val="20"/>
        </w:rPr>
      </w:pPr>
      <w:r w:rsidRPr="000E54EB">
        <w:rPr>
          <w:rFonts w:ascii="Verdana" w:hAnsi="Verdana" w:cs="Verdana"/>
          <w:sz w:val="20"/>
          <w:szCs w:val="20"/>
        </w:rPr>
        <w:t>Ако не бъдат изпълнени всички от посочените по-горе критерии, договорът не се отчита в съответствие с изискванията на МСФО 15 Приходи от договори с клиенти.</w:t>
      </w:r>
    </w:p>
    <w:p w:rsidR="00863C99" w:rsidRPr="000E54EB" w:rsidRDefault="00863C99" w:rsidP="00E75D9E">
      <w:pPr>
        <w:rPr>
          <w:rFonts w:ascii="Verdana" w:hAnsi="Verdana" w:cs="Verdana"/>
          <w:sz w:val="20"/>
          <w:szCs w:val="20"/>
        </w:rPr>
      </w:pPr>
      <w:r w:rsidRPr="000E54EB">
        <w:rPr>
          <w:rFonts w:ascii="Verdana" w:hAnsi="Verdana" w:cs="Verdana"/>
          <w:sz w:val="20"/>
          <w:szCs w:val="20"/>
        </w:rPr>
        <w:t>Когато даден договор с клиент не отговаря на горните критерии и Дружеството получава възнаграждение от клиента, то признава полученото възнаграждение като приход само когато е настъпило някое от следните събития:</w:t>
      </w:r>
    </w:p>
    <w:p w:rsidR="00863C99" w:rsidRPr="000E54EB" w:rsidRDefault="00863C99" w:rsidP="00E60E88">
      <w:pPr>
        <w:pStyle w:val="ListParagraph"/>
        <w:numPr>
          <w:ilvl w:val="0"/>
          <w:numId w:val="18"/>
        </w:numPr>
        <w:ind w:left="0" w:firstLine="284"/>
        <w:rPr>
          <w:rFonts w:ascii="Verdana" w:hAnsi="Verdana" w:cs="Verdana"/>
          <w:sz w:val="20"/>
          <w:szCs w:val="20"/>
        </w:rPr>
      </w:pPr>
      <w:r w:rsidRPr="000E54EB">
        <w:rPr>
          <w:rFonts w:ascii="Verdana" w:hAnsi="Verdana" w:cs="Verdana"/>
          <w:sz w:val="20"/>
          <w:szCs w:val="20"/>
        </w:rPr>
        <w:t>Дружеството няма оставащи задължения за прехвърляне на стоки или услуги към клиента и е получило цялото или почти цялото от обещаното от клиента възнаграждение, което не подлежи на възстановяване;</w:t>
      </w:r>
    </w:p>
    <w:p w:rsidR="00863C99" w:rsidRPr="000E54EB" w:rsidRDefault="00863C99" w:rsidP="00E60E88">
      <w:pPr>
        <w:pStyle w:val="ListParagraph"/>
        <w:numPr>
          <w:ilvl w:val="0"/>
          <w:numId w:val="18"/>
        </w:numPr>
        <w:ind w:left="0" w:firstLine="284"/>
        <w:rPr>
          <w:rFonts w:ascii="Verdana" w:hAnsi="Verdana" w:cs="Verdana"/>
          <w:sz w:val="20"/>
          <w:szCs w:val="20"/>
        </w:rPr>
      </w:pPr>
      <w:r w:rsidRPr="000E54EB">
        <w:rPr>
          <w:rFonts w:ascii="Verdana" w:hAnsi="Verdana" w:cs="Verdana"/>
          <w:sz w:val="20"/>
          <w:szCs w:val="20"/>
        </w:rPr>
        <w:t>договорът е прекратен и полученото възнаграждение не подлежи на възстановяване.</w:t>
      </w:r>
    </w:p>
    <w:p w:rsidR="00863C99" w:rsidRPr="000E54EB" w:rsidRDefault="00863C99" w:rsidP="006F5935">
      <w:pPr>
        <w:rPr>
          <w:rFonts w:ascii="Verdana" w:hAnsi="Verdana" w:cs="Verdana"/>
          <w:sz w:val="20"/>
          <w:szCs w:val="20"/>
        </w:rPr>
      </w:pPr>
      <w:r w:rsidRPr="000E54EB">
        <w:rPr>
          <w:rFonts w:ascii="Verdana" w:hAnsi="Verdana" w:cs="Verdana"/>
          <w:sz w:val="20"/>
          <w:szCs w:val="20"/>
        </w:rPr>
        <w:t>Дружеството признава полученото възнаграждение като пасив, докато настъпи едно от събитията, посочени по-горе или докато критериите за признаване, изброени по-горе, бъдат изпълнени.</w:t>
      </w:r>
    </w:p>
    <w:p w:rsidR="00863C99" w:rsidRPr="000E54EB" w:rsidRDefault="00863C99" w:rsidP="00E60E88">
      <w:pPr>
        <w:pStyle w:val="ListParagraph"/>
        <w:numPr>
          <w:ilvl w:val="0"/>
          <w:numId w:val="19"/>
        </w:numPr>
        <w:ind w:left="0" w:firstLine="284"/>
        <w:rPr>
          <w:rFonts w:ascii="Verdana" w:hAnsi="Verdana" w:cs="Verdana"/>
          <w:sz w:val="20"/>
          <w:szCs w:val="20"/>
        </w:rPr>
      </w:pPr>
      <w:r w:rsidRPr="000E54EB">
        <w:rPr>
          <w:rFonts w:ascii="Verdana" w:hAnsi="Verdana" w:cs="Verdana"/>
          <w:sz w:val="20"/>
          <w:szCs w:val="20"/>
        </w:rPr>
        <w:t>Етап 2 – идентифициране на задължения за изпълнение – при влизане в сила на договора Дружеството оценява стоките или услугите, обещани по договора с клиент, и определя като задължение за изпълнение всяко обещание да прехвърли на клиента или:</w:t>
      </w:r>
    </w:p>
    <w:p w:rsidR="00863C99" w:rsidRPr="000E54EB" w:rsidRDefault="00863C99" w:rsidP="00E60E88">
      <w:pPr>
        <w:pStyle w:val="ListParagraph"/>
        <w:numPr>
          <w:ilvl w:val="0"/>
          <w:numId w:val="18"/>
        </w:numPr>
        <w:ind w:left="0" w:firstLine="284"/>
        <w:rPr>
          <w:rFonts w:ascii="Verdana" w:hAnsi="Verdana" w:cs="Verdana"/>
          <w:sz w:val="20"/>
          <w:szCs w:val="20"/>
        </w:rPr>
      </w:pPr>
      <w:r w:rsidRPr="000E54EB">
        <w:rPr>
          <w:rFonts w:ascii="Verdana" w:hAnsi="Verdana" w:cs="Verdana"/>
          <w:sz w:val="20"/>
          <w:szCs w:val="20"/>
        </w:rPr>
        <w:t>стока или услуга (или набор от стоки или услуги), която е отделна;</w:t>
      </w:r>
    </w:p>
    <w:p w:rsidR="00863C99" w:rsidRPr="000E54EB" w:rsidRDefault="00863C99" w:rsidP="00E60E88">
      <w:pPr>
        <w:pStyle w:val="ListParagraph"/>
        <w:numPr>
          <w:ilvl w:val="0"/>
          <w:numId w:val="18"/>
        </w:numPr>
        <w:ind w:left="0" w:firstLine="284"/>
        <w:rPr>
          <w:rFonts w:ascii="Verdana" w:hAnsi="Verdana" w:cs="Verdana"/>
          <w:sz w:val="20"/>
          <w:szCs w:val="20"/>
        </w:rPr>
      </w:pPr>
      <w:r w:rsidRPr="000E54EB">
        <w:rPr>
          <w:rFonts w:ascii="Verdana" w:hAnsi="Verdana" w:cs="Verdana"/>
          <w:sz w:val="20"/>
          <w:szCs w:val="20"/>
        </w:rPr>
        <w:t>поредица от отделни стоки или услуги, които по същество са еднакви и имат същия модел на прехвърляне на клиента.</w:t>
      </w:r>
    </w:p>
    <w:p w:rsidR="00863C99" w:rsidRPr="000E54EB" w:rsidRDefault="00863C99" w:rsidP="00E60E88">
      <w:pPr>
        <w:pStyle w:val="ListParagraph"/>
        <w:numPr>
          <w:ilvl w:val="0"/>
          <w:numId w:val="19"/>
        </w:numPr>
        <w:ind w:left="0" w:firstLine="284"/>
        <w:rPr>
          <w:rFonts w:ascii="Verdana" w:hAnsi="Verdana" w:cs="Verdana"/>
          <w:sz w:val="20"/>
          <w:szCs w:val="20"/>
        </w:rPr>
      </w:pPr>
      <w:r w:rsidRPr="000E54EB">
        <w:rPr>
          <w:rFonts w:ascii="Verdana" w:hAnsi="Verdana" w:cs="Verdana"/>
          <w:sz w:val="20"/>
          <w:szCs w:val="20"/>
        </w:rPr>
        <w:t xml:space="preserve">Етап 3 – определяне на цената на сделката – при определяне на цената на сделката Дружеството взема предвид условията на договора и обичайните си търговски </w:t>
      </w:r>
      <w:r w:rsidRPr="000E54EB">
        <w:rPr>
          <w:rFonts w:ascii="Verdana" w:hAnsi="Verdana" w:cs="Verdana"/>
          <w:sz w:val="20"/>
          <w:szCs w:val="20"/>
        </w:rPr>
        <w:lastRenderedPageBreak/>
        <w:t>практики. Цената на сделката е размерът на възнаграждението, на който Дружеството очаква да има право в замяна на прехвърлянето на клиента на обещаните стоки или услуги, с изключение на сумите, събрани от името на трети страни (например данък върху добавената стойност). Обещаното в договора с клиента възнаграждение може да включва фиксирани суми, променливи суми, или и двете.</w:t>
      </w:r>
    </w:p>
    <w:p w:rsidR="00863C99" w:rsidRPr="000E54EB" w:rsidRDefault="00863C99" w:rsidP="00E60E88">
      <w:pPr>
        <w:pStyle w:val="ListParagraph"/>
        <w:numPr>
          <w:ilvl w:val="0"/>
          <w:numId w:val="19"/>
        </w:numPr>
        <w:ind w:left="0" w:firstLine="284"/>
        <w:rPr>
          <w:rFonts w:ascii="Verdana" w:hAnsi="Verdana" w:cs="Verdana"/>
          <w:sz w:val="20"/>
          <w:szCs w:val="20"/>
        </w:rPr>
      </w:pPr>
      <w:r w:rsidRPr="000E54EB">
        <w:rPr>
          <w:rFonts w:ascii="Verdana" w:hAnsi="Verdana" w:cs="Verdana"/>
          <w:sz w:val="20"/>
          <w:szCs w:val="20"/>
        </w:rPr>
        <w:t>Етап 4 – разпределяне на цената на сделката към задълженията за изпълнение – цената на сделката се разпределя към всяко задължение за изпълнение (или към всяка отделна стока или услуга) в размер, който отразява сумата на възнаграждението, на което Дружеството очаква да има право в замяна на прехвърлянето на обещаните стоки или услуги на клиента. Разпределянето на цената на сделката се извършва на въз основа на относителна единична продажна цена на всяка отделна стока или услуга.</w:t>
      </w:r>
    </w:p>
    <w:p w:rsidR="00863C99" w:rsidRPr="000E54EB" w:rsidRDefault="00863C99" w:rsidP="00E60E88">
      <w:pPr>
        <w:pStyle w:val="ListParagraph"/>
        <w:numPr>
          <w:ilvl w:val="0"/>
          <w:numId w:val="19"/>
        </w:numPr>
        <w:ind w:left="0" w:firstLine="284"/>
        <w:rPr>
          <w:rFonts w:ascii="Verdana" w:hAnsi="Verdana" w:cs="Verdana"/>
          <w:sz w:val="20"/>
          <w:szCs w:val="20"/>
        </w:rPr>
      </w:pPr>
      <w:r w:rsidRPr="000E54EB">
        <w:rPr>
          <w:rFonts w:ascii="Verdana" w:hAnsi="Verdana" w:cs="Verdana"/>
          <w:sz w:val="20"/>
          <w:szCs w:val="20"/>
        </w:rPr>
        <w:t>Етап 5 – признаване на прихода, когато (или докато) Дружеството удовлетвори или удовлетворява задължението за изпълнение – приходът се признава, когато (или докато) Дружеството удовлетвори задължението за изпълнение, като прехвърли стоките или услугите на клиента. Те се считат за прехвърлени на клиента, когато той получи контрол върху тях. За всяка задължение за изпълнение се определя при влизането в сила на договора, дали то удовлетворява задължението за изпълнение с течение на времето или към определен момент във времето.</w:t>
      </w:r>
    </w:p>
    <w:p w:rsidR="00863C99" w:rsidRPr="000E54EB" w:rsidRDefault="00863C99" w:rsidP="00B630E5">
      <w:pPr>
        <w:rPr>
          <w:rFonts w:ascii="Verdana" w:hAnsi="Verdana" w:cs="Verdana"/>
          <w:sz w:val="20"/>
          <w:szCs w:val="20"/>
        </w:rPr>
      </w:pPr>
      <w:r w:rsidRPr="000E54EB">
        <w:rPr>
          <w:rFonts w:ascii="Verdana" w:hAnsi="Verdana" w:cs="Verdana"/>
          <w:sz w:val="20"/>
          <w:szCs w:val="20"/>
        </w:rPr>
        <w:t>Дружеството прехвърля контрола върху стока или услуга с течение на времето и признава приходи с течение на времето, ако е спазен един от следните критерии:</w:t>
      </w:r>
    </w:p>
    <w:p w:rsidR="00863C99" w:rsidRPr="000E54EB" w:rsidRDefault="00863C99" w:rsidP="00B630E5">
      <w:pPr>
        <w:ind w:firstLine="708"/>
        <w:rPr>
          <w:rFonts w:ascii="Verdana" w:hAnsi="Verdana" w:cs="Verdana"/>
          <w:sz w:val="20"/>
          <w:szCs w:val="20"/>
        </w:rPr>
      </w:pPr>
      <w:r w:rsidRPr="000E54EB">
        <w:rPr>
          <w:rFonts w:ascii="Verdana" w:hAnsi="Verdana" w:cs="Verdana"/>
          <w:sz w:val="20"/>
          <w:szCs w:val="20"/>
        </w:rPr>
        <w:t>- клиентът едновременно получава и потребява ползите, получени от дейността на Дружеството в хода на изпълнение на тези дейности – това най-често са рутинни и повтарящи се услуги;</w:t>
      </w:r>
    </w:p>
    <w:p w:rsidR="00863C99" w:rsidRPr="000E54EB" w:rsidRDefault="00863C99" w:rsidP="00B630E5">
      <w:pPr>
        <w:ind w:firstLine="708"/>
        <w:rPr>
          <w:rFonts w:ascii="Verdana" w:hAnsi="Verdana" w:cs="Verdana"/>
          <w:sz w:val="20"/>
          <w:szCs w:val="20"/>
        </w:rPr>
      </w:pPr>
      <w:r w:rsidRPr="000E54EB">
        <w:rPr>
          <w:rFonts w:ascii="Verdana" w:hAnsi="Verdana" w:cs="Verdana"/>
          <w:sz w:val="20"/>
          <w:szCs w:val="20"/>
        </w:rPr>
        <w:t>- в резултат на дейността на Дружеството се създава или подобрява актив, който клиентът контролира в хода на създаването или подобряването на актива – това най-често е строителство на сгради или незавършено производство, върху което клиента може да има контрол;</w:t>
      </w:r>
    </w:p>
    <w:p w:rsidR="00863C99" w:rsidRPr="000E54EB" w:rsidRDefault="00863C99" w:rsidP="00B630E5">
      <w:pPr>
        <w:ind w:firstLine="708"/>
        <w:rPr>
          <w:rFonts w:ascii="Verdana" w:hAnsi="Verdana" w:cs="Verdana"/>
          <w:sz w:val="20"/>
          <w:szCs w:val="20"/>
        </w:rPr>
      </w:pPr>
      <w:r w:rsidRPr="000E54EB">
        <w:rPr>
          <w:rFonts w:ascii="Verdana" w:hAnsi="Verdana" w:cs="Verdana"/>
          <w:sz w:val="20"/>
          <w:szCs w:val="20"/>
        </w:rPr>
        <w:t>- в резултат на дейността на Дружеството не се създава актив с алтернативна употреба за Дружеството и то разполага с обвързващо право да получи плащане за извършената към съответната дата дейност – това най-често е създаване на специализиран актив, който може да бъде ползван единствено от клиента.</w:t>
      </w:r>
    </w:p>
    <w:p w:rsidR="00863C99" w:rsidRPr="000E54EB" w:rsidRDefault="00863C99" w:rsidP="00B66DF8">
      <w:pPr>
        <w:rPr>
          <w:rFonts w:ascii="Verdana" w:hAnsi="Verdana" w:cs="Verdana"/>
          <w:sz w:val="20"/>
          <w:szCs w:val="20"/>
        </w:rPr>
      </w:pPr>
    </w:p>
    <w:p w:rsidR="00863C99" w:rsidRPr="000E54EB" w:rsidRDefault="00863C99" w:rsidP="00B66DF8">
      <w:pPr>
        <w:pStyle w:val="Heading3"/>
        <w:spacing w:before="0"/>
        <w:rPr>
          <w:rFonts w:ascii="Verdana" w:hAnsi="Verdana" w:cs="Verdana"/>
          <w:lang w:val="bg-BG"/>
        </w:rPr>
      </w:pPr>
      <w:bookmarkStart w:id="30" w:name="_Toc4328765"/>
      <w:r w:rsidRPr="000E54EB">
        <w:rPr>
          <w:rFonts w:ascii="Verdana" w:hAnsi="Verdana" w:cs="Verdana"/>
          <w:lang w:val="bg-BG"/>
        </w:rPr>
        <w:t>Такси за инсталация</w:t>
      </w:r>
      <w:bookmarkEnd w:id="30"/>
    </w:p>
    <w:p w:rsidR="00863C99" w:rsidRPr="000E54EB" w:rsidRDefault="00863C99" w:rsidP="00B66DF8">
      <w:pPr>
        <w:rPr>
          <w:rFonts w:ascii="Verdana" w:hAnsi="Verdana" w:cs="Verdana"/>
          <w:sz w:val="20"/>
          <w:szCs w:val="20"/>
        </w:rPr>
      </w:pPr>
      <w:r w:rsidRPr="000E54EB">
        <w:rPr>
          <w:rFonts w:ascii="Verdana" w:hAnsi="Verdana" w:cs="Verdana"/>
          <w:sz w:val="20"/>
          <w:szCs w:val="20"/>
        </w:rPr>
        <w:t>Таксите за инсталиране сe признават с оглед етапа на завършеност на инсталационната дейност на датата на отчитане, освен, ако те не са свързани с продажбата на даден продукт, в който случай те се признават, когато стоките се продадат. По принцип, етапът на завършеност се основава на човекочасовете или направените разходи, или друг подходящ метод според типа на договора.</w:t>
      </w:r>
    </w:p>
    <w:p w:rsidR="00863C99" w:rsidRPr="000E54EB" w:rsidRDefault="00863C99" w:rsidP="00B66DF8">
      <w:pPr>
        <w:rPr>
          <w:rFonts w:ascii="Verdana" w:hAnsi="Verdana" w:cs="Verdana"/>
          <w:sz w:val="20"/>
          <w:szCs w:val="20"/>
        </w:rPr>
      </w:pPr>
    </w:p>
    <w:p w:rsidR="00863C99" w:rsidRPr="000E54EB" w:rsidRDefault="00863C99" w:rsidP="00B66DF8">
      <w:pPr>
        <w:pStyle w:val="Heading3"/>
        <w:spacing w:before="0"/>
        <w:rPr>
          <w:rFonts w:ascii="Verdana" w:hAnsi="Verdana" w:cs="Verdana"/>
          <w:lang w:val="bg-BG"/>
        </w:rPr>
      </w:pPr>
      <w:bookmarkStart w:id="31" w:name="_Toc4328766"/>
      <w:r w:rsidRPr="000E54EB">
        <w:rPr>
          <w:rFonts w:ascii="Verdana" w:hAnsi="Verdana" w:cs="Verdana"/>
          <w:lang w:val="bg-BG"/>
        </w:rPr>
        <w:t>Такси за обслужване</w:t>
      </w:r>
      <w:bookmarkEnd w:id="31"/>
    </w:p>
    <w:p w:rsidR="00863C99" w:rsidRPr="000E54EB" w:rsidRDefault="00863C99" w:rsidP="00B66DF8">
      <w:pPr>
        <w:rPr>
          <w:rFonts w:ascii="Verdana" w:hAnsi="Verdana" w:cs="Verdana"/>
          <w:sz w:val="20"/>
          <w:szCs w:val="20"/>
        </w:rPr>
      </w:pPr>
      <w:r w:rsidRPr="000E54EB">
        <w:rPr>
          <w:rFonts w:ascii="Verdana" w:hAnsi="Verdana" w:cs="Verdana"/>
          <w:sz w:val="20"/>
          <w:szCs w:val="20"/>
        </w:rPr>
        <w:t>Таксите за обслужване се признават през периода на договора за обслужване.</w:t>
      </w:r>
    </w:p>
    <w:p w:rsidR="00863C99" w:rsidRPr="000E54EB" w:rsidRDefault="00863C99" w:rsidP="00B66DF8">
      <w:pPr>
        <w:rPr>
          <w:rFonts w:ascii="Verdana" w:hAnsi="Verdana" w:cs="Verdana"/>
          <w:sz w:val="20"/>
          <w:szCs w:val="20"/>
        </w:rPr>
      </w:pPr>
    </w:p>
    <w:p w:rsidR="00863C99" w:rsidRPr="000E54EB" w:rsidRDefault="00863C99" w:rsidP="00B66DF8">
      <w:pPr>
        <w:pStyle w:val="Heading3"/>
        <w:spacing w:before="0"/>
        <w:rPr>
          <w:rFonts w:ascii="Verdana" w:hAnsi="Verdana" w:cs="Verdana"/>
          <w:lang w:val="bg-BG"/>
        </w:rPr>
      </w:pPr>
      <w:bookmarkStart w:id="32" w:name="_Toc4328767"/>
      <w:r w:rsidRPr="000E54EB">
        <w:rPr>
          <w:rFonts w:ascii="Verdana" w:hAnsi="Verdana" w:cs="Verdana"/>
          <w:lang w:val="bg-BG"/>
        </w:rPr>
        <w:t>Споразумения с множество елементи</w:t>
      </w:r>
      <w:bookmarkEnd w:id="32"/>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При някои обстоятелства, продуктите се продават в едно с други допълнителни елементи („в пакет”). Пакетът би могъл да включва един или няколко от следните елементи: обслужване, инсталация, бъдещо техническо подобрение или други конкретни за случая елементи. В тези случаи, критериите за признаване на приход описани по-горе се прилагат към делимите компоненти в пакета, за да отразят същността на сделката. </w:t>
      </w:r>
    </w:p>
    <w:p w:rsidR="00863C99" w:rsidRPr="000E54EB" w:rsidRDefault="00863C99" w:rsidP="00B66DF8">
      <w:pPr>
        <w:rPr>
          <w:rFonts w:ascii="Verdana" w:hAnsi="Verdana" w:cs="Verdana"/>
          <w:sz w:val="20"/>
          <w:szCs w:val="20"/>
        </w:rPr>
      </w:pPr>
    </w:p>
    <w:p w:rsidR="00863C99" w:rsidRPr="000E54EB" w:rsidRDefault="00863C99" w:rsidP="00B66DF8">
      <w:pPr>
        <w:pStyle w:val="Heading2"/>
        <w:spacing w:before="0"/>
        <w:rPr>
          <w:rFonts w:ascii="Verdana" w:hAnsi="Verdana" w:cs="Verdana"/>
          <w:sz w:val="20"/>
          <w:szCs w:val="20"/>
          <w:lang w:val="bg-BG"/>
        </w:rPr>
      </w:pPr>
      <w:bookmarkStart w:id="33" w:name="_Toc4328768"/>
      <w:r w:rsidRPr="000E54EB">
        <w:rPr>
          <w:rFonts w:ascii="Verdana" w:hAnsi="Verdana" w:cs="Verdana"/>
          <w:sz w:val="20"/>
          <w:szCs w:val="20"/>
          <w:lang w:val="bg-BG"/>
        </w:rPr>
        <w:t>РАЗХОДИ</w:t>
      </w:r>
      <w:bookmarkEnd w:id="33"/>
    </w:p>
    <w:p w:rsidR="00863C99" w:rsidRPr="000E54EB" w:rsidRDefault="00863C99" w:rsidP="00B66DF8">
      <w:pPr>
        <w:rPr>
          <w:rFonts w:ascii="Verdana" w:hAnsi="Verdana" w:cs="Verdana"/>
          <w:spacing w:val="-1"/>
          <w:sz w:val="20"/>
          <w:szCs w:val="20"/>
        </w:rPr>
      </w:pPr>
      <w:r w:rsidRPr="000E54EB">
        <w:rPr>
          <w:rFonts w:ascii="Verdana" w:hAnsi="Verdana" w:cs="Verdana"/>
          <w:spacing w:val="-1"/>
          <w:sz w:val="20"/>
          <w:szCs w:val="20"/>
        </w:rPr>
        <w:t xml:space="preserve">Дружеството отчита текущо разходите за дейността по икономически елементи и след това ги отнася по функционално предназначение с цел формиране размера на разходите по направления и дейности. Признаването на разходи за текущия период се извършва при начисляване на съответстващите им приходи. </w:t>
      </w:r>
    </w:p>
    <w:p w:rsidR="00863C99" w:rsidRPr="000E54EB" w:rsidRDefault="00863C99" w:rsidP="00B66DF8">
      <w:pPr>
        <w:rPr>
          <w:rFonts w:ascii="Verdana" w:hAnsi="Verdana" w:cs="Verdana"/>
          <w:spacing w:val="-1"/>
          <w:sz w:val="20"/>
          <w:szCs w:val="20"/>
        </w:rPr>
      </w:pPr>
      <w:r w:rsidRPr="000E54EB">
        <w:rPr>
          <w:rFonts w:ascii="Verdana" w:hAnsi="Verdana" w:cs="Verdana"/>
          <w:spacing w:val="-1"/>
          <w:sz w:val="20"/>
          <w:szCs w:val="20"/>
        </w:rPr>
        <w:lastRenderedPageBreak/>
        <w:t xml:space="preserve">Разходите се отчитат на принципа „текущо начисляване“. Оценяват се по справедливата стойност на платеното или на предстоящото за плащане. </w:t>
      </w:r>
    </w:p>
    <w:p w:rsidR="00863C99" w:rsidRPr="000E54EB" w:rsidRDefault="00863C99" w:rsidP="00B66DF8">
      <w:pPr>
        <w:ind w:right="-1370"/>
        <w:jc w:val="left"/>
        <w:rPr>
          <w:rFonts w:ascii="Verdana" w:hAnsi="Verdana" w:cs="Verdana"/>
          <w:sz w:val="20"/>
          <w:szCs w:val="20"/>
        </w:rPr>
      </w:pPr>
      <w:bookmarkStart w:id="34" w:name="_Toc156995270"/>
      <w:bookmarkStart w:id="35" w:name="_Toc169634811"/>
    </w:p>
    <w:p w:rsidR="00863C99" w:rsidRPr="000E54EB" w:rsidRDefault="00863C99" w:rsidP="00B66DF8">
      <w:pPr>
        <w:pStyle w:val="Heading3"/>
        <w:spacing w:before="0"/>
        <w:rPr>
          <w:rFonts w:ascii="Verdana" w:hAnsi="Verdana" w:cs="Verdana"/>
          <w:lang w:val="bg-BG"/>
        </w:rPr>
      </w:pPr>
      <w:bookmarkStart w:id="36" w:name="_Toc4328769"/>
      <w:r w:rsidRPr="000E54EB">
        <w:rPr>
          <w:rFonts w:ascii="Verdana" w:hAnsi="Verdana" w:cs="Verdana"/>
          <w:lang w:val="bg-BG"/>
        </w:rPr>
        <w:t>Общи и административни разходи</w:t>
      </w:r>
      <w:bookmarkEnd w:id="34"/>
      <w:bookmarkEnd w:id="35"/>
      <w:bookmarkEnd w:id="36"/>
    </w:p>
    <w:p w:rsidR="00863C99" w:rsidRPr="000E54EB" w:rsidRDefault="00863C99" w:rsidP="001A1576">
      <w:pPr>
        <w:rPr>
          <w:rFonts w:ascii="Verdana" w:hAnsi="Verdana" w:cs="Verdana"/>
          <w:spacing w:val="-1"/>
          <w:sz w:val="20"/>
          <w:szCs w:val="20"/>
        </w:rPr>
      </w:pPr>
      <w:r w:rsidRPr="000E54EB">
        <w:rPr>
          <w:rFonts w:ascii="Verdana" w:hAnsi="Verdana" w:cs="Verdana"/>
          <w:spacing w:val="-1"/>
          <w:sz w:val="20"/>
          <w:szCs w:val="20"/>
        </w:rPr>
        <w:t xml:space="preserve">Тази разходна категория включва всички разходи от общ и административен характер. </w:t>
      </w:r>
    </w:p>
    <w:p w:rsidR="00863C99" w:rsidRPr="000E54EB" w:rsidRDefault="00863C99" w:rsidP="00B66DF8">
      <w:pPr>
        <w:ind w:right="-1370"/>
        <w:jc w:val="left"/>
        <w:rPr>
          <w:rFonts w:ascii="Verdana" w:hAnsi="Verdana" w:cs="Verdana"/>
          <w:sz w:val="20"/>
          <w:szCs w:val="20"/>
        </w:rPr>
      </w:pPr>
    </w:p>
    <w:p w:rsidR="00863C99" w:rsidRPr="000E54EB" w:rsidRDefault="00863C99" w:rsidP="009F1108">
      <w:pPr>
        <w:pStyle w:val="Heading3"/>
        <w:spacing w:before="0"/>
        <w:rPr>
          <w:rFonts w:ascii="Verdana" w:hAnsi="Verdana" w:cs="Verdana"/>
          <w:lang w:val="bg-BG"/>
        </w:rPr>
      </w:pPr>
      <w:bookmarkStart w:id="37" w:name="_Toc4328770"/>
      <w:r w:rsidRPr="000E54EB">
        <w:rPr>
          <w:rFonts w:ascii="Verdana" w:hAnsi="Verdana" w:cs="Verdana"/>
          <w:lang w:val="bg-BG"/>
        </w:rPr>
        <w:t>Разходи за постигане и изпълнение на договор с клиент</w:t>
      </w:r>
      <w:bookmarkEnd w:id="37"/>
    </w:p>
    <w:p w:rsidR="00863C99" w:rsidRPr="000E54EB" w:rsidRDefault="00863C99" w:rsidP="00342616">
      <w:pPr>
        <w:rPr>
          <w:rFonts w:ascii="Verdana" w:hAnsi="Verdana" w:cs="Verdana"/>
          <w:spacing w:val="-1"/>
          <w:sz w:val="20"/>
          <w:szCs w:val="20"/>
        </w:rPr>
      </w:pPr>
      <w:r w:rsidRPr="000E54EB">
        <w:rPr>
          <w:rFonts w:ascii="Verdana" w:hAnsi="Verdana" w:cs="Verdana"/>
          <w:spacing w:val="-1"/>
          <w:sz w:val="20"/>
          <w:szCs w:val="20"/>
        </w:rPr>
        <w:t>Дружеството признава като актив допълнителните разходи за постигането на договор с клиент, само ако Дружеството очаква тези разходи да му бъдат възстановени. Това са разходите, които Дружеството прави за постигане на договор с клиент, които то не би направило ако договора не беше факт. Ако разходите за постигане на договор не отговарят на посочените условия, те се признават като разход в момента на тяхното възникване.</w:t>
      </w:r>
    </w:p>
    <w:p w:rsidR="00863C99" w:rsidRPr="000E54EB" w:rsidRDefault="00863C99" w:rsidP="00342616">
      <w:pPr>
        <w:rPr>
          <w:rFonts w:ascii="Verdana" w:hAnsi="Verdana" w:cs="Verdana"/>
          <w:spacing w:val="-1"/>
          <w:sz w:val="20"/>
          <w:szCs w:val="20"/>
        </w:rPr>
      </w:pPr>
      <w:r w:rsidRPr="000E54EB">
        <w:rPr>
          <w:rFonts w:ascii="Verdana" w:hAnsi="Verdana" w:cs="Verdana"/>
          <w:spacing w:val="-1"/>
          <w:sz w:val="20"/>
          <w:szCs w:val="20"/>
        </w:rPr>
        <w:t>Ако разходите, направени при изпълнението на договор с клиент, не попадат в обхвата МСС 2,         МСС 16, МСС 38, МСС 40, МСС 41, Дружеството признава актив от разходите, направени за изпълнение на договор, само ако тези разходи отговарят на всеки един от следните критерии:</w:t>
      </w:r>
    </w:p>
    <w:p w:rsidR="00863C99" w:rsidRPr="000E54EB" w:rsidRDefault="00863C99" w:rsidP="00E60E88">
      <w:pPr>
        <w:pStyle w:val="ListParagraph"/>
        <w:numPr>
          <w:ilvl w:val="0"/>
          <w:numId w:val="18"/>
        </w:numPr>
        <w:ind w:left="0" w:firstLine="284"/>
        <w:rPr>
          <w:rFonts w:ascii="Verdana" w:hAnsi="Verdana" w:cs="Verdana"/>
          <w:sz w:val="20"/>
          <w:szCs w:val="20"/>
        </w:rPr>
      </w:pPr>
      <w:r w:rsidRPr="000E54EB">
        <w:rPr>
          <w:rFonts w:ascii="Verdana" w:hAnsi="Verdana" w:cs="Verdana"/>
          <w:sz w:val="20"/>
          <w:szCs w:val="20"/>
        </w:rPr>
        <w:t>разходите се отнасят пряко към даден договор или към очакван договор, който Дружеството може да идентифицира конкретно;</w:t>
      </w:r>
    </w:p>
    <w:p w:rsidR="00863C99" w:rsidRPr="000E54EB" w:rsidRDefault="00863C99" w:rsidP="00E60E88">
      <w:pPr>
        <w:pStyle w:val="ListParagraph"/>
        <w:numPr>
          <w:ilvl w:val="0"/>
          <w:numId w:val="18"/>
        </w:numPr>
        <w:ind w:left="0" w:firstLine="284"/>
        <w:rPr>
          <w:rFonts w:ascii="Verdana" w:hAnsi="Verdana" w:cs="Verdana"/>
          <w:sz w:val="20"/>
          <w:szCs w:val="20"/>
        </w:rPr>
      </w:pPr>
      <w:r w:rsidRPr="000E54EB">
        <w:rPr>
          <w:rFonts w:ascii="Verdana" w:hAnsi="Verdana" w:cs="Verdana"/>
          <w:sz w:val="20"/>
          <w:szCs w:val="20"/>
        </w:rPr>
        <w:t>разходите създават или подобряват ресурсите на Дружеството, които ще бъдат използвани за удовлетворяване в бъдеще (или за продължаване на удовлетворяването) на задължения за изпълнение;</w:t>
      </w:r>
    </w:p>
    <w:p w:rsidR="00863C99" w:rsidRPr="000E54EB" w:rsidRDefault="00863C99" w:rsidP="00E60E88">
      <w:pPr>
        <w:pStyle w:val="ListParagraph"/>
        <w:numPr>
          <w:ilvl w:val="0"/>
          <w:numId w:val="18"/>
        </w:numPr>
        <w:ind w:left="0" w:firstLine="284"/>
        <w:rPr>
          <w:rFonts w:ascii="Verdana" w:hAnsi="Verdana" w:cs="Verdana"/>
          <w:sz w:val="20"/>
          <w:szCs w:val="20"/>
        </w:rPr>
      </w:pPr>
      <w:r w:rsidRPr="000E54EB">
        <w:rPr>
          <w:rFonts w:ascii="Verdana" w:hAnsi="Verdana" w:cs="Verdana"/>
          <w:sz w:val="20"/>
          <w:szCs w:val="20"/>
        </w:rPr>
        <w:t>очаква се разходите да бъдат възстановени.</w:t>
      </w:r>
    </w:p>
    <w:p w:rsidR="00863C99" w:rsidRPr="000E54EB" w:rsidRDefault="00863C99" w:rsidP="00342616">
      <w:pPr>
        <w:rPr>
          <w:rFonts w:ascii="Verdana" w:hAnsi="Verdana" w:cs="Verdana"/>
          <w:sz w:val="20"/>
          <w:szCs w:val="20"/>
        </w:rPr>
      </w:pPr>
      <w:r w:rsidRPr="000E54EB">
        <w:rPr>
          <w:rFonts w:ascii="Verdana" w:hAnsi="Verdana" w:cs="Verdana"/>
          <w:sz w:val="20"/>
          <w:szCs w:val="20"/>
        </w:rPr>
        <w:t>Активите, признати в съответствие с горните текстове, се амортизират на систематична база, която съответства на прехвърлянето към клиента на стоките или услугите, за които се отнася активът.</w:t>
      </w:r>
    </w:p>
    <w:p w:rsidR="00863C99" w:rsidRPr="000E54EB" w:rsidRDefault="00863C99" w:rsidP="00342616">
      <w:pPr>
        <w:rPr>
          <w:rFonts w:ascii="Verdana" w:hAnsi="Verdana" w:cs="Verdana"/>
          <w:sz w:val="20"/>
          <w:szCs w:val="20"/>
        </w:rPr>
      </w:pPr>
      <w:r w:rsidRPr="000E54EB">
        <w:rPr>
          <w:rFonts w:ascii="Verdana" w:hAnsi="Verdana" w:cs="Verdana"/>
          <w:sz w:val="20"/>
          <w:szCs w:val="20"/>
        </w:rPr>
        <w:t>Дружеството признава загуба от обезценка на подобни активи, до степента в която балансовата стойност на подобен актив превишава:</w:t>
      </w:r>
    </w:p>
    <w:p w:rsidR="00863C99" w:rsidRPr="000E54EB" w:rsidRDefault="00863C99" w:rsidP="00342616">
      <w:pPr>
        <w:rPr>
          <w:rFonts w:ascii="Verdana" w:hAnsi="Verdana" w:cs="Verdana"/>
          <w:sz w:val="20"/>
          <w:szCs w:val="20"/>
        </w:rPr>
      </w:pPr>
      <w:r w:rsidRPr="000E54EB">
        <w:rPr>
          <w:rFonts w:ascii="Verdana" w:hAnsi="Verdana" w:cs="Verdana"/>
          <w:sz w:val="20"/>
          <w:szCs w:val="20"/>
        </w:rPr>
        <w:tab/>
        <w:t>- остатъчния размер на възнаграждението, което Дружеството очаква да получи в замяна на стоките или услугите, за които се отнася активът;</w:t>
      </w:r>
    </w:p>
    <w:p w:rsidR="00863C99" w:rsidRPr="000E54EB" w:rsidRDefault="00863C99" w:rsidP="001A1576">
      <w:pPr>
        <w:rPr>
          <w:rFonts w:ascii="Verdana" w:hAnsi="Verdana" w:cs="Verdana"/>
          <w:sz w:val="20"/>
          <w:szCs w:val="20"/>
        </w:rPr>
      </w:pPr>
      <w:r w:rsidRPr="000E54EB">
        <w:rPr>
          <w:rFonts w:ascii="Verdana" w:hAnsi="Verdana" w:cs="Verdana"/>
          <w:sz w:val="20"/>
          <w:szCs w:val="20"/>
        </w:rPr>
        <w:tab/>
        <w:t>- разходите, които са пряко свързани с предоставянето на тези стоки или услуги и които не са били признати като разходи.</w:t>
      </w:r>
    </w:p>
    <w:p w:rsidR="00863C99" w:rsidRPr="000E54EB" w:rsidRDefault="00863C99" w:rsidP="00B66DF8">
      <w:pPr>
        <w:rPr>
          <w:rFonts w:ascii="Verdana" w:hAnsi="Verdana" w:cs="Verdana"/>
          <w:color w:val="FF0000"/>
          <w:spacing w:val="-1"/>
          <w:sz w:val="20"/>
          <w:szCs w:val="20"/>
        </w:rPr>
      </w:pPr>
      <w:bookmarkStart w:id="38" w:name="_Toc169634819"/>
    </w:p>
    <w:p w:rsidR="00863C99" w:rsidRPr="000E54EB" w:rsidRDefault="00863C99" w:rsidP="00B66DF8">
      <w:pPr>
        <w:pStyle w:val="Heading3"/>
        <w:spacing w:before="0"/>
        <w:rPr>
          <w:rFonts w:ascii="Verdana" w:hAnsi="Verdana" w:cs="Verdana"/>
          <w:lang w:val="bg-BG"/>
        </w:rPr>
      </w:pPr>
      <w:bookmarkStart w:id="39" w:name="_Toc4328771"/>
      <w:r w:rsidRPr="000E54EB">
        <w:rPr>
          <w:rFonts w:ascii="Verdana" w:hAnsi="Verdana" w:cs="Verdana"/>
          <w:lang w:val="bg-BG"/>
        </w:rPr>
        <w:t>Разходи за обезценка</w:t>
      </w:r>
      <w:bookmarkEnd w:id="39"/>
    </w:p>
    <w:p w:rsidR="00863C99" w:rsidRPr="000E54EB" w:rsidRDefault="00863C99" w:rsidP="00B66DF8">
      <w:pPr>
        <w:ind w:right="-1"/>
        <w:rPr>
          <w:rFonts w:ascii="Verdana" w:hAnsi="Verdana" w:cs="Verdana"/>
          <w:sz w:val="20"/>
          <w:szCs w:val="20"/>
        </w:rPr>
      </w:pPr>
      <w:r w:rsidRPr="000E54EB">
        <w:rPr>
          <w:rFonts w:ascii="Verdana" w:hAnsi="Verdana" w:cs="Verdana"/>
          <w:sz w:val="20"/>
          <w:szCs w:val="20"/>
        </w:rPr>
        <w:t>Дружеството извършва периодично поне веднъж към датата на финансовия отчет прегледи за наличие/отсъствие на условия за обезценка на финансовите и нефинансовите си активи. Разходите от обезценка на активите се признават в отчета за печалбата или загубата и другия всеобхватен доход като разходи от дейността в статиите„разходи за обезценки на нефинансови активи“ и „нетни загуби/печалби от обезценка на финансови активи“. Принципите на обезценка са подробно разяснени в пояснителните бележки към съответните групи от активи.</w:t>
      </w:r>
    </w:p>
    <w:p w:rsidR="00863C99" w:rsidRPr="000E54EB" w:rsidRDefault="00863C99" w:rsidP="00B66DF8">
      <w:pPr>
        <w:rPr>
          <w:rFonts w:ascii="Verdana" w:hAnsi="Verdana" w:cs="Verdana"/>
          <w:color w:val="FF0000"/>
          <w:spacing w:val="-1"/>
          <w:sz w:val="20"/>
          <w:szCs w:val="20"/>
        </w:rPr>
      </w:pPr>
    </w:p>
    <w:p w:rsidR="00863C99" w:rsidRPr="000E54EB" w:rsidRDefault="00863C99" w:rsidP="00B66DF8">
      <w:pPr>
        <w:pStyle w:val="Heading3"/>
        <w:spacing w:before="0"/>
        <w:rPr>
          <w:rFonts w:ascii="Verdana" w:hAnsi="Verdana" w:cs="Verdana"/>
          <w:lang w:val="bg-BG"/>
        </w:rPr>
      </w:pPr>
      <w:bookmarkStart w:id="40" w:name="_Toc4328772"/>
      <w:bookmarkStart w:id="41" w:name="_Hlk512172595"/>
      <w:r w:rsidRPr="000E54EB">
        <w:rPr>
          <w:rFonts w:ascii="Verdana" w:hAnsi="Verdana" w:cs="Verdana"/>
          <w:lang w:val="bg-BG"/>
        </w:rPr>
        <w:t>Печалби/(загуби) от продажби на вземания (финансови активи)</w:t>
      </w:r>
      <w:bookmarkEnd w:id="40"/>
    </w:p>
    <w:p w:rsidR="00863C99" w:rsidRPr="000E54EB" w:rsidRDefault="00863C99" w:rsidP="00B66DF8">
      <w:pPr>
        <w:rPr>
          <w:rFonts w:ascii="Verdana" w:hAnsi="Verdana" w:cs="Verdana"/>
          <w:sz w:val="20"/>
          <w:szCs w:val="20"/>
        </w:rPr>
      </w:pPr>
      <w:r w:rsidRPr="000E54EB">
        <w:rPr>
          <w:rFonts w:ascii="Verdana" w:hAnsi="Verdana" w:cs="Verdana"/>
          <w:sz w:val="20"/>
          <w:szCs w:val="20"/>
        </w:rPr>
        <w:t>Печалби/(загуби) от продажби на вземания и други финансови активи се признават в отчета за печалбата или загубата и другия всеобхватен доход на датата, на която Дружеството е прехвърлило правата си върху вземанията (финансовите активи) и вече не може да получава възвръщаемост от тях. Печалбата/(загубата) от продажбата е разликата между справедливата стойност на полученото възнаграждение за продажбата на вземането (финансовия актив) и неговата нетна балансова стойност към момента на продажбата (стойността по която се отчита вземането (финансовия актив), намалена с начислените за него обезценки и други корекции).</w:t>
      </w:r>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Печалбите от продажби на вземания (финансови активи) се признават в отчета за печалбата или загубата и другия всеобхватен доход като финансови приходи към „приходи от операции с финансови инструменти“. Загубите от продажби на вземания (финансови активи) се признават в отчета за печалбата или загубата и другия </w:t>
      </w:r>
      <w:r w:rsidRPr="000E54EB">
        <w:rPr>
          <w:rFonts w:ascii="Verdana" w:hAnsi="Verdana" w:cs="Verdana"/>
          <w:sz w:val="20"/>
          <w:szCs w:val="20"/>
        </w:rPr>
        <w:lastRenderedPageBreak/>
        <w:t>всеобхватен доход като финансови разходи към „разходи от операции с финансови инструменти“.</w:t>
      </w:r>
    </w:p>
    <w:bookmarkEnd w:id="38"/>
    <w:bookmarkEnd w:id="41"/>
    <w:p w:rsidR="00863C99" w:rsidRPr="000E54EB" w:rsidRDefault="00863C99" w:rsidP="00B66DF8">
      <w:pPr>
        <w:rPr>
          <w:rFonts w:ascii="Verdana" w:hAnsi="Verdana" w:cs="Verdana"/>
          <w:spacing w:val="-1"/>
          <w:sz w:val="20"/>
          <w:szCs w:val="20"/>
        </w:rPr>
      </w:pPr>
    </w:p>
    <w:p w:rsidR="00863C99" w:rsidRPr="000E54EB" w:rsidRDefault="00863C99" w:rsidP="00B66DF8">
      <w:pPr>
        <w:pStyle w:val="Heading3"/>
        <w:spacing w:before="0"/>
        <w:rPr>
          <w:rFonts w:ascii="Verdana" w:hAnsi="Verdana" w:cs="Verdana"/>
          <w:lang w:val="bg-BG"/>
        </w:rPr>
      </w:pPr>
      <w:bookmarkStart w:id="42" w:name="_Toc4328773"/>
      <w:r w:rsidRPr="000E54EB">
        <w:rPr>
          <w:rFonts w:ascii="Verdana" w:hAnsi="Verdana" w:cs="Verdana"/>
          <w:lang w:val="bg-BG"/>
        </w:rPr>
        <w:t>Плащания по лизингови договори</w:t>
      </w:r>
      <w:bookmarkEnd w:id="42"/>
    </w:p>
    <w:p w:rsidR="00863C99" w:rsidRPr="000E54EB" w:rsidRDefault="00863C99" w:rsidP="00B66DF8">
      <w:pPr>
        <w:rPr>
          <w:rFonts w:ascii="Verdana" w:hAnsi="Verdana" w:cs="Verdana"/>
          <w:sz w:val="20"/>
          <w:szCs w:val="20"/>
        </w:rPr>
      </w:pPr>
      <w:r w:rsidRPr="000E54EB">
        <w:rPr>
          <w:rFonts w:ascii="Verdana" w:hAnsi="Verdana" w:cs="Verdana"/>
          <w:sz w:val="20"/>
          <w:szCs w:val="20"/>
        </w:rPr>
        <w:t>Плащанията по оперативен лизинг се признават в печалби и загуби на база линейния метод за периода на лизинговия договор. Получени допълнителни плащания се признават като неразделна част от общите лизингови разходи през периода на договора.</w:t>
      </w:r>
    </w:p>
    <w:p w:rsidR="00863C99" w:rsidRPr="000E54EB" w:rsidRDefault="00863C99" w:rsidP="00B66DF8">
      <w:pPr>
        <w:rPr>
          <w:rFonts w:ascii="Verdana" w:hAnsi="Verdana" w:cs="Verdana"/>
          <w:sz w:val="20"/>
          <w:szCs w:val="20"/>
        </w:rPr>
      </w:pPr>
      <w:r w:rsidRPr="000E54EB">
        <w:rPr>
          <w:rFonts w:ascii="Verdana" w:hAnsi="Verdana" w:cs="Verdana"/>
          <w:sz w:val="20"/>
          <w:szCs w:val="20"/>
        </w:rPr>
        <w:t>Минималните лизингови вноски по финансов лизинг се разпределят между финансови разходи и намаляване на неуредените задължения. Финансовите разходи се разпределят към всеки период за времето на лизинговия срок така, че да се постигне постоянен периодичен лихвен процент на остатъка от задължението.</w:t>
      </w:r>
    </w:p>
    <w:p w:rsidR="00863C99" w:rsidRPr="000E54EB" w:rsidRDefault="00863C99" w:rsidP="00B66DF8">
      <w:pPr>
        <w:rPr>
          <w:rFonts w:ascii="Verdana" w:hAnsi="Verdana" w:cs="Verdana"/>
          <w:sz w:val="20"/>
          <w:szCs w:val="20"/>
        </w:rPr>
      </w:pPr>
      <w:r w:rsidRPr="000E54EB">
        <w:rPr>
          <w:rFonts w:ascii="Verdana" w:hAnsi="Verdana" w:cs="Verdana"/>
          <w:sz w:val="20"/>
          <w:szCs w:val="20"/>
        </w:rPr>
        <w:t>Условните лизингови плащания се отчитат като се ревизират минималните лизингови плащания за остатъчния срок на лизинга, когато корекцията по лизинга е потвърдена.</w:t>
      </w:r>
    </w:p>
    <w:p w:rsidR="00863C99" w:rsidRPr="000E54EB" w:rsidRDefault="00863C99" w:rsidP="00B66DF8">
      <w:pPr>
        <w:rPr>
          <w:rFonts w:ascii="Verdana" w:hAnsi="Verdana" w:cs="Verdana"/>
          <w:sz w:val="20"/>
          <w:szCs w:val="20"/>
        </w:rPr>
      </w:pPr>
    </w:p>
    <w:p w:rsidR="00863C99" w:rsidRPr="000E54EB" w:rsidRDefault="00863C99" w:rsidP="00B66DF8">
      <w:pPr>
        <w:pStyle w:val="Heading3"/>
        <w:spacing w:before="0"/>
        <w:rPr>
          <w:rFonts w:ascii="Verdana" w:hAnsi="Verdana" w:cs="Verdana"/>
          <w:lang w:val="bg-BG"/>
        </w:rPr>
      </w:pPr>
      <w:bookmarkStart w:id="43" w:name="_Toc4328774"/>
      <w:r w:rsidRPr="000E54EB">
        <w:rPr>
          <w:rFonts w:ascii="Verdana" w:hAnsi="Verdana" w:cs="Verdana"/>
          <w:lang w:val="bg-BG"/>
        </w:rPr>
        <w:t>Финансови приходи и разходи</w:t>
      </w:r>
      <w:bookmarkEnd w:id="43"/>
    </w:p>
    <w:p w:rsidR="00863C99" w:rsidRPr="000E54EB" w:rsidRDefault="00863C99" w:rsidP="00B66DF8">
      <w:pPr>
        <w:rPr>
          <w:rFonts w:ascii="Verdana" w:hAnsi="Verdana" w:cs="Verdana"/>
          <w:sz w:val="20"/>
          <w:szCs w:val="20"/>
        </w:rPr>
      </w:pPr>
      <w:r w:rsidRPr="000E54EB">
        <w:rPr>
          <w:rFonts w:ascii="Verdana" w:hAnsi="Verdana" w:cs="Verdana"/>
          <w:sz w:val="20"/>
          <w:szCs w:val="20"/>
        </w:rPr>
        <w:t>Финансовите приходи включват приходи от лихви по инвестирани средства (включително инвестиции, на разположение за продажба), приходи от дивиденти, печалба от продажба на финансови активи на разположение за продажба, промени в справедливата стойност на финансови активи, отчитани по справедлива стойност в печалбата или загубата, печалба от операции в чуждестранна валута, признати като печалби и загуби. Приход от лихви се признава в момента на начисляването му по метода на ефективната лихва. Приход от дивиденти се признава на датата, на която е установено правото на Дружеството да получи плащането, която в случая на котирани ценни книжа е датата, след която акциите стават без право на получаване на последния дивидент.</w:t>
      </w:r>
    </w:p>
    <w:p w:rsidR="00863C99" w:rsidRPr="000E54EB" w:rsidRDefault="00863C99" w:rsidP="00B66DF8">
      <w:pPr>
        <w:rPr>
          <w:rFonts w:ascii="Verdana" w:hAnsi="Verdana" w:cs="Verdana"/>
          <w:spacing w:val="-1"/>
          <w:sz w:val="20"/>
          <w:szCs w:val="20"/>
        </w:rPr>
      </w:pPr>
      <w:r w:rsidRPr="000E54EB">
        <w:rPr>
          <w:rFonts w:ascii="Verdana" w:hAnsi="Verdana" w:cs="Verdana"/>
          <w:spacing w:val="-1"/>
          <w:sz w:val="20"/>
          <w:szCs w:val="20"/>
        </w:rPr>
        <w:t xml:space="preserve">Към разходите за дейността се отнасят и финансови разходи, които Дружеството отчита и които са свързани с обичайната дейност. Принципът на начисление се отнася до финансовите разходи, така както се отнася до всички други компоненти на отчета за доходите. Те включват и всички обезценки на финансови активи. </w:t>
      </w:r>
    </w:p>
    <w:p w:rsidR="00863C99" w:rsidRPr="000E54EB" w:rsidRDefault="00863C99" w:rsidP="00B66DF8">
      <w:pPr>
        <w:rPr>
          <w:rFonts w:ascii="Verdana" w:hAnsi="Verdana" w:cs="Verdana"/>
          <w:sz w:val="20"/>
          <w:szCs w:val="20"/>
        </w:rPr>
      </w:pPr>
      <w:r w:rsidRPr="000E54EB">
        <w:rPr>
          <w:rFonts w:ascii="Verdana" w:hAnsi="Verdana" w:cs="Verdana"/>
          <w:sz w:val="20"/>
          <w:szCs w:val="20"/>
        </w:rPr>
        <w:t>Финансови разходи включват разходи за лихви по заеми, загуби от операции в чуждестранна валута, промени в справедливата стойност на финансови активи отчитани по справедлива стойност в печалбата или загубата и загуби от хеджингови инструменти, които се признават като печалба или загуба. Всички разходи по платими лихви по заеми се признават като печалба или загуба, като се използва метода на ефективния лихвен процент.</w:t>
      </w:r>
    </w:p>
    <w:p w:rsidR="00863C99" w:rsidRPr="000E54EB" w:rsidRDefault="00863C99" w:rsidP="00B66DF8">
      <w:pPr>
        <w:rPr>
          <w:rFonts w:ascii="Verdana" w:hAnsi="Verdana" w:cs="Verdana"/>
          <w:sz w:val="20"/>
          <w:szCs w:val="20"/>
        </w:rPr>
      </w:pPr>
      <w:r w:rsidRPr="000E54EB">
        <w:rPr>
          <w:rFonts w:ascii="Verdana" w:hAnsi="Verdana" w:cs="Verdana"/>
          <w:sz w:val="20"/>
          <w:szCs w:val="20"/>
        </w:rPr>
        <w:t>Разходи по заеми, които не могат да се отнесат пряко към придобиването, строителството или производството на отговарящ на условията актив, се признават в печалби и загуби, като се използва метода на ефективния лихвен процент.</w:t>
      </w:r>
    </w:p>
    <w:p w:rsidR="00863C99" w:rsidRPr="000E54EB" w:rsidRDefault="00863C99" w:rsidP="00B66DF8">
      <w:pPr>
        <w:rPr>
          <w:rFonts w:ascii="Verdana" w:hAnsi="Verdana" w:cs="Verdana"/>
          <w:sz w:val="20"/>
          <w:szCs w:val="20"/>
        </w:rPr>
      </w:pPr>
      <w:r w:rsidRPr="000E54EB">
        <w:rPr>
          <w:rFonts w:ascii="Verdana" w:hAnsi="Verdana" w:cs="Verdana"/>
          <w:sz w:val="20"/>
          <w:szCs w:val="20"/>
        </w:rPr>
        <w:t>Печалби и загуби от курсови разлики се представят на нетна база във финансовите отчети.</w:t>
      </w:r>
    </w:p>
    <w:p w:rsidR="00863C99" w:rsidRPr="000E54EB" w:rsidRDefault="00863C99" w:rsidP="00B66DF8">
      <w:pPr>
        <w:rPr>
          <w:rFonts w:ascii="Verdana" w:hAnsi="Verdana" w:cs="Verdana"/>
          <w:sz w:val="20"/>
          <w:szCs w:val="20"/>
        </w:rPr>
      </w:pPr>
    </w:p>
    <w:p w:rsidR="00863C99" w:rsidRPr="000E54EB" w:rsidRDefault="00863C99" w:rsidP="00B66DF8">
      <w:pPr>
        <w:pStyle w:val="Heading2"/>
        <w:spacing w:before="0"/>
        <w:rPr>
          <w:rFonts w:ascii="Verdana" w:hAnsi="Verdana" w:cs="Verdana"/>
          <w:sz w:val="20"/>
          <w:szCs w:val="20"/>
          <w:lang w:val="bg-BG"/>
        </w:rPr>
      </w:pPr>
      <w:bookmarkStart w:id="44" w:name="_Toc4328775"/>
      <w:r w:rsidRPr="000E54EB">
        <w:rPr>
          <w:rFonts w:ascii="Verdana" w:hAnsi="Verdana" w:cs="Verdana"/>
          <w:sz w:val="20"/>
          <w:szCs w:val="20"/>
          <w:lang w:val="bg-BG"/>
        </w:rPr>
        <w:t>ПЕЧАЛБИ ИЛИ ЗАГУБИ ЗА ПЕРИОДА</w:t>
      </w:r>
      <w:bookmarkEnd w:id="44"/>
    </w:p>
    <w:p w:rsidR="00863C99" w:rsidRPr="000E54EB" w:rsidRDefault="00863C99" w:rsidP="00B66DF8">
      <w:pPr>
        <w:rPr>
          <w:rFonts w:ascii="Verdana" w:hAnsi="Verdana" w:cs="Verdana"/>
          <w:spacing w:val="-1"/>
          <w:sz w:val="20"/>
          <w:szCs w:val="20"/>
        </w:rPr>
      </w:pPr>
      <w:r w:rsidRPr="000E54EB">
        <w:rPr>
          <w:rFonts w:ascii="Verdana" w:hAnsi="Verdana" w:cs="Verdana"/>
          <w:spacing w:val="-1"/>
          <w:sz w:val="20"/>
          <w:szCs w:val="20"/>
        </w:rPr>
        <w:t xml:space="preserve">Всички приходни и разходни статии, признати за периода, се включат в печалба или загуба, освен ако стандарт или разяснение от МСФО изискват друго. </w:t>
      </w:r>
    </w:p>
    <w:p w:rsidR="00863C99" w:rsidRPr="000E54EB" w:rsidRDefault="00863C99" w:rsidP="00B66DF8">
      <w:pPr>
        <w:rPr>
          <w:rFonts w:ascii="Verdana" w:hAnsi="Verdana" w:cs="Verdana"/>
          <w:spacing w:val="-1"/>
          <w:sz w:val="20"/>
          <w:szCs w:val="20"/>
        </w:rPr>
      </w:pPr>
      <w:r w:rsidRPr="000E54EB">
        <w:rPr>
          <w:rFonts w:ascii="Verdana" w:hAnsi="Verdana" w:cs="Verdana"/>
          <w:spacing w:val="-1"/>
          <w:sz w:val="20"/>
          <w:szCs w:val="20"/>
        </w:rPr>
        <w:t>Печалба или загуба е общата сума на приходите минус разходите, като се изключват компонентите на друг всеобхватен доход.</w:t>
      </w:r>
    </w:p>
    <w:p w:rsidR="00863C99" w:rsidRPr="000E54EB" w:rsidRDefault="00863C99" w:rsidP="00B66DF8">
      <w:pPr>
        <w:rPr>
          <w:rFonts w:ascii="Verdana" w:hAnsi="Verdana" w:cs="Verdana"/>
          <w:sz w:val="20"/>
          <w:szCs w:val="20"/>
        </w:rPr>
      </w:pPr>
    </w:p>
    <w:p w:rsidR="00863C99" w:rsidRPr="000E54EB" w:rsidRDefault="00863C99" w:rsidP="00B66DF8">
      <w:pPr>
        <w:pStyle w:val="Heading2"/>
        <w:spacing w:before="0"/>
        <w:rPr>
          <w:rFonts w:ascii="Verdana" w:hAnsi="Verdana" w:cs="Verdana"/>
          <w:sz w:val="20"/>
          <w:szCs w:val="20"/>
          <w:lang w:val="bg-BG"/>
        </w:rPr>
      </w:pPr>
      <w:bookmarkStart w:id="45" w:name="_Toc4328776"/>
      <w:r w:rsidRPr="000E54EB">
        <w:rPr>
          <w:rFonts w:ascii="Verdana" w:hAnsi="Verdana" w:cs="Verdana"/>
          <w:sz w:val="20"/>
          <w:szCs w:val="20"/>
          <w:lang w:val="bg-BG"/>
        </w:rPr>
        <w:t>ИМОТИ, МАШИНИ, СЪОРЪЖЕНИЯ И ОБОРУДВАНЕ</w:t>
      </w:r>
      <w:bookmarkEnd w:id="45"/>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При първоначално признаване имот, машина, съоръжение или оборудване се отчитат по цена на придобиване, която включва покупната цена, както и всички преки разходи за привеждането на актива в работно състояние за предвидената му употреба от ръководството. </w:t>
      </w:r>
    </w:p>
    <w:p w:rsidR="00863C99" w:rsidRPr="000E54EB" w:rsidRDefault="00863C99" w:rsidP="00B66DF8">
      <w:pPr>
        <w:rPr>
          <w:rFonts w:ascii="Verdana" w:hAnsi="Verdana" w:cs="Verdana"/>
          <w:sz w:val="20"/>
          <w:szCs w:val="20"/>
        </w:rPr>
      </w:pPr>
      <w:r w:rsidRPr="000E54EB">
        <w:rPr>
          <w:rFonts w:ascii="Verdana" w:hAnsi="Verdana" w:cs="Verdana"/>
          <w:sz w:val="20"/>
          <w:szCs w:val="20"/>
        </w:rPr>
        <w:lastRenderedPageBreak/>
        <w:t xml:space="preserve">След първоначалното му признаване имот, машина, съоръжение или оборудване се отчитат по цена на придобиване, намалена с натрупаната амортизация и загуби от обезценка. </w:t>
      </w:r>
    </w:p>
    <w:p w:rsidR="00863C99" w:rsidRPr="000E54EB" w:rsidRDefault="00863C99" w:rsidP="00B66DF8">
      <w:pPr>
        <w:rPr>
          <w:rFonts w:ascii="Verdana" w:hAnsi="Verdana" w:cs="Verdana"/>
          <w:sz w:val="20"/>
          <w:szCs w:val="20"/>
        </w:rPr>
      </w:pPr>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Амортизацията се изчислява така, че цената на придобиване на актива, намалена с остатъчната му стойност, да се отпише за периода на полезния му икономически живот, както следва:  </w:t>
      </w:r>
    </w:p>
    <w:p w:rsidR="00863C99" w:rsidRPr="000E54EB" w:rsidRDefault="00863C99" w:rsidP="003626D1">
      <w:pPr>
        <w:rPr>
          <w:rFonts w:ascii="Verdana" w:hAnsi="Verdana" w:cs="Verdana"/>
          <w:sz w:val="20"/>
          <w:szCs w:val="20"/>
        </w:rPr>
      </w:pPr>
      <w:r w:rsidRPr="000E54EB">
        <w:rPr>
          <w:rFonts w:ascii="Verdana" w:hAnsi="Verdana" w:cs="Verdana"/>
          <w:sz w:val="20"/>
          <w:szCs w:val="20"/>
        </w:rPr>
        <w:t xml:space="preserve">Сгради </w:t>
      </w:r>
      <w:r w:rsidRPr="000E54EB">
        <w:rPr>
          <w:rFonts w:ascii="Verdana" w:hAnsi="Verdana" w:cs="Verdana"/>
          <w:sz w:val="20"/>
          <w:szCs w:val="20"/>
        </w:rPr>
        <w:tab/>
      </w:r>
      <w:r w:rsidRPr="000E54EB">
        <w:rPr>
          <w:rFonts w:ascii="Verdana" w:hAnsi="Verdana" w:cs="Verdana"/>
          <w:sz w:val="20"/>
          <w:szCs w:val="20"/>
        </w:rPr>
        <w:tab/>
      </w:r>
      <w:r w:rsidRPr="000E54EB">
        <w:rPr>
          <w:rFonts w:ascii="Verdana" w:hAnsi="Verdana" w:cs="Verdana"/>
          <w:sz w:val="20"/>
          <w:szCs w:val="20"/>
        </w:rPr>
        <w:tab/>
      </w:r>
      <w:r w:rsidRPr="000E54EB">
        <w:rPr>
          <w:rFonts w:ascii="Verdana" w:hAnsi="Verdana" w:cs="Verdana"/>
          <w:sz w:val="20"/>
          <w:szCs w:val="20"/>
        </w:rPr>
        <w:tab/>
      </w:r>
      <w:r w:rsidRPr="000E54EB">
        <w:rPr>
          <w:rFonts w:ascii="Verdana" w:hAnsi="Verdana" w:cs="Verdana"/>
          <w:sz w:val="20"/>
          <w:szCs w:val="20"/>
        </w:rPr>
        <w:tab/>
      </w:r>
      <w:r w:rsidRPr="000E54EB">
        <w:rPr>
          <w:rFonts w:ascii="Verdana" w:hAnsi="Verdana" w:cs="Verdana"/>
          <w:sz w:val="20"/>
          <w:szCs w:val="20"/>
        </w:rPr>
        <w:tab/>
        <w:t xml:space="preserve">          </w:t>
      </w:r>
      <w:r w:rsidRPr="00A52D1E">
        <w:rPr>
          <w:rFonts w:ascii="Verdana" w:hAnsi="Verdana" w:cs="Verdana"/>
          <w:sz w:val="20"/>
          <w:szCs w:val="20"/>
          <w:lang w:val="ru-RU"/>
        </w:rPr>
        <w:t xml:space="preserve"> </w:t>
      </w:r>
      <w:r w:rsidRPr="000E54EB">
        <w:rPr>
          <w:rFonts w:ascii="Verdana" w:hAnsi="Verdana" w:cs="Verdana"/>
          <w:sz w:val="20"/>
          <w:szCs w:val="20"/>
        </w:rPr>
        <w:t xml:space="preserve"> 4% </w:t>
      </w:r>
      <w:r w:rsidRPr="00A52D1E">
        <w:rPr>
          <w:rFonts w:ascii="Verdana" w:hAnsi="Verdana" w:cs="Verdana"/>
          <w:sz w:val="20"/>
          <w:szCs w:val="20"/>
          <w:lang w:val="ru-RU"/>
        </w:rPr>
        <w:t xml:space="preserve"> </w:t>
      </w:r>
      <w:r w:rsidRPr="000E54EB">
        <w:rPr>
          <w:rFonts w:ascii="Verdana" w:hAnsi="Verdana" w:cs="Verdana"/>
          <w:sz w:val="20"/>
          <w:szCs w:val="20"/>
        </w:rPr>
        <w:t xml:space="preserve">линеен метод </w:t>
      </w:r>
    </w:p>
    <w:p w:rsidR="00863C99" w:rsidRPr="000E54EB" w:rsidRDefault="00863C99" w:rsidP="003626D1">
      <w:pPr>
        <w:rPr>
          <w:rFonts w:ascii="Verdana" w:hAnsi="Verdana" w:cs="Verdana"/>
          <w:sz w:val="20"/>
          <w:szCs w:val="20"/>
        </w:rPr>
      </w:pPr>
      <w:r w:rsidRPr="000E54EB">
        <w:rPr>
          <w:rFonts w:ascii="Verdana" w:hAnsi="Verdana" w:cs="Verdana"/>
          <w:sz w:val="20"/>
          <w:szCs w:val="20"/>
        </w:rPr>
        <w:t xml:space="preserve">Съоръжения и оборудване </w:t>
      </w:r>
      <w:r w:rsidRPr="000E54EB">
        <w:rPr>
          <w:rFonts w:ascii="Verdana" w:hAnsi="Verdana" w:cs="Verdana"/>
          <w:sz w:val="20"/>
          <w:szCs w:val="20"/>
        </w:rPr>
        <w:tab/>
      </w:r>
      <w:r w:rsidRPr="000E54EB">
        <w:rPr>
          <w:rFonts w:ascii="Verdana" w:hAnsi="Verdana" w:cs="Verdana"/>
          <w:sz w:val="20"/>
          <w:szCs w:val="20"/>
        </w:rPr>
        <w:tab/>
        <w:t xml:space="preserve">    </w:t>
      </w:r>
      <w:r w:rsidRPr="000E54EB">
        <w:rPr>
          <w:rFonts w:ascii="Verdana" w:hAnsi="Verdana" w:cs="Verdana"/>
          <w:sz w:val="20"/>
          <w:szCs w:val="20"/>
        </w:rPr>
        <w:tab/>
        <w:t xml:space="preserve">       4-30%  линеен метод </w:t>
      </w:r>
    </w:p>
    <w:p w:rsidR="00863C99" w:rsidRPr="000E54EB" w:rsidRDefault="00863C99" w:rsidP="003626D1">
      <w:pPr>
        <w:rPr>
          <w:rFonts w:ascii="Verdana" w:hAnsi="Verdana" w:cs="Verdana"/>
          <w:sz w:val="20"/>
          <w:szCs w:val="20"/>
        </w:rPr>
      </w:pPr>
      <w:r w:rsidRPr="000E54EB">
        <w:rPr>
          <w:rFonts w:ascii="Verdana" w:hAnsi="Verdana" w:cs="Verdana"/>
          <w:sz w:val="20"/>
          <w:szCs w:val="20"/>
        </w:rPr>
        <w:t xml:space="preserve">Компютърна техника </w:t>
      </w:r>
      <w:r w:rsidRPr="000E54EB">
        <w:rPr>
          <w:rFonts w:ascii="Verdana" w:hAnsi="Verdana" w:cs="Verdana"/>
          <w:sz w:val="20"/>
          <w:szCs w:val="20"/>
        </w:rPr>
        <w:tab/>
      </w:r>
      <w:r w:rsidRPr="000E54EB">
        <w:rPr>
          <w:rFonts w:ascii="Verdana" w:hAnsi="Verdana" w:cs="Verdana"/>
          <w:sz w:val="20"/>
          <w:szCs w:val="20"/>
        </w:rPr>
        <w:tab/>
      </w:r>
      <w:r w:rsidRPr="000E54EB">
        <w:rPr>
          <w:rFonts w:ascii="Verdana" w:hAnsi="Verdana" w:cs="Verdana"/>
          <w:sz w:val="20"/>
          <w:szCs w:val="20"/>
        </w:rPr>
        <w:tab/>
        <w:t xml:space="preserve">                   </w:t>
      </w:r>
      <w:r w:rsidRPr="00A52D1E">
        <w:rPr>
          <w:rFonts w:ascii="Verdana" w:hAnsi="Verdana" w:cs="Verdana"/>
          <w:sz w:val="20"/>
          <w:szCs w:val="20"/>
          <w:lang w:val="ru-RU"/>
        </w:rPr>
        <w:t xml:space="preserve">    </w:t>
      </w:r>
      <w:r w:rsidRPr="000E54EB">
        <w:rPr>
          <w:rFonts w:ascii="Verdana" w:hAnsi="Verdana" w:cs="Verdana"/>
          <w:sz w:val="20"/>
          <w:szCs w:val="20"/>
        </w:rPr>
        <w:t xml:space="preserve"> 50%  линеен метод</w:t>
      </w:r>
    </w:p>
    <w:p w:rsidR="00863C99" w:rsidRPr="000E54EB" w:rsidRDefault="00863C99" w:rsidP="003626D1">
      <w:pPr>
        <w:rPr>
          <w:rFonts w:ascii="Verdana" w:hAnsi="Verdana" w:cs="Verdana"/>
          <w:sz w:val="20"/>
          <w:szCs w:val="20"/>
        </w:rPr>
      </w:pPr>
      <w:r w:rsidRPr="000E54EB">
        <w:rPr>
          <w:rFonts w:ascii="Verdana" w:hAnsi="Verdana" w:cs="Verdana"/>
          <w:sz w:val="20"/>
          <w:szCs w:val="20"/>
        </w:rPr>
        <w:t xml:space="preserve">Моторни превозни средства </w:t>
      </w:r>
      <w:r w:rsidRPr="000E54EB">
        <w:rPr>
          <w:rFonts w:ascii="Verdana" w:hAnsi="Verdana" w:cs="Verdana"/>
          <w:sz w:val="20"/>
          <w:szCs w:val="20"/>
        </w:rPr>
        <w:tab/>
      </w:r>
      <w:r w:rsidRPr="000E54EB">
        <w:rPr>
          <w:rFonts w:ascii="Verdana" w:hAnsi="Verdana" w:cs="Verdana"/>
          <w:sz w:val="20"/>
          <w:szCs w:val="20"/>
        </w:rPr>
        <w:tab/>
      </w:r>
      <w:r w:rsidRPr="000E54EB">
        <w:rPr>
          <w:rFonts w:ascii="Verdana" w:hAnsi="Verdana" w:cs="Verdana"/>
          <w:sz w:val="20"/>
          <w:szCs w:val="20"/>
        </w:rPr>
        <w:tab/>
        <w:t xml:space="preserve">         </w:t>
      </w:r>
      <w:r w:rsidRPr="00A52D1E">
        <w:rPr>
          <w:rFonts w:ascii="Verdana" w:hAnsi="Verdana" w:cs="Verdana"/>
          <w:sz w:val="20"/>
          <w:szCs w:val="20"/>
          <w:lang w:val="ru-RU"/>
        </w:rPr>
        <w:t xml:space="preserve"> </w:t>
      </w:r>
      <w:r w:rsidRPr="000E54EB">
        <w:rPr>
          <w:rFonts w:ascii="Verdana" w:hAnsi="Verdana" w:cs="Verdana"/>
          <w:sz w:val="20"/>
          <w:szCs w:val="20"/>
        </w:rPr>
        <w:t xml:space="preserve">  8%  линеен метод </w:t>
      </w:r>
    </w:p>
    <w:p w:rsidR="00863C99" w:rsidRPr="000E54EB" w:rsidRDefault="00863C99" w:rsidP="003626D1">
      <w:pPr>
        <w:rPr>
          <w:rFonts w:ascii="Verdana" w:hAnsi="Verdana" w:cs="Verdana"/>
          <w:sz w:val="20"/>
          <w:szCs w:val="20"/>
        </w:rPr>
      </w:pPr>
      <w:r w:rsidRPr="000E54EB">
        <w:rPr>
          <w:rFonts w:ascii="Verdana" w:hAnsi="Verdana" w:cs="Verdana"/>
          <w:sz w:val="20"/>
          <w:szCs w:val="20"/>
        </w:rPr>
        <w:t xml:space="preserve">Други                                                             </w:t>
      </w:r>
      <w:r w:rsidRPr="000E54EB">
        <w:rPr>
          <w:rFonts w:ascii="Verdana" w:hAnsi="Verdana" w:cs="Verdana"/>
          <w:sz w:val="20"/>
          <w:szCs w:val="20"/>
        </w:rPr>
        <w:tab/>
        <w:t xml:space="preserve">     </w:t>
      </w:r>
      <w:r w:rsidRPr="000E54EB">
        <w:rPr>
          <w:rFonts w:ascii="Verdana" w:hAnsi="Verdana" w:cs="Verdana"/>
          <w:sz w:val="20"/>
          <w:szCs w:val="20"/>
          <w:lang w:val="en-US"/>
        </w:rPr>
        <w:t xml:space="preserve">  </w:t>
      </w:r>
      <w:r w:rsidRPr="000E54EB">
        <w:rPr>
          <w:rFonts w:ascii="Verdana" w:hAnsi="Verdana" w:cs="Verdana"/>
          <w:sz w:val="20"/>
          <w:szCs w:val="20"/>
        </w:rPr>
        <w:t xml:space="preserve">   15%  линеен метод</w:t>
      </w:r>
    </w:p>
    <w:tbl>
      <w:tblPr>
        <w:tblW w:w="0" w:type="auto"/>
        <w:tblInd w:w="-106" w:type="dxa"/>
        <w:tblLook w:val="00A0" w:firstRow="1" w:lastRow="0" w:firstColumn="1" w:lastColumn="0" w:noHBand="0" w:noVBand="0"/>
      </w:tblPr>
      <w:tblGrid>
        <w:gridCol w:w="3936"/>
        <w:gridCol w:w="2835"/>
      </w:tblGrid>
      <w:tr w:rsidR="00863C99" w:rsidRPr="000E54EB">
        <w:tc>
          <w:tcPr>
            <w:tcW w:w="3936" w:type="dxa"/>
          </w:tcPr>
          <w:p w:rsidR="00863C99" w:rsidRPr="000E54EB" w:rsidRDefault="006F43FA" w:rsidP="003626D1">
            <w:pPr>
              <w:rPr>
                <w:rFonts w:ascii="Verdana" w:hAnsi="Verdana" w:cs="Verdana"/>
                <w:sz w:val="20"/>
                <w:szCs w:val="20"/>
              </w:rPr>
            </w:pPr>
            <w:r>
              <w:rPr>
                <w:rFonts w:ascii="Verdana" w:hAnsi="Verdana" w:cs="Verdana"/>
                <w:sz w:val="20"/>
                <w:szCs w:val="20"/>
              </w:rPr>
              <w:t xml:space="preserve"> </w:t>
            </w:r>
            <w:r w:rsidR="00863C99" w:rsidRPr="000E54EB">
              <w:rPr>
                <w:rFonts w:ascii="Verdana" w:hAnsi="Verdana" w:cs="Verdana"/>
                <w:sz w:val="20"/>
                <w:szCs w:val="20"/>
              </w:rPr>
              <w:t>Земята не се амортизира</w:t>
            </w:r>
          </w:p>
        </w:tc>
        <w:tc>
          <w:tcPr>
            <w:tcW w:w="2835" w:type="dxa"/>
          </w:tcPr>
          <w:p w:rsidR="00863C99" w:rsidRPr="000E54EB" w:rsidRDefault="00863C99" w:rsidP="003626D1">
            <w:pPr>
              <w:rPr>
                <w:rFonts w:ascii="Verdana" w:hAnsi="Verdana" w:cs="Verdana"/>
                <w:sz w:val="20"/>
                <w:szCs w:val="20"/>
              </w:rPr>
            </w:pPr>
          </w:p>
        </w:tc>
      </w:tr>
    </w:tbl>
    <w:p w:rsidR="00863C99" w:rsidRPr="000E54EB" w:rsidRDefault="00863C99" w:rsidP="003626D1">
      <w:pPr>
        <w:rPr>
          <w:rFonts w:ascii="Verdana" w:hAnsi="Verdana" w:cs="Verdana"/>
          <w:sz w:val="20"/>
          <w:szCs w:val="20"/>
        </w:rPr>
      </w:pPr>
      <w:r w:rsidRPr="000E54EB">
        <w:rPr>
          <w:rFonts w:ascii="Verdana" w:hAnsi="Verdana" w:cs="Verdana"/>
          <w:sz w:val="20"/>
          <w:szCs w:val="20"/>
        </w:rPr>
        <w:t xml:space="preserve">Полезният живот, остатъчната стойност и метод на амортизация се преглежда, коригира, ако е необходимо, в края на всеки отчетен период. </w:t>
      </w:r>
    </w:p>
    <w:p w:rsidR="00863C99" w:rsidRPr="000E54EB" w:rsidRDefault="00863C99" w:rsidP="003626D1">
      <w:pPr>
        <w:rPr>
          <w:rFonts w:ascii="Verdana" w:hAnsi="Verdana" w:cs="Verdana"/>
          <w:sz w:val="20"/>
          <w:szCs w:val="20"/>
        </w:rPr>
      </w:pPr>
      <w:r w:rsidRPr="000E54EB">
        <w:rPr>
          <w:rFonts w:ascii="Verdana" w:hAnsi="Verdana" w:cs="Verdana"/>
          <w:sz w:val="20"/>
          <w:szCs w:val="20"/>
        </w:rPr>
        <w:t>Даден имот, машина, съоръжение или оборудване се отписва при продажба или когато активът окончателно бъде изваден от употреба и не се очакват никакви други икономически ползи от неговата продължаваща употреба. Печалбите или загубите, получени при бракуването или изваждането от употреба на имот, машина, съоръжение или оборудване, се определят, като разлика между приблизително изчислените нетни постъпления от продажбата и балансовата сума на актива и се признават в отчета за печалбата или загубата и другия всеобхватен доход.</w:t>
      </w:r>
    </w:p>
    <w:p w:rsidR="00863C99" w:rsidRPr="000E54EB" w:rsidRDefault="00863C99" w:rsidP="00B66DF8">
      <w:pPr>
        <w:rPr>
          <w:rFonts w:ascii="Verdana" w:hAnsi="Verdana" w:cs="Verdana"/>
          <w:sz w:val="20"/>
          <w:szCs w:val="20"/>
        </w:rPr>
      </w:pPr>
    </w:p>
    <w:p w:rsidR="00863C99" w:rsidRPr="000E54EB" w:rsidRDefault="00863C99" w:rsidP="00B66DF8">
      <w:pPr>
        <w:pStyle w:val="Heading2"/>
        <w:spacing w:before="0"/>
        <w:rPr>
          <w:rFonts w:ascii="Verdana" w:hAnsi="Verdana" w:cs="Verdana"/>
          <w:sz w:val="20"/>
          <w:szCs w:val="20"/>
          <w:lang w:val="bg-BG"/>
        </w:rPr>
      </w:pPr>
      <w:bookmarkStart w:id="46" w:name="_Toc4328777"/>
      <w:bookmarkStart w:id="47" w:name="_Hlk512172675"/>
      <w:r w:rsidRPr="000E54EB">
        <w:rPr>
          <w:rFonts w:ascii="Verdana" w:hAnsi="Verdana" w:cs="Verdana"/>
          <w:sz w:val="20"/>
          <w:szCs w:val="20"/>
          <w:lang w:val="bg-BG"/>
        </w:rPr>
        <w:t>НЕМАТЕРИАЛНИ АКТИВИ</w:t>
      </w:r>
      <w:bookmarkEnd w:id="46"/>
    </w:p>
    <w:p w:rsidR="00863C99" w:rsidRPr="000E54EB" w:rsidRDefault="00863C99" w:rsidP="00B66DF8">
      <w:pPr>
        <w:pStyle w:val="Heading3"/>
        <w:spacing w:before="0"/>
        <w:rPr>
          <w:rFonts w:ascii="Verdana" w:hAnsi="Verdana" w:cs="Verdana"/>
          <w:lang w:val="bg-BG"/>
        </w:rPr>
      </w:pPr>
      <w:bookmarkStart w:id="48" w:name="_Toc4328778"/>
      <w:r w:rsidRPr="000E54EB">
        <w:rPr>
          <w:rFonts w:ascii="Verdana" w:hAnsi="Verdana" w:cs="Verdana"/>
          <w:lang w:val="bg-BG"/>
        </w:rPr>
        <w:t>Положителна репутация</w:t>
      </w:r>
      <w:bookmarkEnd w:id="48"/>
    </w:p>
    <w:p w:rsidR="00863C99" w:rsidRPr="000E54EB" w:rsidRDefault="00863C99" w:rsidP="00B66DF8">
      <w:pPr>
        <w:rPr>
          <w:rFonts w:ascii="Verdana" w:hAnsi="Verdana" w:cs="Verdana"/>
          <w:sz w:val="20"/>
          <w:szCs w:val="20"/>
        </w:rPr>
      </w:pPr>
      <w:r w:rsidRPr="000E54EB">
        <w:rPr>
          <w:rFonts w:ascii="Verdana" w:hAnsi="Verdana" w:cs="Verdana"/>
          <w:sz w:val="20"/>
          <w:szCs w:val="20"/>
        </w:rPr>
        <w:t>Положителната репутация, възникваща в бизнес комбинация, първоначално се оценява по цена на придобиване, която представлява превишението на сбора на стойността на прехвърлената престация (определена по справедлива стойност), размера на всички неконтролиращи участия в придобитото предприятие, и на справедливата стойност към датата на придобиване на държаното преди капиталово участие на Дружеството в придобиването предприятие (ако бизнес комбинацията се постига на етапи), над нетната сума към датата на придобиване на съществуващите и придобити разграничими активи и поети пасиви</w:t>
      </w:r>
      <w:r w:rsidRPr="000E54EB">
        <w:rPr>
          <w:rFonts w:ascii="Verdana" w:hAnsi="Verdana" w:cs="Verdana"/>
          <w:color w:val="808000"/>
          <w:sz w:val="20"/>
          <w:szCs w:val="20"/>
        </w:rPr>
        <w:t>.</w:t>
      </w:r>
    </w:p>
    <w:p w:rsidR="00863C99" w:rsidRPr="000E54EB" w:rsidRDefault="00863C99" w:rsidP="00B66DF8">
      <w:pPr>
        <w:rPr>
          <w:rFonts w:ascii="Verdana" w:hAnsi="Verdana" w:cs="Verdana"/>
          <w:sz w:val="20"/>
          <w:szCs w:val="20"/>
        </w:rPr>
      </w:pPr>
      <w:r w:rsidRPr="000E54EB">
        <w:rPr>
          <w:rFonts w:ascii="Verdana" w:hAnsi="Verdana" w:cs="Verdana"/>
          <w:sz w:val="20"/>
          <w:szCs w:val="20"/>
        </w:rPr>
        <w:t>Дружеството оценява разграничимите придобити активи и поети пасиви по техните справедливи стойности към датата на придобиването.</w:t>
      </w:r>
    </w:p>
    <w:p w:rsidR="00863C99" w:rsidRPr="000E54EB" w:rsidRDefault="00863C99" w:rsidP="00B66DF8">
      <w:pPr>
        <w:rPr>
          <w:rFonts w:ascii="Verdana" w:hAnsi="Verdana" w:cs="Verdana"/>
          <w:sz w:val="20"/>
          <w:szCs w:val="20"/>
        </w:rPr>
      </w:pPr>
      <w:r w:rsidRPr="000E54EB">
        <w:rPr>
          <w:rFonts w:ascii="Verdana" w:hAnsi="Verdana" w:cs="Verdana"/>
          <w:sz w:val="20"/>
          <w:szCs w:val="20"/>
        </w:rPr>
        <w:t>Датата на придобиването при бизнес комбинация се определя като тази дата, на която Дружеството ефективно получава контрол над придобиваното дружество.</w:t>
      </w:r>
    </w:p>
    <w:p w:rsidR="00863C99" w:rsidRPr="000E54EB" w:rsidRDefault="00863C99" w:rsidP="00B66DF8">
      <w:pPr>
        <w:rPr>
          <w:rFonts w:ascii="Verdana" w:hAnsi="Verdana" w:cs="Verdana"/>
          <w:sz w:val="20"/>
          <w:szCs w:val="20"/>
        </w:rPr>
      </w:pPr>
      <w:r w:rsidRPr="000E54EB">
        <w:rPr>
          <w:rFonts w:ascii="Verdana" w:hAnsi="Verdana" w:cs="Verdana"/>
          <w:sz w:val="20"/>
          <w:szCs w:val="20"/>
        </w:rPr>
        <w:t>След първоначалното признаване, придобитата в бизнес комбинация репутация се отчита по цена на придобиване минус акумулираните загуби от обезценки. Репутацията не се амортизира.</w:t>
      </w:r>
    </w:p>
    <w:p w:rsidR="00863C99" w:rsidRPr="000E54EB" w:rsidRDefault="00863C99" w:rsidP="00B66DF8">
      <w:pPr>
        <w:rPr>
          <w:rFonts w:ascii="Verdana" w:hAnsi="Verdana" w:cs="Verdana"/>
          <w:sz w:val="20"/>
          <w:szCs w:val="20"/>
        </w:rPr>
      </w:pPr>
    </w:p>
    <w:p w:rsidR="00863C99" w:rsidRPr="000E54EB" w:rsidRDefault="00863C99" w:rsidP="00B66DF8">
      <w:pPr>
        <w:pStyle w:val="Heading3"/>
        <w:spacing w:before="0"/>
        <w:rPr>
          <w:rFonts w:ascii="Verdana" w:hAnsi="Verdana" w:cs="Verdana"/>
          <w:lang w:val="bg-BG"/>
        </w:rPr>
      </w:pPr>
      <w:bookmarkStart w:id="49" w:name="_Toc4328779"/>
      <w:r w:rsidRPr="000E54EB">
        <w:rPr>
          <w:rFonts w:ascii="Verdana" w:hAnsi="Verdana" w:cs="Verdana"/>
          <w:lang w:val="bg-BG"/>
        </w:rPr>
        <w:t>Отделно придобит нематериален актив</w:t>
      </w:r>
      <w:bookmarkEnd w:id="49"/>
    </w:p>
    <w:p w:rsidR="00863C99" w:rsidRPr="000E54EB" w:rsidRDefault="00863C99" w:rsidP="00B66DF8">
      <w:pPr>
        <w:rPr>
          <w:rFonts w:ascii="Verdana" w:hAnsi="Verdana" w:cs="Verdana"/>
          <w:sz w:val="20"/>
          <w:szCs w:val="20"/>
        </w:rPr>
      </w:pPr>
      <w:r w:rsidRPr="000E54EB">
        <w:rPr>
          <w:rFonts w:ascii="Verdana" w:hAnsi="Verdana" w:cs="Verdana"/>
          <w:sz w:val="20"/>
          <w:szCs w:val="20"/>
        </w:rPr>
        <w:t>При първоначално признаване, отделно придобитите нематериални активи се отчитат по цена на придобиване. Цената на придобиване на всеки отделно придобит нематериален актив се състои от покупната му цена, включително вносните мита и невъзстановимите данъци върху покупката, след приспадане на търговските отстъпки и всички свързани разходи за подготовката на актива за неговото използване по предназначение.</w:t>
      </w:r>
    </w:p>
    <w:p w:rsidR="00863C99" w:rsidRPr="000E54EB" w:rsidRDefault="00863C99" w:rsidP="00B66DF8">
      <w:pPr>
        <w:rPr>
          <w:rFonts w:ascii="Verdana" w:hAnsi="Verdana" w:cs="Verdana"/>
          <w:sz w:val="20"/>
          <w:szCs w:val="20"/>
        </w:rPr>
      </w:pPr>
      <w:r w:rsidRPr="000E54EB">
        <w:rPr>
          <w:rFonts w:ascii="Verdana" w:hAnsi="Verdana" w:cs="Verdana"/>
          <w:sz w:val="20"/>
          <w:szCs w:val="20"/>
        </w:rPr>
        <w:t>След първоначалното признаване на отделно придобит нематериален актив той се отчита по цена на придобиване, намалена с начислените амортизации и натрупаната загуба от обезценка. Полезният живот и амортизационният метод се преразглеждат в края на всеки отчетен период спрямо ефекта от промяна в приблизителната оценка, ако има такава и то в перспектива.</w:t>
      </w:r>
    </w:p>
    <w:p w:rsidR="00863C99" w:rsidRPr="000E54EB" w:rsidRDefault="00863C99" w:rsidP="00B66DF8">
      <w:pPr>
        <w:rPr>
          <w:rFonts w:ascii="Verdana" w:hAnsi="Verdana" w:cs="Verdana"/>
          <w:sz w:val="20"/>
          <w:szCs w:val="20"/>
        </w:rPr>
      </w:pPr>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Нематериален актив се отписва при изваждането му от употреба или когато не се очакват бъдещи икономически ползи от неговото използване или изваждането му от </w:t>
      </w:r>
      <w:r w:rsidRPr="000E54EB">
        <w:rPr>
          <w:rFonts w:ascii="Verdana" w:hAnsi="Verdana" w:cs="Verdana"/>
          <w:sz w:val="20"/>
          <w:szCs w:val="20"/>
        </w:rPr>
        <w:lastRenderedPageBreak/>
        <w:t>употреба. Печалбата или загубата, произтичащи от отписването на нематериален актив, се определя като разлика между нетните приходи от изваждането му от употреба и балансовата стойност на актива, разликата се признава в печалбата или загубата, при изваждането на актива от употреба.</w:t>
      </w:r>
    </w:p>
    <w:p w:rsidR="00863C99" w:rsidRPr="000E54EB" w:rsidRDefault="00863C99" w:rsidP="00B66DF8">
      <w:pPr>
        <w:rPr>
          <w:rFonts w:ascii="Verdana" w:hAnsi="Verdana" w:cs="Verdana"/>
          <w:sz w:val="20"/>
          <w:szCs w:val="20"/>
        </w:rPr>
      </w:pPr>
    </w:p>
    <w:p w:rsidR="00863C99" w:rsidRPr="000E54EB" w:rsidRDefault="00863C99" w:rsidP="00B66DF8">
      <w:pPr>
        <w:pStyle w:val="Heading3"/>
        <w:spacing w:before="0"/>
        <w:rPr>
          <w:rFonts w:ascii="Verdana" w:hAnsi="Verdana" w:cs="Verdana"/>
          <w:lang w:val="bg-BG"/>
        </w:rPr>
      </w:pPr>
      <w:bookmarkStart w:id="50" w:name="_Toc4328780"/>
      <w:r w:rsidRPr="000E54EB">
        <w:rPr>
          <w:rFonts w:ascii="Verdana" w:hAnsi="Verdana" w:cs="Verdana"/>
          <w:lang w:val="bg-BG"/>
        </w:rPr>
        <w:t>Вътрешно създаден нематериален актив</w:t>
      </w:r>
      <w:bookmarkEnd w:id="50"/>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Разходите за развойна дейност представляват типични вътрешно създадени нематериални активи за Дружеството. Разходите направени във връзка с отделните проекти се капитализират само когато е вероятно да има бъдеща икономическа изгода от проекта и са изпълнени следните основни условия:  </w:t>
      </w:r>
    </w:p>
    <w:p w:rsidR="00863C99" w:rsidRPr="000E54EB" w:rsidRDefault="00863C99" w:rsidP="00E60E88">
      <w:pPr>
        <w:numPr>
          <w:ilvl w:val="0"/>
          <w:numId w:val="9"/>
        </w:numPr>
        <w:rPr>
          <w:rFonts w:ascii="Verdana" w:hAnsi="Verdana" w:cs="Verdana"/>
          <w:sz w:val="20"/>
          <w:szCs w:val="20"/>
        </w:rPr>
      </w:pPr>
      <w:r w:rsidRPr="000E54EB">
        <w:rPr>
          <w:rFonts w:ascii="Verdana" w:hAnsi="Verdana" w:cs="Verdana"/>
          <w:sz w:val="20"/>
          <w:szCs w:val="20"/>
        </w:rPr>
        <w:t>разходите за развойна дейност могат да бъдат надеждно определени;</w:t>
      </w:r>
    </w:p>
    <w:p w:rsidR="00863C99" w:rsidRPr="000E54EB" w:rsidRDefault="00863C99" w:rsidP="00E60E88">
      <w:pPr>
        <w:numPr>
          <w:ilvl w:val="0"/>
          <w:numId w:val="9"/>
        </w:numPr>
        <w:rPr>
          <w:rFonts w:ascii="Verdana" w:hAnsi="Verdana" w:cs="Verdana"/>
          <w:sz w:val="20"/>
          <w:szCs w:val="20"/>
        </w:rPr>
      </w:pPr>
      <w:r w:rsidRPr="000E54EB">
        <w:rPr>
          <w:rFonts w:ascii="Verdana" w:hAnsi="Verdana" w:cs="Verdana"/>
          <w:sz w:val="20"/>
          <w:szCs w:val="20"/>
        </w:rPr>
        <w:t xml:space="preserve">техническата осъществимост на продукта е била установена; </w:t>
      </w:r>
    </w:p>
    <w:p w:rsidR="00863C99" w:rsidRPr="000E54EB" w:rsidRDefault="00863C99" w:rsidP="00E60E88">
      <w:pPr>
        <w:numPr>
          <w:ilvl w:val="0"/>
          <w:numId w:val="9"/>
        </w:numPr>
        <w:rPr>
          <w:rFonts w:ascii="Verdana" w:hAnsi="Verdana" w:cs="Verdana"/>
          <w:sz w:val="20"/>
          <w:szCs w:val="20"/>
        </w:rPr>
      </w:pPr>
      <w:r w:rsidRPr="000E54EB">
        <w:rPr>
          <w:rFonts w:ascii="Verdana" w:hAnsi="Verdana" w:cs="Verdana"/>
          <w:sz w:val="20"/>
          <w:szCs w:val="20"/>
        </w:rPr>
        <w:t xml:space="preserve">намерението на ръководството е да завърши нематериалния актив и да го използва или продаде. </w:t>
      </w:r>
    </w:p>
    <w:p w:rsidR="00863C99" w:rsidRPr="000E54EB" w:rsidRDefault="00863C99" w:rsidP="00B66DF8">
      <w:pPr>
        <w:rPr>
          <w:rFonts w:ascii="Verdana" w:hAnsi="Verdana" w:cs="Verdana"/>
          <w:sz w:val="20"/>
          <w:szCs w:val="20"/>
        </w:rPr>
      </w:pPr>
      <w:r w:rsidRPr="000E54EB">
        <w:rPr>
          <w:rFonts w:ascii="Verdana" w:hAnsi="Verdana" w:cs="Verdana"/>
          <w:sz w:val="20"/>
          <w:szCs w:val="20"/>
        </w:rPr>
        <w:t>Предвид типа на бизнеса, управляван от Дружеството и кумулативния опит, придобит от  Дружеството, обикновено факта, че даден нематериалният актив ще доведе до вероятни бъдещи икономически ползи става разумно сигурен, едва малко преди дадения продукт да бъде пуснат на пазара. Разходите направени преди този момент не следва да бъдат признавани. Вътрешно създадените нематериални активи предимно се отнасят до вътрешно разработен софтуер и вътрешно разработена патентна технология, процес и т.н. Разходите за изследователска дейност се отчитат като разход, към датата на която са направени. След първоначалното им признаване вътрешно създадените нематериални активи следват счетоводните политики приложими за отделно придобитите нематериални активи, както е посочено по-горе.</w:t>
      </w:r>
    </w:p>
    <w:p w:rsidR="00863C99" w:rsidRPr="000E54EB" w:rsidRDefault="00863C99" w:rsidP="00B66DF8">
      <w:pPr>
        <w:rPr>
          <w:rFonts w:ascii="Verdana" w:hAnsi="Verdana" w:cs="Verdana"/>
          <w:sz w:val="20"/>
          <w:szCs w:val="20"/>
        </w:rPr>
      </w:pPr>
    </w:p>
    <w:p w:rsidR="00863C99" w:rsidRPr="000E54EB" w:rsidRDefault="00863C99" w:rsidP="00B66DF8">
      <w:pPr>
        <w:pStyle w:val="Heading3"/>
        <w:spacing w:before="0"/>
        <w:rPr>
          <w:rFonts w:ascii="Verdana" w:hAnsi="Verdana" w:cs="Verdana"/>
          <w:lang w:val="bg-BG"/>
        </w:rPr>
      </w:pPr>
      <w:bookmarkStart w:id="51" w:name="_Toc4328781"/>
      <w:r w:rsidRPr="000E54EB">
        <w:rPr>
          <w:rFonts w:ascii="Verdana" w:hAnsi="Verdana" w:cs="Verdana"/>
          <w:lang w:val="bg-BG"/>
        </w:rPr>
        <w:t>Амортизация</w:t>
      </w:r>
      <w:bookmarkEnd w:id="51"/>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За нематериалните активи с ограничен полезен живот амортизацията се изчислява така, че да се отпише стойността на актива минус предполагаемата му остатъчна стойност за времето на полезният му икономически живот както следва: </w:t>
      </w:r>
    </w:p>
    <w:bookmarkEnd w:id="47"/>
    <w:p w:rsidR="00863C99" w:rsidRPr="000E54EB" w:rsidRDefault="00863C99" w:rsidP="003626D1">
      <w:pPr>
        <w:rPr>
          <w:rFonts w:ascii="Verdana" w:hAnsi="Verdana" w:cs="Verdana"/>
          <w:sz w:val="20"/>
          <w:szCs w:val="20"/>
        </w:rPr>
      </w:pPr>
      <w:r w:rsidRPr="000E54EB">
        <w:rPr>
          <w:rFonts w:ascii="Verdana" w:hAnsi="Verdana" w:cs="Verdana"/>
          <w:sz w:val="20"/>
          <w:szCs w:val="20"/>
        </w:rPr>
        <w:t xml:space="preserve">Софтуер                               </w:t>
      </w:r>
      <w:r w:rsidRPr="00A52D1E">
        <w:rPr>
          <w:rFonts w:ascii="Verdana" w:hAnsi="Verdana" w:cs="Verdana"/>
          <w:sz w:val="20"/>
          <w:szCs w:val="20"/>
          <w:lang w:val="ru-RU"/>
        </w:rPr>
        <w:t xml:space="preserve">                                            </w:t>
      </w:r>
      <w:r w:rsidRPr="000E54EB">
        <w:rPr>
          <w:rFonts w:ascii="Verdana" w:hAnsi="Verdana" w:cs="Verdana"/>
          <w:sz w:val="20"/>
          <w:szCs w:val="20"/>
        </w:rPr>
        <w:t>50% линейна база</w:t>
      </w:r>
    </w:p>
    <w:p w:rsidR="00863C99" w:rsidRPr="000E54EB" w:rsidRDefault="00863C99" w:rsidP="003626D1">
      <w:pPr>
        <w:rPr>
          <w:rFonts w:ascii="Verdana" w:hAnsi="Verdana" w:cs="Verdana"/>
          <w:sz w:val="20"/>
          <w:szCs w:val="20"/>
        </w:rPr>
      </w:pPr>
      <w:r w:rsidRPr="000E54EB">
        <w:rPr>
          <w:rFonts w:ascii="Verdana" w:hAnsi="Verdana" w:cs="Verdana"/>
          <w:sz w:val="20"/>
          <w:szCs w:val="20"/>
        </w:rPr>
        <w:t xml:space="preserve">Други                                   </w:t>
      </w:r>
      <w:r w:rsidRPr="00A52D1E">
        <w:rPr>
          <w:rFonts w:ascii="Verdana" w:hAnsi="Verdana" w:cs="Verdana"/>
          <w:sz w:val="20"/>
          <w:szCs w:val="20"/>
          <w:lang w:val="ru-RU"/>
        </w:rPr>
        <w:t xml:space="preserve">                                            </w:t>
      </w:r>
      <w:r w:rsidRPr="000E54EB">
        <w:rPr>
          <w:rFonts w:ascii="Verdana" w:hAnsi="Verdana" w:cs="Verdana"/>
          <w:sz w:val="20"/>
          <w:szCs w:val="20"/>
        </w:rPr>
        <w:t>15% линейна база</w:t>
      </w:r>
    </w:p>
    <w:p w:rsidR="00863C99" w:rsidRPr="000E54EB" w:rsidRDefault="00863C99" w:rsidP="003626D1">
      <w:pPr>
        <w:rPr>
          <w:rFonts w:ascii="Verdana" w:hAnsi="Verdana" w:cs="Verdana"/>
          <w:sz w:val="20"/>
          <w:szCs w:val="20"/>
        </w:rPr>
      </w:pPr>
      <w:r w:rsidRPr="000E54EB">
        <w:rPr>
          <w:rFonts w:ascii="Verdana" w:hAnsi="Verdana" w:cs="Verdana"/>
          <w:sz w:val="20"/>
          <w:szCs w:val="20"/>
        </w:rPr>
        <w:t>Нематериални активи с неопределен полезен живот не се амортизират, но са обект на преглед за обезценка, както е описано по-долу.</w:t>
      </w:r>
    </w:p>
    <w:p w:rsidR="00863C99" w:rsidRPr="000E54EB" w:rsidRDefault="00863C99" w:rsidP="00B66DF8">
      <w:pPr>
        <w:rPr>
          <w:rFonts w:ascii="Verdana" w:hAnsi="Verdana" w:cs="Verdana"/>
          <w:sz w:val="20"/>
          <w:szCs w:val="20"/>
        </w:rPr>
      </w:pPr>
    </w:p>
    <w:p w:rsidR="00863C99" w:rsidRPr="000E54EB" w:rsidRDefault="00863C99" w:rsidP="00B66DF8">
      <w:pPr>
        <w:pStyle w:val="Heading2"/>
        <w:spacing w:before="0"/>
        <w:rPr>
          <w:rFonts w:ascii="Verdana" w:hAnsi="Verdana" w:cs="Verdana"/>
          <w:sz w:val="20"/>
          <w:szCs w:val="20"/>
          <w:lang w:val="bg-BG"/>
        </w:rPr>
      </w:pPr>
      <w:bookmarkStart w:id="52" w:name="_Toc4328782"/>
      <w:r w:rsidRPr="000E54EB">
        <w:rPr>
          <w:rFonts w:ascii="Verdana" w:hAnsi="Verdana" w:cs="Verdana"/>
          <w:sz w:val="20"/>
          <w:szCs w:val="20"/>
          <w:lang w:val="bg-BG"/>
        </w:rPr>
        <w:t>МАТЕРИАЛНИ ЗАПАСИ</w:t>
      </w:r>
      <w:bookmarkEnd w:id="52"/>
    </w:p>
    <w:p w:rsidR="00863C99" w:rsidRPr="000E54EB" w:rsidRDefault="00863C99" w:rsidP="00B66DF8">
      <w:pPr>
        <w:rPr>
          <w:rFonts w:ascii="Verdana" w:hAnsi="Verdana" w:cs="Verdana"/>
          <w:sz w:val="20"/>
          <w:szCs w:val="20"/>
        </w:rPr>
      </w:pPr>
      <w:r w:rsidRPr="000E54EB">
        <w:rPr>
          <w:rFonts w:ascii="Verdana" w:hAnsi="Verdana" w:cs="Verdana"/>
          <w:sz w:val="20"/>
          <w:szCs w:val="20"/>
        </w:rPr>
        <w:t>Материалните запаси се отчитат в отчета за финансовото състояние по по-ниската между себестойност и нетната реализуема стойност. Себестойността се определя чрез използването на метода „среднопретеглена цена“. Себестойността на незавършено производство и готова продукция включва материали, пряк труд и свързани производствени разходи въз основа на обичайното ниво на дейност.</w:t>
      </w:r>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Провизия се прави за обездвижени и застояли елементи въз основа на очакваната им бъдеща употреба и нетна реализируема стойност. </w:t>
      </w:r>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Нетната реализуема стойност е предполагаемата продажна цена в обичайния ход на бизнеса, след като се извадят всички допълнителни разходи за завършване и реализация. </w:t>
      </w:r>
    </w:p>
    <w:p w:rsidR="00863C99" w:rsidRPr="000E54EB" w:rsidRDefault="00863C99" w:rsidP="00B66DF8">
      <w:pPr>
        <w:rPr>
          <w:rFonts w:ascii="Verdana" w:hAnsi="Verdana" w:cs="Verdana"/>
          <w:sz w:val="20"/>
          <w:szCs w:val="20"/>
        </w:rPr>
      </w:pPr>
    </w:p>
    <w:p w:rsidR="00863C99" w:rsidRPr="000E54EB" w:rsidRDefault="00863C99" w:rsidP="004F5107">
      <w:pPr>
        <w:pStyle w:val="Heading2"/>
        <w:spacing w:before="0"/>
        <w:rPr>
          <w:rFonts w:ascii="Verdana" w:hAnsi="Verdana" w:cs="Verdana"/>
          <w:sz w:val="20"/>
          <w:szCs w:val="20"/>
          <w:lang w:val="bg-BG"/>
        </w:rPr>
      </w:pPr>
      <w:bookmarkStart w:id="53" w:name="_Toc4328783"/>
      <w:r w:rsidRPr="000E54EB">
        <w:rPr>
          <w:rFonts w:ascii="Verdana" w:hAnsi="Verdana" w:cs="Verdana"/>
          <w:sz w:val="20"/>
          <w:szCs w:val="20"/>
          <w:lang w:val="bg-BG"/>
        </w:rPr>
        <w:t>АКТИВИ И ПАСИВИ ПО ДОГОВОРИ С КЛИЕНТИ</w:t>
      </w:r>
      <w:bookmarkEnd w:id="53"/>
    </w:p>
    <w:p w:rsidR="00863C99" w:rsidRPr="000E54EB" w:rsidRDefault="00863C99" w:rsidP="00B66DF8">
      <w:pPr>
        <w:rPr>
          <w:rFonts w:ascii="Verdana" w:hAnsi="Verdana" w:cs="Verdana"/>
          <w:sz w:val="20"/>
          <w:szCs w:val="20"/>
        </w:rPr>
      </w:pPr>
      <w:r w:rsidRPr="000E54EB">
        <w:rPr>
          <w:rFonts w:ascii="Verdana" w:hAnsi="Verdana" w:cs="Verdana"/>
          <w:sz w:val="20"/>
          <w:szCs w:val="20"/>
        </w:rPr>
        <w:t>В съответствие с МСФО 15, когато една от страните по договор с клиент е изпълнила задълженията си по договора, Дружеството представя договора в отчета за финансовото състояние като активи по договор или пасив по договор в зависимост от връзката между дейността на Дружеството и плащането от страна на клиента. Дружеството представя отделно всяко безусловно право на възнаграждение като вземане от продажби по договори с клиенти в статията „търговски и други вземания“ на отчета за финансовото състояние.</w:t>
      </w:r>
    </w:p>
    <w:p w:rsidR="00863C99" w:rsidRPr="000E54EB" w:rsidRDefault="00863C99" w:rsidP="00B66DF8">
      <w:pPr>
        <w:rPr>
          <w:rFonts w:ascii="Verdana" w:hAnsi="Verdana" w:cs="Verdana"/>
          <w:sz w:val="20"/>
          <w:szCs w:val="20"/>
        </w:rPr>
      </w:pPr>
      <w:r w:rsidRPr="000E54EB">
        <w:rPr>
          <w:rFonts w:ascii="Verdana" w:hAnsi="Verdana" w:cs="Verdana"/>
          <w:sz w:val="20"/>
          <w:szCs w:val="20"/>
        </w:rPr>
        <w:lastRenderedPageBreak/>
        <w:t>Актив по договор с клиент се признава ако Дружеството изпълнява задължението си, като прехвърля стоки или услуги на клиент, преди клиентът да плати възнаграждение или преди плащането да е дължимо, с изключение на сумите, които са представени като вземане по договор с клиент. Актив по договор е правото на Дружеството да получи възнаграждение в замяна на стоките или услугите, които то е прехвърлило на клиент. Този актив се оценява в съответствие с изискванията на МСФО 9. Обезценка на актив по договор с клиент се оценява и представя както обезценките на финансовите активи в съответствие с МСФО 9.</w:t>
      </w:r>
    </w:p>
    <w:p w:rsidR="00863C99" w:rsidRPr="000E54EB" w:rsidRDefault="00863C99" w:rsidP="00B66DF8">
      <w:pPr>
        <w:rPr>
          <w:rFonts w:ascii="Verdana" w:hAnsi="Verdana" w:cs="Verdana"/>
          <w:sz w:val="20"/>
          <w:szCs w:val="20"/>
        </w:rPr>
      </w:pPr>
      <w:r w:rsidRPr="000E54EB">
        <w:rPr>
          <w:rFonts w:ascii="Verdana" w:hAnsi="Verdana" w:cs="Verdana"/>
          <w:sz w:val="20"/>
          <w:szCs w:val="20"/>
        </w:rPr>
        <w:t>Пасив по договор с клиент се признава ако клиентът заплаща възнаграждение или Дружеството има право на възнаграждение, което е безусловно (т.е. вземане), преди Дружеството да прехвърли стока или услуга на клиента, когато плащането е извършено или дължимо (което от двете настъпи по-рано). Пасив по договор е задължението на Дружеството да прехвърли стоки или услуги към клиент, за които то е получило възнаграждение (или възнаграждението е дължимо) от клиента.</w:t>
      </w:r>
    </w:p>
    <w:p w:rsidR="00863C99" w:rsidRPr="000E54EB" w:rsidRDefault="00863C99" w:rsidP="00B66DF8">
      <w:pPr>
        <w:rPr>
          <w:rFonts w:ascii="Verdana" w:hAnsi="Verdana" w:cs="Verdana"/>
          <w:sz w:val="20"/>
          <w:szCs w:val="20"/>
        </w:rPr>
      </w:pPr>
      <w:r w:rsidRPr="000E54EB">
        <w:rPr>
          <w:rFonts w:ascii="Verdana" w:hAnsi="Verdana" w:cs="Verdana"/>
          <w:sz w:val="20"/>
          <w:szCs w:val="20"/>
        </w:rPr>
        <w:t>Вземането по договор с клиент е безусловно право на Дружеството да получи възнаграждението по този договор. Това право се счита за безусловно, ако единственото условие за това, плащането на възнаграждението да стане дължимо, е изтичането на определен период от време.</w:t>
      </w:r>
    </w:p>
    <w:p w:rsidR="00863C99" w:rsidRPr="000E54EB" w:rsidRDefault="00863C99" w:rsidP="00B66DF8">
      <w:pPr>
        <w:rPr>
          <w:rFonts w:ascii="Verdana" w:hAnsi="Verdana" w:cs="Verdana"/>
          <w:sz w:val="20"/>
          <w:szCs w:val="20"/>
        </w:rPr>
      </w:pPr>
    </w:p>
    <w:p w:rsidR="00863C99" w:rsidRPr="000E54EB" w:rsidRDefault="00863C99" w:rsidP="00CD238C">
      <w:pPr>
        <w:pStyle w:val="Heading3"/>
        <w:spacing w:before="0"/>
        <w:rPr>
          <w:rFonts w:ascii="Verdana" w:hAnsi="Verdana" w:cs="Verdana"/>
          <w:lang w:val="bg-BG"/>
        </w:rPr>
      </w:pPr>
      <w:bookmarkStart w:id="54" w:name="_Toc4328784"/>
      <w:r w:rsidRPr="000E54EB">
        <w:rPr>
          <w:rFonts w:ascii="Verdana" w:hAnsi="Verdana" w:cs="Verdana"/>
          <w:lang w:val="bg-BG"/>
        </w:rPr>
        <w:t>Продажба с право на връщане</w:t>
      </w:r>
      <w:bookmarkEnd w:id="54"/>
    </w:p>
    <w:p w:rsidR="00863C99" w:rsidRPr="000E54EB" w:rsidRDefault="00863C99" w:rsidP="00B66DF8">
      <w:pPr>
        <w:rPr>
          <w:rFonts w:ascii="Verdana" w:hAnsi="Verdana" w:cs="Verdana"/>
          <w:sz w:val="20"/>
          <w:szCs w:val="20"/>
        </w:rPr>
      </w:pPr>
      <w:r w:rsidRPr="000E54EB">
        <w:rPr>
          <w:rFonts w:ascii="Verdana" w:hAnsi="Verdana" w:cs="Verdana"/>
          <w:sz w:val="20"/>
          <w:szCs w:val="20"/>
        </w:rPr>
        <w:t>При някои договори с клиенти Дружеството прехвърля контрола върху дадена стока или услуга на клиент и също така дава на клиента правото да върне продукта поради различни причини и да получи комбинация от следното:</w:t>
      </w:r>
    </w:p>
    <w:p w:rsidR="00863C99" w:rsidRPr="000E54EB" w:rsidRDefault="00863C99" w:rsidP="00B66DF8">
      <w:pPr>
        <w:rPr>
          <w:rFonts w:ascii="Verdana" w:hAnsi="Verdana" w:cs="Verdana"/>
          <w:sz w:val="20"/>
          <w:szCs w:val="20"/>
        </w:rPr>
      </w:pPr>
      <w:r w:rsidRPr="000E54EB">
        <w:rPr>
          <w:rFonts w:ascii="Verdana" w:hAnsi="Verdana" w:cs="Verdana"/>
          <w:sz w:val="20"/>
          <w:szCs w:val="20"/>
        </w:rPr>
        <w:tab/>
        <w:t>- пълно или частично възстановяване на заплатената сума;</w:t>
      </w:r>
    </w:p>
    <w:p w:rsidR="00863C99" w:rsidRPr="000E54EB" w:rsidRDefault="00863C99" w:rsidP="00B66DF8">
      <w:pPr>
        <w:rPr>
          <w:rFonts w:ascii="Verdana" w:hAnsi="Verdana" w:cs="Verdana"/>
          <w:sz w:val="20"/>
          <w:szCs w:val="20"/>
        </w:rPr>
      </w:pPr>
      <w:r w:rsidRPr="000E54EB">
        <w:rPr>
          <w:rFonts w:ascii="Verdana" w:hAnsi="Verdana" w:cs="Verdana"/>
          <w:sz w:val="20"/>
          <w:szCs w:val="20"/>
        </w:rPr>
        <w:tab/>
        <w:t>- кредит, който може да бъде използван спрямо сумите, дължими или които ще бъдат дължими на Дружеството;</w:t>
      </w:r>
    </w:p>
    <w:p w:rsidR="00863C99" w:rsidRPr="000E54EB" w:rsidRDefault="00863C99" w:rsidP="00B66DF8">
      <w:pPr>
        <w:rPr>
          <w:rFonts w:ascii="Verdana" w:hAnsi="Verdana" w:cs="Verdana"/>
          <w:sz w:val="20"/>
          <w:szCs w:val="20"/>
        </w:rPr>
      </w:pPr>
      <w:r w:rsidRPr="000E54EB">
        <w:rPr>
          <w:rFonts w:ascii="Verdana" w:hAnsi="Verdana" w:cs="Verdana"/>
          <w:sz w:val="20"/>
          <w:szCs w:val="20"/>
        </w:rPr>
        <w:tab/>
        <w:t>- замяна на друг продукт.</w:t>
      </w:r>
    </w:p>
    <w:p w:rsidR="00863C99" w:rsidRPr="000E54EB" w:rsidRDefault="00863C99" w:rsidP="00B66DF8">
      <w:pPr>
        <w:rPr>
          <w:rFonts w:ascii="Verdana" w:hAnsi="Verdana" w:cs="Verdana"/>
          <w:sz w:val="20"/>
          <w:szCs w:val="20"/>
        </w:rPr>
      </w:pPr>
      <w:r w:rsidRPr="000E54EB">
        <w:rPr>
          <w:rFonts w:ascii="Verdana" w:hAnsi="Verdana" w:cs="Verdana"/>
          <w:sz w:val="20"/>
          <w:szCs w:val="20"/>
        </w:rPr>
        <w:t>При отчитането на прехвърлянето на продукти с право на връщане (и за услуги, които се предоставят с уговорка за възстановяване), Дружеството признава всички от следните:</w:t>
      </w:r>
    </w:p>
    <w:p w:rsidR="00863C99" w:rsidRPr="000E54EB" w:rsidRDefault="00863C99" w:rsidP="00E60E88">
      <w:pPr>
        <w:numPr>
          <w:ilvl w:val="0"/>
          <w:numId w:val="10"/>
        </w:numPr>
        <w:ind w:left="0" w:firstLine="360"/>
        <w:rPr>
          <w:rFonts w:ascii="Verdana" w:hAnsi="Verdana" w:cs="Verdana"/>
          <w:sz w:val="20"/>
          <w:szCs w:val="20"/>
        </w:rPr>
      </w:pPr>
      <w:r w:rsidRPr="000E54EB">
        <w:rPr>
          <w:rFonts w:ascii="Verdana" w:hAnsi="Verdana" w:cs="Verdana"/>
          <w:sz w:val="20"/>
          <w:szCs w:val="20"/>
        </w:rPr>
        <w:t>приходи за прехвърлени продукти в размер на стойността на възнаграждението, на което Дружеството очаква да има право, т.е. приход не се признава за продуктите, които се очаква да бъдат върнати;</w:t>
      </w:r>
    </w:p>
    <w:p w:rsidR="00863C99" w:rsidRPr="000E54EB" w:rsidRDefault="00863C99" w:rsidP="00E60E88">
      <w:pPr>
        <w:numPr>
          <w:ilvl w:val="0"/>
          <w:numId w:val="10"/>
        </w:numPr>
        <w:ind w:left="0" w:firstLine="360"/>
        <w:rPr>
          <w:rFonts w:ascii="Verdana" w:hAnsi="Verdana" w:cs="Verdana"/>
          <w:sz w:val="20"/>
          <w:szCs w:val="20"/>
        </w:rPr>
      </w:pPr>
      <w:r w:rsidRPr="000E54EB">
        <w:rPr>
          <w:rFonts w:ascii="Verdana" w:hAnsi="Verdana" w:cs="Verdana"/>
          <w:sz w:val="20"/>
          <w:szCs w:val="20"/>
        </w:rPr>
        <w:t>задължение за възстановяване, което се представя към статията „пасиви по договори с клиенти“ в отчета за финансовото състояние;</w:t>
      </w:r>
    </w:p>
    <w:p w:rsidR="00863C99" w:rsidRPr="000E54EB" w:rsidRDefault="00863C99" w:rsidP="00E60E88">
      <w:pPr>
        <w:numPr>
          <w:ilvl w:val="0"/>
          <w:numId w:val="10"/>
        </w:numPr>
        <w:ind w:left="0" w:firstLine="360"/>
        <w:rPr>
          <w:rFonts w:ascii="Verdana" w:hAnsi="Verdana" w:cs="Verdana"/>
          <w:sz w:val="20"/>
          <w:szCs w:val="20"/>
        </w:rPr>
      </w:pPr>
      <w:r w:rsidRPr="000E54EB">
        <w:rPr>
          <w:rFonts w:ascii="Verdana" w:hAnsi="Verdana" w:cs="Verdana"/>
          <w:sz w:val="20"/>
          <w:szCs w:val="20"/>
        </w:rPr>
        <w:t>актив (и съответна корекция на стойността на продажбите) за правото на Дружеството да получи продуктите обратно от клиента при удовлетворяване на задължението за възстановяване. Този актив се представя към статията „активи по договори с клиенти“ в отчета за финансовото състояние.</w:t>
      </w:r>
    </w:p>
    <w:p w:rsidR="00863C99" w:rsidRPr="000E54EB" w:rsidRDefault="00863C99" w:rsidP="00B66DF8">
      <w:pPr>
        <w:rPr>
          <w:rFonts w:ascii="Verdana" w:hAnsi="Verdana" w:cs="Verdana"/>
          <w:sz w:val="20"/>
          <w:szCs w:val="20"/>
        </w:rPr>
      </w:pPr>
    </w:p>
    <w:p w:rsidR="00863C99" w:rsidRPr="000E54EB" w:rsidRDefault="00863C99" w:rsidP="00F25A16">
      <w:pPr>
        <w:pStyle w:val="Heading3"/>
        <w:spacing w:before="0"/>
        <w:rPr>
          <w:rFonts w:ascii="Verdana" w:hAnsi="Verdana" w:cs="Verdana"/>
          <w:lang w:val="bg-BG"/>
        </w:rPr>
      </w:pPr>
      <w:bookmarkStart w:id="55" w:name="_Toc4328785"/>
      <w:r w:rsidRPr="000E54EB">
        <w:rPr>
          <w:rFonts w:ascii="Verdana" w:hAnsi="Verdana" w:cs="Verdana"/>
          <w:lang w:val="bg-BG"/>
        </w:rPr>
        <w:t>Гаранции</w:t>
      </w:r>
      <w:bookmarkEnd w:id="55"/>
    </w:p>
    <w:p w:rsidR="00863C99" w:rsidRPr="000E54EB" w:rsidRDefault="00863C99" w:rsidP="00B66DF8">
      <w:pPr>
        <w:rPr>
          <w:rFonts w:ascii="Verdana" w:hAnsi="Verdana" w:cs="Verdana"/>
          <w:sz w:val="20"/>
          <w:szCs w:val="20"/>
        </w:rPr>
      </w:pPr>
      <w:r w:rsidRPr="000E54EB">
        <w:rPr>
          <w:rFonts w:ascii="Verdana" w:hAnsi="Verdana" w:cs="Verdana"/>
          <w:sz w:val="20"/>
          <w:szCs w:val="20"/>
        </w:rPr>
        <w:t>В общият случай Дружеството предоставя (в съответствие с договора, законодателството и обичайните си търговски практики) гаранция във връзка с продажбата на стока или услуга.</w:t>
      </w:r>
    </w:p>
    <w:p w:rsidR="00863C99" w:rsidRPr="000E54EB" w:rsidRDefault="00863C99" w:rsidP="00B66DF8">
      <w:pPr>
        <w:rPr>
          <w:rFonts w:ascii="Verdana" w:hAnsi="Verdana" w:cs="Verdana"/>
          <w:sz w:val="20"/>
          <w:szCs w:val="20"/>
        </w:rPr>
      </w:pPr>
      <w:r w:rsidRPr="000E54EB">
        <w:rPr>
          <w:rFonts w:ascii="Verdana" w:hAnsi="Verdana" w:cs="Verdana"/>
          <w:sz w:val="20"/>
          <w:szCs w:val="20"/>
        </w:rPr>
        <w:t>Ако клиентът има опцията да закупи отделно гаранция (например, когато гаранцията е договорена отделно и има отделна цена), гаранцията е отделна услуга, тъй като Дружеството обещава да предостави услугата на клиента в допълнение към продукта по договора. При такива обстоятелства Дружеството отчита гаранцията като задължение за изпълнение и разпределя част от цената на сделката към това задължение за изпълнение.</w:t>
      </w:r>
    </w:p>
    <w:p w:rsidR="00863C99" w:rsidRPr="000E54EB" w:rsidRDefault="00863C99" w:rsidP="00B66DF8">
      <w:pPr>
        <w:rPr>
          <w:rFonts w:ascii="Verdana" w:hAnsi="Verdana" w:cs="Verdana"/>
          <w:sz w:val="20"/>
          <w:szCs w:val="20"/>
        </w:rPr>
      </w:pPr>
      <w:r w:rsidRPr="000E54EB">
        <w:rPr>
          <w:rFonts w:ascii="Verdana" w:hAnsi="Verdana" w:cs="Verdana"/>
          <w:sz w:val="20"/>
          <w:szCs w:val="20"/>
        </w:rPr>
        <w:t>Ако клиентът не разполага с възможността да закупи отделно гаранцията, Дружеството отчита гаранцията в съответствие с МСС 37, освен ако обещаната гаранция или част от обещаната гаранция предоставя на клиента услуга, в допълнение към увереността, че продуктът съответства на уговорените в договора спецификации.</w:t>
      </w:r>
    </w:p>
    <w:p w:rsidR="00863C99" w:rsidRPr="000E54EB" w:rsidRDefault="00863C99" w:rsidP="00B66DF8">
      <w:pPr>
        <w:rPr>
          <w:rFonts w:ascii="Verdana" w:hAnsi="Verdana" w:cs="Verdana"/>
          <w:sz w:val="20"/>
          <w:szCs w:val="20"/>
        </w:rPr>
      </w:pPr>
    </w:p>
    <w:p w:rsidR="00863C99" w:rsidRPr="000E54EB" w:rsidRDefault="00863C99" w:rsidP="00B66DF8">
      <w:pPr>
        <w:pStyle w:val="Heading2"/>
        <w:spacing w:before="0"/>
        <w:rPr>
          <w:rFonts w:ascii="Verdana" w:hAnsi="Verdana" w:cs="Verdana"/>
          <w:sz w:val="20"/>
          <w:szCs w:val="20"/>
          <w:lang w:val="bg-BG"/>
        </w:rPr>
      </w:pPr>
      <w:bookmarkStart w:id="56" w:name="_Toc4328786"/>
      <w:r w:rsidRPr="000E54EB">
        <w:rPr>
          <w:rFonts w:ascii="Verdana" w:hAnsi="Verdana" w:cs="Verdana"/>
          <w:sz w:val="20"/>
          <w:szCs w:val="20"/>
          <w:lang w:val="bg-BG"/>
        </w:rPr>
        <w:lastRenderedPageBreak/>
        <w:t>ФИНАНСОВИ ИНСТРУМЕНТИ</w:t>
      </w:r>
      <w:bookmarkEnd w:id="56"/>
    </w:p>
    <w:p w:rsidR="00863C99" w:rsidRPr="000E54EB" w:rsidRDefault="00863C99" w:rsidP="00B66DF8">
      <w:pPr>
        <w:pStyle w:val="Heading3"/>
        <w:spacing w:before="0"/>
        <w:rPr>
          <w:rFonts w:ascii="Verdana" w:hAnsi="Verdana" w:cs="Verdana"/>
          <w:lang w:val="bg-BG"/>
        </w:rPr>
      </w:pPr>
      <w:bookmarkStart w:id="57" w:name="_Toc4328787"/>
      <w:r w:rsidRPr="000E54EB">
        <w:rPr>
          <w:rFonts w:ascii="Verdana" w:hAnsi="Verdana" w:cs="Verdana"/>
          <w:lang w:val="bg-BG"/>
        </w:rPr>
        <w:t>Първоначално признаване и оценяване</w:t>
      </w:r>
      <w:bookmarkEnd w:id="57"/>
    </w:p>
    <w:p w:rsidR="00863C99" w:rsidRPr="000E54EB" w:rsidRDefault="00863C99" w:rsidP="00B66DF8">
      <w:pPr>
        <w:rPr>
          <w:rFonts w:ascii="Verdana" w:hAnsi="Verdana" w:cs="Verdana"/>
          <w:sz w:val="20"/>
          <w:szCs w:val="20"/>
        </w:rPr>
      </w:pPr>
      <w:r w:rsidRPr="000E54EB">
        <w:rPr>
          <w:rFonts w:ascii="Verdana" w:hAnsi="Verdana" w:cs="Verdana"/>
          <w:sz w:val="20"/>
          <w:szCs w:val="20"/>
        </w:rPr>
        <w:t>Дружеството признава финансов актив или финансов пасив в отчета за финансовото състояние, само когато Дружеството става страна по договорните клаузи на съответния финансов инструмент. При първоначално признаване Дружеството признава всички финансови активи и финансови пасиви по справедлива стойност. Справедливата стойност на даден финансов актив/пасив при първоначалното му признаване обикновено е договорната цена. Договорната цена за финансови активи/пасиви, освен тези, които са класифицирани по справедлива стойност презпечалбата или загубата, включва разходите по сделката, които се отнасят пряко към придобиването/издаването на финансовия инструмент. Разходите по сделката, направени при придобиването на финансов актив и издаването на финансов пасив, класифицирани по справедлива стойност презпечалбата или загубата се отчитат незабавно като разход.</w:t>
      </w:r>
    </w:p>
    <w:p w:rsidR="00863C99" w:rsidRPr="000E54EB" w:rsidRDefault="00863C99" w:rsidP="00B66DF8">
      <w:pPr>
        <w:rPr>
          <w:rFonts w:ascii="Verdana" w:hAnsi="Verdana" w:cs="Verdana"/>
          <w:sz w:val="20"/>
          <w:szCs w:val="20"/>
        </w:rPr>
      </w:pPr>
      <w:r w:rsidRPr="000E54EB">
        <w:rPr>
          <w:rFonts w:ascii="Verdana" w:hAnsi="Verdana" w:cs="Verdana"/>
          <w:sz w:val="20"/>
          <w:szCs w:val="20"/>
        </w:rPr>
        <w:t>Дружеството признава финансови активи, използвайки датата на сетълмент на сделката, като по този начин един актив се признава в деня, в който е получен от Дружеството и се отписва в деня, в който е предоставен от Дружеството.</w:t>
      </w:r>
    </w:p>
    <w:p w:rsidR="00863C99" w:rsidRPr="000E54EB" w:rsidRDefault="00863C99" w:rsidP="00B66DF8">
      <w:pPr>
        <w:rPr>
          <w:rFonts w:ascii="Verdana" w:hAnsi="Verdana" w:cs="Verdana"/>
          <w:sz w:val="20"/>
          <w:szCs w:val="20"/>
        </w:rPr>
      </w:pPr>
    </w:p>
    <w:p w:rsidR="00863C99" w:rsidRPr="000E54EB" w:rsidRDefault="00863C99" w:rsidP="00B66DF8">
      <w:pPr>
        <w:pStyle w:val="Heading3"/>
        <w:spacing w:before="0"/>
        <w:rPr>
          <w:rFonts w:ascii="Verdana" w:hAnsi="Verdana" w:cs="Verdana"/>
          <w:lang w:val="bg-BG"/>
        </w:rPr>
      </w:pPr>
      <w:bookmarkStart w:id="58" w:name="_Toc4328788"/>
      <w:r w:rsidRPr="000E54EB">
        <w:rPr>
          <w:rFonts w:ascii="Verdana" w:hAnsi="Verdana" w:cs="Verdana"/>
          <w:lang w:val="bg-BG"/>
        </w:rPr>
        <w:t>Последваща оценка на финансови активи</w:t>
      </w:r>
      <w:bookmarkEnd w:id="58"/>
    </w:p>
    <w:p w:rsidR="00863C99" w:rsidRPr="000E54EB" w:rsidRDefault="00863C99" w:rsidP="00B66DF8">
      <w:pPr>
        <w:rPr>
          <w:rFonts w:ascii="Verdana" w:hAnsi="Verdana" w:cs="Verdana"/>
          <w:sz w:val="20"/>
          <w:szCs w:val="20"/>
        </w:rPr>
      </w:pPr>
      <w:r w:rsidRPr="000E54EB">
        <w:rPr>
          <w:rFonts w:ascii="Verdana" w:hAnsi="Verdana" w:cs="Verdana"/>
          <w:sz w:val="20"/>
          <w:szCs w:val="20"/>
        </w:rPr>
        <w:t>Последващата оценка на финансовите активи зависи от тяхната класификация при първоначалното им признаване като активи. Дружеството класифицира финансовите активи в една от следните категории:</w:t>
      </w:r>
    </w:p>
    <w:p w:rsidR="00863C99" w:rsidRPr="000E54EB" w:rsidRDefault="00863C99" w:rsidP="00CA0A18">
      <w:pPr>
        <w:rPr>
          <w:rFonts w:ascii="Verdana" w:hAnsi="Verdana" w:cs="Verdana"/>
          <w:sz w:val="20"/>
          <w:szCs w:val="20"/>
        </w:rPr>
      </w:pPr>
      <w:r w:rsidRPr="000E54EB">
        <w:rPr>
          <w:rFonts w:ascii="Verdana" w:hAnsi="Verdana" w:cs="Verdana"/>
          <w:sz w:val="20"/>
          <w:szCs w:val="20"/>
        </w:rPr>
        <w:t xml:space="preserve">1.Оценявани по амортизирана стойност, 2. Оценявани по справедлива стойност през друг всеобхватен доход и 3. Оценявани по справедлива стойност през печалбата или загубата. </w:t>
      </w:r>
    </w:p>
    <w:p w:rsidR="00863C99" w:rsidRPr="000E54EB" w:rsidRDefault="00863C99" w:rsidP="00CA0A18">
      <w:pPr>
        <w:rPr>
          <w:rFonts w:ascii="Verdana" w:hAnsi="Verdana" w:cs="Verdana"/>
          <w:sz w:val="20"/>
          <w:szCs w:val="20"/>
        </w:rPr>
      </w:pPr>
      <w:r w:rsidRPr="000E54EB">
        <w:rPr>
          <w:rFonts w:ascii="Verdana" w:hAnsi="Verdana" w:cs="Verdana"/>
          <w:sz w:val="20"/>
          <w:szCs w:val="20"/>
        </w:rPr>
        <w:t>Класификацията се определя на база бизнес модела за управление на дадения клас финансови активи и договорните характеристики на паричните потоци. Инвестиции, държани от Дружеството с цел получаване на печалба от краткосрочни продажби или обратни покупки, се класифицират като финансови активи, държани за търгуване. Инвестиции в дългови инструменти, които Дружеството държи в рамките на бизнес модел с цел събиране на договорените парични потоци, се класифицират като финансови активи, отчитани по амортизирана стойност. Инвестиции в дългови инструменти, които Дружеството държи в рамките на бизнес модел с цел събиране на договорените парични потоци и продажба се класифицират като финансови активи, отчитани по справедлива стойност в друг всеобхватен доход.</w:t>
      </w:r>
    </w:p>
    <w:p w:rsidR="00863C99" w:rsidRPr="000E54EB" w:rsidRDefault="00863C99" w:rsidP="00B66DF8">
      <w:pPr>
        <w:rPr>
          <w:rFonts w:ascii="Verdana" w:hAnsi="Verdana" w:cs="Verdana"/>
          <w:sz w:val="20"/>
          <w:szCs w:val="20"/>
        </w:rPr>
      </w:pPr>
    </w:p>
    <w:p w:rsidR="00863C99" w:rsidRPr="000E54EB" w:rsidRDefault="00863C99" w:rsidP="00B66DF8">
      <w:pPr>
        <w:rPr>
          <w:rFonts w:ascii="Verdana" w:hAnsi="Verdana" w:cs="Verdana"/>
          <w:sz w:val="20"/>
          <w:szCs w:val="20"/>
        </w:rPr>
      </w:pPr>
      <w:r w:rsidRPr="000E54EB">
        <w:rPr>
          <w:rFonts w:ascii="Verdana" w:hAnsi="Verdana" w:cs="Verdana"/>
          <w:b/>
          <w:bCs/>
          <w:sz w:val="20"/>
          <w:szCs w:val="20"/>
        </w:rPr>
        <w:t>Финансови активи, отчитани по амортизирана стойност</w:t>
      </w:r>
    </w:p>
    <w:p w:rsidR="00863C99" w:rsidRPr="000E54EB" w:rsidRDefault="00863C99" w:rsidP="001A1576">
      <w:pPr>
        <w:rPr>
          <w:rFonts w:ascii="Verdana" w:hAnsi="Verdana" w:cs="Verdana"/>
          <w:sz w:val="20"/>
          <w:szCs w:val="20"/>
        </w:rPr>
      </w:pPr>
      <w:r w:rsidRPr="000E54EB">
        <w:rPr>
          <w:rFonts w:ascii="Verdana" w:hAnsi="Verdana" w:cs="Verdana"/>
          <w:sz w:val="20"/>
          <w:szCs w:val="20"/>
        </w:rPr>
        <w:t>Дългови инструменти, които Дружеството държи в рамките на бизнес модел с цел събиране на договорените парични потоци и при които договорните парични потоци пораждат плащания единствено на главница и лихва се отчитат по амортизирана стойност. След първоначалното признаване активите се отчитат по амортизирана стойност.</w:t>
      </w:r>
    </w:p>
    <w:p w:rsidR="00863C99" w:rsidRPr="000E54EB" w:rsidRDefault="00863C99" w:rsidP="00CA0A18">
      <w:pPr>
        <w:rPr>
          <w:rFonts w:ascii="Verdana" w:hAnsi="Verdana" w:cs="Verdana"/>
          <w:sz w:val="20"/>
          <w:szCs w:val="20"/>
        </w:rPr>
      </w:pPr>
      <w:r w:rsidRPr="000E54EB">
        <w:rPr>
          <w:rFonts w:ascii="Verdana" w:hAnsi="Verdana" w:cs="Verdana"/>
          <w:sz w:val="20"/>
          <w:szCs w:val="20"/>
        </w:rPr>
        <w:t>Отчитането по амортизирана стойност изисква прилагането на метода на ефективния лихвен процент. Амортизираната стойност на финансов актив е стойността по която финансовият актив е отчетен първоначално, намалена с погашенията по главницата плюс или минус натрупаната амортизация с използване на метода на ефективния лихвен процент на всяка разлика между първоначалната стойност и стойността на падеж и намалена с обезценката.</w:t>
      </w:r>
    </w:p>
    <w:p w:rsidR="00863C99" w:rsidRPr="000E54EB" w:rsidRDefault="00863C99" w:rsidP="001A1576">
      <w:pPr>
        <w:rPr>
          <w:rFonts w:ascii="Verdana" w:hAnsi="Verdana" w:cs="Verdana"/>
          <w:sz w:val="20"/>
          <w:szCs w:val="20"/>
        </w:rPr>
      </w:pPr>
      <w:r w:rsidRPr="000E54EB">
        <w:rPr>
          <w:rFonts w:ascii="Verdana" w:hAnsi="Verdana" w:cs="Verdana"/>
          <w:sz w:val="20"/>
          <w:szCs w:val="20"/>
        </w:rPr>
        <w:t>В тази категория могат да попаднат следните финансови активи на Дружеството, в зависимост от избрания бизнес модел и характеристиките на паричните потоци от тях: търговски вземания, кредити и заеми, вземания по лизингови договори, вземания по предоставени депозити, вземания по цесии, вземания, придобити чрез цесии, кредити и заеми, придобити чрез цесии, инвестиции, държани до падеж.</w:t>
      </w:r>
    </w:p>
    <w:p w:rsidR="00863C99" w:rsidRPr="000E54EB" w:rsidRDefault="00863C99" w:rsidP="00B66DF8">
      <w:pPr>
        <w:rPr>
          <w:rFonts w:ascii="Verdana" w:hAnsi="Verdana" w:cs="Verdana"/>
          <w:sz w:val="20"/>
          <w:szCs w:val="20"/>
        </w:rPr>
      </w:pPr>
    </w:p>
    <w:p w:rsidR="00863C99" w:rsidRDefault="00863C99" w:rsidP="00B66DF8">
      <w:pPr>
        <w:rPr>
          <w:rFonts w:ascii="Verdana" w:hAnsi="Verdana" w:cs="Verdana"/>
          <w:b/>
          <w:bCs/>
          <w:sz w:val="20"/>
          <w:szCs w:val="20"/>
        </w:rPr>
      </w:pPr>
    </w:p>
    <w:p w:rsidR="00863C99" w:rsidRDefault="00863C99" w:rsidP="00B66DF8">
      <w:pPr>
        <w:rPr>
          <w:rFonts w:ascii="Verdana" w:hAnsi="Verdana" w:cs="Verdana"/>
          <w:b/>
          <w:bCs/>
          <w:sz w:val="20"/>
          <w:szCs w:val="20"/>
        </w:rPr>
      </w:pPr>
    </w:p>
    <w:p w:rsidR="00863C99" w:rsidRPr="00EE3B63" w:rsidRDefault="00863C99" w:rsidP="00B66DF8">
      <w:pPr>
        <w:rPr>
          <w:rFonts w:ascii="Verdana" w:hAnsi="Verdana" w:cs="Verdana"/>
          <w:b/>
          <w:bCs/>
          <w:sz w:val="20"/>
          <w:szCs w:val="20"/>
        </w:rPr>
      </w:pPr>
      <w:r w:rsidRPr="000E54EB">
        <w:rPr>
          <w:rFonts w:ascii="Verdana" w:hAnsi="Verdana" w:cs="Verdana"/>
          <w:b/>
          <w:bCs/>
          <w:sz w:val="20"/>
          <w:szCs w:val="20"/>
        </w:rPr>
        <w:lastRenderedPageBreak/>
        <w:t>Финансови активи, отчитани по справедлива стойност през друг всеобхватен доход</w:t>
      </w:r>
    </w:p>
    <w:p w:rsidR="00863C99" w:rsidRPr="000E54EB" w:rsidRDefault="00863C99" w:rsidP="001A1576">
      <w:pPr>
        <w:rPr>
          <w:rFonts w:ascii="Verdana" w:hAnsi="Verdana" w:cs="Verdana"/>
          <w:sz w:val="20"/>
          <w:szCs w:val="20"/>
        </w:rPr>
      </w:pPr>
      <w:r w:rsidRPr="000E54EB">
        <w:rPr>
          <w:rFonts w:ascii="Verdana" w:hAnsi="Verdana" w:cs="Verdana"/>
          <w:sz w:val="20"/>
          <w:szCs w:val="20"/>
        </w:rPr>
        <w:t>Дългови инструменти, които Дружеството държи в рамките на бизнес модел с цел както събиране на договорените парични потоци така и продажба на актива и при които договорните парични потоци пораждат плащания единствено на главница и лихва, се отчитат по справедлива стойност през друг всеобхватен доход. След първоначалното признаване активът се оценява по справедлива стойност с отчитане на промените в справедливата стойност в преоценъчния резерв на инвестициите в ценни книжа (друг всеобхватен доход). Когато дълговият инструмент се отпише, натрупаните печалби или загуби признати в друг всеобхватен доход се прехвърлят в печалбата или загубата.</w:t>
      </w:r>
    </w:p>
    <w:p w:rsidR="00863C99" w:rsidRPr="000E54EB" w:rsidRDefault="00863C99" w:rsidP="00D8454E">
      <w:pPr>
        <w:rPr>
          <w:rFonts w:ascii="Verdana" w:hAnsi="Verdana" w:cs="Verdana"/>
          <w:sz w:val="20"/>
          <w:szCs w:val="20"/>
        </w:rPr>
      </w:pPr>
      <w:r w:rsidRPr="000E54EB">
        <w:rPr>
          <w:rFonts w:ascii="Verdana" w:hAnsi="Verdana" w:cs="Verdana"/>
          <w:sz w:val="20"/>
          <w:szCs w:val="20"/>
        </w:rPr>
        <w:t>В тази категория могат да попаднат следните финансови активи на Дружеството, в зависимост от избрания бизнес модел и характеристиките на паричните потоци от тях: търговски вземания, кредити и заеми, вземания по лизингови договори, вземания по предоставени депозити, вземания по цесии, вземания, придобити чрез цесии, кредити и заеми, придобити чрез цесии, финансови активи, дългови инструменти, които са на разположение за продажба.</w:t>
      </w:r>
    </w:p>
    <w:p w:rsidR="00863C99" w:rsidRPr="000E54EB" w:rsidRDefault="00863C99" w:rsidP="00B66DF8">
      <w:pPr>
        <w:rPr>
          <w:rFonts w:ascii="Verdana" w:hAnsi="Verdana" w:cs="Verdana"/>
          <w:sz w:val="20"/>
          <w:szCs w:val="20"/>
        </w:rPr>
      </w:pPr>
    </w:p>
    <w:p w:rsidR="00863C99" w:rsidRPr="000E54EB" w:rsidRDefault="00863C99" w:rsidP="00B66DF8">
      <w:pPr>
        <w:rPr>
          <w:rFonts w:ascii="Verdana" w:hAnsi="Verdana" w:cs="Verdana"/>
          <w:b/>
          <w:bCs/>
          <w:sz w:val="20"/>
          <w:szCs w:val="20"/>
        </w:rPr>
      </w:pPr>
      <w:r w:rsidRPr="000E54EB">
        <w:rPr>
          <w:rFonts w:ascii="Verdana" w:hAnsi="Verdana" w:cs="Verdana"/>
          <w:b/>
          <w:bCs/>
          <w:sz w:val="20"/>
          <w:szCs w:val="20"/>
        </w:rPr>
        <w:t>Финансови активи, отчитани по справедлива стойност през печалбата или загубата</w:t>
      </w:r>
    </w:p>
    <w:p w:rsidR="00863C99" w:rsidRPr="000E54EB" w:rsidRDefault="00863C99" w:rsidP="001A1576">
      <w:pPr>
        <w:rPr>
          <w:rFonts w:ascii="Verdana" w:hAnsi="Verdana" w:cs="Verdana"/>
          <w:sz w:val="20"/>
          <w:szCs w:val="20"/>
        </w:rPr>
      </w:pPr>
      <w:r w:rsidRPr="000E54EB">
        <w:rPr>
          <w:rFonts w:ascii="Verdana" w:hAnsi="Verdana" w:cs="Verdana"/>
          <w:sz w:val="20"/>
          <w:szCs w:val="20"/>
        </w:rPr>
        <w:t>Тази категория финансови активи, се разделя на две подкатегории: финансови активи, държани за търгуване и финансови активи, които не са класифицирани в горните две категории. Даден финансов актив се класифицира в тази категория, ако е придобит с цел продажба в кратък срок или договорните му характеристики не отговарят на условието да пораждат плащания единствено на главница и лихва. Деривативите също се категоризират като държани за търгуване, освен ако не са определени за хеджиращи инструменти. Тези финансови активи могат да бъдат дългови или капиталови инструменти.</w:t>
      </w:r>
    </w:p>
    <w:p w:rsidR="00863C99" w:rsidRPr="000E54EB" w:rsidRDefault="00863C99" w:rsidP="00B66DF8">
      <w:pPr>
        <w:rPr>
          <w:rFonts w:ascii="Verdana" w:hAnsi="Verdana" w:cs="Verdana"/>
          <w:sz w:val="20"/>
          <w:szCs w:val="20"/>
        </w:rPr>
      </w:pPr>
    </w:p>
    <w:p w:rsidR="00863C99" w:rsidRPr="000E54EB" w:rsidRDefault="00863C99" w:rsidP="00B66DF8">
      <w:pPr>
        <w:rPr>
          <w:rFonts w:ascii="Verdana" w:hAnsi="Verdana" w:cs="Verdana"/>
          <w:b/>
          <w:bCs/>
          <w:sz w:val="20"/>
          <w:szCs w:val="20"/>
        </w:rPr>
      </w:pPr>
      <w:r w:rsidRPr="000E54EB">
        <w:rPr>
          <w:rFonts w:ascii="Verdana" w:hAnsi="Verdana" w:cs="Verdana"/>
          <w:b/>
          <w:bCs/>
          <w:sz w:val="20"/>
          <w:szCs w:val="20"/>
        </w:rPr>
        <w:t>Капиталови инструменти, отчитани по справедлива стойност през друг всеобхватен доход</w:t>
      </w:r>
    </w:p>
    <w:p w:rsidR="00863C99" w:rsidRPr="000E54EB" w:rsidRDefault="00863C99" w:rsidP="001A1576">
      <w:pPr>
        <w:rPr>
          <w:rFonts w:ascii="Verdana" w:hAnsi="Verdana" w:cs="Verdana"/>
          <w:sz w:val="20"/>
          <w:szCs w:val="20"/>
        </w:rPr>
      </w:pPr>
      <w:r w:rsidRPr="000E54EB">
        <w:rPr>
          <w:rFonts w:ascii="Verdana" w:hAnsi="Verdana" w:cs="Verdana"/>
          <w:sz w:val="20"/>
          <w:szCs w:val="20"/>
        </w:rPr>
        <w:t>Дружеството може да направи неотменим избор да признава промените в справедливата стойност в инвестициите в капиталови инструменти в друг всеобхватен доход вместо в печалбата или загубата. Печалбите или загубите от промени в справедливата стойност ще се представят в друг всеобхватен доход и няма да могат да се прекласифицират в печалбата или загубата. Когато капиталовият инструмент се отпише, натрупаните печалби или загуби признати в другия всеобхватен доход направо се прехвърлят в други резерви и неразпределена печалба.</w:t>
      </w:r>
    </w:p>
    <w:p w:rsidR="00863C99" w:rsidRPr="000E54EB" w:rsidRDefault="00863C99" w:rsidP="00B66DF8">
      <w:pPr>
        <w:rPr>
          <w:rFonts w:ascii="Verdana" w:hAnsi="Verdana" w:cs="Verdana"/>
          <w:sz w:val="20"/>
          <w:szCs w:val="20"/>
        </w:rPr>
      </w:pPr>
    </w:p>
    <w:p w:rsidR="00863C99" w:rsidRPr="000E54EB" w:rsidRDefault="00863C99" w:rsidP="00B66DF8">
      <w:pPr>
        <w:pStyle w:val="Heading3"/>
        <w:spacing w:before="0"/>
        <w:rPr>
          <w:rFonts w:ascii="Verdana" w:hAnsi="Verdana" w:cs="Verdana"/>
          <w:lang w:val="bg-BG"/>
        </w:rPr>
      </w:pPr>
      <w:bookmarkStart w:id="59" w:name="_Toc4328789"/>
      <w:r w:rsidRPr="000E54EB">
        <w:rPr>
          <w:rFonts w:ascii="Verdana" w:hAnsi="Verdana" w:cs="Verdana"/>
          <w:lang w:val="bg-BG"/>
        </w:rPr>
        <w:t>Обезценка на финансови активи</w:t>
      </w:r>
      <w:bookmarkEnd w:id="59"/>
    </w:p>
    <w:p w:rsidR="00863C99" w:rsidRPr="000E54EB" w:rsidRDefault="00863C99" w:rsidP="00737F19">
      <w:pPr>
        <w:rPr>
          <w:rFonts w:ascii="Verdana" w:hAnsi="Verdana" w:cs="Verdana"/>
          <w:sz w:val="20"/>
          <w:szCs w:val="20"/>
        </w:rPr>
      </w:pPr>
      <w:r w:rsidRPr="000E54EB">
        <w:rPr>
          <w:rFonts w:ascii="Verdana" w:hAnsi="Verdana" w:cs="Verdana"/>
          <w:sz w:val="20"/>
          <w:szCs w:val="20"/>
        </w:rPr>
        <w:t>Моделът за обезценка „очаквани кредитни загуби“ се прилага за финансовите активи, оценявани по амортизирана стойност или по справедлива стойност през друг всеобхватен доход, с изключение на инвестиции в капиталови инструменти и договорни активи. Съгласно МСФО 9, загубите се измерват по една от двете бази: 1. очаквани кредитни загуби за следващите 12 месеца след датата на финансовия отчет или 2. очакваните кредитни загуби за целия срок на финансовите активи. Първата база се прилага когато кредитния риск не е нарастнал значително от датата на първоначално признаване до датата на финансовия отчет (и кредитния риск е нисък към датата на финансовия отчет), в обратния случая се прилага втората база. Дружеството прилага втората база за търговските вземания и договорните активи (независимо дали са със или без значителен финансов компонент). Нарастването на кредитния риск се следи и определя на база информация за рискови фактори като наличие на просрочие, значително влошаване на финансовото състояние на длъжника и други.</w:t>
      </w:r>
    </w:p>
    <w:p w:rsidR="00863C99" w:rsidRPr="000E54EB" w:rsidRDefault="00863C99" w:rsidP="00737F19">
      <w:pPr>
        <w:rPr>
          <w:rFonts w:ascii="Verdana" w:hAnsi="Verdana" w:cs="Verdana"/>
          <w:sz w:val="20"/>
          <w:szCs w:val="20"/>
        </w:rPr>
      </w:pPr>
      <w:r w:rsidRPr="000E54EB">
        <w:rPr>
          <w:rFonts w:ascii="Verdana" w:hAnsi="Verdana" w:cs="Verdana"/>
          <w:sz w:val="20"/>
          <w:szCs w:val="20"/>
        </w:rPr>
        <w:t xml:space="preserve">Само за търговски вземания балансовата стойност се намалява, чрез използване на транзитна сметка и последващото възстановяване на отписаните преди това суми се </w:t>
      </w:r>
      <w:r w:rsidRPr="000E54EB">
        <w:rPr>
          <w:rFonts w:ascii="Verdana" w:hAnsi="Verdana" w:cs="Verdana"/>
          <w:sz w:val="20"/>
          <w:szCs w:val="20"/>
        </w:rPr>
        <w:lastRenderedPageBreak/>
        <w:t>кредитира срещу тази транзитна сметка. Промените в балансовата стойност на транзитната сметка се признават в печалба или загуба.</w:t>
      </w:r>
    </w:p>
    <w:p w:rsidR="00863C99" w:rsidRPr="000E54EB" w:rsidRDefault="00863C99" w:rsidP="00737F19">
      <w:pPr>
        <w:rPr>
          <w:rFonts w:ascii="Verdana" w:hAnsi="Verdana" w:cs="Verdana"/>
          <w:sz w:val="20"/>
          <w:szCs w:val="20"/>
        </w:rPr>
      </w:pPr>
      <w:r w:rsidRPr="000E54EB">
        <w:rPr>
          <w:rFonts w:ascii="Verdana" w:hAnsi="Verdana" w:cs="Verdana"/>
          <w:sz w:val="20"/>
          <w:szCs w:val="20"/>
        </w:rPr>
        <w:t xml:space="preserve">За всички други финансови активи балансовата сума се намалява с размера на загубата от обезценка.  </w:t>
      </w:r>
    </w:p>
    <w:p w:rsidR="00863C99" w:rsidRPr="000E54EB" w:rsidRDefault="00863C99" w:rsidP="00737F19">
      <w:pPr>
        <w:rPr>
          <w:rFonts w:ascii="Verdana" w:hAnsi="Verdana" w:cs="Verdana"/>
          <w:sz w:val="20"/>
          <w:szCs w:val="20"/>
        </w:rPr>
      </w:pPr>
      <w:r w:rsidRPr="000E54EB">
        <w:rPr>
          <w:rFonts w:ascii="Verdana" w:hAnsi="Verdana" w:cs="Verdana"/>
          <w:sz w:val="20"/>
          <w:szCs w:val="20"/>
        </w:rPr>
        <w:t xml:space="preserve">За финансови активи, отчитани по амортизирана стойност, ако в следващ период сумата на загубата от обезценката намалее и спадът може по обективен начин да се свърже със събитие, което възниква, след като обезценката е призната, преди това признатите загуби от обезценка се възстановяват (или директно, или чрез коригиране на корективната сметка за търговски вземания) в печалбата или загубата. Въпреки това възстановяването не може да води до балансова стойност на финансовия актив, която да надвишава онази амортизирана стойност, която би била на датата на възстановяването, ако не е била призната загуба от обезценка. </w:t>
      </w:r>
    </w:p>
    <w:p w:rsidR="00863C99" w:rsidRPr="000E54EB" w:rsidRDefault="00863C99" w:rsidP="00B66DF8">
      <w:pPr>
        <w:rPr>
          <w:rFonts w:ascii="Verdana" w:hAnsi="Verdana" w:cs="Verdana"/>
          <w:sz w:val="20"/>
          <w:szCs w:val="20"/>
        </w:rPr>
      </w:pPr>
    </w:p>
    <w:p w:rsidR="00863C99" w:rsidRPr="000E54EB" w:rsidRDefault="00863C99" w:rsidP="00B66DF8">
      <w:pPr>
        <w:pStyle w:val="Heading3"/>
        <w:spacing w:before="0"/>
        <w:rPr>
          <w:rFonts w:ascii="Verdana" w:hAnsi="Verdana" w:cs="Verdana"/>
          <w:lang w:val="bg-BG"/>
        </w:rPr>
      </w:pPr>
      <w:bookmarkStart w:id="60" w:name="_Toc4328790"/>
      <w:r w:rsidRPr="000E54EB">
        <w:rPr>
          <w:rFonts w:ascii="Verdana" w:hAnsi="Verdana" w:cs="Verdana"/>
          <w:lang w:val="bg-BG"/>
        </w:rPr>
        <w:t>Отписване на финансови активи</w:t>
      </w:r>
      <w:bookmarkEnd w:id="60"/>
    </w:p>
    <w:p w:rsidR="00863C99" w:rsidRPr="000E54EB" w:rsidRDefault="00863C99" w:rsidP="001A1576">
      <w:pPr>
        <w:rPr>
          <w:rFonts w:ascii="Verdana" w:hAnsi="Verdana" w:cs="Verdana"/>
          <w:sz w:val="20"/>
          <w:szCs w:val="20"/>
        </w:rPr>
      </w:pPr>
      <w:r w:rsidRPr="000E54EB">
        <w:rPr>
          <w:rFonts w:ascii="Verdana" w:hAnsi="Verdana" w:cs="Verdana"/>
          <w:sz w:val="20"/>
          <w:szCs w:val="20"/>
        </w:rPr>
        <w:t>Финансов актив се отписва от Дружеството, когато договорните права върху паричните потоци от този актив падежират или когато Дружеството е прехвърлило тези права чрез сделка, при която всички съществени рискове и изгоди, произтичащи от собствеността на актива се прехвърлят на купувача. Всяко участие във вече прехвърлен финансов актив, което Дружеството запазва или създава, се отчита самостоятелно като отделен актив или пасив.</w:t>
      </w:r>
    </w:p>
    <w:p w:rsidR="00863C99" w:rsidRPr="000E54EB" w:rsidRDefault="00863C99" w:rsidP="001A1576">
      <w:pPr>
        <w:rPr>
          <w:rFonts w:ascii="Verdana" w:hAnsi="Verdana" w:cs="Verdana"/>
          <w:sz w:val="20"/>
          <w:szCs w:val="20"/>
        </w:rPr>
      </w:pPr>
      <w:r w:rsidRPr="000E54EB">
        <w:rPr>
          <w:rFonts w:ascii="Verdana" w:hAnsi="Verdana" w:cs="Verdana"/>
          <w:sz w:val="20"/>
          <w:szCs w:val="20"/>
        </w:rPr>
        <w:t>В случаите когато Групата е запазила всички или по-голяма част от рисковете и изгодите свързани с активите, последните не се отписват от отчета за финансовото състояние (пример за такива сделки са репо сделките – продажба с уговорка за обратно изкупуване).</w:t>
      </w:r>
    </w:p>
    <w:p w:rsidR="00863C99" w:rsidRPr="000E54EB" w:rsidRDefault="00863C99" w:rsidP="001A1576">
      <w:pPr>
        <w:rPr>
          <w:rFonts w:ascii="Verdana" w:hAnsi="Verdana" w:cs="Verdana"/>
          <w:sz w:val="20"/>
          <w:szCs w:val="20"/>
        </w:rPr>
      </w:pPr>
      <w:r w:rsidRPr="000E54EB">
        <w:rPr>
          <w:rFonts w:ascii="Verdana" w:hAnsi="Verdana" w:cs="Verdana"/>
          <w:sz w:val="20"/>
          <w:szCs w:val="20"/>
        </w:rPr>
        <w:t>При сделки, при които Дружеството нито запазва, нито прехвърля рисковете и изгодите, свързани с финансов актив, последният се отписва от отчета за финансовото състояние тогава и само тогава, когато Дружеството е загубило контрол върху него. Правата и задълженията, които Дружеството запазва в тези случаи се отчитат отделно като актив или пасив. При сделки, при които Дружеството запазва контрол върху актива, неговото отчитане в отчета за финансовото състояние продължава, но до размера определен от степента, до която Дружеството е запазило участието си в актива и носи риска от промяна в неговата стойност.</w:t>
      </w:r>
    </w:p>
    <w:p w:rsidR="00863C99" w:rsidRPr="000E54EB" w:rsidRDefault="00863C99" w:rsidP="00B66DF8">
      <w:pPr>
        <w:rPr>
          <w:rFonts w:ascii="Verdana" w:hAnsi="Verdana" w:cs="Verdana"/>
          <w:sz w:val="20"/>
          <w:szCs w:val="20"/>
        </w:rPr>
      </w:pPr>
    </w:p>
    <w:p w:rsidR="00863C99" w:rsidRPr="000E54EB" w:rsidRDefault="00863C99" w:rsidP="00B66DF8">
      <w:pPr>
        <w:pStyle w:val="Heading3"/>
        <w:spacing w:before="0"/>
        <w:rPr>
          <w:rFonts w:ascii="Verdana" w:hAnsi="Verdana" w:cs="Verdana"/>
          <w:lang w:val="bg-BG"/>
        </w:rPr>
      </w:pPr>
      <w:bookmarkStart w:id="61" w:name="_Toc4328791"/>
      <w:r w:rsidRPr="000E54EB">
        <w:rPr>
          <w:rFonts w:ascii="Verdana" w:hAnsi="Verdana" w:cs="Verdana"/>
          <w:lang w:val="bg-BG"/>
        </w:rPr>
        <w:t>Последваща оценка на финансови пасиви</w:t>
      </w:r>
      <w:bookmarkEnd w:id="61"/>
    </w:p>
    <w:p w:rsidR="00863C99" w:rsidRPr="000E54EB" w:rsidRDefault="00863C99" w:rsidP="00B66DF8">
      <w:pPr>
        <w:rPr>
          <w:rFonts w:ascii="Verdana" w:hAnsi="Verdana" w:cs="Verdana"/>
          <w:sz w:val="20"/>
          <w:szCs w:val="20"/>
        </w:rPr>
      </w:pPr>
      <w:r w:rsidRPr="000E54EB">
        <w:rPr>
          <w:rFonts w:ascii="Verdana" w:hAnsi="Verdana" w:cs="Verdana"/>
          <w:sz w:val="20"/>
          <w:szCs w:val="20"/>
        </w:rPr>
        <w:t>Последващата оценка на финансовите пасиви, зависи от това как те са били класифицирани при първоначално признаване. Дружеството класифицира финансовите си пасиви в една от следните категории:</w:t>
      </w:r>
    </w:p>
    <w:p w:rsidR="00863C99" w:rsidRPr="00A52D1E" w:rsidRDefault="00863C99" w:rsidP="00B66DF8">
      <w:pPr>
        <w:rPr>
          <w:rFonts w:ascii="Verdana" w:hAnsi="Verdana" w:cs="Verdana"/>
          <w:sz w:val="20"/>
          <w:szCs w:val="20"/>
          <w:lang w:val="ru-RU"/>
        </w:rPr>
      </w:pPr>
    </w:p>
    <w:p w:rsidR="00863C99" w:rsidRPr="00A52D1E" w:rsidRDefault="00863C99" w:rsidP="00B66DF8">
      <w:pPr>
        <w:rPr>
          <w:rFonts w:ascii="Verdana" w:hAnsi="Verdana" w:cs="Verdana"/>
          <w:sz w:val="20"/>
          <w:szCs w:val="20"/>
          <w:lang w:val="ru-RU"/>
        </w:rPr>
      </w:pPr>
    </w:p>
    <w:p w:rsidR="00863C99" w:rsidRPr="000E54EB" w:rsidRDefault="00863C99" w:rsidP="00B66DF8">
      <w:pPr>
        <w:rPr>
          <w:rFonts w:ascii="Verdana" w:hAnsi="Verdana" w:cs="Verdana"/>
          <w:sz w:val="20"/>
          <w:szCs w:val="20"/>
        </w:rPr>
      </w:pPr>
      <w:r w:rsidRPr="000E54EB">
        <w:rPr>
          <w:rFonts w:ascii="Verdana" w:hAnsi="Verdana" w:cs="Verdana"/>
          <w:b/>
          <w:bCs/>
          <w:sz w:val="20"/>
          <w:szCs w:val="20"/>
        </w:rPr>
        <w:t>Пасиви, отчитани по справедлива стойност презпечалбата или загубата</w:t>
      </w:r>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Пасивите се класифицират в тази категория, когато те принципно са държани с цел продажба в близко бъдеще (търговски задължения) или са деривативи (с изключение на дериватив, който е предназначен за и е ефективен хеджиращ инструмент) или отговаря на условията за попадане в тази категория, определени при първоначалното признаване. Всички промени в справедливата стойност, отнасящи се до пасиви, отчитани по справедлива стойност презпечалбата или загубата се отчитат в отчета за печалбата или загубата и другия всеобхватен доход към датата, на която възникват. </w:t>
      </w:r>
    </w:p>
    <w:p w:rsidR="00863C99" w:rsidRPr="000E54EB" w:rsidRDefault="00863C99" w:rsidP="00B66DF8">
      <w:pPr>
        <w:rPr>
          <w:rFonts w:ascii="Verdana" w:hAnsi="Verdana" w:cs="Verdana"/>
          <w:sz w:val="20"/>
          <w:szCs w:val="20"/>
        </w:rPr>
      </w:pPr>
    </w:p>
    <w:p w:rsidR="00863C99" w:rsidRPr="000E54EB" w:rsidRDefault="00863C99" w:rsidP="00B66DF8">
      <w:pPr>
        <w:rPr>
          <w:rFonts w:ascii="Verdana" w:hAnsi="Verdana" w:cs="Verdana"/>
          <w:b/>
          <w:bCs/>
          <w:sz w:val="20"/>
          <w:szCs w:val="20"/>
        </w:rPr>
      </w:pPr>
      <w:r w:rsidRPr="000E54EB">
        <w:rPr>
          <w:rFonts w:ascii="Verdana" w:hAnsi="Verdana" w:cs="Verdana"/>
          <w:b/>
          <w:bCs/>
          <w:sz w:val="20"/>
          <w:szCs w:val="20"/>
        </w:rPr>
        <w:t>Пасиви, отчитани по амортизирана стойност</w:t>
      </w:r>
    </w:p>
    <w:p w:rsidR="00863C99" w:rsidRPr="000E54EB" w:rsidRDefault="00863C99" w:rsidP="00B66DF8">
      <w:pPr>
        <w:rPr>
          <w:rFonts w:ascii="Verdana" w:hAnsi="Verdana" w:cs="Verdana"/>
          <w:sz w:val="20"/>
          <w:szCs w:val="20"/>
        </w:rPr>
      </w:pPr>
      <w:r w:rsidRPr="000E54EB">
        <w:rPr>
          <w:rFonts w:ascii="Verdana" w:hAnsi="Verdana" w:cs="Verdana"/>
          <w:sz w:val="20"/>
          <w:szCs w:val="20"/>
        </w:rPr>
        <w:t>Всички задължения, които не са класифицирани в предишната категорията попадат в тази категория. Тези задължения се отчитат по амортизирана стойност посредством метода на ефективния лихвен процент.</w:t>
      </w:r>
    </w:p>
    <w:p w:rsidR="00863C99" w:rsidRPr="000E54EB" w:rsidRDefault="00863C99" w:rsidP="00B66DF8">
      <w:pPr>
        <w:rPr>
          <w:rFonts w:ascii="Verdana" w:hAnsi="Verdana" w:cs="Verdana"/>
          <w:sz w:val="20"/>
          <w:szCs w:val="20"/>
        </w:rPr>
      </w:pPr>
      <w:r w:rsidRPr="000E54EB">
        <w:rPr>
          <w:rFonts w:ascii="Verdana" w:hAnsi="Verdana" w:cs="Verdana"/>
          <w:sz w:val="20"/>
          <w:szCs w:val="20"/>
        </w:rPr>
        <w:t>Елементите, класифицирани като търговски и други задължения обикновено не се оценяват отново, тъй като задълженията са известени с висока степен на сигурност и уреждането е краткосрочно.</w:t>
      </w:r>
    </w:p>
    <w:p w:rsidR="00863C99" w:rsidRPr="000E54EB" w:rsidRDefault="00863C99" w:rsidP="00B66DF8">
      <w:pPr>
        <w:rPr>
          <w:rFonts w:ascii="Verdana" w:hAnsi="Verdana" w:cs="Verdana"/>
          <w:sz w:val="20"/>
          <w:szCs w:val="20"/>
        </w:rPr>
      </w:pPr>
      <w:r w:rsidRPr="000E54EB">
        <w:rPr>
          <w:rFonts w:ascii="Verdana" w:hAnsi="Verdana" w:cs="Verdana"/>
          <w:sz w:val="20"/>
          <w:szCs w:val="20"/>
        </w:rPr>
        <w:lastRenderedPageBreak/>
        <w:t>В тази категория обикновено попаднат следните финансови пасиви на Дружеството: търговски задължения, кредити и заеми, задължения по лизингови договори, задължения по получени депозити, задължения по цесии.</w:t>
      </w:r>
    </w:p>
    <w:p w:rsidR="00863C99" w:rsidRPr="000E54EB" w:rsidRDefault="00863C99" w:rsidP="00B66DF8">
      <w:pPr>
        <w:rPr>
          <w:rFonts w:ascii="Verdana" w:hAnsi="Verdana" w:cs="Verdana"/>
          <w:sz w:val="20"/>
          <w:szCs w:val="20"/>
        </w:rPr>
      </w:pPr>
    </w:p>
    <w:p w:rsidR="00863C99" w:rsidRPr="000E54EB" w:rsidRDefault="00863C99" w:rsidP="00B66DF8">
      <w:pPr>
        <w:pStyle w:val="Heading3"/>
        <w:spacing w:before="0"/>
        <w:rPr>
          <w:rFonts w:ascii="Verdana" w:hAnsi="Verdana" w:cs="Verdana"/>
          <w:lang w:val="bg-BG"/>
        </w:rPr>
      </w:pPr>
      <w:bookmarkStart w:id="62" w:name="_Toc4328792"/>
      <w:r w:rsidRPr="000E54EB">
        <w:rPr>
          <w:rFonts w:ascii="Verdana" w:hAnsi="Verdana" w:cs="Verdana"/>
          <w:lang w:val="bg-BG"/>
        </w:rPr>
        <w:t>Привилегировани акции</w:t>
      </w:r>
      <w:bookmarkEnd w:id="62"/>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Те се класифицират като задължения в съответствие с тяхното съдържание отколкото с тяхната правна форма. Преференциалните акции представляват финансови пасиви, класифицирани в категорията „други задължения” и поради тази причина се отчитат по амортизиранастойност. Дивидентите по преференциални акции се класифицират като разход за лихви. </w:t>
      </w:r>
    </w:p>
    <w:p w:rsidR="00863C99" w:rsidRPr="000E54EB" w:rsidRDefault="00863C99" w:rsidP="00B66DF8">
      <w:pPr>
        <w:rPr>
          <w:rFonts w:ascii="Verdana" w:hAnsi="Verdana" w:cs="Verdana"/>
          <w:sz w:val="20"/>
          <w:szCs w:val="20"/>
        </w:rPr>
      </w:pPr>
    </w:p>
    <w:p w:rsidR="00863C99" w:rsidRPr="000E54EB" w:rsidRDefault="00863C99" w:rsidP="00B66DF8">
      <w:pPr>
        <w:pStyle w:val="Heading3"/>
        <w:spacing w:before="0"/>
        <w:rPr>
          <w:rFonts w:ascii="Verdana" w:hAnsi="Verdana" w:cs="Verdana"/>
          <w:lang w:val="bg-BG"/>
        </w:rPr>
      </w:pPr>
      <w:bookmarkStart w:id="63" w:name="_Toc4328793"/>
      <w:r w:rsidRPr="000E54EB">
        <w:rPr>
          <w:rFonts w:ascii="Verdana" w:hAnsi="Verdana" w:cs="Verdana"/>
          <w:lang w:val="bg-BG"/>
        </w:rPr>
        <w:t>Отписване на финансови пасиви</w:t>
      </w:r>
      <w:bookmarkEnd w:id="63"/>
    </w:p>
    <w:p w:rsidR="00863C99" w:rsidRPr="000E54EB" w:rsidRDefault="00863C99" w:rsidP="00B66DF8">
      <w:pPr>
        <w:rPr>
          <w:rFonts w:ascii="Verdana" w:hAnsi="Verdana" w:cs="Verdana"/>
          <w:sz w:val="20"/>
          <w:szCs w:val="20"/>
        </w:rPr>
      </w:pPr>
      <w:r w:rsidRPr="000E54EB">
        <w:rPr>
          <w:rFonts w:ascii="Verdana" w:hAnsi="Verdana" w:cs="Verdana"/>
          <w:sz w:val="20"/>
          <w:szCs w:val="20"/>
        </w:rPr>
        <w:t>Дружеството отписва финансов пасив, когато договорните задължения по него се погасят, изтекат или бъдат отменени.</w:t>
      </w:r>
    </w:p>
    <w:p w:rsidR="00863C99" w:rsidRPr="000E54EB" w:rsidRDefault="00863C99" w:rsidP="00B66DF8">
      <w:pPr>
        <w:rPr>
          <w:rFonts w:ascii="Verdana" w:hAnsi="Verdana" w:cs="Verdana"/>
          <w:sz w:val="20"/>
          <w:szCs w:val="20"/>
        </w:rPr>
      </w:pPr>
      <w:r w:rsidRPr="000E54EB">
        <w:rPr>
          <w:rFonts w:ascii="Verdana" w:hAnsi="Verdana" w:cs="Verdana"/>
          <w:sz w:val="20"/>
          <w:szCs w:val="20"/>
        </w:rPr>
        <w:t>Разликата между балансовата стойност на отписания финансов пасив и изплатената престация се признава в печалбата или загубата.</w:t>
      </w:r>
    </w:p>
    <w:p w:rsidR="00863C99" w:rsidRPr="000E54EB" w:rsidRDefault="00863C99" w:rsidP="00B66DF8">
      <w:pPr>
        <w:rPr>
          <w:rFonts w:ascii="Verdana" w:hAnsi="Verdana" w:cs="Verdana"/>
          <w:sz w:val="20"/>
          <w:szCs w:val="20"/>
        </w:rPr>
      </w:pPr>
    </w:p>
    <w:p w:rsidR="00863C99" w:rsidRPr="000E54EB" w:rsidRDefault="00863C99" w:rsidP="00B66DF8">
      <w:pPr>
        <w:pStyle w:val="Heading3"/>
        <w:spacing w:before="0"/>
        <w:rPr>
          <w:rFonts w:ascii="Verdana" w:hAnsi="Verdana" w:cs="Verdana"/>
          <w:lang w:val="bg-BG"/>
        </w:rPr>
      </w:pPr>
      <w:bookmarkStart w:id="64" w:name="_Toc4328794"/>
      <w:r w:rsidRPr="000E54EB">
        <w:rPr>
          <w:rFonts w:ascii="Verdana" w:hAnsi="Verdana" w:cs="Verdana"/>
          <w:lang w:val="bg-BG"/>
        </w:rPr>
        <w:t>Лихви, дивиденти, загуби и печалби</w:t>
      </w:r>
      <w:bookmarkEnd w:id="64"/>
    </w:p>
    <w:p w:rsidR="00863C99" w:rsidRPr="000E54EB" w:rsidRDefault="00863C99"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szCs w:val="20"/>
          <w:lang w:eastAsia="bg-BG"/>
        </w:rPr>
      </w:pPr>
      <w:bookmarkStart w:id="65" w:name="p9626264"/>
      <w:bookmarkEnd w:id="65"/>
      <w:r w:rsidRPr="000E54EB">
        <w:rPr>
          <w:rFonts w:ascii="Verdana" w:hAnsi="Verdana" w:cs="Verdana"/>
          <w:sz w:val="20"/>
          <w:szCs w:val="20"/>
          <w:lang w:eastAsia="bg-BG"/>
        </w:rPr>
        <w:t>Лихви, дивиденти, загуби и печалби, свързани с финансов инструмент или компонент, който е финансов пасив, се признават като приходи или разходи в печалбата или загубата.  Разпределенията за притежателите на инструменти на собствения капитал се признават директно в собствения капитал.</w:t>
      </w:r>
    </w:p>
    <w:p w:rsidR="00863C99" w:rsidRPr="000E54EB" w:rsidRDefault="00863C99"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szCs w:val="20"/>
          <w:lang w:eastAsia="bg-BG"/>
        </w:rPr>
      </w:pPr>
      <w:r w:rsidRPr="000E54EB">
        <w:rPr>
          <w:rFonts w:ascii="Verdana" w:hAnsi="Verdana" w:cs="Verdana"/>
          <w:sz w:val="20"/>
          <w:szCs w:val="20"/>
          <w:lang w:eastAsia="bg-BG"/>
        </w:rPr>
        <w:t>Разходите по операцията за капиталова сделка се отразяват счетоводно като намаление на собствения капитал.</w:t>
      </w:r>
    </w:p>
    <w:p w:rsidR="00863C99" w:rsidRPr="000E54EB" w:rsidRDefault="00863C99"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szCs w:val="20"/>
          <w:lang w:eastAsia="bg-BG"/>
        </w:rPr>
      </w:pPr>
      <w:r w:rsidRPr="000E54EB">
        <w:rPr>
          <w:rFonts w:ascii="Verdana" w:hAnsi="Verdana" w:cs="Verdana"/>
          <w:sz w:val="20"/>
          <w:szCs w:val="20"/>
          <w:lang w:eastAsia="bg-BG"/>
        </w:rPr>
        <w:t>Класификацията на финансов инструмент като финансов пасив или инструмент на собствения капитал определя дали лихвите, дивидентите, загубите и печалбите, свързани с този инструмент, се признават като приходи или разходи в печалбата или загубата. Плащанията на дивиденти за акции, изцяло признати като пасиви, се признават като разходи по същия начин както лихви по облигация. Печалбата и загубата, свързана с обратни изкупувания или рефинансиране на финансови пасиви, се признава в печалбата или загубата, докато обратните изкупувания или рефинансирането на инструменти на собствения капитал се признават като промени в собствения капитал. Промените в справедливата стойност на инструмента на собствения капитал не се признават във финансовите отчети.</w:t>
      </w:r>
    </w:p>
    <w:p w:rsidR="00863C99" w:rsidRPr="000E54EB" w:rsidRDefault="00863C99"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szCs w:val="20"/>
          <w:lang w:eastAsia="bg-BG"/>
        </w:rPr>
      </w:pPr>
      <w:r w:rsidRPr="000E54EB">
        <w:rPr>
          <w:rFonts w:ascii="Verdana" w:hAnsi="Verdana" w:cs="Verdana"/>
          <w:sz w:val="20"/>
          <w:szCs w:val="20"/>
          <w:lang w:eastAsia="bg-BG"/>
        </w:rPr>
        <w:t>Разходите при издаването или придобиването на свои инструменти на собствения капитал се отчитат в капитал, например при капиталова сделка разходите по сделката се отчитат счетоводно като намаление на собствения капитал.</w:t>
      </w:r>
    </w:p>
    <w:p w:rsidR="00863C99" w:rsidRPr="000E54EB" w:rsidRDefault="00863C99"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szCs w:val="20"/>
          <w:lang w:eastAsia="bg-BG"/>
        </w:rPr>
      </w:pPr>
      <w:r w:rsidRPr="000E54EB">
        <w:rPr>
          <w:rFonts w:ascii="Verdana" w:hAnsi="Verdana" w:cs="Verdana"/>
          <w:sz w:val="20"/>
          <w:szCs w:val="20"/>
          <w:lang w:eastAsia="bg-BG"/>
        </w:rPr>
        <w:t>Разходи по сделка, които са свързани с емитирането на съставен финансов инструмент, се разпределят към пасивния и капиталовия компонент, пропорционално на разпределението на постъпленията.  Разходите по сделка, които са съвместно свързани с повече от една сделка (например разходите за съвместно предлагане на някои акции и котиране на други акции на фондова борса), се разпределят между тези сделки, като се използва рационална и относима към сходни сделки база за разпределение.</w:t>
      </w:r>
    </w:p>
    <w:p w:rsidR="00863C99" w:rsidRPr="000E54EB" w:rsidRDefault="00863C99"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szCs w:val="20"/>
          <w:lang w:eastAsia="bg-BG"/>
        </w:rPr>
      </w:pPr>
      <w:r w:rsidRPr="000E54EB">
        <w:rPr>
          <w:rFonts w:ascii="Verdana" w:hAnsi="Verdana" w:cs="Verdana"/>
          <w:sz w:val="20"/>
          <w:szCs w:val="20"/>
          <w:lang w:eastAsia="bg-BG"/>
        </w:rPr>
        <w:t>Печалбите и загубите, свързани с промени в балансовата стойност на финансов пасив, се признават като приходи или разходи в печалбата или загубата дори когато се отнасят до инструмент, който включва право на остатъчен дял от активите на предприятието в замяна срещу парични средства или друг финансов актив.</w:t>
      </w:r>
    </w:p>
    <w:p w:rsidR="00863C99" w:rsidRPr="000E54EB" w:rsidRDefault="00863C99" w:rsidP="00B66DF8">
      <w:pPr>
        <w:rPr>
          <w:rFonts w:ascii="Verdana" w:hAnsi="Verdana" w:cs="Verdana"/>
          <w:sz w:val="20"/>
          <w:szCs w:val="20"/>
          <w:lang w:eastAsia="bg-BG"/>
        </w:rPr>
      </w:pPr>
    </w:p>
    <w:p w:rsidR="00863C99" w:rsidRPr="000E54EB" w:rsidRDefault="00863C99" w:rsidP="00B66DF8">
      <w:pPr>
        <w:pStyle w:val="Heading3"/>
        <w:spacing w:before="0"/>
        <w:rPr>
          <w:rFonts w:ascii="Verdana" w:hAnsi="Verdana" w:cs="Verdana"/>
          <w:lang w:val="bg-BG"/>
        </w:rPr>
      </w:pPr>
      <w:bookmarkStart w:id="66" w:name="_Toc4328795"/>
      <w:r w:rsidRPr="000E54EB">
        <w:rPr>
          <w:rFonts w:ascii="Verdana" w:hAnsi="Verdana" w:cs="Verdana"/>
          <w:lang w:val="bg-BG"/>
        </w:rPr>
        <w:t>Компенсиране на финансов актив и финансов пасив</w:t>
      </w:r>
      <w:bookmarkEnd w:id="66"/>
    </w:p>
    <w:p w:rsidR="00863C99" w:rsidRPr="000E54EB" w:rsidRDefault="00863C99" w:rsidP="00B66DF8">
      <w:pPr>
        <w:rPr>
          <w:rFonts w:ascii="Verdana" w:hAnsi="Verdana" w:cs="Verdana"/>
          <w:sz w:val="20"/>
          <w:szCs w:val="20"/>
          <w:lang w:eastAsia="bg-BG"/>
        </w:rPr>
      </w:pPr>
      <w:r w:rsidRPr="000E54EB">
        <w:rPr>
          <w:rFonts w:ascii="Verdana" w:hAnsi="Verdana" w:cs="Verdana"/>
          <w:sz w:val="20"/>
          <w:szCs w:val="20"/>
          <w:lang w:eastAsia="bg-BG"/>
        </w:rPr>
        <w:t>Финансовите активи и финансовите пасиви се компенсират и в отчета за финансовото състояние се представя нетната сума когато:</w:t>
      </w:r>
    </w:p>
    <w:p w:rsidR="00863C99" w:rsidRPr="000E54EB" w:rsidRDefault="00863C99" w:rsidP="00E60E88">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szCs w:val="20"/>
          <w:lang w:eastAsia="bg-BG"/>
        </w:rPr>
      </w:pPr>
      <w:r w:rsidRPr="000E54EB">
        <w:rPr>
          <w:rFonts w:ascii="Verdana" w:hAnsi="Verdana" w:cs="Verdana"/>
          <w:sz w:val="20"/>
          <w:szCs w:val="20"/>
          <w:lang w:eastAsia="bg-BG"/>
        </w:rPr>
        <w:t>има юридически упражняемо право да компенсира признатите суми;  и</w:t>
      </w:r>
    </w:p>
    <w:p w:rsidR="00863C99" w:rsidRPr="000E54EB" w:rsidRDefault="00863C99" w:rsidP="00E60E88">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szCs w:val="20"/>
          <w:lang w:eastAsia="bg-BG"/>
        </w:rPr>
      </w:pPr>
      <w:r w:rsidRPr="000E54EB">
        <w:rPr>
          <w:rFonts w:ascii="Verdana" w:hAnsi="Verdana" w:cs="Verdana"/>
          <w:sz w:val="20"/>
          <w:szCs w:val="20"/>
          <w:lang w:eastAsia="bg-BG"/>
        </w:rPr>
        <w:t>има намерение или да уреди на нетна база, или да реализира актив и едновременно с това да уреди пасив.</w:t>
      </w:r>
    </w:p>
    <w:p w:rsidR="00863C99" w:rsidRPr="000E54EB" w:rsidRDefault="00863C99"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szCs w:val="20"/>
          <w:lang w:eastAsia="bg-BG"/>
        </w:rPr>
      </w:pPr>
      <w:r w:rsidRPr="000E54EB">
        <w:rPr>
          <w:rFonts w:ascii="Verdana" w:hAnsi="Verdana" w:cs="Verdana"/>
          <w:sz w:val="20"/>
          <w:szCs w:val="20"/>
          <w:lang w:eastAsia="bg-BG"/>
        </w:rPr>
        <w:lastRenderedPageBreak/>
        <w:t>При счетоводното отчитане на прехвърлянето на финансов актив, който не отговаря на изискванията за отписване, Дружеството не компенсира прехвърления актив и свързания пасив.</w:t>
      </w:r>
    </w:p>
    <w:p w:rsidR="00863C99" w:rsidRPr="000E54EB" w:rsidRDefault="00863C99"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szCs w:val="20"/>
          <w:lang w:eastAsia="bg-BG"/>
        </w:rPr>
      </w:pPr>
      <w:r w:rsidRPr="000E54EB">
        <w:rPr>
          <w:rFonts w:ascii="Verdana" w:hAnsi="Verdana" w:cs="Verdana"/>
          <w:sz w:val="20"/>
          <w:szCs w:val="20"/>
          <w:lang w:eastAsia="bg-BG"/>
        </w:rPr>
        <w:t>Компенсирането на признат финансов актив и признат финансов пасив и представянето на нетната стойност се различават от отписването на финансов актив или финансов пасив.</w:t>
      </w:r>
    </w:p>
    <w:p w:rsidR="00863C99" w:rsidRPr="000E54EB" w:rsidRDefault="00863C99"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szCs w:val="20"/>
          <w:lang w:eastAsia="bg-BG"/>
        </w:rPr>
      </w:pPr>
      <w:r w:rsidRPr="000E54EB">
        <w:rPr>
          <w:rFonts w:ascii="Verdana" w:hAnsi="Verdana" w:cs="Verdana"/>
          <w:sz w:val="20"/>
          <w:szCs w:val="20"/>
          <w:lang w:eastAsia="bg-BG"/>
        </w:rPr>
        <w:t>Правото на компенсиране е юридическо право на длъжник по договор да уреди или по друг начин да елиминира цялата или част от сумата, дължима на кредитор, чрез приспадането от тази сума на сума, дължима от кредитора.</w:t>
      </w:r>
    </w:p>
    <w:p w:rsidR="00863C99" w:rsidRPr="000E54EB" w:rsidRDefault="00863C99"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szCs w:val="20"/>
          <w:lang w:eastAsia="bg-BG"/>
        </w:rPr>
      </w:pPr>
      <w:r w:rsidRPr="000E54EB">
        <w:rPr>
          <w:rFonts w:ascii="Verdana" w:hAnsi="Verdana" w:cs="Verdana"/>
          <w:sz w:val="20"/>
          <w:szCs w:val="20"/>
          <w:lang w:eastAsia="bg-BG"/>
        </w:rPr>
        <w:t>Ако има юридическо право да приспадне сума, дължима от трето лице, от сумата, дължима на кредитора, при условие че между трите страни съществува споразумение, в което ясно е установено правото на длъжника да извърши компенсирането, активите и пасивите се представят компенсирано.</w:t>
      </w:r>
    </w:p>
    <w:p w:rsidR="00863C99" w:rsidRPr="000E54EB" w:rsidRDefault="00863C99" w:rsidP="00B66DF8">
      <w:pPr>
        <w:rPr>
          <w:rFonts w:ascii="Verdana" w:hAnsi="Verdana" w:cs="Verdana"/>
          <w:color w:val="FF0000"/>
          <w:sz w:val="20"/>
          <w:szCs w:val="20"/>
        </w:rPr>
      </w:pPr>
    </w:p>
    <w:p w:rsidR="00863C99" w:rsidRPr="000E54EB" w:rsidRDefault="00863C99" w:rsidP="00B66DF8">
      <w:pPr>
        <w:pStyle w:val="Heading3"/>
        <w:spacing w:before="0"/>
        <w:rPr>
          <w:rFonts w:ascii="Verdana" w:hAnsi="Verdana" w:cs="Verdana"/>
          <w:lang w:val="bg-BG"/>
        </w:rPr>
      </w:pPr>
      <w:bookmarkStart w:id="67" w:name="_Toc4328796"/>
      <w:r w:rsidRPr="000E54EB">
        <w:rPr>
          <w:rFonts w:ascii="Verdana" w:hAnsi="Verdana" w:cs="Verdana"/>
          <w:lang w:val="bg-BG"/>
        </w:rPr>
        <w:t>Пари и парични еквиваленти</w:t>
      </w:r>
      <w:bookmarkEnd w:id="67"/>
    </w:p>
    <w:p w:rsidR="00863C99" w:rsidRPr="000E54EB" w:rsidRDefault="00863C99" w:rsidP="00B66DF8">
      <w:pPr>
        <w:rPr>
          <w:rFonts w:ascii="Verdana" w:hAnsi="Verdana" w:cs="Verdana"/>
          <w:sz w:val="20"/>
          <w:szCs w:val="20"/>
        </w:rPr>
      </w:pPr>
      <w:r w:rsidRPr="000E54EB">
        <w:rPr>
          <w:rFonts w:ascii="Verdana" w:hAnsi="Verdana" w:cs="Verdana"/>
          <w:sz w:val="20"/>
          <w:szCs w:val="20"/>
        </w:rPr>
        <w:t>Пари и парични еквиваленти включват пари в брой, депозити и други краткосрочни високо ликвидни инвестиции, които са лесно обръщаеми в определена сума пари и са предмет на незначителен риск от промени на стойността.</w:t>
      </w:r>
    </w:p>
    <w:p w:rsidR="00863C99" w:rsidRPr="000E54EB" w:rsidRDefault="00863C99" w:rsidP="00B66DF8">
      <w:pPr>
        <w:rPr>
          <w:rFonts w:ascii="Verdana" w:hAnsi="Verdana" w:cs="Verdana"/>
          <w:sz w:val="20"/>
          <w:szCs w:val="20"/>
        </w:rPr>
      </w:pPr>
      <w:r w:rsidRPr="000E54EB">
        <w:rPr>
          <w:rFonts w:ascii="Verdana" w:hAnsi="Verdana" w:cs="Verdana"/>
          <w:sz w:val="20"/>
          <w:szCs w:val="20"/>
        </w:rPr>
        <w:t>За целите само на отчета за паричните потоци, пари и парични еквиваленти включват банкови овърдрафти, платими при поискване. Тъй като характеристиките на подобни банкови споразумения са, че банковото салдо често се променя от положително до овърдрафт, те се считат за неразделна част от управлението на парите на Дружеството.</w:t>
      </w:r>
    </w:p>
    <w:p w:rsidR="00863C99" w:rsidRPr="000E54EB" w:rsidRDefault="00863C99" w:rsidP="00B66DF8">
      <w:pPr>
        <w:rPr>
          <w:rFonts w:ascii="Verdana" w:hAnsi="Verdana" w:cs="Verdana"/>
          <w:sz w:val="20"/>
          <w:szCs w:val="20"/>
        </w:rPr>
      </w:pPr>
    </w:p>
    <w:p w:rsidR="00863C99" w:rsidRPr="000E54EB" w:rsidRDefault="00863C99" w:rsidP="00B66DF8">
      <w:pPr>
        <w:pStyle w:val="Heading2"/>
        <w:spacing w:before="0"/>
        <w:rPr>
          <w:rFonts w:ascii="Verdana" w:hAnsi="Verdana" w:cs="Verdana"/>
          <w:sz w:val="20"/>
          <w:szCs w:val="20"/>
          <w:lang w:val="bg-BG"/>
        </w:rPr>
      </w:pPr>
      <w:bookmarkStart w:id="68" w:name="_Toc4328797"/>
      <w:r w:rsidRPr="000E54EB">
        <w:rPr>
          <w:rFonts w:ascii="Verdana" w:hAnsi="Verdana" w:cs="Verdana"/>
          <w:sz w:val="20"/>
          <w:szCs w:val="20"/>
          <w:lang w:val="bg-BG"/>
        </w:rPr>
        <w:t>РАЗХОДИ ПО ЗАЕМИ</w:t>
      </w:r>
      <w:bookmarkEnd w:id="68"/>
    </w:p>
    <w:p w:rsidR="00863C99" w:rsidRPr="000E54EB" w:rsidRDefault="00863C99" w:rsidP="00B66DF8">
      <w:pPr>
        <w:rPr>
          <w:rFonts w:ascii="Verdana" w:hAnsi="Verdana" w:cs="Verdana"/>
          <w:sz w:val="20"/>
          <w:szCs w:val="20"/>
        </w:rPr>
      </w:pPr>
      <w:bookmarkStart w:id="69" w:name="_Hlk517255777"/>
      <w:r w:rsidRPr="000E54EB">
        <w:rPr>
          <w:rFonts w:ascii="Verdana" w:hAnsi="Verdana" w:cs="Verdana"/>
          <w:sz w:val="20"/>
          <w:szCs w:val="20"/>
        </w:rPr>
        <w:t>Разходите по заеми за финансиране на покупка и развитие на актив, който отговаря на условията за актив (т.е. актив, който непременно изисква значителен период от време, за да стане готов за предвижданата му употреба или продажба) се включват в стойността на актива до момента, до който активите са значително готови за употреба или продажба. Такива разходи по заеми се капитализират нетно от какъвто и да било инвестиционен доход получен от временното инвестиране на средства, които са в излишък.</w:t>
      </w:r>
    </w:p>
    <w:p w:rsidR="00863C99" w:rsidRPr="000E54EB" w:rsidRDefault="00863C99" w:rsidP="00B66DF8">
      <w:pPr>
        <w:rPr>
          <w:rFonts w:ascii="Verdana" w:hAnsi="Verdana" w:cs="Verdana"/>
          <w:sz w:val="20"/>
          <w:szCs w:val="20"/>
        </w:rPr>
      </w:pPr>
      <w:r w:rsidRPr="000E54EB">
        <w:rPr>
          <w:rFonts w:ascii="Verdana" w:hAnsi="Verdana" w:cs="Verdana"/>
          <w:sz w:val="20"/>
          <w:szCs w:val="20"/>
        </w:rPr>
        <w:t>В разходите по заеми, които подлежат на капитализация обикновено се включват разходите за лихви и такси, свързани с получените финансирания, ползвани за придобиването на отговарящи на условията активи.</w:t>
      </w:r>
    </w:p>
    <w:p w:rsidR="00863C99" w:rsidRPr="000E54EB" w:rsidRDefault="00863C99" w:rsidP="00B66DF8">
      <w:pPr>
        <w:rPr>
          <w:rFonts w:ascii="Verdana" w:hAnsi="Verdana" w:cs="Verdana"/>
          <w:sz w:val="20"/>
          <w:szCs w:val="20"/>
        </w:rPr>
      </w:pPr>
      <w:r w:rsidRPr="000E54EB">
        <w:rPr>
          <w:rFonts w:ascii="Verdana" w:hAnsi="Verdana" w:cs="Verdana"/>
          <w:sz w:val="20"/>
          <w:szCs w:val="20"/>
        </w:rPr>
        <w:t>В зависимост от конкретните нужди на Дружеството, отговарящи на условията активи могат да бъдат: материални запаси, машини, съоръжения, оборудване, сгради, които да се ползват в основната дейност на Дружеството, инвестиционни имоти, нематериални активи.</w:t>
      </w:r>
    </w:p>
    <w:p w:rsidR="00863C99" w:rsidRPr="000E54EB" w:rsidRDefault="00863C99" w:rsidP="00B66DF8">
      <w:pPr>
        <w:rPr>
          <w:rFonts w:ascii="Verdana" w:hAnsi="Verdana" w:cs="Verdana"/>
          <w:sz w:val="20"/>
          <w:szCs w:val="20"/>
        </w:rPr>
      </w:pPr>
      <w:r w:rsidRPr="000E54EB">
        <w:rPr>
          <w:rFonts w:ascii="Verdana" w:hAnsi="Verdana" w:cs="Verdana"/>
          <w:sz w:val="20"/>
          <w:szCs w:val="20"/>
        </w:rPr>
        <w:t>В случаите, в които Дружеството ползва финансирания като цяло, които се ползват не само за придобиване на отговарящи на условията активи или с едно получено финансиране се придобиват няколко отговарящи на условията активи, размерът на разходите по заеми, които допустими за капитализиране се определя чрез прилагане на процент на капитализация към разходите по съответния актив. Процентът на капитализация е средно претеглената величина на разходите по заеми, отнесени към заемите на Дружеството, които са непогасени през периода, като се изключат заемите, извършени специално с цел придобиване на един отговарящ на условията актив.</w:t>
      </w:r>
    </w:p>
    <w:p w:rsidR="00863C99" w:rsidRPr="000E54EB" w:rsidRDefault="00863C99" w:rsidP="00B66DF8">
      <w:pPr>
        <w:rPr>
          <w:rFonts w:ascii="Verdana" w:hAnsi="Verdana" w:cs="Verdana"/>
          <w:sz w:val="20"/>
          <w:szCs w:val="20"/>
        </w:rPr>
      </w:pPr>
      <w:r w:rsidRPr="000E54EB">
        <w:rPr>
          <w:rFonts w:ascii="Verdana" w:hAnsi="Verdana" w:cs="Verdana"/>
          <w:sz w:val="20"/>
          <w:szCs w:val="20"/>
        </w:rPr>
        <w:t>Размерът на разходите по заеми, които Дружеството капитализира през един период, не трябва да превишава размера на разходите по заеми, извършени през този период.</w:t>
      </w:r>
    </w:p>
    <w:p w:rsidR="00863C99" w:rsidRPr="000E54EB" w:rsidRDefault="00863C99" w:rsidP="00B66DF8">
      <w:pPr>
        <w:rPr>
          <w:rFonts w:ascii="Verdana" w:hAnsi="Verdana" w:cs="Verdana"/>
          <w:sz w:val="20"/>
          <w:szCs w:val="20"/>
        </w:rPr>
      </w:pPr>
      <w:r w:rsidRPr="000E54EB">
        <w:rPr>
          <w:rFonts w:ascii="Verdana" w:hAnsi="Verdana" w:cs="Verdana"/>
          <w:sz w:val="20"/>
          <w:szCs w:val="20"/>
        </w:rPr>
        <w:t>Началната дата на капитализиране на разходите по заеми е датата, на която Дружеството за първи път удовлетвори следните условия:</w:t>
      </w:r>
    </w:p>
    <w:p w:rsidR="00863C99" w:rsidRPr="000E54EB" w:rsidRDefault="00863C99" w:rsidP="00B66DF8">
      <w:pPr>
        <w:ind w:firstLine="708"/>
        <w:rPr>
          <w:rFonts w:ascii="Verdana" w:hAnsi="Verdana" w:cs="Verdana"/>
          <w:sz w:val="20"/>
          <w:szCs w:val="20"/>
        </w:rPr>
      </w:pPr>
      <w:r w:rsidRPr="000E54EB">
        <w:rPr>
          <w:rFonts w:ascii="Verdana" w:hAnsi="Verdana" w:cs="Verdana"/>
          <w:sz w:val="20"/>
          <w:szCs w:val="20"/>
        </w:rPr>
        <w:t>- извърши разходите за актива;</w:t>
      </w:r>
    </w:p>
    <w:p w:rsidR="00863C99" w:rsidRPr="000E54EB" w:rsidRDefault="00863C99" w:rsidP="00B66DF8">
      <w:pPr>
        <w:ind w:firstLine="708"/>
        <w:rPr>
          <w:rFonts w:ascii="Verdana" w:hAnsi="Verdana" w:cs="Verdana"/>
          <w:sz w:val="20"/>
          <w:szCs w:val="20"/>
        </w:rPr>
      </w:pPr>
      <w:r w:rsidRPr="000E54EB">
        <w:rPr>
          <w:rFonts w:ascii="Verdana" w:hAnsi="Verdana" w:cs="Verdana"/>
          <w:sz w:val="20"/>
          <w:szCs w:val="20"/>
        </w:rPr>
        <w:t>- извърши разходите по заемите;</w:t>
      </w:r>
    </w:p>
    <w:p w:rsidR="00863C99" w:rsidRPr="000E54EB" w:rsidRDefault="00863C99" w:rsidP="00B66DF8">
      <w:pPr>
        <w:ind w:firstLine="708"/>
        <w:rPr>
          <w:rFonts w:ascii="Verdana" w:hAnsi="Verdana" w:cs="Verdana"/>
          <w:sz w:val="20"/>
          <w:szCs w:val="20"/>
        </w:rPr>
      </w:pPr>
      <w:r w:rsidRPr="000E54EB">
        <w:rPr>
          <w:rFonts w:ascii="Verdana" w:hAnsi="Verdana" w:cs="Verdana"/>
          <w:sz w:val="20"/>
          <w:szCs w:val="20"/>
        </w:rPr>
        <w:t>- предприеме дейности, необходими за подготвяне на актива за предвижданата му употреба или продажба.</w:t>
      </w:r>
    </w:p>
    <w:p w:rsidR="00863C99" w:rsidRPr="000E54EB" w:rsidRDefault="00863C99" w:rsidP="00B66DF8">
      <w:pPr>
        <w:rPr>
          <w:rFonts w:ascii="Verdana" w:hAnsi="Verdana" w:cs="Verdana"/>
          <w:sz w:val="20"/>
          <w:szCs w:val="20"/>
        </w:rPr>
      </w:pPr>
      <w:r w:rsidRPr="000E54EB">
        <w:rPr>
          <w:rFonts w:ascii="Verdana" w:hAnsi="Verdana" w:cs="Verdana"/>
          <w:sz w:val="20"/>
          <w:szCs w:val="20"/>
        </w:rPr>
        <w:lastRenderedPageBreak/>
        <w:t>Капитализирането на разходите по заеми се преустановява за дълги периоди, през което е прекъснато активното подобрение на отговарящ на условията актив.</w:t>
      </w:r>
    </w:p>
    <w:p w:rsidR="00863C99" w:rsidRPr="000E54EB" w:rsidRDefault="00863C99" w:rsidP="00B66DF8">
      <w:pPr>
        <w:rPr>
          <w:rFonts w:ascii="Verdana" w:hAnsi="Verdana" w:cs="Verdana"/>
          <w:sz w:val="20"/>
          <w:szCs w:val="20"/>
        </w:rPr>
      </w:pPr>
      <w:r w:rsidRPr="000E54EB">
        <w:rPr>
          <w:rFonts w:ascii="Verdana" w:hAnsi="Verdana" w:cs="Verdana"/>
          <w:sz w:val="20"/>
          <w:szCs w:val="20"/>
        </w:rPr>
        <w:t>Дружеството прекратява капитализацията на разходите по заеми, когато са приключени в значителна степен всички дейности, необходими за подготвянето на отговарящия на условията актив за предвижданата употреба или продажба</w:t>
      </w:r>
    </w:p>
    <w:p w:rsidR="00863C99" w:rsidRPr="000E54EB" w:rsidRDefault="00863C99" w:rsidP="00B66DF8">
      <w:pPr>
        <w:rPr>
          <w:rFonts w:ascii="Verdana" w:hAnsi="Verdana" w:cs="Verdana"/>
          <w:sz w:val="20"/>
          <w:szCs w:val="20"/>
        </w:rPr>
      </w:pPr>
      <w:r w:rsidRPr="000E54EB">
        <w:rPr>
          <w:rFonts w:ascii="Verdana" w:hAnsi="Verdana" w:cs="Verdana"/>
          <w:sz w:val="20"/>
          <w:szCs w:val="20"/>
        </w:rPr>
        <w:t>Всички други разходи по заеми се признават в печалба или загуба в периода, през който са възникнали.</w:t>
      </w:r>
    </w:p>
    <w:bookmarkEnd w:id="69"/>
    <w:p w:rsidR="00863C99" w:rsidRPr="000E54EB" w:rsidRDefault="00863C99" w:rsidP="00B66DF8">
      <w:pPr>
        <w:rPr>
          <w:rFonts w:ascii="Verdana" w:hAnsi="Verdana" w:cs="Verdana"/>
          <w:sz w:val="20"/>
          <w:szCs w:val="20"/>
        </w:rPr>
      </w:pPr>
    </w:p>
    <w:p w:rsidR="00863C99" w:rsidRPr="000E54EB" w:rsidRDefault="00863C99" w:rsidP="00B66DF8">
      <w:pPr>
        <w:pStyle w:val="Heading2"/>
        <w:spacing w:before="0"/>
        <w:rPr>
          <w:rFonts w:ascii="Verdana" w:hAnsi="Verdana" w:cs="Verdana"/>
          <w:sz w:val="20"/>
          <w:szCs w:val="20"/>
          <w:lang w:val="bg-BG"/>
        </w:rPr>
      </w:pPr>
      <w:bookmarkStart w:id="70" w:name="_Toc4328798"/>
      <w:r w:rsidRPr="000E54EB">
        <w:rPr>
          <w:rFonts w:ascii="Verdana" w:hAnsi="Verdana" w:cs="Verdana"/>
          <w:sz w:val="20"/>
          <w:szCs w:val="20"/>
          <w:lang w:val="bg-BG"/>
        </w:rPr>
        <w:t>ПРАВИТЕЛСТВЕНИ ДАРЕНИЯ</w:t>
      </w:r>
      <w:bookmarkEnd w:id="70"/>
    </w:p>
    <w:p w:rsidR="00863C99" w:rsidRPr="000E54EB" w:rsidRDefault="00863C99" w:rsidP="00B66DF8">
      <w:pPr>
        <w:rPr>
          <w:rFonts w:ascii="Verdana" w:hAnsi="Verdana" w:cs="Verdana"/>
          <w:sz w:val="20"/>
          <w:szCs w:val="20"/>
        </w:rPr>
      </w:pPr>
      <w:r w:rsidRPr="000E54EB">
        <w:rPr>
          <w:rFonts w:ascii="Verdana" w:hAnsi="Verdana" w:cs="Verdana"/>
          <w:sz w:val="20"/>
          <w:szCs w:val="20"/>
        </w:rPr>
        <w:t>Правителствените дарения се признават, когато са изпълнени условията за получаването и съществува разумна сигурност, че дарението ще бъде получено. Дарения, свързани с активи са отнасят първоначално като отсрочен приход и след това се отразяват в печалба или загуба на системна и разумна база през времето на полезния живот на съответните активи. По-голямата част на даренията са с цел да подпомогнат покупката на съоръжения и машини. Дарения свързани с доходи се приспадат при отчитане на съответния разход.</w:t>
      </w:r>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Правителствени дарения, които се получават като компенсация за разходи или загуби вече натрупани или с цел оказване на непосредствена финансова подкрепа на  Дружеството, за които не се очакват бъдещи разходи се признават в печалба или загуба за периода, през който те станат изискуеми. </w:t>
      </w:r>
    </w:p>
    <w:p w:rsidR="00863C99" w:rsidRPr="000E54EB" w:rsidRDefault="00863C99"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rPr>
          <w:rFonts w:ascii="Verdana" w:hAnsi="Verdana" w:cs="Verdana"/>
          <w:sz w:val="20"/>
          <w:szCs w:val="20"/>
        </w:rPr>
      </w:pPr>
      <w:r w:rsidRPr="000E54EB">
        <w:rPr>
          <w:rFonts w:ascii="Verdana" w:hAnsi="Verdana" w:cs="Verdana"/>
          <w:sz w:val="20"/>
          <w:szCs w:val="20"/>
        </w:rPr>
        <w:t>Когато безвъзмездните средства са свързани с неамортизируеми активи и има изискване за изпълнението на определени задължения приходите се признават в печалбата или загубата през периодите, когато се поемат разходите свързани с изпълнението на задълженията.</w:t>
      </w:r>
    </w:p>
    <w:p w:rsidR="00863C99" w:rsidRPr="000E54EB" w:rsidRDefault="00863C99"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rPr>
          <w:rFonts w:ascii="Verdana" w:hAnsi="Verdana" w:cs="Verdana"/>
          <w:sz w:val="20"/>
          <w:szCs w:val="20"/>
        </w:rPr>
      </w:pPr>
      <w:r w:rsidRPr="000E54EB">
        <w:rPr>
          <w:rFonts w:ascii="Verdana" w:hAnsi="Verdana" w:cs="Verdana"/>
          <w:sz w:val="20"/>
          <w:szCs w:val="20"/>
        </w:rPr>
        <w:t>Опростим заем от държавата се третира като безвъзмездни средства, предоставени от държавата, когато има приемлива гаранция, че дружеството ще изпълни условията за опростяване на заема.</w:t>
      </w:r>
    </w:p>
    <w:p w:rsidR="00863C99" w:rsidRPr="000E54EB" w:rsidRDefault="00863C99"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rPr>
          <w:rFonts w:ascii="Verdana" w:hAnsi="Verdana" w:cs="Verdana"/>
          <w:sz w:val="20"/>
          <w:szCs w:val="20"/>
        </w:rPr>
      </w:pPr>
      <w:r w:rsidRPr="000E54EB">
        <w:rPr>
          <w:rFonts w:ascii="Verdana" w:hAnsi="Verdana" w:cs="Verdana"/>
          <w:sz w:val="20"/>
          <w:szCs w:val="20"/>
        </w:rPr>
        <w:t>Ползата на правителствен заем с лихва под пазарния процент се третира като безвъзмездни средства, предоставени от държавата. Ползата от лихвата под пазарния процент се оценява като разликата между началната балансова стойност на заема, определена съгласно МСС 39 и получените постъпления. Ползата се отчита като приход от финансиране.</w:t>
      </w:r>
    </w:p>
    <w:p w:rsidR="00863C99" w:rsidRPr="000E54EB" w:rsidRDefault="00863C99" w:rsidP="00B66DF8">
      <w:pPr>
        <w:rPr>
          <w:rFonts w:ascii="Verdana" w:hAnsi="Verdana" w:cs="Verdana"/>
          <w:sz w:val="20"/>
          <w:szCs w:val="20"/>
        </w:rPr>
      </w:pPr>
    </w:p>
    <w:p w:rsidR="00863C99" w:rsidRPr="000E54EB" w:rsidRDefault="00863C99" w:rsidP="00B66DF8">
      <w:pPr>
        <w:pStyle w:val="Heading2"/>
        <w:spacing w:before="0"/>
        <w:rPr>
          <w:rFonts w:ascii="Verdana" w:hAnsi="Verdana" w:cs="Verdana"/>
          <w:sz w:val="20"/>
          <w:szCs w:val="20"/>
          <w:lang w:val="bg-BG"/>
        </w:rPr>
      </w:pPr>
      <w:bookmarkStart w:id="71" w:name="_Toc4328799"/>
      <w:r w:rsidRPr="000E54EB">
        <w:rPr>
          <w:rFonts w:ascii="Verdana" w:hAnsi="Verdana" w:cs="Verdana"/>
          <w:sz w:val="20"/>
          <w:szCs w:val="20"/>
          <w:lang w:val="bg-BG"/>
        </w:rPr>
        <w:t>СДЕЛКИ В ЧУЖДЕСТРАННА ВАЛУТА</w:t>
      </w:r>
      <w:bookmarkEnd w:id="71"/>
    </w:p>
    <w:p w:rsidR="00863C99" w:rsidRPr="000E54EB" w:rsidRDefault="00863C99" w:rsidP="00B66DF8">
      <w:pPr>
        <w:rPr>
          <w:rFonts w:ascii="Verdana" w:hAnsi="Verdana" w:cs="Verdana"/>
          <w:sz w:val="20"/>
          <w:szCs w:val="20"/>
        </w:rPr>
      </w:pPr>
      <w:r w:rsidRPr="000E54EB">
        <w:rPr>
          <w:rFonts w:ascii="Verdana" w:hAnsi="Verdana" w:cs="Verdana"/>
          <w:sz w:val="20"/>
          <w:szCs w:val="20"/>
        </w:rPr>
        <w:t>Паричните активи и пасиви в чуждестранна валута се превалутират във функционалната валута на Дружеството с помощта на обменните курсове на датата на отчитане. Печалбите и загубите, произтичащи от промените в обменните курсове след датата на сделката се признават в печалба или загуба (освен когато са отсрочени в друг всеобхватен доход като хедж на паричен поток).</w:t>
      </w:r>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Непаричните активи и пасиви, които се оценяват по историческа цена в чуждестранна валута се превалутират по обменния курс на датата на транзакцията. Разликите, възникнали от превалутиране по непарични позиции, които се оценяват по справедлива стойност в чуждестранна валута (например капиталови инструменти на разположение за продажба) се превалутират, като се използват обменните курсове на датата, когато се определя справедливата стойност. </w:t>
      </w:r>
    </w:p>
    <w:p w:rsidR="00863C99" w:rsidRPr="000E54EB" w:rsidRDefault="00863C99" w:rsidP="00B66DF8">
      <w:pPr>
        <w:pStyle w:val="HTMLPreformatted"/>
        <w:jc w:val="both"/>
        <w:rPr>
          <w:rFonts w:ascii="Verdana" w:hAnsi="Verdana" w:cs="Verdana"/>
          <w:sz w:val="20"/>
          <w:szCs w:val="20"/>
        </w:rPr>
      </w:pPr>
      <w:r w:rsidRPr="000E54EB">
        <w:rPr>
          <w:rFonts w:ascii="Verdana" w:hAnsi="Verdana" w:cs="Verdana"/>
          <w:sz w:val="20"/>
          <w:szCs w:val="20"/>
        </w:rPr>
        <w:t>Паричните позиции в чуждестранна валута се преизчисляват, използвайки заключителния курс. Непаричните позиции, които се водят по историческа цена в чуждестранна валута се преизчисляват, използвайки обменния курс към датата на сделката. Непаричните позиции, които се оценяват по справедлива стойност във валута, се преизчисляват посредством обменните курсове към датата на оценка на справедливата стойност.</w:t>
      </w:r>
    </w:p>
    <w:p w:rsidR="00863C99" w:rsidRPr="000E54EB" w:rsidRDefault="00863C99" w:rsidP="00B66DF8">
      <w:pPr>
        <w:rPr>
          <w:rFonts w:ascii="Verdana" w:hAnsi="Verdana" w:cs="Verdana"/>
          <w:sz w:val="20"/>
          <w:szCs w:val="20"/>
        </w:rPr>
      </w:pPr>
    </w:p>
    <w:p w:rsidR="00863C99" w:rsidRPr="000E54EB" w:rsidRDefault="00863C99" w:rsidP="00B66DF8">
      <w:pPr>
        <w:pStyle w:val="Heading2"/>
        <w:spacing w:before="0"/>
        <w:rPr>
          <w:rFonts w:ascii="Verdana" w:hAnsi="Verdana" w:cs="Verdana"/>
          <w:sz w:val="20"/>
          <w:szCs w:val="20"/>
          <w:lang w:val="bg-BG"/>
        </w:rPr>
      </w:pPr>
      <w:bookmarkStart w:id="72" w:name="_Toc4328800"/>
      <w:r w:rsidRPr="000E54EB">
        <w:rPr>
          <w:rFonts w:ascii="Verdana" w:hAnsi="Verdana" w:cs="Verdana"/>
          <w:sz w:val="20"/>
          <w:szCs w:val="20"/>
          <w:lang w:val="bg-BG"/>
        </w:rPr>
        <w:lastRenderedPageBreak/>
        <w:t>ПЕНСИОННИ И ДРУГИ ЗАДЪЛЖЕНИЯ КЪМ ПЕРСОНАЛА ПО СОЦИАЛНОТО И ТРУДОВО ЗАКОНОДАТЕЛСТВО</w:t>
      </w:r>
      <w:bookmarkEnd w:id="72"/>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Трудовите и осигурителни отношения с работниците и служителите в Дружеството се основават на разпоредбите на Кодекса на труда (КТ) и на разпоредбите на действащото осигурително законодателство.  </w:t>
      </w:r>
    </w:p>
    <w:p w:rsidR="00863C99" w:rsidRPr="000E54EB" w:rsidRDefault="00863C99" w:rsidP="00B66DF8">
      <w:pPr>
        <w:rPr>
          <w:rFonts w:ascii="Verdana" w:hAnsi="Verdana" w:cs="Verdana"/>
          <w:sz w:val="20"/>
          <w:szCs w:val="20"/>
        </w:rPr>
      </w:pPr>
      <w:r w:rsidRPr="000E54EB">
        <w:rPr>
          <w:rFonts w:ascii="Verdana" w:hAnsi="Verdana" w:cs="Verdana"/>
          <w:sz w:val="20"/>
          <w:szCs w:val="20"/>
        </w:rPr>
        <w:t>Основно задължение на работодателя е да извършва задължително осигуряване на наетия персонал за фонд “Пенсии”, допълнително задължително пенсионно осигуряване (ДЗПО), фонд “Общо заболяване и майчинство” (ОЗМ), фонд “Безработица”, фонд “Трудова злополука и професионална болест” (ТЗПБ) и здравно осигуряване.</w:t>
      </w:r>
    </w:p>
    <w:p w:rsidR="00863C99" w:rsidRPr="000E54EB" w:rsidRDefault="00863C99" w:rsidP="00B66DF8">
      <w:pPr>
        <w:rPr>
          <w:rFonts w:ascii="Verdana" w:hAnsi="Verdana" w:cs="Verdana"/>
          <w:sz w:val="20"/>
          <w:szCs w:val="20"/>
        </w:rPr>
      </w:pPr>
      <w:r w:rsidRPr="000E54EB">
        <w:rPr>
          <w:rFonts w:ascii="Verdana" w:hAnsi="Verdana" w:cs="Verdana"/>
          <w:sz w:val="20"/>
          <w:szCs w:val="20"/>
        </w:rPr>
        <w:t>Размерите на осигурителните вноски се утвърждават конкретно със  Закона за бюджета на ДОО и Закона за бюджета на НЗОК за съответната година. Вноските се разпределят между работодателя и осигуреното лице в съотношение, което се променя ежегодно и е определено в чл. 6, ал. 3 от  „Кодекса за социално осигуряване” (КСО). Общият размер на вноската за фонд “Пенсии”, ДЗПО, фонд “ОЗМ”, фонд “Безработица</w:t>
      </w:r>
      <w:r w:rsidR="00EC3327">
        <w:rPr>
          <w:rFonts w:ascii="Verdana" w:hAnsi="Verdana" w:cs="Verdana"/>
          <w:sz w:val="20"/>
          <w:szCs w:val="20"/>
        </w:rPr>
        <w:t>” и здравно осигуряване през 2020</w:t>
      </w:r>
      <w:r w:rsidRPr="000E54EB">
        <w:rPr>
          <w:rFonts w:ascii="Verdana" w:hAnsi="Verdana" w:cs="Verdana"/>
          <w:sz w:val="20"/>
          <w:szCs w:val="20"/>
        </w:rPr>
        <w:t>г., е както следва:</w:t>
      </w:r>
    </w:p>
    <w:p w:rsidR="00863C99" w:rsidRPr="002B2DE8" w:rsidRDefault="00EC3327" w:rsidP="00B66DF8">
      <w:pPr>
        <w:tabs>
          <w:tab w:val="left" w:pos="720"/>
        </w:tabs>
        <w:rPr>
          <w:rFonts w:ascii="Verdana" w:hAnsi="Verdana" w:cs="Verdana"/>
          <w:sz w:val="20"/>
          <w:szCs w:val="20"/>
        </w:rPr>
      </w:pPr>
      <w:r w:rsidRPr="002B2DE8">
        <w:rPr>
          <w:rFonts w:ascii="Verdana" w:hAnsi="Verdana" w:cs="Verdana"/>
          <w:sz w:val="20"/>
          <w:szCs w:val="20"/>
        </w:rPr>
        <w:t>За периода 01.01.2020г. – 30.06.2020</w:t>
      </w:r>
      <w:r w:rsidR="00863C99" w:rsidRPr="002B2DE8">
        <w:rPr>
          <w:rFonts w:ascii="Verdana" w:hAnsi="Verdana" w:cs="Verdana"/>
          <w:sz w:val="20"/>
          <w:szCs w:val="20"/>
        </w:rPr>
        <w:t>г.</w:t>
      </w:r>
    </w:p>
    <w:p w:rsidR="00863C99" w:rsidRPr="002B2DE8" w:rsidRDefault="00863C99" w:rsidP="00B66DF8">
      <w:pPr>
        <w:numPr>
          <w:ilvl w:val="0"/>
          <w:numId w:val="4"/>
        </w:numPr>
        <w:rPr>
          <w:rFonts w:ascii="Verdana" w:hAnsi="Verdana" w:cs="Verdana"/>
          <w:sz w:val="20"/>
          <w:szCs w:val="20"/>
        </w:rPr>
      </w:pPr>
      <w:bookmarkStart w:id="73" w:name="_Hlk517255969"/>
      <w:r w:rsidRPr="002B2DE8">
        <w:rPr>
          <w:rFonts w:ascii="Verdana" w:hAnsi="Verdana" w:cs="Verdana"/>
          <w:sz w:val="20"/>
          <w:szCs w:val="20"/>
        </w:rPr>
        <w:t>32,30% (разпределено в съотношение работодател:осигурено лице 18,52:13,78) за работещите при условията на трета категория труд;</w:t>
      </w:r>
    </w:p>
    <w:p w:rsidR="00863C99" w:rsidRPr="002B2DE8" w:rsidRDefault="00863C99" w:rsidP="00B66DF8">
      <w:pPr>
        <w:numPr>
          <w:ilvl w:val="0"/>
          <w:numId w:val="4"/>
        </w:numPr>
        <w:rPr>
          <w:rFonts w:ascii="Verdana" w:hAnsi="Verdana" w:cs="Verdana"/>
          <w:sz w:val="20"/>
          <w:szCs w:val="20"/>
        </w:rPr>
      </w:pPr>
      <w:r w:rsidRPr="002B2DE8">
        <w:rPr>
          <w:rFonts w:ascii="Verdana" w:hAnsi="Verdana" w:cs="Verdana"/>
          <w:sz w:val="20"/>
          <w:szCs w:val="20"/>
        </w:rPr>
        <w:t>42,30% (разпределено в съотношение работодател:осигурено лице 28,52:13,78) за работещите при условията втора категория;</w:t>
      </w:r>
    </w:p>
    <w:p w:rsidR="00863C99" w:rsidRPr="002B2DE8" w:rsidRDefault="00863C99" w:rsidP="00B66DF8">
      <w:pPr>
        <w:numPr>
          <w:ilvl w:val="0"/>
          <w:numId w:val="4"/>
        </w:numPr>
        <w:rPr>
          <w:rFonts w:ascii="Verdana" w:hAnsi="Verdana" w:cs="Verdana"/>
          <w:sz w:val="20"/>
          <w:szCs w:val="20"/>
        </w:rPr>
      </w:pPr>
      <w:r w:rsidRPr="002B2DE8">
        <w:rPr>
          <w:rFonts w:ascii="Verdana" w:hAnsi="Verdana" w:cs="Verdana"/>
          <w:sz w:val="20"/>
          <w:szCs w:val="20"/>
        </w:rPr>
        <w:t>47,30% (разпределено в съотношение работодател:осигурено лице 33,52:13,78) за работещите при условията първа категория.</w:t>
      </w:r>
    </w:p>
    <w:bookmarkEnd w:id="73"/>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В допълнение, изцяло за своя сметка работодателят прави осигурителна вноска за фонд “ТЗПБ”, която е диференцирана за различните предприятия </w:t>
      </w:r>
      <w:r w:rsidRPr="002B2DE8">
        <w:rPr>
          <w:rFonts w:ascii="Verdana" w:hAnsi="Verdana" w:cs="Verdana"/>
          <w:sz w:val="20"/>
          <w:szCs w:val="20"/>
        </w:rPr>
        <w:t>от 0.4% до 1.1% в зависимост от икономическата дейност на дружеството.</w:t>
      </w:r>
    </w:p>
    <w:p w:rsidR="00863C99" w:rsidRPr="000E54EB" w:rsidRDefault="00863C99" w:rsidP="00B66DF8">
      <w:pPr>
        <w:rPr>
          <w:rFonts w:ascii="Verdana" w:hAnsi="Verdana" w:cs="Verdana"/>
          <w:sz w:val="20"/>
          <w:szCs w:val="20"/>
        </w:rPr>
      </w:pPr>
      <w:r w:rsidRPr="000E54EB">
        <w:rPr>
          <w:rFonts w:ascii="Verdana" w:hAnsi="Verdana" w:cs="Verdana"/>
          <w:sz w:val="20"/>
          <w:szCs w:val="20"/>
        </w:rPr>
        <w:t>Към Дружеството няма създаден и функциониращ частен доброволен осигурителен фонд.</w:t>
      </w:r>
    </w:p>
    <w:p w:rsidR="00863C99" w:rsidRPr="000E54EB" w:rsidRDefault="00863C99" w:rsidP="00B66DF8">
      <w:pPr>
        <w:rPr>
          <w:rFonts w:ascii="Verdana" w:hAnsi="Verdana" w:cs="Verdana"/>
          <w:sz w:val="20"/>
          <w:szCs w:val="20"/>
        </w:rPr>
      </w:pPr>
      <w:r w:rsidRPr="000E54EB">
        <w:rPr>
          <w:rFonts w:ascii="Verdana" w:hAnsi="Verdana" w:cs="Verdana"/>
          <w:sz w:val="20"/>
          <w:szCs w:val="20"/>
        </w:rPr>
        <w:t>Осигурителните и пенсионни планове, прилагани от дружествата в качеството им на работодател се основават на българското законодателство и са планове с дефинирани  вноски. При тези планове работодателят плаща месечно определени вноски в държавните фонд “Пенсии”, фонд “ОЗМ”, фонд “Безработица”, фонд “ТЗПБ”, както и в универсални и професионални пенсионни фондове – на база фиксирани по закон проценти и няма правно или конструктивно задължение да доплаща във фондовете бъдещи вноски в случаите, когато те нямат достатъчно да изплатят на съответните лица заработените от тях суми за периода на трудовия им стаж. Аналогично са задълженията по отношение на здравното осигуряване.</w:t>
      </w:r>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Дружествата осигуряват всяко наето лице, на основата на сключен договор с дружество за доброволно здравно осигуряване, за доболнични и болнични медицински услуги. </w:t>
      </w:r>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Съгласно разпоредбите на Кодекса на труда работодателят има задължение да изплати при прекратяване на трудовия договор следните обезщетения: </w:t>
      </w:r>
    </w:p>
    <w:p w:rsidR="00863C99" w:rsidRPr="000E54EB" w:rsidRDefault="00863C99" w:rsidP="00B66DF8">
      <w:pPr>
        <w:numPr>
          <w:ilvl w:val="0"/>
          <w:numId w:val="5"/>
        </w:numPr>
        <w:rPr>
          <w:rFonts w:ascii="Verdana" w:hAnsi="Verdana" w:cs="Verdana"/>
          <w:sz w:val="20"/>
          <w:szCs w:val="20"/>
        </w:rPr>
      </w:pPr>
      <w:r w:rsidRPr="000E54EB">
        <w:rPr>
          <w:rFonts w:ascii="Verdana" w:hAnsi="Verdana" w:cs="Verdana"/>
          <w:sz w:val="20"/>
          <w:szCs w:val="20"/>
        </w:rPr>
        <w:t>неспазено предизвестие – за периода на неспазеното предизвестие;</w:t>
      </w:r>
    </w:p>
    <w:p w:rsidR="00863C99" w:rsidRPr="000E54EB" w:rsidRDefault="00863C99" w:rsidP="00B66DF8">
      <w:pPr>
        <w:numPr>
          <w:ilvl w:val="0"/>
          <w:numId w:val="5"/>
        </w:numPr>
        <w:rPr>
          <w:rFonts w:ascii="Verdana" w:hAnsi="Verdana" w:cs="Verdana"/>
          <w:sz w:val="20"/>
          <w:szCs w:val="20"/>
        </w:rPr>
      </w:pPr>
      <w:r w:rsidRPr="000E54EB">
        <w:rPr>
          <w:rFonts w:ascii="Verdana" w:hAnsi="Verdana" w:cs="Verdana"/>
          <w:sz w:val="20"/>
          <w:szCs w:val="20"/>
        </w:rPr>
        <w:t xml:space="preserve">поради закриване на дружеството или на част от него, съкращаване в щата, намаляване на обема на работа и спиране на работа за повече  от 15 дни  и др. – от една брутна месечна работна заплата; </w:t>
      </w:r>
    </w:p>
    <w:p w:rsidR="00863C99" w:rsidRPr="000E54EB" w:rsidRDefault="00863C99" w:rsidP="00B66DF8">
      <w:pPr>
        <w:numPr>
          <w:ilvl w:val="0"/>
          <w:numId w:val="5"/>
        </w:numPr>
        <w:rPr>
          <w:rFonts w:ascii="Verdana" w:hAnsi="Verdana" w:cs="Verdana"/>
          <w:sz w:val="20"/>
          <w:szCs w:val="20"/>
        </w:rPr>
      </w:pPr>
      <w:r w:rsidRPr="000E54EB">
        <w:rPr>
          <w:rFonts w:ascii="Verdana" w:hAnsi="Verdana" w:cs="Verdana"/>
          <w:sz w:val="20"/>
          <w:szCs w:val="20"/>
        </w:rPr>
        <w:t>при прекратяване на трудовия договор поради болест – в размер на брутното възнаграждение на работника  за два  месеца при условие, че има най-малко пет години трудов стаж и  не е получавал обезщетение на същото основание;</w:t>
      </w:r>
    </w:p>
    <w:p w:rsidR="00863C99" w:rsidRPr="000E54EB" w:rsidRDefault="00863C99" w:rsidP="00B66DF8">
      <w:pPr>
        <w:numPr>
          <w:ilvl w:val="0"/>
          <w:numId w:val="5"/>
        </w:numPr>
        <w:rPr>
          <w:rFonts w:ascii="Verdana" w:hAnsi="Verdana" w:cs="Verdana"/>
          <w:sz w:val="20"/>
          <w:szCs w:val="20"/>
        </w:rPr>
      </w:pPr>
      <w:r w:rsidRPr="000E54EB">
        <w:rPr>
          <w:rFonts w:ascii="Verdana" w:hAnsi="Verdana" w:cs="Verdana"/>
          <w:sz w:val="20"/>
          <w:szCs w:val="20"/>
        </w:rPr>
        <w:t>при пенсиониране – от 2 до 6 брутни месечни работни заплати според трудовия стаж в дружеството;</w:t>
      </w:r>
    </w:p>
    <w:p w:rsidR="00863C99" w:rsidRPr="000E54EB" w:rsidRDefault="00863C99" w:rsidP="00B66DF8">
      <w:pPr>
        <w:numPr>
          <w:ilvl w:val="0"/>
          <w:numId w:val="5"/>
        </w:numPr>
        <w:rPr>
          <w:rFonts w:ascii="Verdana" w:hAnsi="Verdana" w:cs="Verdana"/>
          <w:sz w:val="20"/>
          <w:szCs w:val="20"/>
        </w:rPr>
      </w:pPr>
      <w:r w:rsidRPr="000E54EB">
        <w:rPr>
          <w:rFonts w:ascii="Verdana" w:hAnsi="Verdana" w:cs="Verdana"/>
          <w:sz w:val="20"/>
          <w:szCs w:val="20"/>
        </w:rPr>
        <w:t>за неизползван платен годишен отпуск – за съответните години за времето, което се признава за трудов стаж.</w:t>
      </w:r>
    </w:p>
    <w:p w:rsidR="00863C99" w:rsidRPr="000E54EB" w:rsidRDefault="00863C99" w:rsidP="00B66DF8">
      <w:pPr>
        <w:rPr>
          <w:rFonts w:ascii="Verdana" w:hAnsi="Verdana" w:cs="Verdana"/>
          <w:sz w:val="20"/>
          <w:szCs w:val="20"/>
        </w:rPr>
      </w:pPr>
      <w:r w:rsidRPr="000E54EB">
        <w:rPr>
          <w:rFonts w:ascii="Verdana" w:hAnsi="Verdana" w:cs="Verdana"/>
          <w:sz w:val="20"/>
          <w:szCs w:val="20"/>
        </w:rPr>
        <w:t>След изплащането на посочените обезщетения за работодателя не произтичат други задължения към работниците и служителите.</w:t>
      </w:r>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Краткосрочните доходи за персонала под формата на възнаграждения, бонуси и социални доплащания и придобивки (изискуеми в рамките на 12 месеца след края на </w:t>
      </w:r>
      <w:r w:rsidRPr="000E54EB">
        <w:rPr>
          <w:rFonts w:ascii="Verdana" w:hAnsi="Verdana" w:cs="Verdana"/>
          <w:sz w:val="20"/>
          <w:szCs w:val="20"/>
        </w:rPr>
        <w:lastRenderedPageBreak/>
        <w:t>периода, в който персоналът е положил труд за тях или е изпълнил необходимите условия) се признават като разход в отчета за печалбата или загубата и другия всеобхватен доход в периода, в който е положен трудът за тях или са изпълнени изискванията за тяхното получаване, като текущо задължение (след приспадане на всички платени вече суми и полагащи се удръжки) в размер на недисконтираната им сума. Дължимите вноски по социалното и здравно осигуряване се признават като текущ разход и задължение в недисконтиран размер заедно и в периода на начисление на съответните доходи, с които те са свързани.</w:t>
      </w:r>
    </w:p>
    <w:p w:rsidR="00863C99" w:rsidRPr="000E54EB" w:rsidRDefault="00863C99" w:rsidP="00B66DF8">
      <w:pPr>
        <w:rPr>
          <w:rFonts w:ascii="Verdana" w:hAnsi="Verdana" w:cs="Verdana"/>
          <w:sz w:val="20"/>
          <w:szCs w:val="20"/>
        </w:rPr>
      </w:pPr>
      <w:r w:rsidRPr="000E54EB">
        <w:rPr>
          <w:rFonts w:ascii="Verdana" w:hAnsi="Verdana" w:cs="Verdana"/>
          <w:sz w:val="20"/>
          <w:szCs w:val="20"/>
        </w:rPr>
        <w:t>Към датата на всеки финансов отчет Дружеството прави оценка на сумата на очакваните разходи по натрупващите се компенсируеми отпуски, която се очаква да бъде изплатена като резултат от неизползваното право на натрупан отпуск. В оценката не се включват приблизителната преценка в недисконтиран размер на разходите за вноски по задължителното обществено осигуряване.</w:t>
      </w:r>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Съгласно Кодекса на труда работодателят е задължен да изплаща на лица от персонала при настъпване на пенсионна възраст обезщетение, което в зависимост от трудовия стаж в съответното предприятие може да варира между 2 и 6 брутни месечни работни заплати към датата на прекратяване на трудовото правоотношение. По своите характеристики тези схеми представляват планове с дефинирани доходи. </w:t>
      </w:r>
    </w:p>
    <w:p w:rsidR="00863C99" w:rsidRPr="000E54EB" w:rsidRDefault="00863C99" w:rsidP="00B66DF8">
      <w:pPr>
        <w:rPr>
          <w:rFonts w:ascii="Verdana" w:hAnsi="Verdana" w:cs="Verdana"/>
          <w:sz w:val="20"/>
          <w:szCs w:val="20"/>
        </w:rPr>
      </w:pPr>
      <w:r w:rsidRPr="000E54EB">
        <w:rPr>
          <w:rFonts w:ascii="Verdana" w:hAnsi="Verdana" w:cs="Verdana"/>
          <w:sz w:val="20"/>
          <w:szCs w:val="20"/>
        </w:rPr>
        <w:t>Изчислението на размера на тези задължения налага участието на квалифицирани актюери, за да може да се определи тяхната сегашна стойност към датата на отчета, по която те се представят в отчета за финансовото състояние коригирана с размера на непризнатите актюерски печалби и загуби, а респ. изменението в стойността им включва признатите актюерски печалби и загуби – в отчета за печалбата или загубата и другия всеобхватен доход.</w:t>
      </w:r>
    </w:p>
    <w:p w:rsidR="00863C99" w:rsidRPr="000E54EB" w:rsidRDefault="00863C99" w:rsidP="00B66DF8">
      <w:pPr>
        <w:rPr>
          <w:rFonts w:ascii="Verdana" w:hAnsi="Verdana" w:cs="Verdana"/>
          <w:sz w:val="20"/>
          <w:szCs w:val="20"/>
        </w:rPr>
      </w:pPr>
    </w:p>
    <w:p w:rsidR="00863C99" w:rsidRPr="000E54EB" w:rsidRDefault="00863C99" w:rsidP="00B66DF8">
      <w:pPr>
        <w:pStyle w:val="Heading2"/>
        <w:spacing w:before="0"/>
        <w:rPr>
          <w:rFonts w:ascii="Verdana" w:hAnsi="Verdana" w:cs="Verdana"/>
          <w:sz w:val="20"/>
          <w:szCs w:val="20"/>
          <w:lang w:val="bg-BG"/>
        </w:rPr>
      </w:pPr>
      <w:bookmarkStart w:id="74" w:name="_Toc4328801"/>
      <w:r w:rsidRPr="000E54EB">
        <w:rPr>
          <w:rFonts w:ascii="Verdana" w:hAnsi="Verdana" w:cs="Verdana"/>
          <w:sz w:val="20"/>
          <w:szCs w:val="20"/>
          <w:lang w:val="bg-BG"/>
        </w:rPr>
        <w:t>ДАНЪЦИ ВЪРХУ ДОХОДА И ДДС</w:t>
      </w:r>
      <w:bookmarkEnd w:id="74"/>
    </w:p>
    <w:p w:rsidR="00863C99" w:rsidRPr="000E54EB" w:rsidRDefault="00863C99" w:rsidP="00B66DF8">
      <w:pPr>
        <w:rPr>
          <w:rFonts w:ascii="Verdana" w:hAnsi="Verdana" w:cs="Verdana"/>
          <w:sz w:val="20"/>
          <w:szCs w:val="20"/>
        </w:rPr>
      </w:pPr>
      <w:r w:rsidRPr="000E54EB">
        <w:rPr>
          <w:rFonts w:ascii="Verdana" w:hAnsi="Verdana" w:cs="Verdana"/>
          <w:sz w:val="20"/>
          <w:szCs w:val="20"/>
        </w:rPr>
        <w:t>Дължимият текущо данък се изчислява с помощта на данъчните ставки в сила или приетите за действащи ставки към датата на отчитане. Облагаемата печалба се различава от счетоводната печалба или защото някои доходи и разходи се считат за облагаеми или данъчно признати или защото времето, за което те са били облагаеми или данъчно признати се различава при тяхното данъчно и счетоводно третиране.</w:t>
      </w:r>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Посредством пасивния метод в отчета за финансовото състояние, отсрочен данък се признава за всички временни разлики между балансовата стойност на активите и пасивите в отчета за финансовото състояние и съответната данъчна основа, с изключение на репутацията, която не е призната за данъчни цели, както и за временни разлики, възникнали при първоначално признаване на активи и пасиви, които не влияят върху облагаемата или счетоводна печалба. </w:t>
      </w:r>
    </w:p>
    <w:p w:rsidR="00863C99" w:rsidRPr="000E54EB" w:rsidRDefault="00863C99" w:rsidP="00B66DF8">
      <w:pPr>
        <w:rPr>
          <w:rFonts w:ascii="Verdana" w:hAnsi="Verdana" w:cs="Verdana"/>
          <w:sz w:val="20"/>
          <w:szCs w:val="20"/>
        </w:rPr>
      </w:pPr>
      <w:r w:rsidRPr="000E54EB">
        <w:rPr>
          <w:rFonts w:ascii="Verdana" w:hAnsi="Verdana" w:cs="Verdana"/>
          <w:sz w:val="20"/>
          <w:szCs w:val="20"/>
        </w:rPr>
        <w:t>Отсроченият данък се изчислява по данъчните ставки, които се очаква да бъдат приложими за периода, когато активът се реализира или пасивът се уреди въз основа на данъчните ставки (и данъчни закони), действащи или влезли в сила, в значителна степен, към датата на отчета.</w:t>
      </w:r>
    </w:p>
    <w:p w:rsidR="00863C99" w:rsidRPr="000E54EB" w:rsidRDefault="00863C99" w:rsidP="00B66DF8">
      <w:pPr>
        <w:rPr>
          <w:rFonts w:ascii="Verdana" w:hAnsi="Verdana" w:cs="Verdana"/>
          <w:sz w:val="20"/>
          <w:szCs w:val="20"/>
        </w:rPr>
      </w:pPr>
      <w:r w:rsidRPr="000E54EB">
        <w:rPr>
          <w:rFonts w:ascii="Verdana" w:hAnsi="Verdana" w:cs="Verdana"/>
          <w:sz w:val="20"/>
          <w:szCs w:val="20"/>
        </w:rPr>
        <w:t>Активи по отсрочени данъци се признават само до степента, до която Дружеството счита за вероятно (т.е. е по-вероятно) да е налице облагаема печалба, за да се реализира актив от същата данъчна група (юрисдикция).</w:t>
      </w:r>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Отсрочените данъчни активи и пасиви се приспадат само тогава, когато има законово право да приспадат текущи данъчни активи срещу текущи данъчни пасиви и отсрочените данъчни активи и пасиви се отнасят до данъци върху дохода, наложени от един и същ данъчен орган за едно дружество и намерението на Дружеството е да уреди сумата на нетна база.  </w:t>
      </w:r>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Разходът за данъци за периода, включва текущ и отсрочен данък. Данък се признава в отчета за печалбата или загубата или другия всеобхватен доход, с изключение на случаите, в които той произтича от сделки или събития, които се признават в друг всеобхватен доход или директно в капитал. В този случай, данъкът се признава в друг всеобхватен доход или съответно директно в собствения капитал. Когато данъкът </w:t>
      </w:r>
      <w:r w:rsidRPr="000E54EB">
        <w:rPr>
          <w:rFonts w:ascii="Verdana" w:hAnsi="Verdana" w:cs="Verdana"/>
          <w:sz w:val="20"/>
          <w:szCs w:val="20"/>
        </w:rPr>
        <w:lastRenderedPageBreak/>
        <w:t>възниква от първоначалното отчитане на бизнес комбинация, той се включва при осчетоводяването на бизнес комбинацията.</w:t>
      </w:r>
    </w:p>
    <w:p w:rsidR="00863C99" w:rsidRPr="000E54EB" w:rsidRDefault="00863C99" w:rsidP="00B66DF8">
      <w:pPr>
        <w:rPr>
          <w:rFonts w:ascii="Verdana" w:hAnsi="Verdana" w:cs="Verdana"/>
          <w:sz w:val="20"/>
          <w:szCs w:val="20"/>
        </w:rPr>
      </w:pPr>
    </w:p>
    <w:p w:rsidR="00863C99" w:rsidRPr="000E54EB" w:rsidRDefault="00863C99" w:rsidP="00B66DF8">
      <w:pPr>
        <w:pStyle w:val="Heading3"/>
        <w:spacing w:before="0"/>
        <w:rPr>
          <w:rFonts w:ascii="Verdana" w:hAnsi="Verdana" w:cs="Verdana"/>
          <w:lang w:val="bg-BG"/>
        </w:rPr>
      </w:pPr>
      <w:bookmarkStart w:id="75" w:name="_Toc4328802"/>
      <w:r w:rsidRPr="000E54EB">
        <w:rPr>
          <w:rFonts w:ascii="Verdana" w:hAnsi="Verdana" w:cs="Verdana"/>
          <w:lang w:val="bg-BG"/>
        </w:rPr>
        <w:t>Данък върху добавената стойност (ДДС)</w:t>
      </w:r>
      <w:bookmarkEnd w:id="75"/>
    </w:p>
    <w:p w:rsidR="00863C99" w:rsidRPr="000E54EB" w:rsidRDefault="00863C99" w:rsidP="00B66DF8">
      <w:pPr>
        <w:pStyle w:val="BodyText"/>
        <w:spacing w:line="240" w:lineRule="exact"/>
        <w:rPr>
          <w:rFonts w:ascii="Verdana" w:hAnsi="Verdana" w:cs="Verdana"/>
          <w:sz w:val="20"/>
          <w:szCs w:val="20"/>
          <w:lang w:val="bg-BG"/>
        </w:rPr>
      </w:pPr>
      <w:r w:rsidRPr="000E54EB">
        <w:rPr>
          <w:rFonts w:ascii="Verdana" w:hAnsi="Verdana" w:cs="Verdana"/>
          <w:spacing w:val="-1"/>
          <w:sz w:val="20"/>
          <w:szCs w:val="20"/>
          <w:lang w:val="bg-BG"/>
        </w:rPr>
        <w:t>Приходите, разходите и активите се признават нетно от ДДС, с изключение на случаите, когато:</w:t>
      </w:r>
    </w:p>
    <w:p w:rsidR="00863C99" w:rsidRPr="000E54EB" w:rsidRDefault="00863C99" w:rsidP="00B66DF8">
      <w:pPr>
        <w:pStyle w:val="ListParagraph"/>
        <w:numPr>
          <w:ilvl w:val="0"/>
          <w:numId w:val="1"/>
        </w:numPr>
        <w:rPr>
          <w:rFonts w:ascii="Verdana" w:hAnsi="Verdana" w:cs="Verdana"/>
          <w:spacing w:val="-1"/>
          <w:sz w:val="20"/>
          <w:szCs w:val="20"/>
        </w:rPr>
      </w:pPr>
      <w:r w:rsidRPr="000E54EB">
        <w:rPr>
          <w:rFonts w:ascii="Verdana" w:hAnsi="Verdana" w:cs="Verdana"/>
          <w:spacing w:val="-1"/>
          <w:sz w:val="20"/>
          <w:szCs w:val="20"/>
        </w:rPr>
        <w:t>ДДС, възникващ при покупка на активи или услуги, не е възстановим от данъчните власти, в който случай ДДС се признава като част от цената на придобиване на актива или като част от съответната разходна позиция, както това е приложимо; и</w:t>
      </w:r>
    </w:p>
    <w:p w:rsidR="00863C99" w:rsidRPr="000E54EB" w:rsidRDefault="00863C99" w:rsidP="00B66DF8">
      <w:pPr>
        <w:pStyle w:val="ListParagraph"/>
        <w:numPr>
          <w:ilvl w:val="0"/>
          <w:numId w:val="1"/>
        </w:numPr>
        <w:rPr>
          <w:rFonts w:ascii="Verdana" w:hAnsi="Verdana" w:cs="Verdana"/>
          <w:spacing w:val="-1"/>
          <w:sz w:val="20"/>
          <w:szCs w:val="20"/>
        </w:rPr>
      </w:pPr>
      <w:r w:rsidRPr="000E54EB">
        <w:rPr>
          <w:rFonts w:ascii="Verdana" w:hAnsi="Verdana" w:cs="Verdana"/>
          <w:spacing w:val="-1"/>
          <w:sz w:val="20"/>
          <w:szCs w:val="20"/>
        </w:rPr>
        <w:t>вземанията и задълженията, които се отчитат с включен ДДС.</w:t>
      </w:r>
    </w:p>
    <w:p w:rsidR="00863C99" w:rsidRPr="000E54EB" w:rsidRDefault="00863C99" w:rsidP="00B66DF8">
      <w:pPr>
        <w:rPr>
          <w:rFonts w:ascii="Verdana" w:hAnsi="Verdana" w:cs="Verdana"/>
          <w:spacing w:val="-1"/>
          <w:sz w:val="20"/>
          <w:szCs w:val="20"/>
        </w:rPr>
      </w:pPr>
      <w:r w:rsidRPr="000E54EB">
        <w:rPr>
          <w:rFonts w:ascii="Verdana" w:hAnsi="Verdana" w:cs="Verdana"/>
          <w:spacing w:val="-1"/>
          <w:sz w:val="20"/>
          <w:szCs w:val="20"/>
        </w:rPr>
        <w:t xml:space="preserve">Нетната сума на ДДС, възстановима от или дължима на данъчните власти се включва в стойността на вземанията или задълженията в </w:t>
      </w:r>
      <w:bookmarkStart w:id="76" w:name="_Hlk510711701"/>
      <w:r w:rsidRPr="000E54EB">
        <w:rPr>
          <w:rFonts w:ascii="Verdana" w:hAnsi="Verdana" w:cs="Verdana"/>
          <w:spacing w:val="-1"/>
          <w:sz w:val="20"/>
          <w:szCs w:val="20"/>
        </w:rPr>
        <w:t>отчета за финансовото състояние</w:t>
      </w:r>
      <w:bookmarkEnd w:id="76"/>
      <w:r w:rsidRPr="000E54EB">
        <w:rPr>
          <w:rFonts w:ascii="Verdana" w:hAnsi="Verdana" w:cs="Verdana"/>
          <w:spacing w:val="-1"/>
          <w:sz w:val="20"/>
          <w:szCs w:val="20"/>
        </w:rPr>
        <w:t>.</w:t>
      </w:r>
    </w:p>
    <w:p w:rsidR="00863C99" w:rsidRDefault="00863C99" w:rsidP="00B66DF8">
      <w:pPr>
        <w:rPr>
          <w:rFonts w:ascii="Verdana" w:hAnsi="Verdana" w:cs="Verdana"/>
          <w:b/>
          <w:bCs/>
          <w:sz w:val="20"/>
          <w:szCs w:val="20"/>
        </w:rPr>
      </w:pPr>
    </w:p>
    <w:p w:rsidR="00863C99" w:rsidRPr="000E54EB" w:rsidRDefault="00863C99" w:rsidP="00B66DF8">
      <w:pPr>
        <w:pStyle w:val="Heading2"/>
        <w:spacing w:before="0"/>
        <w:rPr>
          <w:rFonts w:ascii="Verdana" w:hAnsi="Verdana" w:cs="Verdana"/>
          <w:sz w:val="20"/>
          <w:szCs w:val="20"/>
          <w:lang w:val="bg-BG"/>
        </w:rPr>
      </w:pPr>
      <w:bookmarkStart w:id="77" w:name="_Toc4328803"/>
      <w:bookmarkStart w:id="78" w:name="_Hlk510711709"/>
      <w:r w:rsidRPr="000E54EB">
        <w:rPr>
          <w:rFonts w:ascii="Verdana" w:hAnsi="Verdana" w:cs="Verdana"/>
          <w:sz w:val="20"/>
          <w:szCs w:val="20"/>
          <w:lang w:val="bg-BG"/>
        </w:rPr>
        <w:t>ПРОВИЗИИ</w:t>
      </w:r>
      <w:bookmarkEnd w:id="77"/>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Когато на датата на отчитане Дружеството има сегашно задължение (правно или конструктивно), като резултат от минало събитие и е вероятно, че Дружеството ще погаси това задължение, </w:t>
      </w:r>
      <w:bookmarkStart w:id="79" w:name="_Hlk517256351"/>
      <w:r w:rsidRPr="000E54EB">
        <w:rPr>
          <w:rFonts w:ascii="Verdana" w:hAnsi="Verdana" w:cs="Verdana"/>
          <w:sz w:val="20"/>
          <w:szCs w:val="20"/>
        </w:rPr>
        <w:t>т.е. ще възникне изходящ паричен поток</w:t>
      </w:r>
      <w:bookmarkEnd w:id="79"/>
      <w:r w:rsidRPr="000E54EB">
        <w:rPr>
          <w:rFonts w:ascii="Verdana" w:hAnsi="Verdana" w:cs="Verdana"/>
          <w:sz w:val="20"/>
          <w:szCs w:val="20"/>
        </w:rPr>
        <w:t>, се прави провизия в отчета за финансовото състояние. Провизии се правят като се използва най-добрата приблизителна оценка на сумата, която ще е необходима за погасяване на задължението и се дисконтират до сегашна стойност с помощта на дисконтов процент (преди данъци), който отразява текущите пазарни оценки на стойността на парите във времето и специфичните за задължението рискове. Промените в приблизителните оценки се отразяват в отчета за печалбата или загубата и другия всеобхватен доход през периода, в който възникват. Провизиите по гаранции се измерват с помощта на вероятностни модели, базирани на минал опит. Провизиите за преструктуриране се признават само след като засегнатите страни са били информирани за формалния план за преструктуриране.</w:t>
      </w:r>
    </w:p>
    <w:bookmarkEnd w:id="78"/>
    <w:p w:rsidR="00863C99" w:rsidRPr="000E54EB" w:rsidRDefault="00863C99" w:rsidP="00B66DF8">
      <w:pPr>
        <w:rPr>
          <w:rFonts w:ascii="Verdana" w:hAnsi="Verdana" w:cs="Verdana"/>
          <w:sz w:val="20"/>
          <w:szCs w:val="20"/>
        </w:rPr>
      </w:pPr>
    </w:p>
    <w:p w:rsidR="00863C99" w:rsidRPr="000E54EB" w:rsidRDefault="00863C99" w:rsidP="00B66DF8">
      <w:pPr>
        <w:pStyle w:val="Heading2"/>
        <w:spacing w:before="0"/>
        <w:rPr>
          <w:rFonts w:ascii="Verdana" w:hAnsi="Verdana" w:cs="Verdana"/>
          <w:sz w:val="20"/>
          <w:szCs w:val="20"/>
          <w:lang w:val="bg-BG"/>
        </w:rPr>
      </w:pPr>
      <w:bookmarkStart w:id="80" w:name="_Toc4328804"/>
      <w:r w:rsidRPr="000E54EB">
        <w:rPr>
          <w:rFonts w:ascii="Verdana" w:hAnsi="Verdana" w:cs="Verdana"/>
          <w:sz w:val="20"/>
          <w:szCs w:val="20"/>
          <w:lang w:val="bg-BG"/>
        </w:rPr>
        <w:t>КАПИТАЛ</w:t>
      </w:r>
      <w:bookmarkEnd w:id="80"/>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Капиталовите инструменти са договори, които пораждат остатъчен интерес в нетните активи на Дружеството. Обикновените акции се класифицират като капитал. Капиталовите инструменти се признават по сумата на получените постъпления, нетно от разходите, пряко свързани с транзакцията. </w:t>
      </w:r>
    </w:p>
    <w:p w:rsidR="00863C99" w:rsidRPr="000E54EB" w:rsidRDefault="00863C99" w:rsidP="00B66DF8">
      <w:pPr>
        <w:rPr>
          <w:rFonts w:ascii="Verdana" w:hAnsi="Verdana" w:cs="Verdana"/>
          <w:sz w:val="20"/>
          <w:szCs w:val="20"/>
        </w:rPr>
      </w:pPr>
    </w:p>
    <w:p w:rsidR="00863C99" w:rsidRPr="000E54EB" w:rsidRDefault="00863C99" w:rsidP="00B66DF8">
      <w:pPr>
        <w:pStyle w:val="Heading3"/>
        <w:spacing w:before="0"/>
        <w:rPr>
          <w:rFonts w:ascii="Verdana" w:hAnsi="Verdana" w:cs="Verdana"/>
          <w:color w:val="auto"/>
          <w:lang w:val="bg-BG"/>
        </w:rPr>
      </w:pPr>
      <w:bookmarkStart w:id="81" w:name="_Toc4328805"/>
      <w:r w:rsidRPr="000E54EB">
        <w:rPr>
          <w:rFonts w:ascii="Verdana" w:hAnsi="Verdana" w:cs="Verdana"/>
          <w:color w:val="auto"/>
          <w:lang w:val="bg-BG"/>
        </w:rPr>
        <w:t>Собствени акции</w:t>
      </w:r>
      <w:bookmarkEnd w:id="81"/>
    </w:p>
    <w:p w:rsidR="00863C99" w:rsidRPr="000E54EB" w:rsidRDefault="00863C99" w:rsidP="00B66DF8">
      <w:pPr>
        <w:rPr>
          <w:rFonts w:ascii="Verdana" w:hAnsi="Verdana" w:cs="Verdana"/>
          <w:sz w:val="20"/>
          <w:szCs w:val="20"/>
        </w:rPr>
      </w:pPr>
      <w:r w:rsidRPr="000E54EB">
        <w:rPr>
          <w:rFonts w:ascii="Verdana" w:hAnsi="Verdana" w:cs="Verdana"/>
          <w:sz w:val="20"/>
          <w:szCs w:val="20"/>
        </w:rPr>
        <w:t>Разходите за закупените собствени акции се представят като намаление в собствения капитал в отчета за финансовото състояние. Когато собствените акции се продават или преиздават, те се кредитират в капитала. В резултат на това, печалби или загуби от собствени акции не се включват в отчета за печалбата или загубата и другия всеобхватен доход.</w:t>
      </w:r>
    </w:p>
    <w:p w:rsidR="00863C99" w:rsidRPr="000E54EB" w:rsidRDefault="00863C99" w:rsidP="00B66DF8">
      <w:pPr>
        <w:rPr>
          <w:rFonts w:ascii="Verdana" w:hAnsi="Verdana" w:cs="Verdana"/>
          <w:sz w:val="20"/>
          <w:szCs w:val="20"/>
        </w:rPr>
      </w:pPr>
    </w:p>
    <w:p w:rsidR="00863C99" w:rsidRPr="000E54EB" w:rsidRDefault="00863C99" w:rsidP="00B66DF8">
      <w:pPr>
        <w:pStyle w:val="Heading2"/>
        <w:spacing w:before="0"/>
        <w:rPr>
          <w:rFonts w:ascii="Verdana" w:hAnsi="Verdana" w:cs="Verdana"/>
          <w:sz w:val="20"/>
          <w:szCs w:val="20"/>
          <w:lang w:val="bg-BG"/>
        </w:rPr>
      </w:pPr>
      <w:bookmarkStart w:id="82" w:name="_Toc4328806"/>
      <w:r w:rsidRPr="000E54EB">
        <w:rPr>
          <w:rFonts w:ascii="Verdana" w:hAnsi="Verdana" w:cs="Verdana"/>
          <w:sz w:val="20"/>
          <w:szCs w:val="20"/>
          <w:lang w:val="bg-BG"/>
        </w:rPr>
        <w:t>ОПРЕДЕЛЯНЕ НА СПРАВЕДЛИВА СТОЙНОСТ</w:t>
      </w:r>
      <w:bookmarkEnd w:id="82"/>
    </w:p>
    <w:p w:rsidR="00863C99" w:rsidRPr="000E54EB" w:rsidRDefault="00863C99" w:rsidP="00B66DF8">
      <w:pPr>
        <w:rPr>
          <w:rFonts w:ascii="Verdana" w:hAnsi="Verdana" w:cs="Verdana"/>
          <w:sz w:val="20"/>
          <w:szCs w:val="20"/>
        </w:rPr>
      </w:pPr>
      <w:r w:rsidRPr="000E54EB">
        <w:rPr>
          <w:rFonts w:ascii="Verdana" w:hAnsi="Verdana" w:cs="Verdana"/>
          <w:sz w:val="20"/>
          <w:szCs w:val="20"/>
        </w:rPr>
        <w:t>Справедлива стойност е: „цената, която би била получена при продажба на даден актив или платена при прехвърлянето на задължение при обичайна сделка между пазарни участници към датата на оценката“.</w:t>
      </w:r>
    </w:p>
    <w:p w:rsidR="00863C99" w:rsidRPr="000E54EB" w:rsidRDefault="00863C99" w:rsidP="00B66DF8">
      <w:pPr>
        <w:rPr>
          <w:rFonts w:ascii="Verdana" w:hAnsi="Verdana" w:cs="Verdana"/>
          <w:sz w:val="20"/>
          <w:szCs w:val="20"/>
        </w:rPr>
      </w:pPr>
      <w:r w:rsidRPr="000E54EB">
        <w:rPr>
          <w:rFonts w:ascii="Verdana" w:hAnsi="Verdana" w:cs="Verdana"/>
          <w:sz w:val="20"/>
          <w:szCs w:val="20"/>
        </w:rPr>
        <w:t>Справедливата стойност при първоначално признаване като цяло се равнява на цената на сделката освен в случаите, в които:</w:t>
      </w:r>
      <w:r w:rsidRPr="000E54EB">
        <w:rPr>
          <w:rFonts w:ascii="Verdana" w:hAnsi="Verdana" w:cs="Verdana"/>
          <w:sz w:val="20"/>
          <w:szCs w:val="20"/>
        </w:rPr>
        <w:tab/>
      </w:r>
    </w:p>
    <w:p w:rsidR="00863C99" w:rsidRPr="000E54EB" w:rsidRDefault="00863C99" w:rsidP="00E60E88">
      <w:pPr>
        <w:numPr>
          <w:ilvl w:val="0"/>
          <w:numId w:val="15"/>
        </w:numPr>
        <w:rPr>
          <w:rFonts w:ascii="Verdana" w:hAnsi="Verdana" w:cs="Verdana"/>
          <w:sz w:val="20"/>
          <w:szCs w:val="20"/>
        </w:rPr>
      </w:pPr>
      <w:r w:rsidRPr="000E54EB">
        <w:rPr>
          <w:rFonts w:ascii="Verdana" w:hAnsi="Verdana" w:cs="Verdana"/>
          <w:sz w:val="20"/>
          <w:szCs w:val="20"/>
        </w:rPr>
        <w:t>Сделката е между свързани лица;</w:t>
      </w:r>
    </w:p>
    <w:p w:rsidR="00863C99" w:rsidRPr="000E54EB" w:rsidRDefault="00863C99" w:rsidP="00E60E88">
      <w:pPr>
        <w:numPr>
          <w:ilvl w:val="0"/>
          <w:numId w:val="15"/>
        </w:numPr>
        <w:rPr>
          <w:rFonts w:ascii="Verdana" w:hAnsi="Verdana" w:cs="Verdana"/>
          <w:sz w:val="20"/>
          <w:szCs w:val="20"/>
        </w:rPr>
      </w:pPr>
      <w:r w:rsidRPr="000E54EB">
        <w:rPr>
          <w:rFonts w:ascii="Verdana" w:hAnsi="Verdana" w:cs="Verdana"/>
          <w:sz w:val="20"/>
          <w:szCs w:val="20"/>
        </w:rPr>
        <w:t>Сделката е сключена по принуда или при форсмажорни обстоятелства;</w:t>
      </w:r>
    </w:p>
    <w:p w:rsidR="00863C99" w:rsidRPr="000E54EB" w:rsidRDefault="00863C99" w:rsidP="00E60E88">
      <w:pPr>
        <w:numPr>
          <w:ilvl w:val="0"/>
          <w:numId w:val="15"/>
        </w:numPr>
        <w:rPr>
          <w:rFonts w:ascii="Verdana" w:hAnsi="Verdana" w:cs="Verdana"/>
          <w:sz w:val="20"/>
          <w:szCs w:val="20"/>
        </w:rPr>
      </w:pPr>
      <w:r w:rsidRPr="000E54EB">
        <w:rPr>
          <w:rFonts w:ascii="Verdana" w:hAnsi="Verdana" w:cs="Verdana"/>
          <w:sz w:val="20"/>
          <w:szCs w:val="20"/>
        </w:rPr>
        <w:t>Пазарът на който се е случила сделката е различен от основния или най-изгодния пазар;</w:t>
      </w:r>
    </w:p>
    <w:p w:rsidR="00863C99" w:rsidRPr="000E54EB" w:rsidRDefault="00863C99" w:rsidP="00E60E88">
      <w:pPr>
        <w:numPr>
          <w:ilvl w:val="0"/>
          <w:numId w:val="15"/>
        </w:numPr>
        <w:rPr>
          <w:rFonts w:ascii="Verdana" w:hAnsi="Verdana" w:cs="Verdana"/>
          <w:sz w:val="20"/>
          <w:szCs w:val="20"/>
        </w:rPr>
      </w:pPr>
      <w:r w:rsidRPr="000E54EB">
        <w:rPr>
          <w:rFonts w:ascii="Verdana" w:hAnsi="Verdana" w:cs="Verdana"/>
          <w:sz w:val="20"/>
          <w:szCs w:val="20"/>
        </w:rPr>
        <w:t>Разчетната единица, представена от цената на сделката, се различава от отчетната единица за актива или пасива, който се оценява по справедлива стойност.</w:t>
      </w:r>
    </w:p>
    <w:p w:rsidR="00863C99" w:rsidRPr="000E54EB" w:rsidRDefault="00863C99" w:rsidP="00B66DF8">
      <w:pPr>
        <w:rPr>
          <w:rFonts w:ascii="Verdana" w:hAnsi="Verdana" w:cs="Verdana"/>
          <w:sz w:val="20"/>
          <w:szCs w:val="20"/>
        </w:rPr>
      </w:pPr>
      <w:r w:rsidRPr="000E54EB">
        <w:rPr>
          <w:rFonts w:ascii="Verdana" w:hAnsi="Verdana" w:cs="Verdana"/>
          <w:sz w:val="20"/>
          <w:szCs w:val="20"/>
        </w:rPr>
        <w:lastRenderedPageBreak/>
        <w:t>Определяне на справедлива стойност при пазари с ниско ниво на активност:</w:t>
      </w:r>
    </w:p>
    <w:p w:rsidR="00863C99" w:rsidRPr="000E54EB" w:rsidRDefault="00863C99" w:rsidP="00B66DF8">
      <w:pPr>
        <w:rPr>
          <w:rFonts w:ascii="Verdana" w:hAnsi="Verdana" w:cs="Verdana"/>
          <w:sz w:val="20"/>
          <w:szCs w:val="20"/>
        </w:rPr>
      </w:pPr>
      <w:r w:rsidRPr="000E54EB">
        <w:rPr>
          <w:rFonts w:ascii="Verdana" w:hAnsi="Verdana" w:cs="Verdana"/>
          <w:sz w:val="20"/>
          <w:szCs w:val="20"/>
        </w:rPr>
        <w:t>При пазари с ниско ниво на активност:</w:t>
      </w:r>
    </w:p>
    <w:p w:rsidR="00863C99" w:rsidRPr="000E54EB" w:rsidRDefault="00863C99" w:rsidP="00E60E88">
      <w:pPr>
        <w:numPr>
          <w:ilvl w:val="0"/>
          <w:numId w:val="16"/>
        </w:numPr>
        <w:rPr>
          <w:rFonts w:ascii="Verdana" w:hAnsi="Verdana" w:cs="Verdana"/>
          <w:sz w:val="20"/>
          <w:szCs w:val="20"/>
        </w:rPr>
      </w:pPr>
      <w:r w:rsidRPr="000E54EB">
        <w:rPr>
          <w:rFonts w:ascii="Verdana" w:hAnsi="Verdana" w:cs="Verdana"/>
          <w:sz w:val="20"/>
          <w:szCs w:val="20"/>
        </w:rPr>
        <w:t>Определянето на справедлива стойност зависи от фактите, обстоятелствата и характеристиките на пазара и изисква значителна преценка от страна на оценителя;</w:t>
      </w:r>
    </w:p>
    <w:p w:rsidR="00863C99" w:rsidRPr="000E54EB" w:rsidRDefault="00863C99" w:rsidP="00E60E88">
      <w:pPr>
        <w:numPr>
          <w:ilvl w:val="0"/>
          <w:numId w:val="16"/>
        </w:numPr>
        <w:rPr>
          <w:rFonts w:ascii="Verdana" w:hAnsi="Verdana" w:cs="Verdana"/>
          <w:sz w:val="20"/>
          <w:szCs w:val="20"/>
        </w:rPr>
      </w:pPr>
      <w:r w:rsidRPr="000E54EB">
        <w:rPr>
          <w:rFonts w:ascii="Verdana" w:hAnsi="Verdana" w:cs="Verdana"/>
          <w:sz w:val="20"/>
          <w:szCs w:val="20"/>
        </w:rPr>
        <w:t>Сделките и котировките могат да не са представителни за определяне на справедлива стойност;</w:t>
      </w:r>
    </w:p>
    <w:p w:rsidR="00863C99" w:rsidRPr="000E54EB" w:rsidRDefault="00863C99" w:rsidP="00E60E88">
      <w:pPr>
        <w:numPr>
          <w:ilvl w:val="0"/>
          <w:numId w:val="16"/>
        </w:numPr>
        <w:rPr>
          <w:rFonts w:ascii="Verdana" w:hAnsi="Verdana" w:cs="Verdana"/>
          <w:sz w:val="20"/>
          <w:szCs w:val="20"/>
        </w:rPr>
      </w:pPr>
      <w:r w:rsidRPr="000E54EB">
        <w:rPr>
          <w:rFonts w:ascii="Verdana" w:hAnsi="Verdana" w:cs="Verdana"/>
          <w:sz w:val="20"/>
          <w:szCs w:val="20"/>
        </w:rPr>
        <w:t>Необходим е допълнителен анализ върху сделките и котировките. Ако е необходимо те могат да бъдат коригирани, за да дават по-ясна картина при определянето на справедливата стойност.</w:t>
      </w:r>
    </w:p>
    <w:p w:rsidR="00863C99" w:rsidRPr="000E54EB" w:rsidRDefault="00863C99" w:rsidP="00B66DF8">
      <w:pPr>
        <w:rPr>
          <w:rFonts w:ascii="Verdana" w:hAnsi="Verdana" w:cs="Verdana"/>
          <w:sz w:val="20"/>
          <w:szCs w:val="20"/>
        </w:rPr>
      </w:pPr>
      <w:r w:rsidRPr="000E54EB">
        <w:rPr>
          <w:rFonts w:ascii="Verdana" w:hAnsi="Verdana" w:cs="Verdana"/>
          <w:sz w:val="20"/>
          <w:szCs w:val="20"/>
        </w:rPr>
        <w:t>Вземат се предвид характеристиките на активен пазар, който участник на пазара ще вземе предвид на датата на оценката, като:</w:t>
      </w:r>
    </w:p>
    <w:p w:rsidR="00863C99" w:rsidRPr="000E54EB" w:rsidRDefault="00863C99" w:rsidP="00E60E88">
      <w:pPr>
        <w:numPr>
          <w:ilvl w:val="0"/>
          <w:numId w:val="14"/>
        </w:numPr>
        <w:rPr>
          <w:rFonts w:ascii="Verdana" w:hAnsi="Verdana" w:cs="Verdana"/>
          <w:sz w:val="20"/>
          <w:szCs w:val="20"/>
        </w:rPr>
      </w:pPr>
      <w:r w:rsidRPr="000E54EB">
        <w:rPr>
          <w:rFonts w:ascii="Verdana" w:hAnsi="Verdana" w:cs="Verdana"/>
          <w:sz w:val="20"/>
          <w:szCs w:val="20"/>
        </w:rPr>
        <w:t>Предполага уговорена сделка между участниците на пазара към датата на оценяване по текущите пазарни условия;</w:t>
      </w:r>
    </w:p>
    <w:p w:rsidR="00863C99" w:rsidRPr="000E54EB" w:rsidRDefault="00863C99" w:rsidP="00E60E88">
      <w:pPr>
        <w:numPr>
          <w:ilvl w:val="0"/>
          <w:numId w:val="14"/>
        </w:numPr>
        <w:rPr>
          <w:rFonts w:ascii="Verdana" w:hAnsi="Verdana" w:cs="Verdana"/>
          <w:sz w:val="20"/>
          <w:szCs w:val="20"/>
        </w:rPr>
      </w:pPr>
      <w:r w:rsidRPr="000E54EB">
        <w:rPr>
          <w:rFonts w:ascii="Verdana" w:hAnsi="Verdana" w:cs="Verdana"/>
          <w:sz w:val="20"/>
          <w:szCs w:val="20"/>
        </w:rPr>
        <w:t>Предполага сделката да бъди извършена на основния пазар, в противен случай на най-изгодния пазар;</w:t>
      </w:r>
    </w:p>
    <w:p w:rsidR="00863C99" w:rsidRPr="000E54EB" w:rsidRDefault="00863C99" w:rsidP="00E60E88">
      <w:pPr>
        <w:numPr>
          <w:ilvl w:val="0"/>
          <w:numId w:val="14"/>
        </w:numPr>
        <w:rPr>
          <w:rFonts w:ascii="Verdana" w:hAnsi="Verdana" w:cs="Verdana"/>
          <w:sz w:val="20"/>
          <w:szCs w:val="20"/>
        </w:rPr>
      </w:pPr>
      <w:r w:rsidRPr="000E54EB">
        <w:rPr>
          <w:rFonts w:ascii="Verdana" w:hAnsi="Verdana" w:cs="Verdana"/>
          <w:sz w:val="20"/>
          <w:szCs w:val="20"/>
        </w:rPr>
        <w:t>За нефинансов актив се взема предвид неговата най-ефективна или висока употреба;</w:t>
      </w:r>
    </w:p>
    <w:p w:rsidR="00863C99" w:rsidRPr="000E54EB" w:rsidRDefault="00863C99" w:rsidP="00E60E88">
      <w:pPr>
        <w:numPr>
          <w:ilvl w:val="0"/>
          <w:numId w:val="14"/>
        </w:numPr>
        <w:rPr>
          <w:rFonts w:ascii="Verdana" w:hAnsi="Verdana" w:cs="Verdana"/>
          <w:sz w:val="20"/>
          <w:szCs w:val="20"/>
        </w:rPr>
      </w:pPr>
      <w:r w:rsidRPr="000E54EB">
        <w:rPr>
          <w:rFonts w:ascii="Verdana" w:hAnsi="Verdana" w:cs="Verdana"/>
          <w:sz w:val="20"/>
          <w:szCs w:val="20"/>
        </w:rPr>
        <w:t>За пасив отразява риска при неизпълнение, включително собствения кредитен риск.</w:t>
      </w:r>
    </w:p>
    <w:p w:rsidR="00863C99" w:rsidRPr="000E54EB" w:rsidRDefault="00863C99" w:rsidP="00B66DF8">
      <w:pPr>
        <w:rPr>
          <w:rFonts w:ascii="Verdana" w:hAnsi="Verdana" w:cs="Verdana"/>
          <w:sz w:val="20"/>
          <w:szCs w:val="20"/>
        </w:rPr>
      </w:pPr>
      <w:r w:rsidRPr="000E54EB">
        <w:rPr>
          <w:rFonts w:ascii="Verdana" w:hAnsi="Verdana" w:cs="Verdana"/>
          <w:sz w:val="20"/>
          <w:szCs w:val="20"/>
        </w:rPr>
        <w:t>Използване с цел максимизиране на стойността, е онова използване на актив, от пазарните участници, което максимизира стойността на актива, и което е:</w:t>
      </w:r>
    </w:p>
    <w:p w:rsidR="00863C99" w:rsidRPr="000E54EB" w:rsidRDefault="00863C99" w:rsidP="00E60E88">
      <w:pPr>
        <w:numPr>
          <w:ilvl w:val="1"/>
          <w:numId w:val="14"/>
        </w:numPr>
        <w:rPr>
          <w:rFonts w:ascii="Verdana" w:hAnsi="Verdana" w:cs="Verdana"/>
          <w:sz w:val="20"/>
          <w:szCs w:val="20"/>
        </w:rPr>
      </w:pPr>
      <w:r w:rsidRPr="000E54EB">
        <w:rPr>
          <w:rFonts w:ascii="Verdana" w:hAnsi="Verdana" w:cs="Verdana"/>
          <w:sz w:val="20"/>
          <w:szCs w:val="20"/>
        </w:rPr>
        <w:t>Физически възможно;</w:t>
      </w:r>
    </w:p>
    <w:p w:rsidR="00863C99" w:rsidRPr="000E54EB" w:rsidRDefault="00863C99" w:rsidP="00E60E88">
      <w:pPr>
        <w:numPr>
          <w:ilvl w:val="1"/>
          <w:numId w:val="14"/>
        </w:numPr>
        <w:rPr>
          <w:rFonts w:ascii="Verdana" w:hAnsi="Verdana" w:cs="Verdana"/>
          <w:sz w:val="20"/>
          <w:szCs w:val="20"/>
        </w:rPr>
      </w:pPr>
      <w:r w:rsidRPr="000E54EB">
        <w:rPr>
          <w:rFonts w:ascii="Verdana" w:hAnsi="Verdana" w:cs="Verdana"/>
          <w:sz w:val="20"/>
          <w:szCs w:val="20"/>
        </w:rPr>
        <w:t>Правно допустимо;</w:t>
      </w:r>
    </w:p>
    <w:p w:rsidR="00863C99" w:rsidRPr="000E54EB" w:rsidRDefault="00863C99" w:rsidP="00E60E88">
      <w:pPr>
        <w:numPr>
          <w:ilvl w:val="1"/>
          <w:numId w:val="14"/>
        </w:numPr>
        <w:rPr>
          <w:rFonts w:ascii="Verdana" w:hAnsi="Verdana" w:cs="Verdana"/>
          <w:sz w:val="20"/>
          <w:szCs w:val="20"/>
        </w:rPr>
      </w:pPr>
      <w:r w:rsidRPr="000E54EB">
        <w:rPr>
          <w:rFonts w:ascii="Verdana" w:hAnsi="Verdana" w:cs="Verdana"/>
          <w:sz w:val="20"/>
          <w:szCs w:val="20"/>
        </w:rPr>
        <w:t>Финансово осъществимо.</w:t>
      </w:r>
    </w:p>
    <w:p w:rsidR="00863C99" w:rsidRPr="000E54EB" w:rsidRDefault="00863C99" w:rsidP="00B66DF8">
      <w:pPr>
        <w:rPr>
          <w:rFonts w:ascii="Verdana" w:hAnsi="Verdana" w:cs="Verdana"/>
          <w:sz w:val="20"/>
          <w:szCs w:val="20"/>
        </w:rPr>
      </w:pPr>
      <w:r w:rsidRPr="000E54EB">
        <w:rPr>
          <w:rFonts w:ascii="Verdana" w:hAnsi="Verdana" w:cs="Verdana"/>
          <w:sz w:val="20"/>
          <w:szCs w:val="20"/>
        </w:rPr>
        <w:t>Използването с цел максимизиране на стойността обикновено е идентично с (но не винаги) текущата употреба.</w:t>
      </w:r>
    </w:p>
    <w:p w:rsidR="00863C99" w:rsidRPr="000E54EB" w:rsidRDefault="00863C99" w:rsidP="00B66DF8">
      <w:pPr>
        <w:rPr>
          <w:rFonts w:ascii="Verdana" w:hAnsi="Verdana" w:cs="Verdana"/>
          <w:sz w:val="20"/>
          <w:szCs w:val="20"/>
        </w:rPr>
      </w:pPr>
      <w:r w:rsidRPr="000E54EB">
        <w:rPr>
          <w:rFonts w:ascii="Verdana" w:hAnsi="Verdana" w:cs="Verdana"/>
          <w:sz w:val="20"/>
          <w:szCs w:val="20"/>
        </w:rPr>
        <w:t>Ако няма основен пазар, изходната сделка се извършва в най-изгодния пазар, т.е. на пазара, които максимизира сумата, която ще се получи при продажбата на актива и свежда до минимум на сумата, която би била платена за прехвърляне на пасива (най-ликвидния пазар за Активи/Пасиви).</w:t>
      </w:r>
    </w:p>
    <w:p w:rsidR="00863C99" w:rsidRPr="000E54EB" w:rsidRDefault="00863C99" w:rsidP="00B66DF8">
      <w:pPr>
        <w:rPr>
          <w:rFonts w:ascii="Verdana" w:hAnsi="Verdana" w:cs="Verdana"/>
          <w:sz w:val="20"/>
          <w:szCs w:val="20"/>
        </w:rPr>
      </w:pPr>
      <w:r w:rsidRPr="000E54EB">
        <w:rPr>
          <w:rFonts w:ascii="Verdana" w:hAnsi="Verdana" w:cs="Verdana"/>
          <w:sz w:val="20"/>
          <w:szCs w:val="20"/>
        </w:rPr>
        <w:t>Основните и най-изгодните пазари са едни и същи в повечето случаи.</w:t>
      </w:r>
    </w:p>
    <w:p w:rsidR="00863C99" w:rsidRPr="000E54EB" w:rsidRDefault="00863C99" w:rsidP="00B66DF8">
      <w:pPr>
        <w:rPr>
          <w:rFonts w:ascii="Verdana" w:hAnsi="Verdana" w:cs="Verdana"/>
          <w:sz w:val="20"/>
          <w:szCs w:val="20"/>
        </w:rPr>
      </w:pPr>
      <w:r w:rsidRPr="000E54EB">
        <w:rPr>
          <w:rFonts w:ascii="Verdana" w:hAnsi="Verdana" w:cs="Verdana"/>
          <w:sz w:val="20"/>
          <w:szCs w:val="20"/>
        </w:rPr>
        <w:t>Премии/отстъпки се съдържат в Справедливата Стойност (СС), ако те отразяват характеристика на актива/пасива, която участниците на пазара ще вземат предвид при сделка с активен пазар.</w:t>
      </w:r>
    </w:p>
    <w:p w:rsidR="00863C99" w:rsidRPr="000E54EB" w:rsidRDefault="00863C99" w:rsidP="00B66DF8">
      <w:pPr>
        <w:rPr>
          <w:rFonts w:ascii="Verdana" w:hAnsi="Verdana" w:cs="Verdana"/>
          <w:sz w:val="20"/>
          <w:szCs w:val="20"/>
        </w:rPr>
      </w:pPr>
      <w:r w:rsidRPr="000E54EB">
        <w:rPr>
          <w:rFonts w:ascii="Verdana" w:hAnsi="Verdana" w:cs="Verdana"/>
          <w:sz w:val="20"/>
          <w:szCs w:val="20"/>
        </w:rPr>
        <w:t>Прилагането на блокиращ фактор е забранено – блокиращ фактор: корекция на котирана цена на активен пазар, защото нивото при нормална дневна търговия на пазара не е достатъчно да абсорбира количествата притежавани от дружеството.</w:t>
      </w:r>
    </w:p>
    <w:p w:rsidR="00863C99" w:rsidRPr="000E54EB" w:rsidRDefault="00863C99" w:rsidP="00B66DF8">
      <w:pPr>
        <w:rPr>
          <w:rFonts w:ascii="Verdana" w:hAnsi="Verdana" w:cs="Verdana"/>
          <w:sz w:val="20"/>
          <w:szCs w:val="20"/>
        </w:rPr>
      </w:pPr>
      <w:r w:rsidRPr="000E54EB">
        <w:rPr>
          <w:rFonts w:ascii="Verdana" w:hAnsi="Verdana" w:cs="Verdana"/>
          <w:sz w:val="20"/>
          <w:szCs w:val="20"/>
        </w:rPr>
        <w:t>Ако пазарната активност спада се използват методи за оценяване.</w:t>
      </w:r>
    </w:p>
    <w:p w:rsidR="00863C99" w:rsidRPr="000E54EB" w:rsidRDefault="00863C99" w:rsidP="00B66DF8">
      <w:pPr>
        <w:rPr>
          <w:rFonts w:ascii="Verdana" w:hAnsi="Verdana" w:cs="Verdana"/>
          <w:sz w:val="20"/>
          <w:szCs w:val="20"/>
        </w:rPr>
      </w:pPr>
      <w:r w:rsidRPr="000E54EB">
        <w:rPr>
          <w:rFonts w:ascii="Verdana" w:hAnsi="Verdana" w:cs="Verdana"/>
          <w:sz w:val="20"/>
          <w:szCs w:val="20"/>
        </w:rPr>
        <w:t>Когато има наблюдаема пазарна дейност:</w:t>
      </w:r>
    </w:p>
    <w:p w:rsidR="00863C99" w:rsidRPr="000E54EB" w:rsidRDefault="00863C99" w:rsidP="00E60E88">
      <w:pPr>
        <w:numPr>
          <w:ilvl w:val="0"/>
          <w:numId w:val="17"/>
        </w:numPr>
        <w:rPr>
          <w:rFonts w:ascii="Verdana" w:hAnsi="Verdana" w:cs="Verdana"/>
          <w:sz w:val="20"/>
          <w:szCs w:val="20"/>
        </w:rPr>
      </w:pPr>
      <w:r w:rsidRPr="000E54EB">
        <w:rPr>
          <w:rFonts w:ascii="Verdana" w:hAnsi="Verdana" w:cs="Verdana"/>
          <w:sz w:val="20"/>
          <w:szCs w:val="20"/>
        </w:rPr>
        <w:t>Когато има спад в наблюдаемата пазарна дейност;</w:t>
      </w:r>
    </w:p>
    <w:p w:rsidR="00863C99" w:rsidRPr="000E54EB" w:rsidRDefault="00863C99" w:rsidP="00E60E88">
      <w:pPr>
        <w:numPr>
          <w:ilvl w:val="0"/>
          <w:numId w:val="17"/>
        </w:numPr>
        <w:rPr>
          <w:rFonts w:ascii="Verdana" w:hAnsi="Verdana" w:cs="Verdana"/>
          <w:sz w:val="20"/>
          <w:szCs w:val="20"/>
        </w:rPr>
      </w:pPr>
      <w:r w:rsidRPr="000E54EB">
        <w:rPr>
          <w:rFonts w:ascii="Verdana" w:hAnsi="Verdana" w:cs="Verdana"/>
          <w:sz w:val="20"/>
          <w:szCs w:val="20"/>
        </w:rPr>
        <w:t>Когато обикновено няма проследима пазарна дейност;</w:t>
      </w:r>
    </w:p>
    <w:p w:rsidR="00863C99" w:rsidRPr="000E54EB" w:rsidRDefault="00863C99" w:rsidP="00E60E88">
      <w:pPr>
        <w:numPr>
          <w:ilvl w:val="0"/>
          <w:numId w:val="17"/>
        </w:numPr>
        <w:rPr>
          <w:rFonts w:ascii="Verdana" w:hAnsi="Verdana" w:cs="Verdana"/>
          <w:sz w:val="20"/>
          <w:szCs w:val="20"/>
        </w:rPr>
      </w:pPr>
      <w:r w:rsidRPr="000E54EB">
        <w:rPr>
          <w:rFonts w:ascii="Verdana" w:hAnsi="Verdana" w:cs="Verdana"/>
          <w:sz w:val="20"/>
          <w:szCs w:val="20"/>
        </w:rPr>
        <w:t>Фокусът е върху това дали цените при сделките са сформирани в резултат на обичайна дейност (не продажби при ликвидация или бедствие); активността на пазара не е задължителен фокус.</w:t>
      </w:r>
    </w:p>
    <w:p w:rsidR="00863C99" w:rsidRPr="000E54EB" w:rsidRDefault="00863C99" w:rsidP="00B66DF8">
      <w:pPr>
        <w:rPr>
          <w:rFonts w:ascii="Verdana" w:hAnsi="Verdana" w:cs="Verdana"/>
          <w:sz w:val="20"/>
          <w:szCs w:val="20"/>
        </w:rPr>
      </w:pPr>
      <w:r w:rsidRPr="000E54EB">
        <w:rPr>
          <w:rFonts w:ascii="Verdana" w:hAnsi="Verdana" w:cs="Verdana"/>
          <w:sz w:val="20"/>
          <w:szCs w:val="20"/>
        </w:rPr>
        <w:t>Същите принципи са приложими за финансови и нефинансови Активи/Пасиви.</w:t>
      </w:r>
    </w:p>
    <w:p w:rsidR="00863C99" w:rsidRPr="000E54EB" w:rsidRDefault="00863C99" w:rsidP="00B66DF8">
      <w:pPr>
        <w:rPr>
          <w:rFonts w:ascii="Verdana" w:hAnsi="Verdana" w:cs="Verdana"/>
          <w:sz w:val="20"/>
          <w:szCs w:val="20"/>
        </w:rPr>
      </w:pPr>
      <w:r w:rsidRPr="000E54EB">
        <w:rPr>
          <w:rFonts w:ascii="Verdana" w:hAnsi="Verdana" w:cs="Verdana"/>
          <w:sz w:val="20"/>
          <w:szCs w:val="20"/>
        </w:rPr>
        <w:t>Дружеството използва подходящи според обстоятелствата методи заостойностяване, за които има достатъчно налични данни за оценяване насправедливата стойност, като използва максимално съответните наблюдаеми</w:t>
      </w:r>
      <w:r w:rsidRPr="000E54EB">
        <w:rPr>
          <w:rFonts w:ascii="Verdana" w:hAnsi="Verdana" w:cs="Verdana"/>
          <w:sz w:val="20"/>
          <w:szCs w:val="20"/>
          <w:lang w:eastAsia="bg-BG"/>
        </w:rPr>
        <w:t>хипотези и свежда до минимум използването на ненаблюдаемите.</w:t>
      </w:r>
    </w:p>
    <w:p w:rsidR="00863C99" w:rsidRPr="000E54EB" w:rsidRDefault="00863C99" w:rsidP="00B66DF8">
      <w:pPr>
        <w:rPr>
          <w:rFonts w:ascii="Verdana" w:hAnsi="Verdana" w:cs="Verdana"/>
          <w:sz w:val="20"/>
          <w:szCs w:val="20"/>
        </w:rPr>
      </w:pPr>
      <w:r w:rsidRPr="000E54EB">
        <w:rPr>
          <w:rFonts w:ascii="Verdana" w:hAnsi="Verdana" w:cs="Verdana"/>
          <w:sz w:val="20"/>
          <w:szCs w:val="20"/>
        </w:rPr>
        <w:t>Подход на пазарните сравнения – използват се цени и друга полезна информация, генерирана от пазарни сделки с идентични или сравними (т.е. подобни) Активи/Пасиви.</w:t>
      </w:r>
    </w:p>
    <w:p w:rsidR="00863C99" w:rsidRPr="000E54EB" w:rsidRDefault="00863C99" w:rsidP="00B66DF8">
      <w:pPr>
        <w:rPr>
          <w:rFonts w:ascii="Verdana" w:hAnsi="Verdana" w:cs="Verdana"/>
          <w:sz w:val="20"/>
          <w:szCs w:val="20"/>
        </w:rPr>
      </w:pPr>
      <w:r w:rsidRPr="000E54EB">
        <w:rPr>
          <w:rFonts w:ascii="Verdana" w:hAnsi="Verdana" w:cs="Verdana"/>
          <w:sz w:val="20"/>
          <w:szCs w:val="20"/>
        </w:rPr>
        <w:t>Подход на базата на разходите – отразява актуалната сума, която би се изисквала текущо, за да се замени годността на актива (често наричана текуща цена за подмяна).</w:t>
      </w:r>
    </w:p>
    <w:p w:rsidR="00863C99" w:rsidRPr="000E54EB" w:rsidRDefault="00863C99" w:rsidP="00B66DF8">
      <w:pPr>
        <w:rPr>
          <w:rFonts w:ascii="Verdana" w:hAnsi="Verdana" w:cs="Verdana"/>
          <w:sz w:val="20"/>
          <w:szCs w:val="20"/>
        </w:rPr>
      </w:pPr>
      <w:r w:rsidRPr="000E54EB">
        <w:rPr>
          <w:rFonts w:ascii="Verdana" w:hAnsi="Verdana" w:cs="Verdana"/>
          <w:sz w:val="20"/>
          <w:szCs w:val="20"/>
        </w:rPr>
        <w:lastRenderedPageBreak/>
        <w:t>Подход на базата на доходите – превръща бъдещи суми (например парични потоци или приходи и разходи) в единна текуща (т.е. сконтирана) сума, която отразява текущите пазарни очаквания за тези бъдещи суми.</w:t>
      </w:r>
    </w:p>
    <w:p w:rsidR="00863C99" w:rsidRPr="000E54EB" w:rsidRDefault="00863C99" w:rsidP="00B66DF8">
      <w:pPr>
        <w:pStyle w:val="HTMLPreformatted"/>
        <w:jc w:val="both"/>
        <w:rPr>
          <w:rFonts w:ascii="Verdana" w:hAnsi="Verdana" w:cs="Verdana"/>
          <w:sz w:val="20"/>
          <w:szCs w:val="20"/>
        </w:rPr>
      </w:pPr>
      <w:r w:rsidRPr="000E54EB">
        <w:rPr>
          <w:rFonts w:ascii="Verdana" w:hAnsi="Verdana" w:cs="Verdana"/>
          <w:sz w:val="20"/>
          <w:szCs w:val="20"/>
        </w:rPr>
        <w:t>Всички активи и пасиви, за които се измерва справедливата стойност или оповестени във финансовите отчети се категоризират в йерархията на справедливата стойност, описана по-долу, на базата на най-ниското ниво вход, който е от значение за оценяването на справедливата стойност като цяло.</w:t>
      </w:r>
    </w:p>
    <w:p w:rsidR="00863C99" w:rsidRPr="000E54EB" w:rsidRDefault="00863C99" w:rsidP="00B66DF8">
      <w:pPr>
        <w:pStyle w:val="HTMLPreformatted"/>
        <w:jc w:val="both"/>
        <w:rPr>
          <w:rFonts w:ascii="Verdana" w:hAnsi="Verdana" w:cs="Verdana"/>
          <w:sz w:val="20"/>
          <w:szCs w:val="20"/>
        </w:rPr>
      </w:pPr>
      <w:r w:rsidRPr="000E54EB">
        <w:rPr>
          <w:rFonts w:ascii="Verdana" w:hAnsi="Verdana" w:cs="Verdana"/>
          <w:sz w:val="20"/>
          <w:szCs w:val="20"/>
        </w:rPr>
        <w:t xml:space="preserve">Йерархията на справедливите стойност се категоризира в три нива на хипотези, използвани при методите за оценяване на справедливата стойност. </w:t>
      </w:r>
      <w:r w:rsidRPr="000E54EB">
        <w:rPr>
          <w:rFonts w:ascii="Verdana" w:hAnsi="Verdana" w:cs="Verdana"/>
          <w:color w:val="222222"/>
          <w:sz w:val="20"/>
          <w:szCs w:val="20"/>
        </w:rPr>
        <w:t xml:space="preserve">Категоризацията е в различни нива в йерархията на справедливата стойност на базата на степента, в която входящите данни за измерването са наблюдавани и значението на входящите данни за оценяването на справедливата стойност в тяхната цялост. </w:t>
      </w:r>
      <w:r w:rsidRPr="000E54EB">
        <w:rPr>
          <w:rFonts w:ascii="Verdana" w:hAnsi="Verdana" w:cs="Verdana"/>
          <w:sz w:val="20"/>
          <w:szCs w:val="20"/>
        </w:rPr>
        <w:t xml:space="preserve">Йерархията на справедливите стойности предоставящи най-висок ранг на обявените (некоригирани) цени на активните пазари за идентични активи или пасиви (хипотези от 1-во ниво) и най-нисък - на ненаблюдаемите хипотези (хипотези от 3-то ниво). </w:t>
      </w:r>
      <w:bookmarkStart w:id="83" w:name="_Hlk517257256"/>
      <w:r w:rsidRPr="000E54EB">
        <w:rPr>
          <w:rFonts w:ascii="Verdana" w:hAnsi="Verdana" w:cs="Verdana"/>
          <w:sz w:val="20"/>
          <w:szCs w:val="20"/>
        </w:rPr>
        <w:t>Нивата от йерархията са следните:</w:t>
      </w:r>
      <w:bookmarkEnd w:id="83"/>
    </w:p>
    <w:p w:rsidR="00863C99" w:rsidRPr="000E54EB" w:rsidRDefault="00863C99" w:rsidP="00B66DF8">
      <w:pPr>
        <w:rPr>
          <w:rFonts w:ascii="Verdana" w:hAnsi="Verdana" w:cs="Verdana"/>
          <w:sz w:val="20"/>
          <w:szCs w:val="20"/>
        </w:rPr>
      </w:pPr>
      <w:r w:rsidRPr="000E54EB">
        <w:rPr>
          <w:rFonts w:ascii="Verdana" w:hAnsi="Verdana" w:cs="Verdana"/>
          <w:sz w:val="20"/>
          <w:szCs w:val="20"/>
        </w:rPr>
        <w:t>- Хипотези от 1-во ниво – обявени (некоригирани) цени на активните пазари за идентични активи или пасиви, до които предприятието може да има достъп към датата на оценяване;</w:t>
      </w:r>
    </w:p>
    <w:p w:rsidR="00863C99" w:rsidRPr="000E54EB" w:rsidRDefault="00863C99" w:rsidP="00B66DF8">
      <w:pPr>
        <w:rPr>
          <w:rFonts w:ascii="Verdana" w:hAnsi="Verdana" w:cs="Verdana"/>
          <w:sz w:val="20"/>
          <w:szCs w:val="20"/>
        </w:rPr>
      </w:pPr>
      <w:r w:rsidRPr="000E54EB">
        <w:rPr>
          <w:rFonts w:ascii="Verdana" w:hAnsi="Verdana" w:cs="Verdana"/>
          <w:sz w:val="20"/>
          <w:szCs w:val="20"/>
        </w:rPr>
        <w:t>- Хипотези от 2-ро ниво - други хипотези освен включените в ниво 1 обявени цени за актив или пасив, които са наблюдаеми пряко или косвено;</w:t>
      </w:r>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 Хипотези от 3-то ниво - ненаблюдаеми хипотези за актив или пасив. </w:t>
      </w:r>
      <w:r w:rsidRPr="000E54EB">
        <w:rPr>
          <w:rFonts w:ascii="Verdana" w:hAnsi="Verdana" w:cs="Verdana"/>
          <w:color w:val="222222"/>
          <w:sz w:val="20"/>
          <w:szCs w:val="20"/>
        </w:rPr>
        <w:t>Получени от техники за оценка, които включват входове за актива или пасива, които не се основават на пазарни данни (непазарни фактори).</w:t>
      </w:r>
    </w:p>
    <w:p w:rsidR="00863C99" w:rsidRPr="000E54EB" w:rsidRDefault="00863C99" w:rsidP="00B66DF8">
      <w:pPr>
        <w:rPr>
          <w:rFonts w:ascii="Verdana" w:hAnsi="Verdana" w:cs="Verdana"/>
          <w:color w:val="222222"/>
          <w:sz w:val="20"/>
          <w:szCs w:val="20"/>
        </w:rPr>
      </w:pPr>
      <w:r w:rsidRPr="000E54EB">
        <w:rPr>
          <w:rFonts w:ascii="Verdana" w:hAnsi="Verdana" w:cs="Verdana"/>
          <w:color w:val="222222"/>
          <w:sz w:val="20"/>
          <w:szCs w:val="20"/>
        </w:rPr>
        <w:t>Трансфери между различните нива на йерархия на справедливата стойност се признават от Дружеството в края на отчетния период, през който е настъпила промяната.</w:t>
      </w:r>
    </w:p>
    <w:p w:rsidR="00863C99" w:rsidRPr="000E54EB" w:rsidRDefault="00863C99" w:rsidP="00B66DF8">
      <w:pPr>
        <w:rPr>
          <w:rFonts w:ascii="Verdana" w:hAnsi="Verdana" w:cs="Verdana"/>
          <w:sz w:val="20"/>
          <w:szCs w:val="20"/>
        </w:rPr>
      </w:pPr>
    </w:p>
    <w:p w:rsidR="00863C99" w:rsidRPr="000E54EB" w:rsidRDefault="00863C99" w:rsidP="00B66DF8">
      <w:pPr>
        <w:pStyle w:val="Heading2"/>
        <w:spacing w:before="0"/>
        <w:rPr>
          <w:rFonts w:ascii="Verdana" w:hAnsi="Verdana" w:cs="Verdana"/>
          <w:sz w:val="20"/>
          <w:szCs w:val="20"/>
          <w:lang w:val="bg-BG"/>
        </w:rPr>
      </w:pPr>
      <w:bookmarkStart w:id="84" w:name="_Toc4328807"/>
      <w:r w:rsidRPr="000E54EB">
        <w:rPr>
          <w:rFonts w:ascii="Verdana" w:hAnsi="Verdana" w:cs="Verdana"/>
          <w:sz w:val="20"/>
          <w:szCs w:val="20"/>
          <w:lang w:val="bg-BG"/>
        </w:rPr>
        <w:t>КРИТИЧНИ СЧЕТОВОДНИ ПРЕЦЕНКИ И ПРИБЛИЗИТЕЛНИ ОЦЕНКИ</w:t>
      </w:r>
      <w:bookmarkEnd w:id="84"/>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При изготвянето на своите финансови отчети, Дружеството е направило значителни преценки, прогнози и предположения, които оказват влияние на балансовата стойност на някои активи и пасиви, доходи и разходи, както и друга информация, оповестена в пояснителните приложения. Дружеството периодично следи тези прогнози и предположения и се уверява, че те съдържат цялата необходима информация, налична към датата, на която се изготвят финансовите отчети. Въпреки това не пречи реалните цифри да се различават от направените оценки. </w:t>
      </w:r>
    </w:p>
    <w:p w:rsidR="00863C99" w:rsidRPr="000E54EB" w:rsidRDefault="00863C99" w:rsidP="00B66DF8">
      <w:pPr>
        <w:rPr>
          <w:rFonts w:ascii="Verdana" w:hAnsi="Verdana" w:cs="Verdana"/>
          <w:sz w:val="20"/>
          <w:szCs w:val="20"/>
        </w:rPr>
      </w:pPr>
      <w:r w:rsidRPr="000E54EB">
        <w:rPr>
          <w:rFonts w:ascii="Verdana" w:hAnsi="Verdana" w:cs="Verdana"/>
          <w:sz w:val="20"/>
          <w:szCs w:val="20"/>
        </w:rPr>
        <w:t>Преценките, прогнозите и предположенията, за които съществува значителен риск да причинят съществени корекции в балансовите суми на активите и пасивите, в рамките на следващата финансова година, са разгледани по-долу.</w:t>
      </w:r>
    </w:p>
    <w:p w:rsidR="00863C99" w:rsidRPr="000E54EB" w:rsidRDefault="00863C99" w:rsidP="00B66DF8">
      <w:pPr>
        <w:rPr>
          <w:rFonts w:ascii="Verdana" w:hAnsi="Verdana" w:cs="Verdana"/>
          <w:b/>
          <w:bCs/>
          <w:sz w:val="20"/>
          <w:szCs w:val="20"/>
        </w:rPr>
      </w:pPr>
    </w:p>
    <w:p w:rsidR="00863C99" w:rsidRPr="000E54EB" w:rsidRDefault="00863C99" w:rsidP="00B66DF8">
      <w:pPr>
        <w:pStyle w:val="Heading3"/>
        <w:spacing w:before="0"/>
        <w:rPr>
          <w:rFonts w:ascii="Verdana" w:hAnsi="Verdana" w:cs="Verdana"/>
          <w:lang w:val="bg-BG"/>
        </w:rPr>
      </w:pPr>
      <w:bookmarkStart w:id="85" w:name="_Toc4328808"/>
      <w:bookmarkStart w:id="86" w:name="_Hlk517257383"/>
      <w:r w:rsidRPr="000E54EB">
        <w:rPr>
          <w:rFonts w:ascii="Verdana" w:hAnsi="Verdana" w:cs="Verdana"/>
          <w:lang w:val="bg-BG"/>
        </w:rPr>
        <w:t>Метод на амортизация и полезен живот на дълготрайните активи</w:t>
      </w:r>
      <w:bookmarkEnd w:id="85"/>
    </w:p>
    <w:p w:rsidR="00863C99" w:rsidRPr="000E54EB" w:rsidRDefault="00863C99" w:rsidP="00B66DF8">
      <w:pPr>
        <w:rPr>
          <w:rFonts w:ascii="Verdana" w:hAnsi="Verdana" w:cs="Verdana"/>
          <w:sz w:val="20"/>
          <w:szCs w:val="20"/>
        </w:rPr>
      </w:pPr>
      <w:r w:rsidRPr="000E54EB">
        <w:rPr>
          <w:rFonts w:ascii="Verdana" w:hAnsi="Verdana" w:cs="Verdana"/>
          <w:sz w:val="20"/>
          <w:szCs w:val="20"/>
        </w:rPr>
        <w:t>Амортизируемите дълготрайни активи на Дружеството включват неговите имоти, машини, съоръжения или оборудване, инвестиционни имоти и нематериални активи. При придобивате на нов амортизируем дълготраен актив, Дружеството определя неговите остатъчна стойност, метод на амортизиране и полезен живот. За определянето на всеки един от посочените показатели се ползват значителни счетоводни и несчетоводни преценки, като участие с тяхното определяне вземат както специалисти от Дружеството, които са много добре запознати със спецификите и характеристиките на отделните активи, така и ако е необходимо могат да бъдат ползвани външни за Дружеството специалисти, например специалисти от доставчика на съответния актив. При определянето на посочените показатели се вземат предвид спецификите и характеристиките на актива, очакванията на ръководството на Дружеството за неговата употреба в дейността, местоположението, на което актива ще извършва своята работа и други фактори. Също така се вземат в предвид данни и фактори за подобни активи, които Дружеството вече притежава и експлоатира или за които могат да бъдат набавени надеждни външни данни. Взема се в предвид и опитът, натрупан в Дружеството през годините.</w:t>
      </w:r>
    </w:p>
    <w:bookmarkEnd w:id="86"/>
    <w:p w:rsidR="00863C99" w:rsidRPr="000E54EB" w:rsidRDefault="00863C99" w:rsidP="00B66DF8">
      <w:pPr>
        <w:rPr>
          <w:rFonts w:ascii="Verdana" w:hAnsi="Verdana" w:cs="Verdana"/>
          <w:b/>
          <w:bCs/>
          <w:sz w:val="20"/>
          <w:szCs w:val="20"/>
        </w:rPr>
      </w:pPr>
    </w:p>
    <w:p w:rsidR="00863C99" w:rsidRPr="000E54EB" w:rsidRDefault="00863C99" w:rsidP="00B66DF8">
      <w:pPr>
        <w:pStyle w:val="Heading3"/>
        <w:spacing w:before="0"/>
        <w:rPr>
          <w:rFonts w:ascii="Verdana" w:hAnsi="Verdana" w:cs="Verdana"/>
          <w:lang w:val="bg-BG"/>
        </w:rPr>
      </w:pPr>
      <w:bookmarkStart w:id="87" w:name="_Toc4328809"/>
      <w:r w:rsidRPr="000E54EB">
        <w:rPr>
          <w:rFonts w:ascii="Verdana" w:hAnsi="Verdana" w:cs="Verdana"/>
          <w:lang w:val="bg-BG"/>
        </w:rPr>
        <w:t>Тестове за обезценка на финансови активи</w:t>
      </w:r>
      <w:bookmarkEnd w:id="87"/>
    </w:p>
    <w:p w:rsidR="00863C99" w:rsidRPr="000E54EB" w:rsidRDefault="00863C99" w:rsidP="00B66DF8">
      <w:pPr>
        <w:rPr>
          <w:rFonts w:ascii="Verdana" w:hAnsi="Verdana" w:cs="Verdana"/>
          <w:sz w:val="20"/>
          <w:szCs w:val="20"/>
        </w:rPr>
      </w:pPr>
      <w:r w:rsidRPr="000E54EB">
        <w:rPr>
          <w:rFonts w:ascii="Verdana" w:hAnsi="Verdana" w:cs="Verdana"/>
          <w:sz w:val="20"/>
          <w:szCs w:val="20"/>
        </w:rPr>
        <w:t>Финансов актив или група от финансови активи, различни от тези, които попадат в категорията на активи по справедлива стойност презпечалбата или загубата се оценяват за индикатори за обезценка в края на всеки отчетен период. Обезценкасе определя на база модела на „очакваните кредитни загуби“.</w:t>
      </w:r>
    </w:p>
    <w:p w:rsidR="00863C99" w:rsidRPr="000E54EB" w:rsidRDefault="00863C99" w:rsidP="00B66DF8">
      <w:pPr>
        <w:rPr>
          <w:rFonts w:ascii="Verdana" w:hAnsi="Verdana" w:cs="Verdana"/>
          <w:sz w:val="20"/>
          <w:szCs w:val="20"/>
        </w:rPr>
      </w:pPr>
      <w:r w:rsidRPr="000E54EB">
        <w:rPr>
          <w:rFonts w:ascii="Verdana" w:hAnsi="Verdana" w:cs="Verdana"/>
          <w:sz w:val="20"/>
          <w:szCs w:val="20"/>
        </w:rPr>
        <w:t>По отношение на капиталови инвестиции, категоризирани като на разположение за продажба Дружеството смята, че тези активи за обезценени, когато е имало значителен или продължителен спад в справедливата им стойност под себестойност. Определянето на това, дали има „значителен“ или „продължителен“ изисква значителна преценка от страна на Ръководството.</w:t>
      </w:r>
    </w:p>
    <w:p w:rsidR="00863C99" w:rsidRPr="000E54EB" w:rsidRDefault="00863C99" w:rsidP="00B66DF8">
      <w:pPr>
        <w:rPr>
          <w:rFonts w:ascii="Verdana" w:hAnsi="Verdana" w:cs="Verdana"/>
          <w:sz w:val="20"/>
          <w:szCs w:val="20"/>
        </w:rPr>
      </w:pPr>
      <w:r w:rsidRPr="000E54EB">
        <w:rPr>
          <w:rFonts w:ascii="Verdana" w:hAnsi="Verdana" w:cs="Verdana"/>
          <w:sz w:val="20"/>
          <w:szCs w:val="20"/>
        </w:rPr>
        <w:t>Размерът на загубата от обезценка, признат за финансови активи, отчитани по амортизирана стойност, е разликата между балансовата стойност на актива и сегашната стойност на очакваните бъдещи парични потоци дисконтирани с първоначалния ефективен лихвен процент.</w:t>
      </w:r>
    </w:p>
    <w:p w:rsidR="00863C99" w:rsidRPr="000E54EB" w:rsidRDefault="00863C99" w:rsidP="00675FFC">
      <w:pPr>
        <w:rPr>
          <w:rFonts w:ascii="Verdana" w:hAnsi="Verdana" w:cs="Verdana"/>
          <w:sz w:val="20"/>
          <w:szCs w:val="20"/>
        </w:rPr>
      </w:pPr>
      <w:r w:rsidRPr="000E54EB">
        <w:rPr>
          <w:rFonts w:ascii="Verdana" w:hAnsi="Verdana" w:cs="Verdana"/>
          <w:sz w:val="20"/>
          <w:szCs w:val="20"/>
        </w:rPr>
        <w:t>Определянето на възстановимостта на дължимите на Дружеството суми от страна на негови клиенти, заемополучатели и др. длъжници, включва определянето на това дали са налице някакви обективни доказателства за обезценка. Лошите вземания се отписват, когато се идентифицират доколкото е възможно обезценка и несъбираемост да се определят отделно за всеки елемент. В случаите, когато този процес не е възможен, се извършва колективна оценка на обезценка. В резултат начинът, по който индивидуални и колективни оценки се извършват и сроковете отнасящи се до идентифицирането на обективни доказателства за обезценка изискват значителни преценка и може да повлияят значително на балансовата сума на вземания на датата на отчитане.</w:t>
      </w:r>
    </w:p>
    <w:p w:rsidR="00863C99" w:rsidRPr="000E54EB" w:rsidRDefault="00863C99" w:rsidP="00A808A4">
      <w:pPr>
        <w:autoSpaceDE w:val="0"/>
        <w:autoSpaceDN w:val="0"/>
        <w:adjustRightInd w:val="0"/>
        <w:rPr>
          <w:rFonts w:ascii="Verdana" w:hAnsi="Verdana" w:cs="Verdana"/>
          <w:color w:val="FF0000"/>
          <w:sz w:val="20"/>
          <w:szCs w:val="20"/>
          <w:highlight w:val="yellow"/>
          <w:lang w:eastAsia="bg-BG"/>
        </w:rPr>
      </w:pPr>
    </w:p>
    <w:p w:rsidR="00863C99" w:rsidRPr="000E54EB" w:rsidRDefault="00863C99" w:rsidP="00675FFC">
      <w:pPr>
        <w:pStyle w:val="Heading3"/>
        <w:spacing w:before="0"/>
        <w:rPr>
          <w:rFonts w:ascii="Verdana" w:hAnsi="Verdana" w:cs="Verdana"/>
          <w:lang w:val="bg-BG"/>
        </w:rPr>
      </w:pPr>
      <w:bookmarkStart w:id="88" w:name="_Toc4328810"/>
      <w:r w:rsidRPr="000E54EB">
        <w:rPr>
          <w:rFonts w:ascii="Verdana" w:hAnsi="Verdana" w:cs="Verdana"/>
          <w:lang w:val="bg-BG"/>
        </w:rPr>
        <w:t>Тестове за обезценка на нефинансови активи</w:t>
      </w:r>
      <w:bookmarkEnd w:id="88"/>
    </w:p>
    <w:p w:rsidR="00863C99" w:rsidRPr="000E54EB" w:rsidRDefault="00863C99" w:rsidP="00675FFC">
      <w:pPr>
        <w:rPr>
          <w:rFonts w:ascii="Verdana" w:hAnsi="Verdana" w:cs="Verdana"/>
          <w:sz w:val="20"/>
          <w:szCs w:val="20"/>
        </w:rPr>
      </w:pPr>
      <w:r w:rsidRPr="000E54EB">
        <w:rPr>
          <w:rFonts w:ascii="Verdana" w:hAnsi="Verdana" w:cs="Verdana"/>
          <w:sz w:val="20"/>
          <w:szCs w:val="20"/>
        </w:rPr>
        <w:t>Анализът за обезценка на репутация, материални и други нематериални активи изисква оценка на стойността в употреба на актива или на единицата генерираща парични потоци, към които са разпределени активите. Оценката на стойността в употреба се прави най-вече въз основа на дисконтираните модели на паричните потоци, които изискват Дружеството да направи оценка на очакваните бъдещи парични потоци от актива или от единицата генерираща парични потоци, а също и да се избере подходящ дисконтов процент за да се изчисли настояща стойност на паричните потоци.</w:t>
      </w:r>
    </w:p>
    <w:p w:rsidR="00863C99" w:rsidRPr="000E54EB" w:rsidRDefault="00863C99" w:rsidP="00B66DF8">
      <w:pPr>
        <w:rPr>
          <w:rFonts w:ascii="Verdana" w:hAnsi="Verdana" w:cs="Verdana"/>
          <w:sz w:val="20"/>
          <w:szCs w:val="20"/>
        </w:rPr>
      </w:pPr>
    </w:p>
    <w:p w:rsidR="00863C99" w:rsidRPr="000E54EB" w:rsidRDefault="00863C99" w:rsidP="00B66DF8">
      <w:pPr>
        <w:pStyle w:val="Heading3"/>
        <w:spacing w:before="0"/>
        <w:rPr>
          <w:rFonts w:ascii="Verdana" w:hAnsi="Verdana" w:cs="Verdana"/>
          <w:lang w:val="bg-BG"/>
        </w:rPr>
      </w:pPr>
      <w:bookmarkStart w:id="89" w:name="_Toc4328811"/>
      <w:r w:rsidRPr="000E54EB">
        <w:rPr>
          <w:rFonts w:ascii="Verdana" w:hAnsi="Verdana" w:cs="Verdana"/>
          <w:lang w:val="bg-BG"/>
        </w:rPr>
        <w:t>Нетната реализуема стойност на материалните запаси</w:t>
      </w:r>
      <w:bookmarkEnd w:id="89"/>
    </w:p>
    <w:p w:rsidR="00863C99" w:rsidRPr="000E54EB" w:rsidRDefault="00863C99" w:rsidP="00B66DF8">
      <w:pPr>
        <w:rPr>
          <w:rFonts w:ascii="Verdana" w:hAnsi="Verdana" w:cs="Verdana"/>
          <w:sz w:val="20"/>
          <w:szCs w:val="20"/>
        </w:rPr>
      </w:pPr>
      <w:r w:rsidRPr="000E54EB">
        <w:rPr>
          <w:rFonts w:ascii="Verdana" w:hAnsi="Verdana" w:cs="Verdana"/>
          <w:sz w:val="20"/>
          <w:szCs w:val="20"/>
        </w:rPr>
        <w:t>Определянето на обезценка при материалните запаси включва процес на оценка. Балансовата стойност на материалните запаси се обезценява до нетната реализуема стойност, когато тяхната себестойност вече може да не бъде възстановяема – например, когато материалните запаси са повредени или остарели изцяло или частично или има спад в продажните им цени. Във всеки случай нетната реализуема стойност представлява най-добрата оценка на възстановимата стойност и се основава на най-сигурните съществуващи към датата на отчета данни и присъщо включва оценки относно бъдещите очаквания за реализуема стойност. Критериите за определяне на размера на обезценката или отписването се основават на анализ за стареене, техническа оценка и последващи събития. По принцип такъв процес на оценка изисква значителни преценка и може да повлияе на балансовата сума на материалните запаси към датата на отчета.</w:t>
      </w:r>
    </w:p>
    <w:p w:rsidR="00863C99" w:rsidRPr="000E54EB" w:rsidRDefault="00863C99" w:rsidP="00B66DF8">
      <w:pPr>
        <w:rPr>
          <w:rFonts w:ascii="Verdana" w:hAnsi="Verdana" w:cs="Verdana"/>
          <w:sz w:val="20"/>
          <w:szCs w:val="20"/>
        </w:rPr>
      </w:pPr>
    </w:p>
    <w:p w:rsidR="00863C99" w:rsidRPr="000E54EB" w:rsidRDefault="00863C99" w:rsidP="00B66DF8">
      <w:pPr>
        <w:pStyle w:val="Heading3"/>
        <w:spacing w:before="0"/>
        <w:rPr>
          <w:rFonts w:ascii="Verdana" w:hAnsi="Verdana" w:cs="Verdana"/>
          <w:lang w:val="bg-BG"/>
        </w:rPr>
      </w:pPr>
      <w:bookmarkStart w:id="90" w:name="_Toc4328812"/>
      <w:r w:rsidRPr="000E54EB">
        <w:rPr>
          <w:rFonts w:ascii="Verdana" w:hAnsi="Verdana" w:cs="Verdana"/>
          <w:lang w:val="bg-BG"/>
        </w:rPr>
        <w:t>Приблизителна оценка за отсрочени данъци</w:t>
      </w:r>
      <w:bookmarkEnd w:id="90"/>
    </w:p>
    <w:p w:rsidR="00863C99" w:rsidRPr="000E54EB" w:rsidRDefault="00863C99" w:rsidP="00B66DF8">
      <w:pPr>
        <w:rPr>
          <w:rFonts w:ascii="Verdana" w:hAnsi="Verdana" w:cs="Verdana"/>
          <w:sz w:val="20"/>
          <w:szCs w:val="20"/>
        </w:rPr>
      </w:pPr>
      <w:r w:rsidRPr="000E54EB">
        <w:rPr>
          <w:rFonts w:ascii="Verdana" w:hAnsi="Verdana" w:cs="Verdana"/>
          <w:sz w:val="20"/>
          <w:szCs w:val="20"/>
        </w:rPr>
        <w:t>Признаването на отсрочените данъчни активи и пасиви включва съставянето на серия от допускания. Например Дружеството трябва до оцени времето на възстановяване на временни разлики, дали е възможно временните разлики да не бъде възстановени в предвидимо бъдеще или доколко данъчните ставки се очаква да се прилагат за периода, когато активът ще се реализира или пасивът ще се уреди.</w:t>
      </w:r>
    </w:p>
    <w:p w:rsidR="00863C99" w:rsidRPr="000E54EB" w:rsidRDefault="00863C99" w:rsidP="00B66DF8">
      <w:pPr>
        <w:rPr>
          <w:rFonts w:ascii="Verdana" w:hAnsi="Verdana" w:cs="Verdana"/>
          <w:sz w:val="20"/>
          <w:szCs w:val="20"/>
        </w:rPr>
      </w:pPr>
      <w:r w:rsidRPr="000E54EB">
        <w:rPr>
          <w:rFonts w:ascii="Verdana" w:hAnsi="Verdana" w:cs="Verdana"/>
          <w:sz w:val="20"/>
          <w:szCs w:val="20"/>
        </w:rPr>
        <w:lastRenderedPageBreak/>
        <w:t>Що се отнася до отсрочени данъчни активи, реализирането им в крайна сметка зависи от облагаемия доход, който ще е на разположение в бъдеще. Отсрочените данъчни активи се признават само когато е вероятно, че ще има облагаема печалба, срещу която може да се усвои отсроченият данъчен актив и е вероятно, че Дружеството ще реализира достатъчно облагаем доход в бъдещи периоди, за да оползотвори намалението при плащането на данък. Това означава, че Дружеството прави предположения за данъчното си планиране и периодично ги оценява повторно, за да отразяват промяната в обстоятелствата, както и данъчни разпоредби. Освен това измерването на отсрочен данъчен актив или пасив отразява начина, по който дружеството очаква да възстанови балансовата стойност на актива или уреди пасива.</w:t>
      </w:r>
    </w:p>
    <w:p w:rsidR="00863C99" w:rsidRPr="000E54EB" w:rsidRDefault="00863C99" w:rsidP="00B66DF8">
      <w:pPr>
        <w:rPr>
          <w:rFonts w:ascii="Verdana" w:hAnsi="Verdana" w:cs="Verdana"/>
          <w:b/>
          <w:bCs/>
          <w:sz w:val="20"/>
          <w:szCs w:val="20"/>
        </w:rPr>
      </w:pPr>
    </w:p>
    <w:p w:rsidR="00863C99" w:rsidRPr="000E54EB" w:rsidRDefault="00863C99" w:rsidP="00B66DF8">
      <w:pPr>
        <w:pStyle w:val="Heading3"/>
        <w:spacing w:before="0"/>
        <w:rPr>
          <w:rFonts w:ascii="Verdana" w:hAnsi="Verdana" w:cs="Verdana"/>
          <w:lang w:val="bg-BG"/>
        </w:rPr>
      </w:pPr>
      <w:bookmarkStart w:id="91" w:name="_Toc4328813"/>
      <w:r w:rsidRPr="000E54EB">
        <w:rPr>
          <w:rFonts w:ascii="Verdana" w:hAnsi="Verdana" w:cs="Verdana"/>
          <w:lang w:val="bg-BG"/>
        </w:rPr>
        <w:t>Провизии</w:t>
      </w:r>
      <w:bookmarkEnd w:id="91"/>
    </w:p>
    <w:p w:rsidR="00863C99" w:rsidRPr="000E54EB" w:rsidRDefault="00863C99" w:rsidP="00B66DF8">
      <w:pPr>
        <w:rPr>
          <w:rFonts w:ascii="Verdana" w:hAnsi="Verdana" w:cs="Verdana"/>
          <w:sz w:val="20"/>
          <w:szCs w:val="20"/>
        </w:rPr>
      </w:pPr>
      <w:r w:rsidRPr="000E54EB">
        <w:rPr>
          <w:rFonts w:ascii="Verdana" w:hAnsi="Verdana" w:cs="Verdana"/>
          <w:sz w:val="20"/>
          <w:szCs w:val="20"/>
        </w:rPr>
        <w:t>Провизиите могат да бъдат разграничени от другите пасиви, защото съществува несигурност относно проявлението им във времето и сумата на сделката. По-типичните провизии, които се отразяват от Дружеството произтичат от задълженията на производителя по гаранции, възстановявания насуми, добросъвестно изпълнение на договори, неуредени спорове и бизнес преструктуриране.</w:t>
      </w:r>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Признаването и оценката на провизиите изискват от Дружеството да направи преценка относно вероятността (ако събитието е по-вероятно, отколкото да не настъпи) изходящ поток от ресурси да се изискват за погасяване на задължение и дали би могла да се даде надеждна оценка на сумата на задължението. </w:t>
      </w:r>
    </w:p>
    <w:p w:rsidR="00863C99" w:rsidRPr="000E54EB" w:rsidRDefault="00863C99" w:rsidP="00B66DF8">
      <w:pPr>
        <w:rPr>
          <w:rFonts w:ascii="Verdana" w:hAnsi="Verdana" w:cs="Verdana"/>
          <w:sz w:val="20"/>
          <w:szCs w:val="20"/>
        </w:rPr>
      </w:pPr>
      <w:r w:rsidRPr="000E54EB">
        <w:rPr>
          <w:rFonts w:ascii="Verdana" w:hAnsi="Verdana" w:cs="Verdana"/>
          <w:sz w:val="20"/>
          <w:szCs w:val="20"/>
        </w:rPr>
        <w:t>Освен това счетоводната политика на Дружеството изисква признаването на най-добрата оценка на сумата, която ще се изисква за погасяване на задължението и оценката може да се основава на информация, която показва диапазон от стойности. Тъй като признаването се основава на сегашната стойност, то включва съставяне на предположения при адекватна дисконтова ставка, с цел да отрази при подходящ дисконтов процентспецифичните за задължениеторискове.</w:t>
      </w:r>
    </w:p>
    <w:p w:rsidR="00863C99" w:rsidRPr="000E54EB" w:rsidRDefault="00863C99" w:rsidP="00B66DF8">
      <w:pPr>
        <w:rPr>
          <w:rFonts w:ascii="Verdana" w:hAnsi="Verdana" w:cs="Verdana"/>
          <w:sz w:val="20"/>
          <w:szCs w:val="20"/>
        </w:rPr>
      </w:pPr>
      <w:r w:rsidRPr="000E54EB">
        <w:rPr>
          <w:rFonts w:ascii="Verdana" w:hAnsi="Verdana" w:cs="Verdana"/>
          <w:sz w:val="20"/>
          <w:szCs w:val="20"/>
        </w:rPr>
        <w:t>В частност що се отнася до провизиите при преструктуриране, изисква се значителна субективна преценка, за да се определи дали задължаващо събитие е настъпило</w:t>
      </w:r>
      <w:r w:rsidRPr="000E54EB">
        <w:rPr>
          <w:rFonts w:ascii="Verdana" w:hAnsi="Verdana" w:cs="Verdana"/>
          <w:color w:val="808000"/>
          <w:sz w:val="20"/>
          <w:szCs w:val="20"/>
        </w:rPr>
        <w:t xml:space="preserve">. </w:t>
      </w:r>
      <w:r w:rsidRPr="000E54EB">
        <w:rPr>
          <w:rFonts w:ascii="Verdana" w:hAnsi="Verdana" w:cs="Verdana"/>
          <w:sz w:val="20"/>
          <w:szCs w:val="20"/>
        </w:rPr>
        <w:t>Всички налични доказателства трябва да бъдат оценени за да се определи дали е достатъчно подробен плана за да създаде валидно очакване за ангажимента на ръководството относно преструктурирането – тоест да се започне изпълнение на плана за преструктуриране или да се обявят основните му  характеристики пред онези, които ще са засегнати от него.</w:t>
      </w:r>
    </w:p>
    <w:p w:rsidR="00863C99" w:rsidRPr="000E54EB" w:rsidRDefault="00863C99" w:rsidP="00B66DF8">
      <w:pPr>
        <w:rPr>
          <w:rFonts w:ascii="Verdana" w:hAnsi="Verdana" w:cs="Verdana"/>
          <w:sz w:val="20"/>
          <w:szCs w:val="20"/>
        </w:rPr>
      </w:pPr>
    </w:p>
    <w:p w:rsidR="00863C99" w:rsidRPr="000E54EB" w:rsidRDefault="00863C99" w:rsidP="00B66DF8">
      <w:pPr>
        <w:pStyle w:val="Heading3"/>
        <w:spacing w:before="0"/>
        <w:rPr>
          <w:rFonts w:ascii="Verdana" w:hAnsi="Verdana" w:cs="Verdana"/>
          <w:lang w:val="bg-BG"/>
        </w:rPr>
      </w:pPr>
      <w:bookmarkStart w:id="92" w:name="_Toc4328814"/>
      <w:r w:rsidRPr="000E54EB">
        <w:rPr>
          <w:rFonts w:ascii="Verdana" w:hAnsi="Verdana" w:cs="Verdana"/>
          <w:lang w:val="bg-BG"/>
        </w:rPr>
        <w:t>Провизии за гаранции</w:t>
      </w:r>
      <w:bookmarkEnd w:id="92"/>
    </w:p>
    <w:p w:rsidR="00863C99" w:rsidRPr="000E54EB" w:rsidRDefault="00863C99" w:rsidP="00B66DF8">
      <w:pPr>
        <w:rPr>
          <w:rFonts w:ascii="Verdana" w:hAnsi="Verdana" w:cs="Verdana"/>
          <w:sz w:val="20"/>
          <w:szCs w:val="20"/>
        </w:rPr>
      </w:pPr>
      <w:r w:rsidRPr="000E54EB">
        <w:rPr>
          <w:rFonts w:ascii="Verdana" w:hAnsi="Verdana" w:cs="Verdana"/>
          <w:sz w:val="20"/>
          <w:szCs w:val="20"/>
        </w:rPr>
        <w:t>Провизиите за разходи, свързани с гаранции се признават, когато продуктът бъде продаден или услугата предоставена. Първоначалното признаване се базира на историческия опит. Първоначалната приблизителна оценка на разходите свързани с гаранции се преразглежда ежегодно.</w:t>
      </w:r>
    </w:p>
    <w:p w:rsidR="00863C99" w:rsidRPr="000E54EB" w:rsidRDefault="00863C99" w:rsidP="00B66DF8">
      <w:pPr>
        <w:rPr>
          <w:rFonts w:ascii="Verdana" w:hAnsi="Verdana" w:cs="Verdana"/>
          <w:sz w:val="20"/>
          <w:szCs w:val="20"/>
        </w:rPr>
      </w:pPr>
    </w:p>
    <w:p w:rsidR="00863C99" w:rsidRPr="000E54EB" w:rsidRDefault="00863C99" w:rsidP="00B66DF8">
      <w:pPr>
        <w:pStyle w:val="Heading3"/>
        <w:spacing w:before="0"/>
        <w:rPr>
          <w:rFonts w:ascii="Verdana" w:hAnsi="Verdana" w:cs="Verdana"/>
          <w:lang w:val="bg-BG"/>
        </w:rPr>
      </w:pPr>
      <w:bookmarkStart w:id="93" w:name="_Toc4328815"/>
      <w:r w:rsidRPr="000E54EB">
        <w:rPr>
          <w:rFonts w:ascii="Verdana" w:hAnsi="Verdana" w:cs="Verdana"/>
          <w:lang w:val="bg-BG"/>
        </w:rPr>
        <w:t>Провизии за преструктуриране</w:t>
      </w:r>
      <w:bookmarkEnd w:id="93"/>
    </w:p>
    <w:p w:rsidR="00863C99" w:rsidRPr="000E54EB" w:rsidRDefault="00863C99" w:rsidP="00B66DF8">
      <w:pPr>
        <w:rPr>
          <w:rFonts w:ascii="Verdana" w:hAnsi="Verdana" w:cs="Verdana"/>
          <w:sz w:val="20"/>
          <w:szCs w:val="20"/>
        </w:rPr>
      </w:pPr>
      <w:r w:rsidRPr="000E54EB">
        <w:rPr>
          <w:rFonts w:ascii="Verdana" w:hAnsi="Verdana" w:cs="Verdana"/>
          <w:sz w:val="20"/>
          <w:szCs w:val="20"/>
        </w:rPr>
        <w:t>Провизии за преструктуриране се признават единствено, когато са удовлетворени общите критерии за признаване на провизии. В допълнение Дружеството трябва да следва подробен план за въпросния бизнес или част от него, местоположението и броя на засегнатите служители, подробна приблизителна оценка на свързаните разходи и съответния времеви график. Засегнатите служители трябва да имат валидно очакване, че преструктурирането ще се извърши или, че изпълнението вече е стартирало.</w:t>
      </w:r>
    </w:p>
    <w:p w:rsidR="00863C99" w:rsidRPr="000E54EB" w:rsidRDefault="00863C99" w:rsidP="00B66DF8">
      <w:pPr>
        <w:rPr>
          <w:rFonts w:ascii="Verdana" w:hAnsi="Verdana" w:cs="Verdana"/>
          <w:sz w:val="20"/>
          <w:szCs w:val="20"/>
        </w:rPr>
      </w:pPr>
      <w:r w:rsidRPr="000E54EB">
        <w:rPr>
          <w:rFonts w:ascii="Verdana" w:hAnsi="Verdana" w:cs="Verdana"/>
          <w:sz w:val="20"/>
          <w:szCs w:val="20"/>
        </w:rPr>
        <w:t>Когато ефектът от времевите разлики в стойността на парите е съществен, провизиите се дисконтират като се използва текуща норма на дисконтиране преди данъци, която отразява, когато е уместно специфичните за задължението рискове. Когато се използва дисконтиране увеличението на провизията в резултат на изминалото време се представя като финансов разход.</w:t>
      </w:r>
    </w:p>
    <w:p w:rsidR="00863C99" w:rsidRPr="000E54EB" w:rsidRDefault="00863C99" w:rsidP="00B66DF8">
      <w:pPr>
        <w:rPr>
          <w:rFonts w:ascii="Verdana" w:hAnsi="Verdana" w:cs="Verdana"/>
          <w:b/>
          <w:bCs/>
          <w:sz w:val="20"/>
          <w:szCs w:val="20"/>
        </w:rPr>
      </w:pPr>
    </w:p>
    <w:p w:rsidR="00863C99" w:rsidRPr="000E54EB" w:rsidRDefault="00863C99" w:rsidP="00B66DF8">
      <w:pPr>
        <w:pStyle w:val="Heading3"/>
        <w:spacing w:before="0"/>
        <w:rPr>
          <w:rFonts w:ascii="Verdana" w:hAnsi="Verdana" w:cs="Verdana"/>
          <w:lang w:val="bg-BG"/>
        </w:rPr>
      </w:pPr>
      <w:bookmarkStart w:id="94" w:name="_Toc4328816"/>
      <w:r w:rsidRPr="000E54EB">
        <w:rPr>
          <w:rFonts w:ascii="Verdana" w:hAnsi="Verdana" w:cs="Verdana"/>
          <w:lang w:val="bg-BG"/>
        </w:rPr>
        <w:lastRenderedPageBreak/>
        <w:t>Условни активи и пасиви</w:t>
      </w:r>
      <w:bookmarkEnd w:id="94"/>
    </w:p>
    <w:p w:rsidR="00863C99" w:rsidRPr="000E54EB" w:rsidRDefault="00863C99" w:rsidP="00B66DF8">
      <w:pPr>
        <w:rPr>
          <w:rFonts w:ascii="Verdana" w:hAnsi="Verdana" w:cs="Verdana"/>
          <w:sz w:val="20"/>
          <w:szCs w:val="20"/>
        </w:rPr>
      </w:pPr>
      <w:r w:rsidRPr="000E54EB">
        <w:rPr>
          <w:rFonts w:ascii="Verdana" w:hAnsi="Verdana" w:cs="Verdana"/>
          <w:sz w:val="20"/>
          <w:szCs w:val="20"/>
        </w:rPr>
        <w:t>Условните пасиви на Дружеството не са признати, но са оповестени, освен ако възможността за изходящ поток на ресурси съдържащ икономически ползи е отдалечен във времето.</w:t>
      </w:r>
    </w:p>
    <w:p w:rsidR="00863C99" w:rsidRPr="000E54EB" w:rsidRDefault="00863C99" w:rsidP="00B66DF8">
      <w:pPr>
        <w:rPr>
          <w:rFonts w:ascii="Verdana" w:hAnsi="Verdana" w:cs="Verdana"/>
          <w:sz w:val="20"/>
          <w:szCs w:val="20"/>
        </w:rPr>
      </w:pPr>
      <w:r w:rsidRPr="000E54EB">
        <w:rPr>
          <w:rFonts w:ascii="Verdana" w:hAnsi="Verdana" w:cs="Verdana"/>
          <w:sz w:val="20"/>
          <w:szCs w:val="20"/>
        </w:rPr>
        <w:t>Условните пасиви представляват възможни задължения, възникващи от минали събития, чието съществуване ще бъде потвърдено само от настъпването или ненастъпването на едно или повече несигурни бъдещи събития не изцяло в рамките на контрола на юридическото лице. Те не се признават защото не е вероятно, че изходящ поток от ресурси ще бъде необходим за покриване на задължението и сумата на задължението не може да бъде оценена с достатъчна надеждност.</w:t>
      </w:r>
    </w:p>
    <w:p w:rsidR="00863C99" w:rsidRPr="000E54EB" w:rsidRDefault="00863C99" w:rsidP="00B66DF8">
      <w:pPr>
        <w:rPr>
          <w:rFonts w:ascii="Verdana" w:hAnsi="Verdana" w:cs="Verdana"/>
          <w:sz w:val="20"/>
          <w:szCs w:val="20"/>
        </w:rPr>
      </w:pPr>
      <w:r w:rsidRPr="000E54EB">
        <w:rPr>
          <w:rFonts w:ascii="Verdana" w:hAnsi="Verdana" w:cs="Verdana"/>
          <w:sz w:val="20"/>
          <w:szCs w:val="20"/>
        </w:rPr>
        <w:t>Неизбежно определянето на условен пасив изисква значителни преценка от страна на ръководството.</w:t>
      </w:r>
    </w:p>
    <w:p w:rsidR="00863C99" w:rsidRPr="000E54EB" w:rsidRDefault="00863C99" w:rsidP="00B66DF8">
      <w:pPr>
        <w:rPr>
          <w:rFonts w:ascii="Verdana" w:hAnsi="Verdana" w:cs="Verdana"/>
          <w:sz w:val="20"/>
          <w:szCs w:val="20"/>
        </w:rPr>
      </w:pPr>
      <w:r w:rsidRPr="000E54EB">
        <w:rPr>
          <w:rFonts w:ascii="Verdana" w:hAnsi="Verdana" w:cs="Verdana"/>
          <w:sz w:val="20"/>
          <w:szCs w:val="20"/>
        </w:rPr>
        <w:t>Дружеството не признава условните активи. Те обикновено възникват от непланирани или други неочаквани събития, които пораждат възможност в Дружеството да постъпи входящ поток икономически ползи. Условните активи не се признават във финансовите отчети, тъй като това може да има за резултат признаването на доход, който може никога да не бъде реализиран.</w:t>
      </w:r>
    </w:p>
    <w:p w:rsidR="00863C99" w:rsidRPr="000E54EB" w:rsidRDefault="00863C99" w:rsidP="00B66DF8">
      <w:pPr>
        <w:rPr>
          <w:rFonts w:ascii="Verdana" w:hAnsi="Verdana" w:cs="Verdana"/>
          <w:sz w:val="20"/>
          <w:szCs w:val="20"/>
        </w:rPr>
      </w:pPr>
    </w:p>
    <w:p w:rsidR="00863C99" w:rsidRPr="000E54EB" w:rsidRDefault="00863C99" w:rsidP="00B66DF8">
      <w:pPr>
        <w:pStyle w:val="Heading3"/>
        <w:spacing w:before="0"/>
        <w:rPr>
          <w:rFonts w:ascii="Verdana" w:hAnsi="Verdana" w:cs="Verdana"/>
          <w:lang w:val="bg-BG"/>
        </w:rPr>
      </w:pPr>
      <w:bookmarkStart w:id="95" w:name="_Toc4328817"/>
      <w:r w:rsidRPr="000E54EB">
        <w:rPr>
          <w:rFonts w:ascii="Verdana" w:hAnsi="Verdana" w:cs="Verdana"/>
          <w:lang w:val="bg-BG"/>
        </w:rPr>
        <w:t>Актюерски предположения за дефинирани планове при пенсиониране</w:t>
      </w:r>
      <w:bookmarkEnd w:id="95"/>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Плановете за доходи могат да бъдат сложни понеже се изискват актюерски предположения, за да се определи размера на задължението и разхода. Възможно е фактическите резултати да се различават от предполагаемите резултати. Тези разлики са известни като актюерски печалби и загуби. Задълженията по дефинирани/конкретни доходи се измерват с помощта на метод за кредит на прогнозните единици, според който  Дружеството трябва да направи надеждна оценка на размера на обезщетенията, които са спечелени в замяна на предоставени услуги в текущия и предходни периоди, използвайки актюерски техники. </w:t>
      </w:r>
    </w:p>
    <w:p w:rsidR="00863C99" w:rsidRPr="000E54EB" w:rsidRDefault="00863C99" w:rsidP="00B66DF8">
      <w:pPr>
        <w:rPr>
          <w:rFonts w:ascii="Verdana" w:hAnsi="Verdana" w:cs="Verdana"/>
          <w:sz w:val="20"/>
          <w:szCs w:val="20"/>
        </w:rPr>
      </w:pPr>
      <w:r w:rsidRPr="000E54EB">
        <w:rPr>
          <w:rFonts w:ascii="Verdana" w:hAnsi="Verdana" w:cs="Verdana"/>
          <w:sz w:val="20"/>
          <w:szCs w:val="20"/>
        </w:rPr>
        <w:t>В допълнение в случаите, когато се финансират плановете за дефинирани доходи,  Дружеството трябва да определи справедливата стойност на активите по плана, на базата на очакваната възвръщаемост от активите по плана, който се изчислява, като се използва прогнозната дългосрочна норма на възвръщаемост.</w:t>
      </w:r>
    </w:p>
    <w:p w:rsidR="00863C99" w:rsidRPr="000E54EB" w:rsidRDefault="00863C99" w:rsidP="00B66DF8">
      <w:pPr>
        <w:rPr>
          <w:rFonts w:ascii="Verdana" w:hAnsi="Verdana" w:cs="Verdana"/>
          <w:sz w:val="20"/>
          <w:szCs w:val="20"/>
        </w:rPr>
      </w:pPr>
      <w:r w:rsidRPr="000E54EB">
        <w:rPr>
          <w:rFonts w:ascii="Verdana" w:hAnsi="Verdana" w:cs="Verdana"/>
          <w:sz w:val="20"/>
          <w:szCs w:val="20"/>
        </w:rPr>
        <w:t>В резултат методът за кредит на прогнозните единици включва поредица от актюерски преценки. Тези предположения включват демографски предположения като смъртност, оборот, пенсионна възраст и финансови предположения като проценти на отстъпка, нива на заплатите и доходите. Тези предположения са предмет на преценки и могат да се развият съществено различно от очакваното и поради това може да доведат до значително въздействие върху задълженията по дефинирани конкретни доходи.</w:t>
      </w:r>
    </w:p>
    <w:p w:rsidR="00863C99" w:rsidRPr="000E54EB" w:rsidRDefault="00863C99" w:rsidP="00B66DF8">
      <w:pPr>
        <w:rPr>
          <w:rFonts w:ascii="Verdana" w:hAnsi="Verdana" w:cs="Verdana"/>
          <w:sz w:val="20"/>
          <w:szCs w:val="20"/>
        </w:rPr>
      </w:pPr>
    </w:p>
    <w:p w:rsidR="00863C99" w:rsidRPr="000E54EB" w:rsidRDefault="00863C99" w:rsidP="00B66DF8">
      <w:pPr>
        <w:pStyle w:val="Heading3"/>
        <w:spacing w:before="0"/>
        <w:rPr>
          <w:rFonts w:ascii="Verdana" w:hAnsi="Verdana" w:cs="Verdana"/>
          <w:lang w:val="bg-BG"/>
        </w:rPr>
      </w:pPr>
      <w:bookmarkStart w:id="96" w:name="_Toc4328818"/>
      <w:r w:rsidRPr="000E54EB">
        <w:rPr>
          <w:rFonts w:ascii="Verdana" w:hAnsi="Verdana" w:cs="Verdana"/>
          <w:lang w:val="bg-BG"/>
        </w:rPr>
        <w:t>Плащанията на базата на акции</w:t>
      </w:r>
      <w:bookmarkEnd w:id="96"/>
    </w:p>
    <w:p w:rsidR="00863C99" w:rsidRPr="000E54EB" w:rsidRDefault="00863C99" w:rsidP="00B66DF8">
      <w:pPr>
        <w:rPr>
          <w:rFonts w:ascii="Verdana" w:hAnsi="Verdana" w:cs="Verdana"/>
          <w:sz w:val="20"/>
          <w:szCs w:val="20"/>
        </w:rPr>
      </w:pPr>
      <w:r w:rsidRPr="000E54EB">
        <w:rPr>
          <w:rFonts w:ascii="Verdana" w:hAnsi="Verdana" w:cs="Verdana"/>
          <w:sz w:val="20"/>
          <w:szCs w:val="20"/>
        </w:rPr>
        <w:t>Плащанията се оценяват по справедлива стойност на датата на тяхното предоставяне. За опции за акции, предоставени на заети лица в много случаи пазарните цени не са налични и следователно справедливата стойност на опциите се оценява чрез прилагането на модел за ценообразуване на опции. Моделите за ценообразуване изискват въвеждането на данни като очаквана променливост в цената на акцията, очаквани дивиденти или безрисков лихвен процент за живота на опцията. Общата цел е да се постигне приближаване до очакванията, които биха били отразени в една текуща пазарна или договорена разменна цена за опцията. Тези предположения са предмет преценки и може да се окаже се различават съществено от очакваното.</w:t>
      </w:r>
    </w:p>
    <w:p w:rsidR="00863C99" w:rsidRPr="000E54EB" w:rsidRDefault="00863C99" w:rsidP="00B66DF8">
      <w:pPr>
        <w:rPr>
          <w:rFonts w:ascii="Verdana" w:hAnsi="Verdana" w:cs="Verdana"/>
          <w:sz w:val="20"/>
          <w:szCs w:val="20"/>
        </w:rPr>
      </w:pPr>
      <w:r w:rsidRPr="000E54EB">
        <w:rPr>
          <w:rFonts w:ascii="Verdana" w:hAnsi="Verdana" w:cs="Verdana"/>
          <w:sz w:val="20"/>
          <w:szCs w:val="20"/>
        </w:rPr>
        <w:t>Справедлива стойност е определена към датата на предлагане на капиталовите инструменти.Оценката на броя на капиталовите инструменти, които се очаква да породят права е ревизирана от Дружеството в края на всеки отчетен период чрез сетълмент. Преразглеждане на първоначалните оценки ако има такава се признава в печалбата или загубата така, че кумулативният разход включва ревизираните оценки, със съответните корекции на резерва за капиталови доходи.</w:t>
      </w:r>
    </w:p>
    <w:p w:rsidR="00863C99" w:rsidRPr="000E54EB" w:rsidRDefault="00863C99" w:rsidP="00B66DF8">
      <w:pPr>
        <w:autoSpaceDE w:val="0"/>
        <w:autoSpaceDN w:val="0"/>
        <w:adjustRightInd w:val="0"/>
        <w:jc w:val="left"/>
        <w:rPr>
          <w:rFonts w:ascii="Verdana" w:hAnsi="Verdana" w:cs="Verdana"/>
          <w:b/>
          <w:bCs/>
          <w:sz w:val="20"/>
          <w:szCs w:val="20"/>
        </w:rPr>
      </w:pPr>
    </w:p>
    <w:p w:rsidR="00863C99" w:rsidRPr="000E54EB" w:rsidRDefault="00863C99" w:rsidP="00B66DF8">
      <w:pPr>
        <w:pStyle w:val="Heading3"/>
        <w:spacing w:before="0"/>
        <w:rPr>
          <w:rFonts w:ascii="Verdana" w:hAnsi="Verdana" w:cs="Verdana"/>
          <w:lang w:val="bg-BG"/>
        </w:rPr>
      </w:pPr>
      <w:bookmarkStart w:id="97" w:name="_Toc4328819"/>
      <w:r w:rsidRPr="000E54EB">
        <w:rPr>
          <w:rFonts w:ascii="Verdana" w:hAnsi="Verdana" w:cs="Verdana"/>
          <w:lang w:val="bg-BG"/>
        </w:rPr>
        <w:lastRenderedPageBreak/>
        <w:t>Задължение за извеждане от експлоатация</w:t>
      </w:r>
      <w:bookmarkEnd w:id="97"/>
    </w:p>
    <w:p w:rsidR="00863C99" w:rsidRPr="000E54EB" w:rsidRDefault="00863C99" w:rsidP="00B66DF8">
      <w:pPr>
        <w:rPr>
          <w:rFonts w:ascii="Verdana" w:hAnsi="Verdana" w:cs="Verdana"/>
          <w:sz w:val="20"/>
          <w:szCs w:val="20"/>
        </w:rPr>
      </w:pPr>
      <w:r w:rsidRPr="000E54EB">
        <w:rPr>
          <w:rFonts w:ascii="Verdana" w:hAnsi="Verdana" w:cs="Verdana"/>
          <w:sz w:val="20"/>
          <w:szCs w:val="20"/>
        </w:rPr>
        <w:t>Провизията за разходи за извеждане от експлоатация е свързана с изграждането на производствени съоръжения от различен тип, например за производство на материали, забавящи разпространението на пожари. Разходите за извеждане от експлоатация са провизирани по сегашната стойност на плащанията, които се очаква да бъдат направени за уреждане на задължението и се признават като част от стойността на съответния актив.</w:t>
      </w:r>
    </w:p>
    <w:p w:rsidR="00863C99" w:rsidRPr="000E54EB" w:rsidRDefault="00863C99" w:rsidP="00B66DF8">
      <w:pPr>
        <w:rPr>
          <w:rFonts w:ascii="Verdana" w:hAnsi="Verdana" w:cs="Verdana"/>
          <w:sz w:val="20"/>
          <w:szCs w:val="20"/>
        </w:rPr>
      </w:pPr>
      <w:r w:rsidRPr="000E54EB">
        <w:rPr>
          <w:rFonts w:ascii="Verdana" w:hAnsi="Verdana" w:cs="Verdana"/>
          <w:sz w:val="20"/>
          <w:szCs w:val="20"/>
        </w:rPr>
        <w:t>Бъдещите парични потоци са дисконтирани като се използва текуща норма на дисконтиране преди данъци, която отразява специфичните рискове за задължението за извеждане от експлоатация. Разгръщането на провизията в резултат на изминалото време, се признава като разход в периода, за който се отнася и се представя като финансов разход в отчета за печалбата или загубата и другия всеобхватен доход. Очакваните бъдещи разходи за извеждане от експлоатация се подлагат на преглед ежегодно и се коригират, както е необходимо. Промените в очакваните бъдещи разходи или в използваната норма на дисконтиране, се отразяват като увеличение или намаление в цената на придобиване на актива.</w:t>
      </w:r>
    </w:p>
    <w:p w:rsidR="00863C99" w:rsidRPr="000E54EB" w:rsidRDefault="00863C99" w:rsidP="00B66DF8">
      <w:pPr>
        <w:autoSpaceDE w:val="0"/>
        <w:autoSpaceDN w:val="0"/>
        <w:adjustRightInd w:val="0"/>
        <w:jc w:val="left"/>
        <w:rPr>
          <w:rFonts w:ascii="Verdana" w:hAnsi="Verdana" w:cs="Verdana"/>
          <w:b/>
          <w:bCs/>
          <w:sz w:val="20"/>
          <w:szCs w:val="20"/>
        </w:rPr>
      </w:pPr>
    </w:p>
    <w:p w:rsidR="00863C99" w:rsidRPr="000E54EB" w:rsidRDefault="00863C99" w:rsidP="00B66DF8">
      <w:pPr>
        <w:rPr>
          <w:rFonts w:ascii="Verdana" w:hAnsi="Verdana" w:cs="Verdana"/>
          <w:sz w:val="20"/>
          <w:szCs w:val="20"/>
        </w:rPr>
      </w:pPr>
    </w:p>
    <w:p w:rsidR="00863C99" w:rsidRPr="000E54EB" w:rsidRDefault="00863C99" w:rsidP="00B66DF8">
      <w:pPr>
        <w:pStyle w:val="Heading2"/>
        <w:spacing w:before="0"/>
        <w:rPr>
          <w:rFonts w:ascii="Verdana" w:hAnsi="Verdana" w:cs="Verdana"/>
          <w:sz w:val="20"/>
          <w:szCs w:val="20"/>
          <w:lang w:val="bg-BG"/>
        </w:rPr>
      </w:pPr>
      <w:bookmarkStart w:id="98" w:name="_Toc4328821"/>
      <w:bookmarkEnd w:id="14"/>
      <w:r w:rsidRPr="000E54EB">
        <w:rPr>
          <w:rFonts w:ascii="Verdana" w:hAnsi="Verdana" w:cs="Verdana"/>
          <w:sz w:val="20"/>
          <w:szCs w:val="20"/>
          <w:lang w:val="bg-BG"/>
        </w:rPr>
        <w:t>ГРЕШКИ И ПРОМЕНИ В СЧЕТОВОДНАТА ПОЛИТИКА</w:t>
      </w:r>
      <w:bookmarkEnd w:id="98"/>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Грешки по смисъла на МСС 8 могат да възникнат във връзка с признаването, оценяването, представянето или оповестяването на компоненти от финансовите отчети. Потенциалните грешки за текущия период открити в същия, се коригират преди финансовите отчети да се одобрят от ръководството на Дружеството. Въпреки това грешки понякога се откриват в последващ период и тези грешки от предходни периоди се коригират. </w:t>
      </w:r>
    </w:p>
    <w:p w:rsidR="00863C99" w:rsidRPr="000E54EB" w:rsidRDefault="00863C99" w:rsidP="00B66DF8">
      <w:pPr>
        <w:rPr>
          <w:rFonts w:ascii="Verdana" w:hAnsi="Verdana" w:cs="Verdana"/>
          <w:sz w:val="20"/>
          <w:szCs w:val="20"/>
        </w:rPr>
      </w:pPr>
      <w:r w:rsidRPr="000E54EB">
        <w:rPr>
          <w:rFonts w:ascii="Verdana" w:hAnsi="Verdana" w:cs="Verdana"/>
          <w:sz w:val="20"/>
          <w:szCs w:val="20"/>
        </w:rPr>
        <w:t>Дружеството коригира със задна дата съществените грешки от предходни периоди в първия финансов отчет, одобрен за публикуване след като са открити чрез преизчисляване на сравнителните суми за представения предходен период, в които е възникнала грешка.</w:t>
      </w:r>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В случай, че грешката е възникнала преди най-ранно представения предходен период, преизчисляване на началното салдо на активите, пасивите и капитала за този период. </w:t>
      </w:r>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Грешка от предходен период се коригира посредством преизчисляване със задна дата, освен ако е практически неприложимо да се определи някой от специфичните ефекти за периода или кумулативния ефект от тази грешка. </w:t>
      </w:r>
    </w:p>
    <w:p w:rsidR="00863C99" w:rsidRPr="000E54EB" w:rsidRDefault="00863C99"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szCs w:val="20"/>
          <w:lang w:eastAsia="bg-BG"/>
        </w:rPr>
      </w:pPr>
      <w:r w:rsidRPr="000E54EB">
        <w:rPr>
          <w:rFonts w:ascii="Verdana" w:hAnsi="Verdana" w:cs="Verdana"/>
          <w:sz w:val="20"/>
          <w:szCs w:val="20"/>
          <w:lang w:eastAsia="bg-BG"/>
        </w:rPr>
        <w:t>Kъм минималните сравнителни финансови отчети Дружеството представя трети отчет за финансовото състояние към началото на предходния период, ако се прилага счетоводна политика със задна дата, прави се преизчисление със задна дата на статии или се прекласифицират статии във финансовите отчети и ако това оказва съществено влияние върху информацията в отчета за финансовото състояние към началото на предходния период. При наличие на такива обстоятелства се представят три отчета за финансовото състояние към:</w:t>
      </w:r>
    </w:p>
    <w:p w:rsidR="00863C99" w:rsidRPr="000E54EB" w:rsidRDefault="00863C99" w:rsidP="00E60E88">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szCs w:val="20"/>
          <w:lang w:eastAsia="bg-BG"/>
        </w:rPr>
      </w:pPr>
      <w:r w:rsidRPr="000E54EB">
        <w:rPr>
          <w:rFonts w:ascii="Verdana" w:hAnsi="Verdana" w:cs="Verdana"/>
          <w:sz w:val="20"/>
          <w:szCs w:val="20"/>
          <w:lang w:eastAsia="bg-BG"/>
        </w:rPr>
        <w:t>края на текущия период;</w:t>
      </w:r>
    </w:p>
    <w:p w:rsidR="00863C99" w:rsidRPr="000E54EB" w:rsidRDefault="00863C99" w:rsidP="00E60E88">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szCs w:val="20"/>
          <w:lang w:eastAsia="bg-BG"/>
        </w:rPr>
      </w:pPr>
      <w:r w:rsidRPr="000E54EB">
        <w:rPr>
          <w:rFonts w:ascii="Verdana" w:hAnsi="Verdana" w:cs="Verdana"/>
          <w:sz w:val="20"/>
          <w:szCs w:val="20"/>
          <w:lang w:eastAsia="bg-BG"/>
        </w:rPr>
        <w:t>края на предходния период; и</w:t>
      </w:r>
    </w:p>
    <w:p w:rsidR="00863C99" w:rsidRPr="000E54EB" w:rsidRDefault="00863C99" w:rsidP="00E60E88">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szCs w:val="20"/>
          <w:lang w:eastAsia="bg-BG"/>
        </w:rPr>
      </w:pPr>
      <w:r w:rsidRPr="000E54EB">
        <w:rPr>
          <w:rFonts w:ascii="Verdana" w:hAnsi="Verdana" w:cs="Verdana"/>
          <w:sz w:val="20"/>
          <w:szCs w:val="20"/>
          <w:lang w:eastAsia="bg-BG"/>
        </w:rPr>
        <w:t>началото на предходния период.</w:t>
      </w:r>
    </w:p>
    <w:p w:rsidR="00863C99" w:rsidRPr="000E54EB" w:rsidRDefault="00863C99"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szCs w:val="20"/>
          <w:lang w:eastAsia="bg-BG"/>
        </w:rPr>
      </w:pPr>
      <w:r w:rsidRPr="000E54EB">
        <w:rPr>
          <w:rFonts w:ascii="Verdana" w:hAnsi="Verdana" w:cs="Verdana"/>
          <w:sz w:val="20"/>
          <w:szCs w:val="20"/>
          <w:lang w:eastAsia="bg-BG"/>
        </w:rPr>
        <w:t>Датата на този встъпителен отчет за финансовото състояние съвпада с началото на предходния период, независимо от това дали финансовите отчети на Дружеството представят сравнителна информация за по-ранни периоди.</w:t>
      </w:r>
    </w:p>
    <w:p w:rsidR="00863C99" w:rsidRPr="000E54EB" w:rsidRDefault="00863C99"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szCs w:val="20"/>
          <w:lang w:eastAsia="bg-BG"/>
        </w:rPr>
      </w:pPr>
      <w:r w:rsidRPr="000E54EB">
        <w:rPr>
          <w:rFonts w:ascii="Verdana" w:hAnsi="Verdana" w:cs="Verdana"/>
          <w:sz w:val="20"/>
          <w:szCs w:val="20"/>
          <w:lang w:eastAsia="bg-BG"/>
        </w:rPr>
        <w:t>Когато от Дружеството се изисква и представя допълнителен отчет за финансовото състояние в съответствие се оповестява:</w:t>
      </w:r>
    </w:p>
    <w:p w:rsidR="00863C99" w:rsidRPr="000E54EB" w:rsidRDefault="00863C99" w:rsidP="00E60E8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szCs w:val="20"/>
          <w:lang w:eastAsia="bg-BG"/>
        </w:rPr>
      </w:pPr>
      <w:r w:rsidRPr="000E54EB">
        <w:rPr>
          <w:rFonts w:ascii="Verdana" w:hAnsi="Verdana" w:cs="Verdana"/>
          <w:sz w:val="20"/>
          <w:szCs w:val="20"/>
          <w:lang w:eastAsia="bg-BG"/>
        </w:rPr>
        <w:t>характера на прекласифицирането;</w:t>
      </w:r>
    </w:p>
    <w:p w:rsidR="00863C99" w:rsidRPr="000E54EB" w:rsidRDefault="00863C99" w:rsidP="00E60E8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szCs w:val="20"/>
          <w:lang w:eastAsia="bg-BG"/>
        </w:rPr>
      </w:pPr>
      <w:r w:rsidRPr="000E54EB">
        <w:rPr>
          <w:rFonts w:ascii="Verdana" w:hAnsi="Verdana" w:cs="Verdana"/>
          <w:sz w:val="20"/>
          <w:szCs w:val="20"/>
          <w:lang w:eastAsia="bg-BG"/>
        </w:rPr>
        <w:t>сумата на всяка статия или група статии, които са прекласифицирани;</w:t>
      </w:r>
    </w:p>
    <w:p w:rsidR="00863C99" w:rsidRPr="000E54EB" w:rsidRDefault="00863C99" w:rsidP="00E60E8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szCs w:val="20"/>
          <w:lang w:eastAsia="bg-BG"/>
        </w:rPr>
      </w:pPr>
      <w:r w:rsidRPr="000E54EB">
        <w:rPr>
          <w:rFonts w:ascii="Verdana" w:hAnsi="Verdana" w:cs="Verdana"/>
          <w:sz w:val="20"/>
          <w:szCs w:val="20"/>
          <w:lang w:eastAsia="bg-BG"/>
        </w:rPr>
        <w:t>причината за прекласифицирането.</w:t>
      </w:r>
    </w:p>
    <w:p w:rsidR="00863C99" w:rsidRPr="000E54EB" w:rsidRDefault="00863C99"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szCs w:val="20"/>
          <w:lang w:eastAsia="bg-BG"/>
        </w:rPr>
      </w:pPr>
      <w:r w:rsidRPr="000E54EB">
        <w:rPr>
          <w:rFonts w:ascii="Verdana" w:hAnsi="Verdana" w:cs="Verdana"/>
          <w:sz w:val="20"/>
          <w:szCs w:val="20"/>
          <w:lang w:eastAsia="bg-BG"/>
        </w:rPr>
        <w:t xml:space="preserve">Може да възникнат обстоятелства при които е практически невъзможно да се прекласифицира сравнителна информация за конкретен предходен период, за да се </w:t>
      </w:r>
      <w:r w:rsidRPr="000E54EB">
        <w:rPr>
          <w:rFonts w:ascii="Verdana" w:hAnsi="Verdana" w:cs="Verdana"/>
          <w:sz w:val="20"/>
          <w:szCs w:val="20"/>
          <w:lang w:eastAsia="bg-BG"/>
        </w:rPr>
        <w:lastRenderedPageBreak/>
        <w:t>постигне съпоставимост с текущия период. Възможно е в предходния период данните може да не са били събирани по начин, който позволява прекласифициране.</w:t>
      </w:r>
    </w:p>
    <w:p w:rsidR="00863C99" w:rsidRPr="000E54EB" w:rsidRDefault="00863C99"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szCs w:val="20"/>
          <w:lang w:eastAsia="bg-BG"/>
        </w:rPr>
      </w:pPr>
      <w:r w:rsidRPr="000E54EB">
        <w:rPr>
          <w:rFonts w:ascii="Verdana" w:hAnsi="Verdana" w:cs="Verdana"/>
          <w:sz w:val="20"/>
          <w:szCs w:val="20"/>
          <w:lang w:eastAsia="bg-BG"/>
        </w:rPr>
        <w:t>Когато прекласифицирането на сравнителна информация е практически невъзможно, дружеството оповестява причината, поради която не е прекласифицирана информацията  и същността на корекциите, които е следвало да бъдат направени, ако сравнителната информация е била прекласифицирана.</w:t>
      </w:r>
    </w:p>
    <w:p w:rsidR="00863C99" w:rsidRPr="000E54EB" w:rsidRDefault="00863C99"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szCs w:val="20"/>
          <w:lang w:eastAsia="bg-BG"/>
        </w:rPr>
      </w:pPr>
      <w:r w:rsidRPr="000E54EB">
        <w:rPr>
          <w:rFonts w:ascii="Verdana" w:hAnsi="Verdana" w:cs="Verdana"/>
          <w:sz w:val="20"/>
          <w:szCs w:val="20"/>
          <w:lang w:eastAsia="bg-BG"/>
        </w:rPr>
        <w:t>Дружеството не представя пояснителните приложения, свързани с встъпителния отчет за финансовото състояние към началото на предходния период.</w:t>
      </w:r>
    </w:p>
    <w:p w:rsidR="00863C99" w:rsidRPr="000E54EB" w:rsidRDefault="00863C99" w:rsidP="00B66DF8">
      <w:pPr>
        <w:rPr>
          <w:rFonts w:ascii="Verdana" w:hAnsi="Verdana" w:cs="Verdana"/>
          <w:sz w:val="20"/>
          <w:szCs w:val="20"/>
        </w:rPr>
      </w:pPr>
    </w:p>
    <w:p w:rsidR="00863C99" w:rsidRPr="000E54EB" w:rsidRDefault="00863C99" w:rsidP="00B66DF8">
      <w:pPr>
        <w:pStyle w:val="Heading2"/>
        <w:spacing w:before="0"/>
        <w:rPr>
          <w:rFonts w:ascii="Verdana" w:hAnsi="Verdana" w:cs="Verdana"/>
          <w:sz w:val="20"/>
          <w:szCs w:val="20"/>
          <w:lang w:val="bg-BG"/>
        </w:rPr>
      </w:pPr>
      <w:bookmarkStart w:id="99" w:name="_Toc4328822"/>
      <w:r w:rsidRPr="000E54EB">
        <w:rPr>
          <w:rFonts w:ascii="Verdana" w:hAnsi="Verdana" w:cs="Verdana"/>
          <w:sz w:val="20"/>
          <w:szCs w:val="20"/>
          <w:lang w:val="bg-BG"/>
        </w:rPr>
        <w:t>РЕКЛАСИФИКАЦИИ И ПРЕИЗЧИСЛЕНИЯ</w:t>
      </w:r>
      <w:bookmarkEnd w:id="99"/>
    </w:p>
    <w:p w:rsidR="00863C99" w:rsidRPr="000E54EB" w:rsidRDefault="00863C99" w:rsidP="00B66DF8">
      <w:pPr>
        <w:rPr>
          <w:rFonts w:ascii="Verdana" w:hAnsi="Verdana" w:cs="Verdana"/>
          <w:sz w:val="20"/>
          <w:szCs w:val="20"/>
        </w:rPr>
      </w:pPr>
      <w:r w:rsidRPr="000E54EB">
        <w:rPr>
          <w:rFonts w:ascii="Verdana" w:hAnsi="Verdana" w:cs="Verdana"/>
          <w:sz w:val="20"/>
          <w:szCs w:val="20"/>
        </w:rPr>
        <w:t>Рекласификациите представляват промени в представянето на отделни позиции във финансовите отчети с цел постигане на по-вярно и честно представяне на информацията в тях. Тези рекласификации се правят ретроспективно, като се коригират началните салда на всеки засегнат елемент от отчета и се представя допълнителен отчет за финансовото състояние към началото на най-ранния сравнителен период.</w:t>
      </w:r>
    </w:p>
    <w:p w:rsidR="00863C99" w:rsidRPr="000E54EB" w:rsidRDefault="00863C99" w:rsidP="00B66DF8">
      <w:pPr>
        <w:rPr>
          <w:rFonts w:ascii="Verdana" w:hAnsi="Verdana" w:cs="Verdana"/>
          <w:sz w:val="20"/>
          <w:szCs w:val="20"/>
        </w:rPr>
      </w:pPr>
    </w:p>
    <w:p w:rsidR="00863C99" w:rsidRPr="000E54EB" w:rsidRDefault="00863C99" w:rsidP="00B66DF8">
      <w:pPr>
        <w:pStyle w:val="Heading2"/>
        <w:spacing w:before="0"/>
        <w:rPr>
          <w:rFonts w:ascii="Verdana" w:hAnsi="Verdana" w:cs="Verdana"/>
          <w:sz w:val="20"/>
          <w:szCs w:val="20"/>
          <w:lang w:val="bg-BG"/>
        </w:rPr>
      </w:pPr>
      <w:bookmarkStart w:id="100" w:name="_Toc247959153"/>
      <w:bookmarkStart w:id="101" w:name="_Toc4328823"/>
      <w:r w:rsidRPr="000E54EB">
        <w:rPr>
          <w:rFonts w:ascii="Verdana" w:hAnsi="Verdana" w:cs="Verdana"/>
          <w:sz w:val="20"/>
          <w:szCs w:val="20"/>
          <w:lang w:val="bg-BG"/>
        </w:rPr>
        <w:t>С</w:t>
      </w:r>
      <w:bookmarkEnd w:id="100"/>
      <w:r w:rsidRPr="000E54EB">
        <w:rPr>
          <w:rFonts w:ascii="Verdana" w:hAnsi="Verdana" w:cs="Verdana"/>
          <w:sz w:val="20"/>
          <w:szCs w:val="20"/>
          <w:lang w:val="bg-BG"/>
        </w:rPr>
        <w:t>ВЪРЗАНИ ЛИЦА И СДЕЛКИ МЕЖДУ ТЯХ</w:t>
      </w:r>
      <w:bookmarkEnd w:id="101"/>
    </w:p>
    <w:p w:rsidR="00863C99" w:rsidRPr="000E54EB" w:rsidRDefault="00863C99" w:rsidP="00B66DF8">
      <w:pPr>
        <w:rPr>
          <w:rFonts w:ascii="Verdana" w:hAnsi="Verdana" w:cs="Verdana"/>
          <w:sz w:val="20"/>
          <w:szCs w:val="20"/>
        </w:rPr>
      </w:pPr>
      <w:r w:rsidRPr="000E54EB">
        <w:rPr>
          <w:rFonts w:ascii="Verdana" w:hAnsi="Verdana" w:cs="Verdana"/>
          <w:sz w:val="20"/>
          <w:szCs w:val="20"/>
        </w:rPr>
        <w:t xml:space="preserve">Дружеството спазва изискванията на МСС 24 при определяне и оповестяване на свързаните лица. </w:t>
      </w:r>
    </w:p>
    <w:p w:rsidR="00863C99" w:rsidRPr="000E54EB" w:rsidRDefault="00863C99" w:rsidP="00B66DF8">
      <w:pPr>
        <w:rPr>
          <w:rFonts w:ascii="Verdana" w:hAnsi="Verdana" w:cs="Verdana"/>
          <w:sz w:val="20"/>
          <w:szCs w:val="20"/>
        </w:rPr>
      </w:pPr>
      <w:r w:rsidRPr="000E54EB">
        <w:rPr>
          <w:rFonts w:ascii="Verdana" w:hAnsi="Verdana" w:cs="Verdana"/>
          <w:sz w:val="20"/>
          <w:szCs w:val="20"/>
        </w:rPr>
        <w:t>Сделка между свързани лица е прехвърляне на ресурси, услуги или задължения между свързани лица без разлика на това дали се прилага някаква цена.</w:t>
      </w:r>
    </w:p>
    <w:p w:rsidR="00863C99" w:rsidRPr="000E54EB" w:rsidRDefault="00863C99" w:rsidP="00B66DF8">
      <w:pPr>
        <w:rPr>
          <w:rFonts w:ascii="Verdana" w:hAnsi="Verdana" w:cs="Verdana"/>
          <w:sz w:val="20"/>
          <w:szCs w:val="20"/>
        </w:rPr>
      </w:pPr>
    </w:p>
    <w:p w:rsidR="00863C99" w:rsidRPr="000E54EB" w:rsidRDefault="00863C99" w:rsidP="00B66DF8">
      <w:pPr>
        <w:rPr>
          <w:rFonts w:ascii="Verdana" w:hAnsi="Verdana" w:cs="Verdana"/>
          <w:sz w:val="20"/>
          <w:szCs w:val="20"/>
        </w:rPr>
      </w:pPr>
      <w:r w:rsidRPr="000E54EB">
        <w:rPr>
          <w:rFonts w:ascii="Verdana" w:hAnsi="Verdana" w:cs="Verdana"/>
          <w:sz w:val="20"/>
          <w:szCs w:val="20"/>
        </w:rPr>
        <w:br w:type="page"/>
      </w:r>
    </w:p>
    <w:p w:rsidR="00863C99" w:rsidRPr="000E54EB" w:rsidRDefault="00863C99" w:rsidP="00B66DF8">
      <w:pPr>
        <w:pStyle w:val="Heading1"/>
        <w:spacing w:before="0"/>
        <w:rPr>
          <w:rFonts w:ascii="Verdana" w:hAnsi="Verdana" w:cs="Verdana"/>
          <w:snapToGrid w:val="0"/>
          <w:sz w:val="20"/>
          <w:szCs w:val="20"/>
          <w:lang w:val="bg-BG"/>
        </w:rPr>
      </w:pPr>
      <w:bookmarkStart w:id="102" w:name="_Toc247959159"/>
      <w:bookmarkStart w:id="103" w:name="_Toc4328824"/>
      <w:r w:rsidRPr="000E54EB">
        <w:rPr>
          <w:rFonts w:ascii="Verdana" w:hAnsi="Verdana" w:cs="Verdana"/>
          <w:snapToGrid w:val="0"/>
          <w:sz w:val="20"/>
          <w:szCs w:val="20"/>
          <w:lang w:val="bg-BG"/>
        </w:rPr>
        <w:lastRenderedPageBreak/>
        <w:t>III. Д</w:t>
      </w:r>
      <w:bookmarkEnd w:id="102"/>
      <w:r w:rsidRPr="000E54EB">
        <w:rPr>
          <w:rFonts w:ascii="Verdana" w:hAnsi="Verdana" w:cs="Verdana"/>
          <w:snapToGrid w:val="0"/>
          <w:sz w:val="20"/>
          <w:szCs w:val="20"/>
          <w:lang w:val="bg-BG"/>
        </w:rPr>
        <w:t>ОПЪЛНИТЕЛНА ИНФОРМАЦИЯ КЪМ СТАТИИТЕ НА ФИНАНСОВИЯ ОТЧЕТ</w:t>
      </w:r>
      <w:bookmarkEnd w:id="103"/>
    </w:p>
    <w:p w:rsidR="00863C99" w:rsidRPr="000E54EB" w:rsidRDefault="00863C99" w:rsidP="00E307EB">
      <w:pPr>
        <w:pStyle w:val="Heading4"/>
        <w:rPr>
          <w:rFonts w:ascii="Verdana" w:hAnsi="Verdana" w:cs="Verdana"/>
          <w:i w:val="0"/>
          <w:iCs w:val="0"/>
          <w:lang w:val="bg-BG"/>
        </w:rPr>
      </w:pPr>
      <w:bookmarkStart w:id="104" w:name="_Toc247959160"/>
      <w:bookmarkStart w:id="105" w:name="_Toc314519579"/>
      <w:bookmarkStart w:id="106" w:name="_Toc4328825"/>
      <w:r w:rsidRPr="000E54EB">
        <w:rPr>
          <w:rFonts w:ascii="Verdana" w:hAnsi="Verdana" w:cs="Verdana"/>
          <w:i w:val="0"/>
          <w:iCs w:val="0"/>
          <w:lang w:val="bg-BG"/>
        </w:rPr>
        <w:t xml:space="preserve">1. Индивидуален отчет за </w:t>
      </w:r>
      <w:bookmarkEnd w:id="104"/>
      <w:bookmarkEnd w:id="105"/>
      <w:r w:rsidRPr="000E54EB">
        <w:rPr>
          <w:rFonts w:ascii="Verdana" w:hAnsi="Verdana" w:cs="Verdana"/>
          <w:i w:val="0"/>
          <w:iCs w:val="0"/>
          <w:lang w:val="bg-BG"/>
        </w:rPr>
        <w:t>печалбата или загубата и другия всеобхватен доход</w:t>
      </w:r>
      <w:bookmarkEnd w:id="106"/>
    </w:p>
    <w:p w:rsidR="00863C99" w:rsidRPr="000E54EB" w:rsidRDefault="00863C99" w:rsidP="00B66DF8">
      <w:pPr>
        <w:pStyle w:val="Heading3"/>
        <w:rPr>
          <w:rFonts w:ascii="Verdana" w:hAnsi="Verdana" w:cs="Verdana"/>
          <w:lang w:val="bg-BG"/>
        </w:rPr>
      </w:pPr>
      <w:bookmarkStart w:id="107" w:name="_Toc4328826"/>
      <w:bookmarkStart w:id="108" w:name="_Toc247959161"/>
      <w:bookmarkStart w:id="109" w:name="_Toc314519580"/>
      <w:r w:rsidRPr="000E54EB">
        <w:rPr>
          <w:rFonts w:ascii="Verdana" w:hAnsi="Verdana" w:cs="Verdana"/>
          <w:lang w:val="bg-BG"/>
        </w:rPr>
        <w:t>1.1. Приходи</w:t>
      </w:r>
      <w:bookmarkEnd w:id="107"/>
    </w:p>
    <w:p w:rsidR="00863C99" w:rsidRPr="000E54EB" w:rsidRDefault="00863C99" w:rsidP="00B66DF8">
      <w:pPr>
        <w:pStyle w:val="Heading4"/>
        <w:rPr>
          <w:rFonts w:ascii="Verdana" w:hAnsi="Verdana" w:cs="Verdana"/>
          <w:i w:val="0"/>
          <w:iCs w:val="0"/>
          <w:lang w:val="bg-BG"/>
        </w:rPr>
      </w:pPr>
      <w:bookmarkStart w:id="110" w:name="_Toc4328827"/>
      <w:r w:rsidRPr="000E54EB">
        <w:rPr>
          <w:rFonts w:ascii="Verdana" w:hAnsi="Verdana" w:cs="Verdana"/>
          <w:i w:val="0"/>
          <w:iCs w:val="0"/>
          <w:lang w:val="bg-BG"/>
        </w:rPr>
        <w:t>1.1.1. Нетни приходи от продажби</w:t>
      </w:r>
      <w:bookmarkEnd w:id="108"/>
      <w:bookmarkEnd w:id="109"/>
      <w:bookmarkEnd w:id="110"/>
    </w:p>
    <w:tbl>
      <w:tblPr>
        <w:tblW w:w="9503" w:type="dxa"/>
        <w:tblInd w:w="-68" w:type="dxa"/>
        <w:tblCellMar>
          <w:left w:w="70" w:type="dxa"/>
          <w:right w:w="70" w:type="dxa"/>
        </w:tblCellMar>
        <w:tblLook w:val="00A0" w:firstRow="1" w:lastRow="0" w:firstColumn="1" w:lastColumn="0" w:noHBand="0" w:noVBand="0"/>
      </w:tblPr>
      <w:tblGrid>
        <w:gridCol w:w="6101"/>
        <w:gridCol w:w="1701"/>
        <w:gridCol w:w="1701"/>
      </w:tblGrid>
      <w:tr w:rsidR="00863C99" w:rsidRPr="000E54EB">
        <w:trPr>
          <w:trHeight w:val="255"/>
        </w:trPr>
        <w:tc>
          <w:tcPr>
            <w:tcW w:w="6101" w:type="dxa"/>
            <w:tcBorders>
              <w:top w:val="single" w:sz="4" w:space="0" w:color="auto"/>
              <w:left w:val="single" w:sz="4" w:space="0" w:color="auto"/>
              <w:bottom w:val="single" w:sz="4" w:space="0" w:color="auto"/>
              <w:right w:val="nil"/>
            </w:tcBorders>
            <w:noWrap/>
            <w:vAlign w:val="center"/>
          </w:tcPr>
          <w:p w:rsidR="00863C99" w:rsidRPr="000E54EB" w:rsidRDefault="00863C99" w:rsidP="00D0272B">
            <w:pPr>
              <w:jc w:val="left"/>
              <w:rPr>
                <w:rFonts w:ascii="Verdana" w:hAnsi="Verdana" w:cs="Verdana"/>
                <w:b/>
                <w:bCs/>
                <w:sz w:val="20"/>
                <w:szCs w:val="20"/>
                <w:lang w:eastAsia="bg-BG"/>
              </w:rPr>
            </w:pPr>
            <w:r w:rsidRPr="000E54EB">
              <w:rPr>
                <w:rFonts w:ascii="Verdana" w:hAnsi="Verdana" w:cs="Verdana"/>
                <w:b/>
                <w:bCs/>
                <w:sz w:val="20"/>
                <w:szCs w:val="20"/>
                <w:lang w:eastAsia="bg-BG"/>
              </w:rPr>
              <w:t>Вид приход</w:t>
            </w:r>
          </w:p>
        </w:tc>
        <w:tc>
          <w:tcPr>
            <w:tcW w:w="1701" w:type="dxa"/>
            <w:tcBorders>
              <w:top w:val="single" w:sz="4" w:space="0" w:color="auto"/>
              <w:left w:val="single" w:sz="4" w:space="0" w:color="auto"/>
              <w:bottom w:val="single" w:sz="4" w:space="0" w:color="auto"/>
              <w:right w:val="single" w:sz="4" w:space="0" w:color="auto"/>
            </w:tcBorders>
            <w:noWrap/>
            <w:vAlign w:val="center"/>
          </w:tcPr>
          <w:p w:rsidR="00863C99" w:rsidRPr="000E54EB" w:rsidRDefault="00863C99" w:rsidP="00187ABE">
            <w:pPr>
              <w:jc w:val="center"/>
              <w:rPr>
                <w:rFonts w:ascii="Verdana" w:hAnsi="Verdana" w:cs="Verdana"/>
                <w:b/>
                <w:bCs/>
                <w:sz w:val="20"/>
                <w:szCs w:val="20"/>
                <w:lang w:eastAsia="bg-BG"/>
              </w:rPr>
            </w:pPr>
            <w:r w:rsidRPr="000E54EB">
              <w:rPr>
                <w:rFonts w:ascii="Verdana" w:hAnsi="Verdana" w:cs="Verdana"/>
                <w:b/>
                <w:bCs/>
                <w:sz w:val="20"/>
                <w:szCs w:val="20"/>
                <w:lang w:eastAsia="bg-BG"/>
              </w:rPr>
              <w:t>20</w:t>
            </w:r>
            <w:r w:rsidR="00187ABE">
              <w:rPr>
                <w:rFonts w:ascii="Verdana" w:hAnsi="Verdana" w:cs="Verdana"/>
                <w:b/>
                <w:bCs/>
                <w:sz w:val="20"/>
                <w:szCs w:val="20"/>
                <w:lang w:eastAsia="bg-BG"/>
              </w:rPr>
              <w:t>20</w:t>
            </w:r>
            <w:r w:rsidRPr="000E54EB">
              <w:rPr>
                <w:rFonts w:ascii="Verdana" w:hAnsi="Verdana" w:cs="Verdana"/>
                <w:b/>
                <w:bCs/>
                <w:sz w:val="20"/>
                <w:szCs w:val="20"/>
                <w:lang w:eastAsia="bg-BG"/>
              </w:rPr>
              <w:t xml:space="preserve"> г.</w:t>
            </w:r>
          </w:p>
        </w:tc>
        <w:tc>
          <w:tcPr>
            <w:tcW w:w="1701" w:type="dxa"/>
            <w:tcBorders>
              <w:top w:val="single" w:sz="4" w:space="0" w:color="auto"/>
              <w:left w:val="nil"/>
              <w:bottom w:val="single" w:sz="4" w:space="0" w:color="auto"/>
              <w:right w:val="single" w:sz="4" w:space="0" w:color="auto"/>
            </w:tcBorders>
            <w:noWrap/>
            <w:vAlign w:val="center"/>
          </w:tcPr>
          <w:p w:rsidR="00863C99" w:rsidRPr="000E54EB" w:rsidRDefault="00863C99" w:rsidP="00187ABE">
            <w:pPr>
              <w:jc w:val="center"/>
              <w:rPr>
                <w:rFonts w:ascii="Verdana" w:hAnsi="Verdana" w:cs="Verdana"/>
                <w:b/>
                <w:bCs/>
                <w:sz w:val="20"/>
                <w:szCs w:val="20"/>
                <w:lang w:eastAsia="bg-BG"/>
              </w:rPr>
            </w:pPr>
            <w:r w:rsidRPr="000E54EB">
              <w:rPr>
                <w:rFonts w:ascii="Verdana" w:hAnsi="Verdana" w:cs="Verdana"/>
                <w:b/>
                <w:bCs/>
                <w:sz w:val="20"/>
                <w:szCs w:val="20"/>
                <w:lang w:eastAsia="bg-BG"/>
              </w:rPr>
              <w:t>20</w:t>
            </w:r>
            <w:r w:rsidR="00187ABE">
              <w:rPr>
                <w:rFonts w:ascii="Verdana" w:hAnsi="Verdana" w:cs="Verdana"/>
                <w:b/>
                <w:bCs/>
                <w:sz w:val="20"/>
                <w:szCs w:val="20"/>
                <w:lang w:eastAsia="bg-BG"/>
              </w:rPr>
              <w:t>19</w:t>
            </w:r>
            <w:r w:rsidRPr="000E54EB">
              <w:rPr>
                <w:rFonts w:ascii="Verdana" w:hAnsi="Verdana" w:cs="Verdana"/>
                <w:b/>
                <w:bCs/>
                <w:sz w:val="20"/>
                <w:szCs w:val="20"/>
                <w:lang w:eastAsia="bg-BG"/>
              </w:rPr>
              <w:t xml:space="preserve"> г.</w:t>
            </w:r>
          </w:p>
        </w:tc>
      </w:tr>
      <w:tr w:rsidR="00187ABE" w:rsidRPr="000E54EB">
        <w:trPr>
          <w:trHeight w:val="510"/>
        </w:trPr>
        <w:tc>
          <w:tcPr>
            <w:tcW w:w="6101" w:type="dxa"/>
            <w:tcBorders>
              <w:top w:val="nil"/>
              <w:left w:val="single" w:sz="4" w:space="0" w:color="auto"/>
              <w:bottom w:val="single" w:sz="4" w:space="0" w:color="auto"/>
              <w:right w:val="nil"/>
            </w:tcBorders>
            <w:shd w:val="clear" w:color="000000" w:fill="FFFFFF"/>
            <w:vAlign w:val="center"/>
          </w:tcPr>
          <w:p w:rsidR="00187ABE" w:rsidRPr="000E54EB" w:rsidRDefault="00187ABE" w:rsidP="00D0272B">
            <w:pPr>
              <w:jc w:val="left"/>
              <w:rPr>
                <w:rFonts w:ascii="Verdana" w:hAnsi="Verdana" w:cs="Verdana"/>
                <w:b/>
                <w:bCs/>
                <w:sz w:val="20"/>
                <w:szCs w:val="20"/>
                <w:lang w:eastAsia="bg-BG"/>
              </w:rPr>
            </w:pPr>
            <w:r w:rsidRPr="000E54EB">
              <w:rPr>
                <w:rFonts w:ascii="Verdana" w:hAnsi="Verdana" w:cs="Verdana"/>
                <w:b/>
                <w:bCs/>
                <w:sz w:val="20"/>
                <w:szCs w:val="20"/>
                <w:lang w:eastAsia="bg-BG"/>
              </w:rPr>
              <w:t>Приходи от договори с клиенти за продажби на продукция, в т.ч.:</w:t>
            </w:r>
          </w:p>
        </w:tc>
        <w:tc>
          <w:tcPr>
            <w:tcW w:w="1701" w:type="dxa"/>
            <w:tcBorders>
              <w:top w:val="nil"/>
              <w:left w:val="single" w:sz="4" w:space="0" w:color="auto"/>
              <w:bottom w:val="single" w:sz="4" w:space="0" w:color="auto"/>
              <w:right w:val="single" w:sz="4" w:space="0" w:color="auto"/>
            </w:tcBorders>
            <w:noWrap/>
            <w:vAlign w:val="center"/>
          </w:tcPr>
          <w:p w:rsidR="00187ABE" w:rsidRPr="000E54EB" w:rsidRDefault="00DD418F" w:rsidP="00B32431">
            <w:pPr>
              <w:jc w:val="center"/>
              <w:rPr>
                <w:rFonts w:ascii="Verdana" w:hAnsi="Verdana" w:cs="Verdana"/>
                <w:b/>
                <w:bCs/>
                <w:sz w:val="20"/>
                <w:szCs w:val="20"/>
                <w:lang w:eastAsia="bg-BG"/>
              </w:rPr>
            </w:pPr>
            <w:r>
              <w:rPr>
                <w:rFonts w:ascii="Verdana" w:hAnsi="Verdana" w:cs="Verdana"/>
                <w:b/>
                <w:bCs/>
                <w:sz w:val="20"/>
                <w:szCs w:val="20"/>
                <w:lang w:eastAsia="bg-BG"/>
              </w:rPr>
              <w:t>3 258</w:t>
            </w:r>
          </w:p>
        </w:tc>
        <w:tc>
          <w:tcPr>
            <w:tcW w:w="1701" w:type="dxa"/>
            <w:tcBorders>
              <w:top w:val="nil"/>
              <w:left w:val="nil"/>
              <w:bottom w:val="single" w:sz="4" w:space="0" w:color="auto"/>
              <w:right w:val="single" w:sz="4" w:space="0" w:color="auto"/>
            </w:tcBorders>
            <w:noWrap/>
            <w:vAlign w:val="center"/>
          </w:tcPr>
          <w:p w:rsidR="00187ABE" w:rsidRPr="00F25FCA" w:rsidRDefault="00187ABE" w:rsidP="00B617CE">
            <w:pPr>
              <w:jc w:val="center"/>
              <w:rPr>
                <w:rFonts w:ascii="Verdana" w:hAnsi="Verdana" w:cs="Arial"/>
                <w:b/>
                <w:bCs/>
                <w:sz w:val="20"/>
                <w:lang w:eastAsia="bg-BG"/>
              </w:rPr>
            </w:pPr>
            <w:r w:rsidRPr="00F25FCA">
              <w:rPr>
                <w:rFonts w:ascii="Verdana" w:hAnsi="Verdana" w:cs="Arial"/>
                <w:b/>
                <w:bCs/>
                <w:sz w:val="20"/>
                <w:lang w:eastAsia="bg-BG"/>
              </w:rPr>
              <w:t>3 179</w:t>
            </w:r>
          </w:p>
        </w:tc>
      </w:tr>
      <w:tr w:rsidR="00187ABE" w:rsidRPr="000E54EB">
        <w:trPr>
          <w:trHeight w:val="255"/>
        </w:trPr>
        <w:tc>
          <w:tcPr>
            <w:tcW w:w="6101" w:type="dxa"/>
            <w:tcBorders>
              <w:top w:val="nil"/>
              <w:left w:val="single" w:sz="4" w:space="0" w:color="auto"/>
              <w:bottom w:val="single" w:sz="4" w:space="0" w:color="auto"/>
              <w:right w:val="nil"/>
            </w:tcBorders>
            <w:noWrap/>
            <w:vAlign w:val="center"/>
          </w:tcPr>
          <w:p w:rsidR="00187ABE" w:rsidRPr="000E54EB" w:rsidRDefault="00187ABE" w:rsidP="00D0272B">
            <w:pPr>
              <w:jc w:val="left"/>
              <w:rPr>
                <w:rFonts w:ascii="Verdana" w:hAnsi="Verdana" w:cs="Verdana"/>
                <w:sz w:val="20"/>
                <w:szCs w:val="20"/>
                <w:lang w:eastAsia="bg-BG"/>
              </w:rPr>
            </w:pPr>
            <w:r w:rsidRPr="000E54EB">
              <w:rPr>
                <w:rFonts w:ascii="Verdana" w:hAnsi="Verdana" w:cs="Verdana"/>
                <w:sz w:val="20"/>
                <w:szCs w:val="20"/>
                <w:lang w:eastAsia="bg-BG"/>
              </w:rPr>
              <w:t>Продажби на електроенергия</w:t>
            </w:r>
          </w:p>
        </w:tc>
        <w:tc>
          <w:tcPr>
            <w:tcW w:w="1701" w:type="dxa"/>
            <w:tcBorders>
              <w:top w:val="nil"/>
              <w:left w:val="single" w:sz="4" w:space="0" w:color="auto"/>
              <w:bottom w:val="single" w:sz="4" w:space="0" w:color="auto"/>
              <w:right w:val="single" w:sz="4" w:space="0" w:color="auto"/>
            </w:tcBorders>
            <w:noWrap/>
            <w:vAlign w:val="center"/>
          </w:tcPr>
          <w:p w:rsidR="00187ABE" w:rsidRPr="00DD418F" w:rsidRDefault="00DD418F" w:rsidP="00B32431">
            <w:pPr>
              <w:jc w:val="center"/>
              <w:rPr>
                <w:rFonts w:ascii="Verdana" w:hAnsi="Verdana" w:cs="Verdana"/>
                <w:sz w:val="20"/>
                <w:szCs w:val="20"/>
                <w:lang w:eastAsia="bg-BG"/>
              </w:rPr>
            </w:pPr>
            <w:r>
              <w:rPr>
                <w:rFonts w:ascii="Verdana" w:hAnsi="Verdana" w:cs="Verdana"/>
                <w:sz w:val="20"/>
                <w:szCs w:val="20"/>
                <w:lang w:eastAsia="bg-BG"/>
              </w:rPr>
              <w:t>1 993</w:t>
            </w:r>
          </w:p>
        </w:tc>
        <w:tc>
          <w:tcPr>
            <w:tcW w:w="1701" w:type="dxa"/>
            <w:tcBorders>
              <w:top w:val="nil"/>
              <w:left w:val="nil"/>
              <w:bottom w:val="single" w:sz="4" w:space="0" w:color="auto"/>
              <w:right w:val="single" w:sz="4" w:space="0" w:color="auto"/>
            </w:tcBorders>
            <w:noWrap/>
            <w:vAlign w:val="center"/>
          </w:tcPr>
          <w:p w:rsidR="00187ABE" w:rsidRPr="00083CD8" w:rsidRDefault="00187ABE" w:rsidP="00B617CE">
            <w:pPr>
              <w:jc w:val="center"/>
              <w:rPr>
                <w:rFonts w:ascii="Verdana" w:hAnsi="Verdana" w:cs="Arial"/>
                <w:sz w:val="20"/>
                <w:lang w:eastAsia="bg-BG"/>
              </w:rPr>
            </w:pPr>
            <w:r w:rsidRPr="00083CD8">
              <w:rPr>
                <w:rFonts w:ascii="Verdana" w:hAnsi="Verdana" w:cs="Arial"/>
                <w:sz w:val="20"/>
                <w:lang w:eastAsia="bg-BG"/>
              </w:rPr>
              <w:t>1 905</w:t>
            </w:r>
          </w:p>
        </w:tc>
      </w:tr>
      <w:tr w:rsidR="00187ABE" w:rsidRPr="000E54EB">
        <w:trPr>
          <w:trHeight w:val="300"/>
        </w:trPr>
        <w:tc>
          <w:tcPr>
            <w:tcW w:w="6101" w:type="dxa"/>
            <w:tcBorders>
              <w:top w:val="nil"/>
              <w:left w:val="single" w:sz="4" w:space="0" w:color="auto"/>
              <w:bottom w:val="single" w:sz="4" w:space="0" w:color="auto"/>
              <w:right w:val="nil"/>
            </w:tcBorders>
            <w:noWrap/>
            <w:vAlign w:val="center"/>
          </w:tcPr>
          <w:p w:rsidR="00187ABE" w:rsidRPr="000E54EB" w:rsidRDefault="00187ABE" w:rsidP="00D0272B">
            <w:pPr>
              <w:jc w:val="left"/>
              <w:rPr>
                <w:rFonts w:ascii="Verdana" w:hAnsi="Verdana" w:cs="Verdana"/>
                <w:sz w:val="20"/>
                <w:szCs w:val="20"/>
                <w:lang w:eastAsia="bg-BG"/>
              </w:rPr>
            </w:pPr>
            <w:r w:rsidRPr="000E54EB">
              <w:rPr>
                <w:rFonts w:ascii="Verdana" w:hAnsi="Verdana" w:cs="Verdana"/>
                <w:sz w:val="20"/>
                <w:szCs w:val="20"/>
                <w:lang w:eastAsia="bg-BG"/>
              </w:rPr>
              <w:t>Продажби на топлоенергия</w:t>
            </w:r>
          </w:p>
        </w:tc>
        <w:tc>
          <w:tcPr>
            <w:tcW w:w="1701" w:type="dxa"/>
            <w:tcBorders>
              <w:top w:val="nil"/>
              <w:left w:val="single" w:sz="4" w:space="0" w:color="auto"/>
              <w:bottom w:val="single" w:sz="4" w:space="0" w:color="auto"/>
              <w:right w:val="single" w:sz="4" w:space="0" w:color="auto"/>
            </w:tcBorders>
            <w:noWrap/>
            <w:vAlign w:val="center"/>
          </w:tcPr>
          <w:p w:rsidR="00187ABE" w:rsidRPr="00DD418F" w:rsidRDefault="00DD418F" w:rsidP="00B32431">
            <w:pPr>
              <w:jc w:val="center"/>
              <w:rPr>
                <w:rFonts w:ascii="Verdana" w:hAnsi="Verdana" w:cs="Verdana"/>
                <w:sz w:val="20"/>
                <w:szCs w:val="20"/>
                <w:lang w:eastAsia="bg-BG"/>
              </w:rPr>
            </w:pPr>
            <w:r>
              <w:rPr>
                <w:rFonts w:ascii="Verdana" w:hAnsi="Verdana" w:cs="Verdana"/>
                <w:sz w:val="20"/>
                <w:szCs w:val="20"/>
                <w:lang w:eastAsia="bg-BG"/>
              </w:rPr>
              <w:t>1 265</w:t>
            </w:r>
          </w:p>
        </w:tc>
        <w:tc>
          <w:tcPr>
            <w:tcW w:w="1701" w:type="dxa"/>
            <w:tcBorders>
              <w:top w:val="nil"/>
              <w:left w:val="nil"/>
              <w:bottom w:val="single" w:sz="4" w:space="0" w:color="auto"/>
              <w:right w:val="single" w:sz="4" w:space="0" w:color="auto"/>
            </w:tcBorders>
            <w:noWrap/>
            <w:vAlign w:val="center"/>
          </w:tcPr>
          <w:p w:rsidR="00187ABE" w:rsidRPr="00083CD8" w:rsidRDefault="00187ABE" w:rsidP="00B617CE">
            <w:pPr>
              <w:jc w:val="center"/>
              <w:rPr>
                <w:rFonts w:ascii="Verdana" w:hAnsi="Verdana" w:cs="Arial"/>
                <w:sz w:val="20"/>
                <w:lang w:eastAsia="bg-BG"/>
              </w:rPr>
            </w:pPr>
            <w:r w:rsidRPr="00083CD8">
              <w:rPr>
                <w:rFonts w:ascii="Verdana" w:hAnsi="Verdana" w:cs="Arial"/>
                <w:sz w:val="20"/>
                <w:lang w:eastAsia="bg-BG"/>
              </w:rPr>
              <w:t>1 274</w:t>
            </w:r>
          </w:p>
        </w:tc>
      </w:tr>
      <w:tr w:rsidR="00187ABE" w:rsidRPr="000E54EB">
        <w:trPr>
          <w:trHeight w:val="354"/>
        </w:trPr>
        <w:tc>
          <w:tcPr>
            <w:tcW w:w="6101" w:type="dxa"/>
            <w:tcBorders>
              <w:top w:val="nil"/>
              <w:left w:val="single" w:sz="4" w:space="0" w:color="auto"/>
              <w:bottom w:val="single" w:sz="4" w:space="0" w:color="auto"/>
              <w:right w:val="nil"/>
            </w:tcBorders>
            <w:shd w:val="clear" w:color="000000" w:fill="FFFFFF"/>
            <w:vAlign w:val="center"/>
          </w:tcPr>
          <w:p w:rsidR="00187ABE" w:rsidRPr="000E54EB" w:rsidRDefault="00187ABE" w:rsidP="00D0272B">
            <w:pPr>
              <w:jc w:val="left"/>
              <w:rPr>
                <w:rFonts w:ascii="Verdana" w:hAnsi="Verdana" w:cs="Verdana"/>
                <w:b/>
                <w:bCs/>
                <w:sz w:val="20"/>
                <w:szCs w:val="20"/>
                <w:lang w:eastAsia="bg-BG"/>
              </w:rPr>
            </w:pPr>
            <w:r w:rsidRPr="000E54EB">
              <w:rPr>
                <w:rFonts w:ascii="Verdana" w:hAnsi="Verdana" w:cs="Verdana"/>
                <w:b/>
                <w:bCs/>
                <w:sz w:val="20"/>
                <w:szCs w:val="20"/>
                <w:lang w:eastAsia="bg-BG"/>
              </w:rPr>
              <w:t>Приходи от договори с клиенти за продажби на услуги, в т.ч.:</w:t>
            </w:r>
          </w:p>
        </w:tc>
        <w:tc>
          <w:tcPr>
            <w:tcW w:w="1701" w:type="dxa"/>
            <w:tcBorders>
              <w:top w:val="nil"/>
              <w:left w:val="single" w:sz="4" w:space="0" w:color="auto"/>
              <w:bottom w:val="single" w:sz="4" w:space="0" w:color="auto"/>
              <w:right w:val="single" w:sz="4" w:space="0" w:color="auto"/>
            </w:tcBorders>
            <w:noWrap/>
            <w:vAlign w:val="center"/>
          </w:tcPr>
          <w:p w:rsidR="00187ABE" w:rsidRPr="0078057E" w:rsidRDefault="0078057E" w:rsidP="00B32431">
            <w:pPr>
              <w:jc w:val="center"/>
              <w:rPr>
                <w:rFonts w:ascii="Verdana" w:hAnsi="Verdana" w:cs="Verdana"/>
                <w:b/>
                <w:bCs/>
                <w:sz w:val="20"/>
                <w:szCs w:val="20"/>
                <w:lang w:eastAsia="bg-BG"/>
              </w:rPr>
            </w:pPr>
            <w:r>
              <w:rPr>
                <w:rFonts w:ascii="Verdana" w:hAnsi="Verdana" w:cs="Verdana"/>
                <w:b/>
                <w:bCs/>
                <w:sz w:val="20"/>
                <w:szCs w:val="20"/>
                <w:lang w:eastAsia="bg-BG"/>
              </w:rPr>
              <w:t>55</w:t>
            </w:r>
          </w:p>
        </w:tc>
        <w:tc>
          <w:tcPr>
            <w:tcW w:w="1701" w:type="dxa"/>
            <w:tcBorders>
              <w:top w:val="nil"/>
              <w:left w:val="nil"/>
              <w:bottom w:val="single" w:sz="4" w:space="0" w:color="auto"/>
              <w:right w:val="single" w:sz="4" w:space="0" w:color="auto"/>
            </w:tcBorders>
            <w:noWrap/>
            <w:vAlign w:val="center"/>
          </w:tcPr>
          <w:p w:rsidR="00187ABE" w:rsidRPr="00F25FCA" w:rsidRDefault="00187ABE" w:rsidP="00B617CE">
            <w:pPr>
              <w:jc w:val="center"/>
              <w:rPr>
                <w:rFonts w:ascii="Verdana" w:hAnsi="Verdana" w:cs="Arial"/>
                <w:b/>
                <w:bCs/>
                <w:sz w:val="20"/>
                <w:lang w:eastAsia="bg-BG"/>
              </w:rPr>
            </w:pPr>
            <w:r>
              <w:rPr>
                <w:rFonts w:ascii="Verdana" w:hAnsi="Verdana" w:cs="Arial"/>
                <w:b/>
                <w:bCs/>
                <w:sz w:val="20"/>
                <w:lang w:eastAsia="bg-BG"/>
              </w:rPr>
              <w:t>55</w:t>
            </w:r>
          </w:p>
        </w:tc>
      </w:tr>
      <w:tr w:rsidR="00187ABE" w:rsidRPr="000E54EB">
        <w:trPr>
          <w:trHeight w:val="255"/>
        </w:trPr>
        <w:tc>
          <w:tcPr>
            <w:tcW w:w="6101" w:type="dxa"/>
            <w:tcBorders>
              <w:top w:val="nil"/>
              <w:left w:val="single" w:sz="4" w:space="0" w:color="auto"/>
              <w:bottom w:val="single" w:sz="4" w:space="0" w:color="auto"/>
              <w:right w:val="nil"/>
            </w:tcBorders>
            <w:noWrap/>
            <w:vAlign w:val="center"/>
          </w:tcPr>
          <w:p w:rsidR="00187ABE" w:rsidRPr="000E54EB" w:rsidRDefault="00187ABE" w:rsidP="00D0272B">
            <w:pPr>
              <w:jc w:val="left"/>
              <w:rPr>
                <w:rFonts w:ascii="Verdana" w:hAnsi="Verdana" w:cs="Verdana"/>
                <w:sz w:val="20"/>
                <w:szCs w:val="20"/>
                <w:lang w:eastAsia="bg-BG"/>
              </w:rPr>
            </w:pPr>
            <w:r w:rsidRPr="000E54EB">
              <w:rPr>
                <w:rFonts w:ascii="Verdana" w:hAnsi="Verdana" w:cs="Verdana"/>
                <w:sz w:val="20"/>
                <w:szCs w:val="20"/>
                <w:lang w:eastAsia="bg-BG"/>
              </w:rPr>
              <w:t>Продажби на други услуги</w:t>
            </w:r>
          </w:p>
        </w:tc>
        <w:tc>
          <w:tcPr>
            <w:tcW w:w="1701" w:type="dxa"/>
            <w:tcBorders>
              <w:top w:val="nil"/>
              <w:left w:val="single" w:sz="4" w:space="0" w:color="auto"/>
              <w:bottom w:val="single" w:sz="4" w:space="0" w:color="auto"/>
              <w:right w:val="single" w:sz="4" w:space="0" w:color="auto"/>
            </w:tcBorders>
            <w:noWrap/>
            <w:vAlign w:val="center"/>
          </w:tcPr>
          <w:p w:rsidR="00187ABE" w:rsidRPr="0078057E" w:rsidRDefault="0078057E" w:rsidP="00B32431">
            <w:pPr>
              <w:jc w:val="center"/>
              <w:rPr>
                <w:rFonts w:ascii="Verdana" w:hAnsi="Verdana" w:cs="Verdana"/>
                <w:sz w:val="20"/>
                <w:szCs w:val="20"/>
                <w:lang w:eastAsia="bg-BG"/>
              </w:rPr>
            </w:pPr>
            <w:r>
              <w:rPr>
                <w:rFonts w:ascii="Verdana" w:hAnsi="Verdana" w:cs="Verdana"/>
                <w:sz w:val="20"/>
                <w:szCs w:val="20"/>
                <w:lang w:eastAsia="bg-BG"/>
              </w:rPr>
              <w:t>55</w:t>
            </w:r>
          </w:p>
        </w:tc>
        <w:tc>
          <w:tcPr>
            <w:tcW w:w="1701" w:type="dxa"/>
            <w:tcBorders>
              <w:top w:val="nil"/>
              <w:left w:val="nil"/>
              <w:bottom w:val="single" w:sz="4" w:space="0" w:color="auto"/>
              <w:right w:val="single" w:sz="4" w:space="0" w:color="auto"/>
            </w:tcBorders>
            <w:noWrap/>
            <w:vAlign w:val="center"/>
          </w:tcPr>
          <w:p w:rsidR="00187ABE" w:rsidRPr="000E54EB" w:rsidRDefault="00187ABE" w:rsidP="001F704A">
            <w:pPr>
              <w:jc w:val="center"/>
              <w:rPr>
                <w:rFonts w:ascii="Verdana" w:hAnsi="Verdana" w:cs="Verdana"/>
                <w:sz w:val="20"/>
                <w:szCs w:val="20"/>
                <w:lang w:eastAsia="bg-BG"/>
              </w:rPr>
            </w:pPr>
            <w:r>
              <w:rPr>
                <w:rFonts w:ascii="Verdana" w:hAnsi="Verdana" w:cs="Verdana"/>
                <w:sz w:val="20"/>
                <w:szCs w:val="20"/>
                <w:lang w:eastAsia="bg-BG"/>
              </w:rPr>
              <w:t>55</w:t>
            </w:r>
          </w:p>
        </w:tc>
      </w:tr>
      <w:tr w:rsidR="00187ABE" w:rsidRPr="000E54EB">
        <w:trPr>
          <w:trHeight w:val="255"/>
        </w:trPr>
        <w:tc>
          <w:tcPr>
            <w:tcW w:w="6101" w:type="dxa"/>
            <w:tcBorders>
              <w:top w:val="nil"/>
              <w:left w:val="single" w:sz="4" w:space="0" w:color="auto"/>
              <w:bottom w:val="single" w:sz="4" w:space="0" w:color="auto"/>
              <w:right w:val="nil"/>
            </w:tcBorders>
            <w:shd w:val="clear" w:color="000000" w:fill="C5D9F1"/>
            <w:noWrap/>
            <w:vAlign w:val="center"/>
          </w:tcPr>
          <w:p w:rsidR="00187ABE" w:rsidRPr="000E54EB" w:rsidRDefault="00187ABE" w:rsidP="00D0272B">
            <w:pPr>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1701" w:type="dxa"/>
            <w:tcBorders>
              <w:top w:val="nil"/>
              <w:left w:val="single" w:sz="4" w:space="0" w:color="auto"/>
              <w:bottom w:val="single" w:sz="4" w:space="0" w:color="auto"/>
              <w:right w:val="single" w:sz="4" w:space="0" w:color="auto"/>
            </w:tcBorders>
            <w:shd w:val="clear" w:color="000000" w:fill="C5D9F1"/>
            <w:noWrap/>
            <w:vAlign w:val="center"/>
          </w:tcPr>
          <w:p w:rsidR="00187ABE" w:rsidRPr="0078057E" w:rsidRDefault="0078057E" w:rsidP="00B32431">
            <w:pPr>
              <w:jc w:val="center"/>
              <w:rPr>
                <w:rFonts w:ascii="Verdana" w:hAnsi="Verdana" w:cs="Verdana"/>
                <w:b/>
                <w:bCs/>
                <w:sz w:val="20"/>
                <w:szCs w:val="20"/>
                <w:lang w:eastAsia="bg-BG"/>
              </w:rPr>
            </w:pPr>
            <w:r>
              <w:rPr>
                <w:rFonts w:ascii="Verdana" w:hAnsi="Verdana" w:cs="Verdana"/>
                <w:b/>
                <w:bCs/>
                <w:sz w:val="20"/>
                <w:szCs w:val="20"/>
                <w:lang w:eastAsia="bg-BG"/>
              </w:rPr>
              <w:t>3 313</w:t>
            </w:r>
          </w:p>
        </w:tc>
        <w:tc>
          <w:tcPr>
            <w:tcW w:w="1701" w:type="dxa"/>
            <w:tcBorders>
              <w:top w:val="nil"/>
              <w:left w:val="nil"/>
              <w:bottom w:val="single" w:sz="4" w:space="0" w:color="auto"/>
              <w:right w:val="single" w:sz="4" w:space="0" w:color="auto"/>
            </w:tcBorders>
            <w:shd w:val="clear" w:color="000000" w:fill="C5D9F1"/>
            <w:noWrap/>
            <w:vAlign w:val="center"/>
          </w:tcPr>
          <w:p w:rsidR="00187ABE" w:rsidRPr="000E54EB" w:rsidRDefault="00187ABE" w:rsidP="001F704A">
            <w:pPr>
              <w:jc w:val="center"/>
              <w:rPr>
                <w:rFonts w:ascii="Verdana" w:hAnsi="Verdana" w:cs="Verdana"/>
                <w:b/>
                <w:bCs/>
                <w:sz w:val="20"/>
                <w:szCs w:val="20"/>
                <w:lang w:eastAsia="bg-BG"/>
              </w:rPr>
            </w:pPr>
            <w:r>
              <w:rPr>
                <w:rFonts w:ascii="Verdana" w:hAnsi="Verdana" w:cs="Verdana"/>
                <w:b/>
                <w:bCs/>
                <w:sz w:val="20"/>
                <w:szCs w:val="20"/>
                <w:lang w:eastAsia="bg-BG"/>
              </w:rPr>
              <w:t>3 234</w:t>
            </w:r>
          </w:p>
        </w:tc>
      </w:tr>
    </w:tbl>
    <w:p w:rsidR="00863C99" w:rsidRPr="000E54EB" w:rsidRDefault="00863C99" w:rsidP="00922BE3">
      <w:pPr>
        <w:pStyle w:val="Heading4"/>
        <w:rPr>
          <w:rFonts w:ascii="Verdana" w:hAnsi="Verdana" w:cs="Verdana"/>
          <w:i w:val="0"/>
          <w:iCs w:val="0"/>
          <w:lang w:val="bg-BG"/>
        </w:rPr>
      </w:pPr>
      <w:bookmarkStart w:id="111" w:name="_Toc4328828"/>
      <w:bookmarkStart w:id="112" w:name="_Toc247959162"/>
      <w:bookmarkStart w:id="113" w:name="_Toc314519581"/>
      <w:r w:rsidRPr="000E54EB">
        <w:rPr>
          <w:rFonts w:ascii="Verdana" w:hAnsi="Verdana" w:cs="Verdana"/>
          <w:i w:val="0"/>
          <w:iCs w:val="0"/>
          <w:lang w:val="bg-BG"/>
        </w:rPr>
        <w:t>1.1.1.1. Приходи от договори с клиенти</w:t>
      </w:r>
      <w:bookmarkEnd w:id="111"/>
    </w:p>
    <w:tbl>
      <w:tblPr>
        <w:tblW w:w="9503" w:type="dxa"/>
        <w:tblInd w:w="-68" w:type="dxa"/>
        <w:tblCellMar>
          <w:left w:w="70" w:type="dxa"/>
          <w:right w:w="70" w:type="dxa"/>
        </w:tblCellMar>
        <w:tblLook w:val="00A0" w:firstRow="1" w:lastRow="0" w:firstColumn="1" w:lastColumn="0" w:noHBand="0" w:noVBand="0"/>
      </w:tblPr>
      <w:tblGrid>
        <w:gridCol w:w="6101"/>
        <w:gridCol w:w="1447"/>
        <w:gridCol w:w="254"/>
        <w:gridCol w:w="680"/>
        <w:gridCol w:w="934"/>
        <w:gridCol w:w="87"/>
      </w:tblGrid>
      <w:tr w:rsidR="00863C99" w:rsidRPr="000E54EB">
        <w:trPr>
          <w:trHeight w:val="441"/>
        </w:trPr>
        <w:tc>
          <w:tcPr>
            <w:tcW w:w="6101" w:type="dxa"/>
            <w:tcBorders>
              <w:top w:val="single" w:sz="4" w:space="0" w:color="auto"/>
              <w:left w:val="single" w:sz="4" w:space="0" w:color="auto"/>
              <w:bottom w:val="single" w:sz="4" w:space="0" w:color="auto"/>
              <w:right w:val="nil"/>
            </w:tcBorders>
            <w:vAlign w:val="center"/>
          </w:tcPr>
          <w:p w:rsidR="00863C99" w:rsidRPr="000E54EB" w:rsidRDefault="00863C99" w:rsidP="00A13023">
            <w:pPr>
              <w:jc w:val="left"/>
              <w:rPr>
                <w:rFonts w:ascii="Verdana" w:hAnsi="Verdana" w:cs="Verdana"/>
                <w:b/>
                <w:bCs/>
                <w:sz w:val="20"/>
                <w:szCs w:val="20"/>
                <w:lang w:eastAsia="bg-BG"/>
              </w:rPr>
            </w:pPr>
            <w:r w:rsidRPr="000E54EB">
              <w:rPr>
                <w:rFonts w:ascii="Verdana" w:hAnsi="Verdana" w:cs="Verdana"/>
                <w:b/>
                <w:bCs/>
                <w:sz w:val="20"/>
                <w:szCs w:val="20"/>
                <w:lang w:eastAsia="bg-BG"/>
              </w:rPr>
              <w:t>Приходи от договори с клиенти по географски региони, в т.ч.:</w:t>
            </w:r>
          </w:p>
        </w:tc>
        <w:tc>
          <w:tcPr>
            <w:tcW w:w="1701" w:type="dxa"/>
            <w:gridSpan w:val="2"/>
            <w:tcBorders>
              <w:top w:val="single" w:sz="4" w:space="0" w:color="auto"/>
              <w:left w:val="single" w:sz="4" w:space="0" w:color="auto"/>
              <w:bottom w:val="single" w:sz="4" w:space="0" w:color="auto"/>
              <w:right w:val="single" w:sz="4" w:space="0" w:color="auto"/>
            </w:tcBorders>
            <w:noWrap/>
            <w:vAlign w:val="center"/>
          </w:tcPr>
          <w:p w:rsidR="00863C99" w:rsidRPr="000E54EB" w:rsidRDefault="00E41616" w:rsidP="003B00BC">
            <w:pPr>
              <w:jc w:val="center"/>
              <w:rPr>
                <w:rFonts w:ascii="Verdana" w:hAnsi="Verdana" w:cs="Verdana"/>
                <w:b/>
                <w:bCs/>
                <w:sz w:val="20"/>
                <w:szCs w:val="20"/>
                <w:lang w:eastAsia="bg-BG"/>
              </w:rPr>
            </w:pPr>
            <w:r>
              <w:rPr>
                <w:rFonts w:ascii="Verdana" w:hAnsi="Verdana" w:cs="Verdana"/>
                <w:b/>
                <w:bCs/>
                <w:sz w:val="20"/>
                <w:szCs w:val="20"/>
                <w:lang w:eastAsia="bg-BG"/>
              </w:rPr>
              <w:t>2020</w:t>
            </w:r>
            <w:r w:rsidR="00863C99" w:rsidRPr="000E54EB">
              <w:rPr>
                <w:rFonts w:ascii="Verdana" w:hAnsi="Verdana" w:cs="Verdana"/>
                <w:b/>
                <w:bCs/>
                <w:sz w:val="20"/>
                <w:szCs w:val="20"/>
                <w:lang w:eastAsia="bg-BG"/>
              </w:rPr>
              <w:t xml:space="preserve"> г.</w:t>
            </w:r>
          </w:p>
        </w:tc>
        <w:tc>
          <w:tcPr>
            <w:tcW w:w="1701" w:type="dxa"/>
            <w:gridSpan w:val="3"/>
            <w:tcBorders>
              <w:top w:val="single" w:sz="4" w:space="0" w:color="auto"/>
              <w:left w:val="nil"/>
              <w:bottom w:val="single" w:sz="4" w:space="0" w:color="auto"/>
              <w:right w:val="single" w:sz="4" w:space="0" w:color="auto"/>
            </w:tcBorders>
            <w:noWrap/>
            <w:vAlign w:val="center"/>
          </w:tcPr>
          <w:p w:rsidR="00863C99" w:rsidRPr="000E54EB" w:rsidRDefault="00863C99" w:rsidP="00CC65D3">
            <w:pPr>
              <w:jc w:val="center"/>
              <w:rPr>
                <w:rFonts w:ascii="Verdana" w:hAnsi="Verdana" w:cs="Verdana"/>
                <w:b/>
                <w:bCs/>
                <w:sz w:val="20"/>
                <w:szCs w:val="20"/>
                <w:lang w:eastAsia="bg-BG"/>
              </w:rPr>
            </w:pPr>
            <w:r w:rsidRPr="000E54EB">
              <w:rPr>
                <w:rFonts w:ascii="Verdana" w:hAnsi="Verdana" w:cs="Verdana"/>
                <w:b/>
                <w:bCs/>
                <w:sz w:val="20"/>
                <w:szCs w:val="20"/>
                <w:lang w:eastAsia="bg-BG"/>
              </w:rPr>
              <w:t>201</w:t>
            </w:r>
            <w:r w:rsidR="00E41616">
              <w:rPr>
                <w:rFonts w:ascii="Verdana" w:hAnsi="Verdana" w:cs="Verdana"/>
                <w:b/>
                <w:bCs/>
                <w:sz w:val="20"/>
                <w:szCs w:val="20"/>
                <w:lang w:eastAsia="bg-BG"/>
              </w:rPr>
              <w:t>9</w:t>
            </w:r>
            <w:r w:rsidRPr="000E54EB">
              <w:rPr>
                <w:rFonts w:ascii="Verdana" w:hAnsi="Verdana" w:cs="Verdana"/>
                <w:b/>
                <w:bCs/>
                <w:sz w:val="20"/>
                <w:szCs w:val="20"/>
                <w:lang w:eastAsia="bg-BG"/>
              </w:rPr>
              <w:t xml:space="preserve"> г.</w:t>
            </w:r>
          </w:p>
        </w:tc>
      </w:tr>
      <w:tr w:rsidR="00863C99" w:rsidRPr="000E54EB">
        <w:trPr>
          <w:trHeight w:val="300"/>
        </w:trPr>
        <w:tc>
          <w:tcPr>
            <w:tcW w:w="6101" w:type="dxa"/>
            <w:tcBorders>
              <w:top w:val="nil"/>
              <w:left w:val="single" w:sz="4" w:space="0" w:color="000000"/>
              <w:bottom w:val="single" w:sz="4" w:space="0" w:color="000000"/>
              <w:right w:val="nil"/>
            </w:tcBorders>
            <w:noWrap/>
            <w:vAlign w:val="center"/>
          </w:tcPr>
          <w:p w:rsidR="00863C99" w:rsidRPr="000E54EB" w:rsidRDefault="00863C99" w:rsidP="00A13023">
            <w:pPr>
              <w:jc w:val="left"/>
              <w:rPr>
                <w:rFonts w:ascii="Verdana" w:hAnsi="Verdana" w:cs="Verdana"/>
                <w:sz w:val="20"/>
                <w:szCs w:val="20"/>
                <w:lang w:eastAsia="bg-BG"/>
              </w:rPr>
            </w:pPr>
            <w:r w:rsidRPr="000E54EB">
              <w:rPr>
                <w:rFonts w:ascii="Verdana" w:hAnsi="Verdana" w:cs="Verdana"/>
                <w:sz w:val="20"/>
                <w:szCs w:val="20"/>
                <w:lang w:eastAsia="bg-BG"/>
              </w:rPr>
              <w:t>Продажби в лицензионна територия – Разград, София</w:t>
            </w:r>
          </w:p>
        </w:tc>
        <w:tc>
          <w:tcPr>
            <w:tcW w:w="1701" w:type="dxa"/>
            <w:gridSpan w:val="2"/>
            <w:tcBorders>
              <w:top w:val="nil"/>
              <w:left w:val="single" w:sz="4" w:space="0" w:color="auto"/>
              <w:bottom w:val="single" w:sz="4" w:space="0" w:color="auto"/>
              <w:right w:val="single" w:sz="4" w:space="0" w:color="auto"/>
            </w:tcBorders>
            <w:noWrap/>
            <w:vAlign w:val="center"/>
          </w:tcPr>
          <w:p w:rsidR="00863C99" w:rsidRPr="00E41616" w:rsidRDefault="00E41616" w:rsidP="00A13023">
            <w:pPr>
              <w:jc w:val="center"/>
              <w:rPr>
                <w:rFonts w:ascii="Verdana" w:hAnsi="Verdana" w:cs="Verdana"/>
                <w:sz w:val="20"/>
                <w:szCs w:val="20"/>
                <w:lang w:eastAsia="bg-BG"/>
              </w:rPr>
            </w:pPr>
            <w:r>
              <w:rPr>
                <w:rFonts w:ascii="Verdana" w:hAnsi="Verdana" w:cs="Verdana"/>
                <w:sz w:val="20"/>
                <w:szCs w:val="20"/>
                <w:lang w:eastAsia="bg-BG"/>
              </w:rPr>
              <w:t>3 313</w:t>
            </w:r>
          </w:p>
        </w:tc>
        <w:tc>
          <w:tcPr>
            <w:tcW w:w="1701" w:type="dxa"/>
            <w:gridSpan w:val="3"/>
            <w:tcBorders>
              <w:top w:val="nil"/>
              <w:left w:val="nil"/>
              <w:bottom w:val="single" w:sz="4" w:space="0" w:color="auto"/>
              <w:right w:val="single" w:sz="4" w:space="0" w:color="auto"/>
            </w:tcBorders>
            <w:noWrap/>
            <w:vAlign w:val="center"/>
          </w:tcPr>
          <w:p w:rsidR="00863C99" w:rsidRPr="00E41616" w:rsidRDefault="00E41616" w:rsidP="00CC65D3">
            <w:pPr>
              <w:jc w:val="center"/>
              <w:rPr>
                <w:rFonts w:ascii="Verdana" w:hAnsi="Verdana" w:cs="Verdana"/>
                <w:sz w:val="20"/>
                <w:szCs w:val="20"/>
                <w:lang w:eastAsia="bg-BG"/>
              </w:rPr>
            </w:pPr>
            <w:r>
              <w:rPr>
                <w:rFonts w:ascii="Verdana" w:hAnsi="Verdana" w:cs="Verdana"/>
                <w:sz w:val="20"/>
                <w:szCs w:val="20"/>
                <w:lang w:eastAsia="bg-BG"/>
              </w:rPr>
              <w:t>3 234</w:t>
            </w:r>
          </w:p>
        </w:tc>
      </w:tr>
      <w:tr w:rsidR="00863C99" w:rsidRPr="000E54EB">
        <w:trPr>
          <w:trHeight w:val="300"/>
        </w:trPr>
        <w:tc>
          <w:tcPr>
            <w:tcW w:w="6101" w:type="dxa"/>
            <w:tcBorders>
              <w:top w:val="nil"/>
              <w:left w:val="single" w:sz="4" w:space="0" w:color="auto"/>
              <w:bottom w:val="single" w:sz="4" w:space="0" w:color="auto"/>
              <w:right w:val="nil"/>
            </w:tcBorders>
            <w:shd w:val="clear" w:color="000000" w:fill="C5D9F1"/>
            <w:noWrap/>
            <w:vAlign w:val="center"/>
          </w:tcPr>
          <w:p w:rsidR="00863C99" w:rsidRPr="000E54EB" w:rsidRDefault="00863C99" w:rsidP="00A13023">
            <w:pPr>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1701" w:type="dxa"/>
            <w:gridSpan w:val="2"/>
            <w:tcBorders>
              <w:top w:val="nil"/>
              <w:left w:val="single" w:sz="4" w:space="0" w:color="auto"/>
              <w:bottom w:val="single" w:sz="4" w:space="0" w:color="auto"/>
              <w:right w:val="single" w:sz="4" w:space="0" w:color="auto"/>
            </w:tcBorders>
            <w:shd w:val="clear" w:color="000000" w:fill="C5D9F1"/>
            <w:noWrap/>
            <w:vAlign w:val="center"/>
          </w:tcPr>
          <w:p w:rsidR="00863C99" w:rsidRPr="00E41616" w:rsidRDefault="00E41616" w:rsidP="00A13023">
            <w:pPr>
              <w:jc w:val="center"/>
              <w:rPr>
                <w:rFonts w:ascii="Verdana" w:hAnsi="Verdana" w:cs="Verdana"/>
                <w:b/>
                <w:bCs/>
                <w:sz w:val="20"/>
                <w:szCs w:val="20"/>
                <w:lang w:eastAsia="bg-BG"/>
              </w:rPr>
            </w:pPr>
            <w:r>
              <w:rPr>
                <w:rFonts w:ascii="Verdana" w:hAnsi="Verdana" w:cs="Verdana"/>
                <w:b/>
                <w:bCs/>
                <w:sz w:val="20"/>
                <w:szCs w:val="20"/>
                <w:lang w:eastAsia="bg-BG"/>
              </w:rPr>
              <w:t>3 313</w:t>
            </w:r>
          </w:p>
        </w:tc>
        <w:tc>
          <w:tcPr>
            <w:tcW w:w="1701" w:type="dxa"/>
            <w:gridSpan w:val="3"/>
            <w:tcBorders>
              <w:top w:val="nil"/>
              <w:left w:val="nil"/>
              <w:bottom w:val="single" w:sz="4" w:space="0" w:color="auto"/>
              <w:right w:val="single" w:sz="4" w:space="0" w:color="auto"/>
            </w:tcBorders>
            <w:shd w:val="clear" w:color="000000" w:fill="C5D9F1"/>
            <w:noWrap/>
            <w:vAlign w:val="center"/>
          </w:tcPr>
          <w:p w:rsidR="00863C99" w:rsidRPr="00E41616" w:rsidRDefault="00E41616" w:rsidP="00A13023">
            <w:pPr>
              <w:jc w:val="center"/>
              <w:rPr>
                <w:rFonts w:ascii="Verdana" w:hAnsi="Verdana" w:cs="Verdana"/>
                <w:b/>
                <w:bCs/>
                <w:sz w:val="20"/>
                <w:szCs w:val="20"/>
                <w:lang w:eastAsia="bg-BG"/>
              </w:rPr>
            </w:pPr>
            <w:r>
              <w:rPr>
                <w:rFonts w:ascii="Verdana" w:hAnsi="Verdana" w:cs="Verdana"/>
                <w:b/>
                <w:bCs/>
                <w:sz w:val="20"/>
                <w:szCs w:val="20"/>
                <w:lang w:eastAsia="bg-BG"/>
              </w:rPr>
              <w:t>3 234</w:t>
            </w:r>
          </w:p>
        </w:tc>
      </w:tr>
      <w:tr w:rsidR="00863C99" w:rsidRPr="000E54EB">
        <w:trPr>
          <w:gridAfter w:val="1"/>
          <w:wAfter w:w="87" w:type="dxa"/>
          <w:trHeight w:val="300"/>
        </w:trPr>
        <w:tc>
          <w:tcPr>
            <w:tcW w:w="7548" w:type="dxa"/>
            <w:gridSpan w:val="2"/>
            <w:tcBorders>
              <w:top w:val="nil"/>
              <w:left w:val="nil"/>
              <w:bottom w:val="nil"/>
              <w:right w:val="nil"/>
            </w:tcBorders>
            <w:noWrap/>
            <w:vAlign w:val="center"/>
          </w:tcPr>
          <w:p w:rsidR="00863C99" w:rsidRPr="000E54EB" w:rsidRDefault="00863C99" w:rsidP="00A13023">
            <w:pPr>
              <w:jc w:val="left"/>
              <w:rPr>
                <w:rFonts w:ascii="Verdana" w:hAnsi="Verdana" w:cs="Verdana"/>
                <w:sz w:val="20"/>
                <w:szCs w:val="20"/>
                <w:lang w:eastAsia="bg-BG"/>
              </w:rPr>
            </w:pPr>
            <w:r w:rsidRPr="000E54EB">
              <w:rPr>
                <w:rFonts w:ascii="Verdana" w:hAnsi="Verdana" w:cs="Verdana"/>
                <w:sz w:val="20"/>
                <w:szCs w:val="20"/>
                <w:lang w:eastAsia="bg-BG"/>
              </w:rPr>
              <w:t> </w:t>
            </w:r>
          </w:p>
        </w:tc>
        <w:tc>
          <w:tcPr>
            <w:tcW w:w="934" w:type="dxa"/>
            <w:gridSpan w:val="2"/>
            <w:tcBorders>
              <w:top w:val="nil"/>
              <w:left w:val="nil"/>
              <w:bottom w:val="nil"/>
              <w:right w:val="nil"/>
            </w:tcBorders>
            <w:noWrap/>
            <w:vAlign w:val="center"/>
          </w:tcPr>
          <w:p w:rsidR="00863C99" w:rsidRPr="000E54EB" w:rsidRDefault="00863C99" w:rsidP="00A13023">
            <w:pPr>
              <w:jc w:val="left"/>
              <w:rPr>
                <w:rFonts w:ascii="Verdana" w:hAnsi="Verdana" w:cs="Verdana"/>
                <w:sz w:val="20"/>
                <w:szCs w:val="20"/>
                <w:lang w:eastAsia="bg-BG"/>
              </w:rPr>
            </w:pPr>
            <w:r w:rsidRPr="000E54EB">
              <w:rPr>
                <w:rFonts w:ascii="Verdana" w:hAnsi="Verdana" w:cs="Verdana"/>
                <w:sz w:val="20"/>
                <w:szCs w:val="20"/>
                <w:lang w:eastAsia="bg-BG"/>
              </w:rPr>
              <w:t> </w:t>
            </w:r>
          </w:p>
        </w:tc>
        <w:tc>
          <w:tcPr>
            <w:tcW w:w="934" w:type="dxa"/>
            <w:tcBorders>
              <w:top w:val="nil"/>
              <w:left w:val="nil"/>
              <w:bottom w:val="nil"/>
              <w:right w:val="nil"/>
            </w:tcBorders>
            <w:noWrap/>
            <w:vAlign w:val="center"/>
          </w:tcPr>
          <w:p w:rsidR="00863C99" w:rsidRPr="000E54EB" w:rsidRDefault="00863C99" w:rsidP="00A13023">
            <w:pPr>
              <w:jc w:val="left"/>
              <w:rPr>
                <w:rFonts w:ascii="Verdana" w:hAnsi="Verdana" w:cs="Verdana"/>
                <w:sz w:val="20"/>
                <w:szCs w:val="20"/>
                <w:lang w:eastAsia="bg-BG"/>
              </w:rPr>
            </w:pPr>
            <w:r w:rsidRPr="000E54EB">
              <w:rPr>
                <w:rFonts w:ascii="Verdana" w:hAnsi="Verdana" w:cs="Verdana"/>
                <w:sz w:val="20"/>
                <w:szCs w:val="20"/>
                <w:lang w:eastAsia="bg-BG"/>
              </w:rPr>
              <w:t> </w:t>
            </w:r>
          </w:p>
        </w:tc>
      </w:tr>
      <w:tr w:rsidR="00863C99" w:rsidRPr="000E54EB">
        <w:trPr>
          <w:trHeight w:val="333"/>
        </w:trPr>
        <w:tc>
          <w:tcPr>
            <w:tcW w:w="6101" w:type="dxa"/>
            <w:tcBorders>
              <w:top w:val="single" w:sz="4" w:space="0" w:color="auto"/>
              <w:left w:val="single" w:sz="4" w:space="0" w:color="auto"/>
              <w:bottom w:val="single" w:sz="4" w:space="0" w:color="auto"/>
              <w:right w:val="nil"/>
            </w:tcBorders>
            <w:shd w:val="clear" w:color="000000" w:fill="FFFFFF"/>
            <w:vAlign w:val="center"/>
          </w:tcPr>
          <w:p w:rsidR="00863C99" w:rsidRPr="000E54EB" w:rsidRDefault="00863C99" w:rsidP="00A13023">
            <w:pPr>
              <w:jc w:val="left"/>
              <w:rPr>
                <w:rFonts w:ascii="Verdana" w:hAnsi="Verdana" w:cs="Verdana"/>
                <w:b/>
                <w:bCs/>
                <w:sz w:val="20"/>
                <w:szCs w:val="20"/>
                <w:lang w:eastAsia="bg-BG"/>
              </w:rPr>
            </w:pPr>
            <w:r w:rsidRPr="000E54EB">
              <w:rPr>
                <w:rFonts w:ascii="Verdana" w:hAnsi="Verdana" w:cs="Verdana"/>
                <w:b/>
                <w:bCs/>
                <w:sz w:val="20"/>
                <w:szCs w:val="20"/>
                <w:lang w:eastAsia="bg-BG"/>
              </w:rPr>
              <w:t>Приходи от договори с клиенти по видове пазари, в т.ч.:</w:t>
            </w:r>
          </w:p>
        </w:tc>
        <w:tc>
          <w:tcPr>
            <w:tcW w:w="1701" w:type="dxa"/>
            <w:gridSpan w:val="2"/>
            <w:tcBorders>
              <w:top w:val="single" w:sz="4" w:space="0" w:color="auto"/>
              <w:left w:val="single" w:sz="4" w:space="0" w:color="auto"/>
              <w:bottom w:val="single" w:sz="4" w:space="0" w:color="auto"/>
              <w:right w:val="single" w:sz="4" w:space="0" w:color="auto"/>
            </w:tcBorders>
            <w:noWrap/>
            <w:vAlign w:val="center"/>
          </w:tcPr>
          <w:p w:rsidR="00863C99" w:rsidRPr="000E54EB" w:rsidRDefault="00E41616" w:rsidP="003B00BC">
            <w:pPr>
              <w:jc w:val="center"/>
              <w:rPr>
                <w:rFonts w:ascii="Verdana" w:hAnsi="Verdana" w:cs="Verdana"/>
                <w:b/>
                <w:bCs/>
                <w:sz w:val="20"/>
                <w:szCs w:val="20"/>
                <w:lang w:eastAsia="bg-BG"/>
              </w:rPr>
            </w:pPr>
            <w:r>
              <w:rPr>
                <w:rFonts w:ascii="Verdana" w:hAnsi="Verdana" w:cs="Verdana"/>
                <w:b/>
                <w:bCs/>
                <w:sz w:val="20"/>
                <w:szCs w:val="20"/>
                <w:lang w:eastAsia="bg-BG"/>
              </w:rPr>
              <w:t>2020</w:t>
            </w:r>
            <w:r w:rsidR="00863C99" w:rsidRPr="000E54EB">
              <w:rPr>
                <w:rFonts w:ascii="Verdana" w:hAnsi="Verdana" w:cs="Verdana"/>
                <w:b/>
                <w:bCs/>
                <w:sz w:val="20"/>
                <w:szCs w:val="20"/>
                <w:lang w:eastAsia="bg-BG"/>
              </w:rPr>
              <w:t xml:space="preserve"> г.</w:t>
            </w:r>
          </w:p>
        </w:tc>
        <w:tc>
          <w:tcPr>
            <w:tcW w:w="1701" w:type="dxa"/>
            <w:gridSpan w:val="3"/>
            <w:tcBorders>
              <w:top w:val="single" w:sz="4" w:space="0" w:color="auto"/>
              <w:left w:val="nil"/>
              <w:bottom w:val="single" w:sz="4" w:space="0" w:color="auto"/>
              <w:right w:val="single" w:sz="4" w:space="0" w:color="auto"/>
            </w:tcBorders>
            <w:noWrap/>
            <w:vAlign w:val="center"/>
          </w:tcPr>
          <w:p w:rsidR="00863C99" w:rsidRPr="000E54EB" w:rsidRDefault="00E41616" w:rsidP="001F704A">
            <w:pPr>
              <w:jc w:val="center"/>
              <w:rPr>
                <w:rFonts w:ascii="Verdana" w:hAnsi="Verdana" w:cs="Verdana"/>
                <w:b/>
                <w:bCs/>
                <w:sz w:val="20"/>
                <w:szCs w:val="20"/>
                <w:lang w:eastAsia="bg-BG"/>
              </w:rPr>
            </w:pPr>
            <w:r>
              <w:rPr>
                <w:rFonts w:ascii="Verdana" w:hAnsi="Verdana" w:cs="Verdana"/>
                <w:b/>
                <w:bCs/>
                <w:sz w:val="20"/>
                <w:szCs w:val="20"/>
                <w:lang w:eastAsia="bg-BG"/>
              </w:rPr>
              <w:t>2019</w:t>
            </w:r>
            <w:r w:rsidR="00863C99" w:rsidRPr="000E54EB">
              <w:rPr>
                <w:rFonts w:ascii="Verdana" w:hAnsi="Verdana" w:cs="Verdana"/>
                <w:b/>
                <w:bCs/>
                <w:sz w:val="20"/>
                <w:szCs w:val="20"/>
                <w:lang w:eastAsia="bg-BG"/>
              </w:rPr>
              <w:t xml:space="preserve"> г.</w:t>
            </w:r>
          </w:p>
        </w:tc>
      </w:tr>
      <w:tr w:rsidR="00863C99" w:rsidRPr="000E54EB">
        <w:trPr>
          <w:trHeight w:val="300"/>
        </w:trPr>
        <w:tc>
          <w:tcPr>
            <w:tcW w:w="6101" w:type="dxa"/>
            <w:tcBorders>
              <w:top w:val="nil"/>
              <w:left w:val="single" w:sz="4" w:space="0" w:color="auto"/>
              <w:bottom w:val="single" w:sz="4" w:space="0" w:color="auto"/>
              <w:right w:val="nil"/>
            </w:tcBorders>
            <w:noWrap/>
            <w:vAlign w:val="center"/>
          </w:tcPr>
          <w:p w:rsidR="00863C99" w:rsidRPr="000E54EB" w:rsidRDefault="00863C99" w:rsidP="00A13023">
            <w:pPr>
              <w:jc w:val="left"/>
              <w:rPr>
                <w:rFonts w:ascii="Verdana" w:hAnsi="Verdana" w:cs="Verdana"/>
                <w:sz w:val="20"/>
                <w:szCs w:val="20"/>
                <w:lang w:eastAsia="bg-BG"/>
              </w:rPr>
            </w:pPr>
            <w:r w:rsidRPr="000E54EB">
              <w:rPr>
                <w:rFonts w:ascii="Verdana" w:hAnsi="Verdana" w:cs="Verdana"/>
                <w:sz w:val="20"/>
                <w:szCs w:val="20"/>
                <w:lang w:eastAsia="bg-BG"/>
              </w:rPr>
              <w:t>Продажби на вътрешен пазар</w:t>
            </w:r>
          </w:p>
        </w:tc>
        <w:tc>
          <w:tcPr>
            <w:tcW w:w="1701" w:type="dxa"/>
            <w:gridSpan w:val="2"/>
            <w:tcBorders>
              <w:top w:val="nil"/>
              <w:left w:val="single" w:sz="4" w:space="0" w:color="auto"/>
              <w:bottom w:val="single" w:sz="4" w:space="0" w:color="auto"/>
              <w:right w:val="single" w:sz="4" w:space="0" w:color="auto"/>
            </w:tcBorders>
            <w:noWrap/>
            <w:vAlign w:val="center"/>
          </w:tcPr>
          <w:p w:rsidR="00863C99" w:rsidRPr="00E41616" w:rsidRDefault="00E41616" w:rsidP="00A13023">
            <w:pPr>
              <w:jc w:val="center"/>
              <w:rPr>
                <w:rFonts w:ascii="Verdana" w:hAnsi="Verdana" w:cs="Verdana"/>
                <w:sz w:val="20"/>
                <w:szCs w:val="20"/>
                <w:lang w:eastAsia="bg-BG"/>
              </w:rPr>
            </w:pPr>
            <w:r>
              <w:rPr>
                <w:rFonts w:ascii="Verdana" w:hAnsi="Verdana" w:cs="Verdana"/>
                <w:sz w:val="20"/>
                <w:szCs w:val="20"/>
                <w:lang w:eastAsia="bg-BG"/>
              </w:rPr>
              <w:t>3 313</w:t>
            </w:r>
          </w:p>
        </w:tc>
        <w:tc>
          <w:tcPr>
            <w:tcW w:w="1701" w:type="dxa"/>
            <w:gridSpan w:val="3"/>
            <w:tcBorders>
              <w:top w:val="nil"/>
              <w:left w:val="nil"/>
              <w:bottom w:val="single" w:sz="4" w:space="0" w:color="auto"/>
              <w:right w:val="single" w:sz="4" w:space="0" w:color="auto"/>
            </w:tcBorders>
            <w:noWrap/>
            <w:vAlign w:val="center"/>
          </w:tcPr>
          <w:p w:rsidR="00863C99" w:rsidRPr="000E54EB" w:rsidRDefault="00E41616" w:rsidP="001F704A">
            <w:pPr>
              <w:jc w:val="center"/>
              <w:rPr>
                <w:rFonts w:ascii="Verdana" w:hAnsi="Verdana" w:cs="Verdana"/>
                <w:sz w:val="20"/>
                <w:szCs w:val="20"/>
                <w:lang w:eastAsia="bg-BG"/>
              </w:rPr>
            </w:pPr>
            <w:r>
              <w:rPr>
                <w:rFonts w:ascii="Verdana" w:hAnsi="Verdana" w:cs="Verdana"/>
                <w:sz w:val="20"/>
                <w:szCs w:val="20"/>
                <w:lang w:eastAsia="bg-BG"/>
              </w:rPr>
              <w:t>3 234</w:t>
            </w:r>
          </w:p>
        </w:tc>
      </w:tr>
      <w:tr w:rsidR="00863C99" w:rsidRPr="000E54EB">
        <w:trPr>
          <w:trHeight w:val="300"/>
        </w:trPr>
        <w:tc>
          <w:tcPr>
            <w:tcW w:w="6101" w:type="dxa"/>
            <w:tcBorders>
              <w:top w:val="nil"/>
              <w:left w:val="single" w:sz="4" w:space="0" w:color="auto"/>
              <w:bottom w:val="single" w:sz="4" w:space="0" w:color="auto"/>
              <w:right w:val="nil"/>
            </w:tcBorders>
            <w:shd w:val="clear" w:color="000000" w:fill="C5D9F1"/>
            <w:noWrap/>
            <w:vAlign w:val="center"/>
          </w:tcPr>
          <w:p w:rsidR="00863C99" w:rsidRPr="000E54EB" w:rsidRDefault="00863C99" w:rsidP="00A13023">
            <w:pPr>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1701" w:type="dxa"/>
            <w:gridSpan w:val="2"/>
            <w:tcBorders>
              <w:top w:val="nil"/>
              <w:left w:val="single" w:sz="4" w:space="0" w:color="auto"/>
              <w:bottom w:val="single" w:sz="4" w:space="0" w:color="auto"/>
              <w:right w:val="single" w:sz="4" w:space="0" w:color="auto"/>
            </w:tcBorders>
            <w:shd w:val="clear" w:color="000000" w:fill="C5D9F1"/>
            <w:noWrap/>
            <w:vAlign w:val="center"/>
          </w:tcPr>
          <w:p w:rsidR="00863C99" w:rsidRPr="00E41616" w:rsidRDefault="00E41616" w:rsidP="00A13023">
            <w:pPr>
              <w:jc w:val="center"/>
              <w:rPr>
                <w:rFonts w:ascii="Verdana" w:hAnsi="Verdana" w:cs="Verdana"/>
                <w:b/>
                <w:bCs/>
                <w:sz w:val="20"/>
                <w:szCs w:val="20"/>
                <w:lang w:eastAsia="bg-BG"/>
              </w:rPr>
            </w:pPr>
            <w:r>
              <w:rPr>
                <w:rFonts w:ascii="Verdana" w:hAnsi="Verdana" w:cs="Verdana"/>
                <w:b/>
                <w:bCs/>
                <w:sz w:val="20"/>
                <w:szCs w:val="20"/>
                <w:lang w:eastAsia="bg-BG"/>
              </w:rPr>
              <w:t>3 313</w:t>
            </w:r>
          </w:p>
        </w:tc>
        <w:tc>
          <w:tcPr>
            <w:tcW w:w="1701" w:type="dxa"/>
            <w:gridSpan w:val="3"/>
            <w:tcBorders>
              <w:top w:val="nil"/>
              <w:left w:val="nil"/>
              <w:bottom w:val="single" w:sz="4" w:space="0" w:color="auto"/>
              <w:right w:val="single" w:sz="4" w:space="0" w:color="auto"/>
            </w:tcBorders>
            <w:shd w:val="clear" w:color="000000" w:fill="C5D9F1"/>
            <w:noWrap/>
            <w:vAlign w:val="center"/>
          </w:tcPr>
          <w:p w:rsidR="00863C99" w:rsidRPr="000E54EB" w:rsidRDefault="00E41616" w:rsidP="001F704A">
            <w:pPr>
              <w:jc w:val="center"/>
              <w:rPr>
                <w:rFonts w:ascii="Verdana" w:hAnsi="Verdana" w:cs="Verdana"/>
                <w:b/>
                <w:bCs/>
                <w:sz w:val="20"/>
                <w:szCs w:val="20"/>
                <w:lang w:eastAsia="bg-BG"/>
              </w:rPr>
            </w:pPr>
            <w:r>
              <w:rPr>
                <w:rFonts w:ascii="Verdana" w:hAnsi="Verdana" w:cs="Verdana"/>
                <w:b/>
                <w:bCs/>
                <w:sz w:val="20"/>
                <w:szCs w:val="20"/>
                <w:lang w:eastAsia="bg-BG"/>
              </w:rPr>
              <w:t>3 234</w:t>
            </w:r>
          </w:p>
        </w:tc>
      </w:tr>
      <w:tr w:rsidR="00863C99" w:rsidRPr="000E54EB">
        <w:trPr>
          <w:gridAfter w:val="1"/>
          <w:wAfter w:w="87" w:type="dxa"/>
          <w:trHeight w:val="300"/>
        </w:trPr>
        <w:tc>
          <w:tcPr>
            <w:tcW w:w="7548" w:type="dxa"/>
            <w:gridSpan w:val="2"/>
            <w:tcBorders>
              <w:top w:val="nil"/>
              <w:left w:val="nil"/>
              <w:bottom w:val="single" w:sz="4" w:space="0" w:color="auto"/>
              <w:right w:val="nil"/>
            </w:tcBorders>
            <w:noWrap/>
            <w:vAlign w:val="center"/>
          </w:tcPr>
          <w:p w:rsidR="00863C99" w:rsidRPr="000E54EB" w:rsidRDefault="00863C99" w:rsidP="00A13023">
            <w:pPr>
              <w:jc w:val="left"/>
              <w:rPr>
                <w:rFonts w:ascii="Verdana" w:hAnsi="Verdana" w:cs="Verdana"/>
                <w:sz w:val="20"/>
                <w:szCs w:val="20"/>
                <w:lang w:eastAsia="bg-BG"/>
              </w:rPr>
            </w:pPr>
            <w:r w:rsidRPr="000E54EB">
              <w:rPr>
                <w:rFonts w:ascii="Verdana" w:hAnsi="Verdana" w:cs="Verdana"/>
                <w:sz w:val="20"/>
                <w:szCs w:val="20"/>
                <w:lang w:eastAsia="bg-BG"/>
              </w:rPr>
              <w:t> </w:t>
            </w:r>
          </w:p>
        </w:tc>
        <w:tc>
          <w:tcPr>
            <w:tcW w:w="934" w:type="dxa"/>
            <w:gridSpan w:val="2"/>
            <w:tcBorders>
              <w:top w:val="nil"/>
              <w:left w:val="nil"/>
              <w:bottom w:val="single" w:sz="4" w:space="0" w:color="auto"/>
              <w:right w:val="nil"/>
            </w:tcBorders>
            <w:noWrap/>
            <w:vAlign w:val="center"/>
          </w:tcPr>
          <w:p w:rsidR="00863C99" w:rsidRPr="000E54EB" w:rsidRDefault="00863C99" w:rsidP="00A13023">
            <w:pPr>
              <w:jc w:val="left"/>
              <w:rPr>
                <w:rFonts w:ascii="Verdana" w:hAnsi="Verdana" w:cs="Verdana"/>
                <w:sz w:val="20"/>
                <w:szCs w:val="20"/>
                <w:lang w:eastAsia="bg-BG"/>
              </w:rPr>
            </w:pPr>
            <w:r w:rsidRPr="000E54EB">
              <w:rPr>
                <w:rFonts w:ascii="Verdana" w:hAnsi="Verdana" w:cs="Verdana"/>
                <w:sz w:val="20"/>
                <w:szCs w:val="20"/>
                <w:lang w:eastAsia="bg-BG"/>
              </w:rPr>
              <w:t> </w:t>
            </w:r>
          </w:p>
        </w:tc>
        <w:tc>
          <w:tcPr>
            <w:tcW w:w="934" w:type="dxa"/>
            <w:tcBorders>
              <w:top w:val="nil"/>
              <w:left w:val="nil"/>
              <w:bottom w:val="single" w:sz="4" w:space="0" w:color="auto"/>
              <w:right w:val="nil"/>
            </w:tcBorders>
            <w:noWrap/>
            <w:vAlign w:val="center"/>
          </w:tcPr>
          <w:p w:rsidR="00863C99" w:rsidRPr="000E54EB" w:rsidRDefault="00863C99" w:rsidP="00A13023">
            <w:pPr>
              <w:jc w:val="left"/>
              <w:rPr>
                <w:rFonts w:ascii="Verdana" w:hAnsi="Verdana" w:cs="Verdana"/>
                <w:sz w:val="20"/>
                <w:szCs w:val="20"/>
                <w:lang w:eastAsia="bg-BG"/>
              </w:rPr>
            </w:pPr>
            <w:r w:rsidRPr="000E54EB">
              <w:rPr>
                <w:rFonts w:ascii="Verdana" w:hAnsi="Verdana" w:cs="Verdana"/>
                <w:sz w:val="20"/>
                <w:szCs w:val="20"/>
                <w:lang w:eastAsia="bg-BG"/>
              </w:rPr>
              <w:t> </w:t>
            </w:r>
          </w:p>
        </w:tc>
      </w:tr>
      <w:tr w:rsidR="00863C99" w:rsidRPr="000E54EB">
        <w:trPr>
          <w:trHeight w:val="404"/>
        </w:trPr>
        <w:tc>
          <w:tcPr>
            <w:tcW w:w="6101" w:type="dxa"/>
            <w:tcBorders>
              <w:top w:val="single" w:sz="4" w:space="0" w:color="auto"/>
              <w:left w:val="single" w:sz="4" w:space="0" w:color="auto"/>
              <w:bottom w:val="single" w:sz="4" w:space="0" w:color="auto"/>
              <w:right w:val="nil"/>
            </w:tcBorders>
            <w:shd w:val="clear" w:color="000000" w:fill="FFFFFF"/>
            <w:vAlign w:val="center"/>
          </w:tcPr>
          <w:p w:rsidR="00863C99" w:rsidRPr="000E54EB" w:rsidRDefault="00863C99" w:rsidP="00A13023">
            <w:pPr>
              <w:jc w:val="left"/>
              <w:rPr>
                <w:rFonts w:ascii="Verdana" w:hAnsi="Verdana" w:cs="Verdana"/>
                <w:b/>
                <w:bCs/>
                <w:sz w:val="20"/>
                <w:szCs w:val="20"/>
                <w:lang w:eastAsia="bg-BG"/>
              </w:rPr>
            </w:pPr>
            <w:r w:rsidRPr="000E54EB">
              <w:rPr>
                <w:rFonts w:ascii="Verdana" w:hAnsi="Verdana" w:cs="Verdana"/>
                <w:b/>
                <w:bCs/>
                <w:sz w:val="20"/>
                <w:szCs w:val="20"/>
                <w:lang w:eastAsia="bg-BG"/>
              </w:rPr>
              <w:t>Приходи от договори с клиенти по видове договори, в т.ч.:</w:t>
            </w:r>
          </w:p>
        </w:tc>
        <w:tc>
          <w:tcPr>
            <w:tcW w:w="1701" w:type="dxa"/>
            <w:gridSpan w:val="2"/>
            <w:tcBorders>
              <w:top w:val="single" w:sz="4" w:space="0" w:color="auto"/>
              <w:left w:val="single" w:sz="4" w:space="0" w:color="auto"/>
              <w:bottom w:val="single" w:sz="4" w:space="0" w:color="auto"/>
              <w:right w:val="single" w:sz="4" w:space="0" w:color="auto"/>
            </w:tcBorders>
            <w:noWrap/>
            <w:vAlign w:val="center"/>
          </w:tcPr>
          <w:p w:rsidR="00863C99" w:rsidRPr="000E54EB" w:rsidRDefault="00E41616" w:rsidP="003B00BC">
            <w:pPr>
              <w:jc w:val="center"/>
              <w:rPr>
                <w:rFonts w:ascii="Verdana" w:hAnsi="Verdana" w:cs="Verdana"/>
                <w:b/>
                <w:bCs/>
                <w:sz w:val="20"/>
                <w:szCs w:val="20"/>
                <w:lang w:eastAsia="bg-BG"/>
              </w:rPr>
            </w:pPr>
            <w:r>
              <w:rPr>
                <w:rFonts w:ascii="Verdana" w:hAnsi="Verdana" w:cs="Verdana"/>
                <w:b/>
                <w:bCs/>
                <w:sz w:val="20"/>
                <w:szCs w:val="20"/>
                <w:lang w:eastAsia="bg-BG"/>
              </w:rPr>
              <w:t>2020</w:t>
            </w:r>
            <w:r w:rsidR="00863C99" w:rsidRPr="000E54EB">
              <w:rPr>
                <w:rFonts w:ascii="Verdana" w:hAnsi="Verdana" w:cs="Verdana"/>
                <w:b/>
                <w:bCs/>
                <w:sz w:val="20"/>
                <w:szCs w:val="20"/>
                <w:lang w:eastAsia="bg-BG"/>
              </w:rPr>
              <w:t xml:space="preserve"> г.</w:t>
            </w:r>
          </w:p>
        </w:tc>
        <w:tc>
          <w:tcPr>
            <w:tcW w:w="1701" w:type="dxa"/>
            <w:gridSpan w:val="3"/>
            <w:tcBorders>
              <w:top w:val="single" w:sz="4" w:space="0" w:color="auto"/>
              <w:left w:val="nil"/>
              <w:bottom w:val="single" w:sz="4" w:space="0" w:color="auto"/>
              <w:right w:val="single" w:sz="4" w:space="0" w:color="auto"/>
            </w:tcBorders>
            <w:noWrap/>
            <w:vAlign w:val="center"/>
          </w:tcPr>
          <w:p w:rsidR="00863C99" w:rsidRPr="000E54EB" w:rsidRDefault="00E41616" w:rsidP="001F704A">
            <w:pPr>
              <w:jc w:val="center"/>
              <w:rPr>
                <w:rFonts w:ascii="Verdana" w:hAnsi="Verdana" w:cs="Verdana"/>
                <w:b/>
                <w:bCs/>
                <w:sz w:val="20"/>
                <w:szCs w:val="20"/>
                <w:lang w:eastAsia="bg-BG"/>
              </w:rPr>
            </w:pPr>
            <w:r>
              <w:rPr>
                <w:rFonts w:ascii="Verdana" w:hAnsi="Verdana" w:cs="Verdana"/>
                <w:b/>
                <w:bCs/>
                <w:sz w:val="20"/>
                <w:szCs w:val="20"/>
                <w:lang w:eastAsia="bg-BG"/>
              </w:rPr>
              <w:t>2019</w:t>
            </w:r>
            <w:r w:rsidR="00863C99" w:rsidRPr="000E54EB">
              <w:rPr>
                <w:rFonts w:ascii="Verdana" w:hAnsi="Verdana" w:cs="Verdana"/>
                <w:b/>
                <w:bCs/>
                <w:sz w:val="20"/>
                <w:szCs w:val="20"/>
                <w:lang w:eastAsia="bg-BG"/>
              </w:rPr>
              <w:t xml:space="preserve"> г.</w:t>
            </w:r>
          </w:p>
        </w:tc>
      </w:tr>
      <w:tr w:rsidR="00E41616" w:rsidRPr="000E54EB">
        <w:trPr>
          <w:trHeight w:val="300"/>
        </w:trPr>
        <w:tc>
          <w:tcPr>
            <w:tcW w:w="6101" w:type="dxa"/>
            <w:tcBorders>
              <w:top w:val="single" w:sz="4" w:space="0" w:color="auto"/>
              <w:left w:val="single" w:sz="4" w:space="0" w:color="auto"/>
              <w:bottom w:val="single" w:sz="4" w:space="0" w:color="auto"/>
              <w:right w:val="nil"/>
            </w:tcBorders>
            <w:noWrap/>
            <w:vAlign w:val="center"/>
          </w:tcPr>
          <w:p w:rsidR="00E41616" w:rsidRPr="000E54EB" w:rsidRDefault="00E41616" w:rsidP="00A13023">
            <w:pPr>
              <w:jc w:val="left"/>
              <w:rPr>
                <w:rFonts w:ascii="Verdana" w:hAnsi="Verdana" w:cs="Verdana"/>
                <w:sz w:val="20"/>
                <w:szCs w:val="20"/>
                <w:lang w:eastAsia="bg-BG"/>
              </w:rPr>
            </w:pPr>
            <w:r w:rsidRPr="000E54EB">
              <w:rPr>
                <w:rFonts w:ascii="Verdana" w:hAnsi="Verdana" w:cs="Verdana"/>
                <w:sz w:val="20"/>
                <w:szCs w:val="20"/>
                <w:lang w:eastAsia="bg-BG"/>
              </w:rPr>
              <w:t>Продажби на електроенергия</w:t>
            </w:r>
          </w:p>
        </w:tc>
        <w:tc>
          <w:tcPr>
            <w:tcW w:w="1701" w:type="dxa"/>
            <w:gridSpan w:val="2"/>
            <w:tcBorders>
              <w:top w:val="single" w:sz="4" w:space="0" w:color="auto"/>
              <w:left w:val="single" w:sz="4" w:space="0" w:color="auto"/>
              <w:bottom w:val="single" w:sz="4" w:space="0" w:color="auto"/>
              <w:right w:val="single" w:sz="4" w:space="0" w:color="auto"/>
            </w:tcBorders>
            <w:noWrap/>
            <w:vAlign w:val="center"/>
          </w:tcPr>
          <w:p w:rsidR="00E41616" w:rsidRPr="00DD418F" w:rsidRDefault="00E41616" w:rsidP="00B617CE">
            <w:pPr>
              <w:jc w:val="center"/>
              <w:rPr>
                <w:rFonts w:ascii="Verdana" w:hAnsi="Verdana" w:cs="Verdana"/>
                <w:sz w:val="20"/>
                <w:szCs w:val="20"/>
                <w:lang w:eastAsia="bg-BG"/>
              </w:rPr>
            </w:pPr>
            <w:r>
              <w:rPr>
                <w:rFonts w:ascii="Verdana" w:hAnsi="Verdana" w:cs="Verdana"/>
                <w:sz w:val="20"/>
                <w:szCs w:val="20"/>
                <w:lang w:eastAsia="bg-BG"/>
              </w:rPr>
              <w:t>1 993</w:t>
            </w:r>
          </w:p>
        </w:tc>
        <w:tc>
          <w:tcPr>
            <w:tcW w:w="1701" w:type="dxa"/>
            <w:gridSpan w:val="3"/>
            <w:tcBorders>
              <w:top w:val="single" w:sz="4" w:space="0" w:color="auto"/>
              <w:left w:val="nil"/>
              <w:bottom w:val="single" w:sz="4" w:space="0" w:color="auto"/>
              <w:right w:val="single" w:sz="4" w:space="0" w:color="auto"/>
            </w:tcBorders>
            <w:noWrap/>
            <w:vAlign w:val="center"/>
          </w:tcPr>
          <w:p w:rsidR="00E41616" w:rsidRPr="00083CD8" w:rsidRDefault="00E41616" w:rsidP="00B617CE">
            <w:pPr>
              <w:jc w:val="center"/>
              <w:rPr>
                <w:rFonts w:ascii="Verdana" w:hAnsi="Verdana" w:cs="Arial"/>
                <w:sz w:val="20"/>
                <w:lang w:eastAsia="bg-BG"/>
              </w:rPr>
            </w:pPr>
            <w:r w:rsidRPr="00083CD8">
              <w:rPr>
                <w:rFonts w:ascii="Verdana" w:hAnsi="Verdana" w:cs="Arial"/>
                <w:sz w:val="20"/>
                <w:lang w:eastAsia="bg-BG"/>
              </w:rPr>
              <w:t>1 905</w:t>
            </w:r>
          </w:p>
        </w:tc>
      </w:tr>
      <w:tr w:rsidR="00E41616" w:rsidRPr="000E54EB">
        <w:trPr>
          <w:trHeight w:val="300"/>
        </w:trPr>
        <w:tc>
          <w:tcPr>
            <w:tcW w:w="6101" w:type="dxa"/>
            <w:tcBorders>
              <w:top w:val="single" w:sz="4" w:space="0" w:color="auto"/>
              <w:left w:val="single" w:sz="4" w:space="0" w:color="auto"/>
              <w:bottom w:val="single" w:sz="4" w:space="0" w:color="auto"/>
              <w:right w:val="nil"/>
            </w:tcBorders>
            <w:noWrap/>
            <w:vAlign w:val="center"/>
          </w:tcPr>
          <w:p w:rsidR="00E41616" w:rsidRPr="000E54EB" w:rsidRDefault="00E41616" w:rsidP="00A13023">
            <w:pPr>
              <w:jc w:val="left"/>
              <w:rPr>
                <w:rFonts w:ascii="Verdana" w:hAnsi="Verdana" w:cs="Verdana"/>
                <w:sz w:val="20"/>
                <w:szCs w:val="20"/>
                <w:lang w:eastAsia="bg-BG"/>
              </w:rPr>
            </w:pPr>
            <w:r w:rsidRPr="000E54EB">
              <w:rPr>
                <w:rFonts w:ascii="Verdana" w:hAnsi="Verdana" w:cs="Verdana"/>
                <w:sz w:val="20"/>
                <w:szCs w:val="20"/>
                <w:lang w:eastAsia="bg-BG"/>
              </w:rPr>
              <w:t>Продажби на топлоенергия</w:t>
            </w:r>
          </w:p>
        </w:tc>
        <w:tc>
          <w:tcPr>
            <w:tcW w:w="1701" w:type="dxa"/>
            <w:gridSpan w:val="2"/>
            <w:tcBorders>
              <w:top w:val="single" w:sz="4" w:space="0" w:color="auto"/>
              <w:left w:val="single" w:sz="4" w:space="0" w:color="auto"/>
              <w:bottom w:val="single" w:sz="4" w:space="0" w:color="auto"/>
              <w:right w:val="single" w:sz="4" w:space="0" w:color="auto"/>
            </w:tcBorders>
            <w:noWrap/>
            <w:vAlign w:val="center"/>
          </w:tcPr>
          <w:p w:rsidR="00E41616" w:rsidRPr="00DD418F" w:rsidRDefault="00E41616" w:rsidP="00B617CE">
            <w:pPr>
              <w:jc w:val="center"/>
              <w:rPr>
                <w:rFonts w:ascii="Verdana" w:hAnsi="Verdana" w:cs="Verdana"/>
                <w:sz w:val="20"/>
                <w:szCs w:val="20"/>
                <w:lang w:eastAsia="bg-BG"/>
              </w:rPr>
            </w:pPr>
            <w:r>
              <w:rPr>
                <w:rFonts w:ascii="Verdana" w:hAnsi="Verdana" w:cs="Verdana"/>
                <w:sz w:val="20"/>
                <w:szCs w:val="20"/>
                <w:lang w:eastAsia="bg-BG"/>
              </w:rPr>
              <w:t>1 265</w:t>
            </w:r>
          </w:p>
        </w:tc>
        <w:tc>
          <w:tcPr>
            <w:tcW w:w="1701" w:type="dxa"/>
            <w:gridSpan w:val="3"/>
            <w:tcBorders>
              <w:top w:val="single" w:sz="4" w:space="0" w:color="auto"/>
              <w:left w:val="nil"/>
              <w:bottom w:val="single" w:sz="4" w:space="0" w:color="auto"/>
              <w:right w:val="single" w:sz="4" w:space="0" w:color="auto"/>
            </w:tcBorders>
            <w:noWrap/>
            <w:vAlign w:val="center"/>
          </w:tcPr>
          <w:p w:rsidR="00E41616" w:rsidRPr="00083CD8" w:rsidRDefault="00E41616" w:rsidP="00B617CE">
            <w:pPr>
              <w:jc w:val="center"/>
              <w:rPr>
                <w:rFonts w:ascii="Verdana" w:hAnsi="Verdana" w:cs="Arial"/>
                <w:sz w:val="20"/>
                <w:lang w:eastAsia="bg-BG"/>
              </w:rPr>
            </w:pPr>
            <w:r w:rsidRPr="00083CD8">
              <w:rPr>
                <w:rFonts w:ascii="Verdana" w:hAnsi="Verdana" w:cs="Arial"/>
                <w:sz w:val="20"/>
                <w:lang w:eastAsia="bg-BG"/>
              </w:rPr>
              <w:t>1 274</w:t>
            </w:r>
          </w:p>
        </w:tc>
      </w:tr>
      <w:tr w:rsidR="00E41616" w:rsidRPr="000E54EB">
        <w:trPr>
          <w:trHeight w:val="300"/>
        </w:trPr>
        <w:tc>
          <w:tcPr>
            <w:tcW w:w="6101" w:type="dxa"/>
            <w:tcBorders>
              <w:top w:val="single" w:sz="4" w:space="0" w:color="auto"/>
              <w:left w:val="single" w:sz="4" w:space="0" w:color="auto"/>
              <w:bottom w:val="single" w:sz="4" w:space="0" w:color="auto"/>
              <w:right w:val="nil"/>
            </w:tcBorders>
            <w:noWrap/>
            <w:vAlign w:val="center"/>
          </w:tcPr>
          <w:p w:rsidR="00E41616" w:rsidRPr="000E54EB" w:rsidRDefault="00E41616" w:rsidP="008B2E8C">
            <w:pPr>
              <w:jc w:val="left"/>
              <w:rPr>
                <w:rFonts w:ascii="Verdana" w:hAnsi="Verdana" w:cs="Verdana"/>
                <w:sz w:val="20"/>
                <w:szCs w:val="20"/>
                <w:lang w:eastAsia="bg-BG"/>
              </w:rPr>
            </w:pPr>
            <w:r>
              <w:rPr>
                <w:rFonts w:ascii="Verdana" w:hAnsi="Verdana" w:cs="Verdana"/>
                <w:sz w:val="20"/>
                <w:szCs w:val="20"/>
                <w:lang w:eastAsia="bg-BG"/>
              </w:rPr>
              <w:t>Приходи от наеми и комисионни</w:t>
            </w:r>
          </w:p>
        </w:tc>
        <w:tc>
          <w:tcPr>
            <w:tcW w:w="1701" w:type="dxa"/>
            <w:gridSpan w:val="2"/>
            <w:tcBorders>
              <w:top w:val="single" w:sz="4" w:space="0" w:color="auto"/>
              <w:left w:val="single" w:sz="4" w:space="0" w:color="auto"/>
              <w:bottom w:val="single" w:sz="4" w:space="0" w:color="auto"/>
              <w:right w:val="single" w:sz="4" w:space="0" w:color="auto"/>
            </w:tcBorders>
            <w:noWrap/>
            <w:vAlign w:val="center"/>
          </w:tcPr>
          <w:p w:rsidR="00E41616" w:rsidRDefault="00E41616" w:rsidP="00DF626B">
            <w:pPr>
              <w:jc w:val="center"/>
              <w:rPr>
                <w:rFonts w:ascii="Verdana" w:hAnsi="Verdana" w:cs="Verdana"/>
                <w:sz w:val="20"/>
                <w:szCs w:val="20"/>
                <w:lang w:eastAsia="bg-BG"/>
              </w:rPr>
            </w:pPr>
            <w:r>
              <w:rPr>
                <w:rFonts w:ascii="Verdana" w:hAnsi="Verdana" w:cs="Verdana"/>
                <w:sz w:val="20"/>
                <w:szCs w:val="20"/>
                <w:lang w:eastAsia="bg-BG"/>
              </w:rPr>
              <w:t>55</w:t>
            </w:r>
          </w:p>
        </w:tc>
        <w:tc>
          <w:tcPr>
            <w:tcW w:w="1701" w:type="dxa"/>
            <w:gridSpan w:val="3"/>
            <w:tcBorders>
              <w:top w:val="single" w:sz="4" w:space="0" w:color="auto"/>
              <w:left w:val="nil"/>
              <w:bottom w:val="single" w:sz="4" w:space="0" w:color="auto"/>
              <w:right w:val="single" w:sz="4" w:space="0" w:color="auto"/>
            </w:tcBorders>
            <w:noWrap/>
            <w:vAlign w:val="center"/>
          </w:tcPr>
          <w:p w:rsidR="00E41616" w:rsidRPr="000E54EB" w:rsidRDefault="00E41616" w:rsidP="001F704A">
            <w:pPr>
              <w:jc w:val="center"/>
              <w:rPr>
                <w:rFonts w:ascii="Verdana" w:hAnsi="Verdana" w:cs="Verdana"/>
                <w:sz w:val="20"/>
                <w:szCs w:val="20"/>
                <w:lang w:eastAsia="bg-BG"/>
              </w:rPr>
            </w:pPr>
            <w:r>
              <w:rPr>
                <w:rFonts w:ascii="Verdana" w:hAnsi="Verdana" w:cs="Verdana"/>
                <w:sz w:val="20"/>
                <w:szCs w:val="20"/>
                <w:lang w:eastAsia="bg-BG"/>
              </w:rPr>
              <w:t>55</w:t>
            </w:r>
          </w:p>
        </w:tc>
      </w:tr>
      <w:tr w:rsidR="00E41616" w:rsidRPr="000E54EB">
        <w:trPr>
          <w:trHeight w:val="300"/>
        </w:trPr>
        <w:tc>
          <w:tcPr>
            <w:tcW w:w="6101" w:type="dxa"/>
            <w:tcBorders>
              <w:top w:val="single" w:sz="4" w:space="0" w:color="auto"/>
              <w:left w:val="single" w:sz="4" w:space="0" w:color="auto"/>
              <w:bottom w:val="single" w:sz="4" w:space="0" w:color="auto"/>
              <w:right w:val="nil"/>
            </w:tcBorders>
            <w:shd w:val="clear" w:color="000000" w:fill="C5D9F1"/>
            <w:noWrap/>
            <w:vAlign w:val="center"/>
          </w:tcPr>
          <w:p w:rsidR="00E41616" w:rsidRPr="000E54EB" w:rsidRDefault="00E41616" w:rsidP="00A13023">
            <w:pPr>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rsidR="00E41616" w:rsidRPr="000E54EB" w:rsidRDefault="00E41616" w:rsidP="00A13023">
            <w:pPr>
              <w:jc w:val="center"/>
              <w:rPr>
                <w:rFonts w:ascii="Verdana" w:hAnsi="Verdana" w:cs="Verdana"/>
                <w:b/>
                <w:bCs/>
                <w:sz w:val="20"/>
                <w:szCs w:val="20"/>
                <w:lang w:eastAsia="bg-BG"/>
              </w:rPr>
            </w:pPr>
            <w:r>
              <w:rPr>
                <w:rFonts w:ascii="Verdana" w:hAnsi="Verdana" w:cs="Verdana"/>
                <w:b/>
                <w:bCs/>
                <w:sz w:val="20"/>
                <w:szCs w:val="20"/>
                <w:lang w:eastAsia="bg-BG"/>
              </w:rPr>
              <w:t>3 313</w:t>
            </w:r>
          </w:p>
        </w:tc>
        <w:tc>
          <w:tcPr>
            <w:tcW w:w="1701" w:type="dxa"/>
            <w:gridSpan w:val="3"/>
            <w:tcBorders>
              <w:top w:val="single" w:sz="4" w:space="0" w:color="auto"/>
              <w:left w:val="nil"/>
              <w:bottom w:val="single" w:sz="4" w:space="0" w:color="auto"/>
              <w:right w:val="single" w:sz="4" w:space="0" w:color="auto"/>
            </w:tcBorders>
            <w:shd w:val="clear" w:color="000000" w:fill="C5D9F1"/>
            <w:noWrap/>
            <w:vAlign w:val="center"/>
          </w:tcPr>
          <w:p w:rsidR="00E41616" w:rsidRPr="000E54EB" w:rsidRDefault="00E41616" w:rsidP="00A13023">
            <w:pPr>
              <w:jc w:val="center"/>
              <w:rPr>
                <w:rFonts w:ascii="Verdana" w:hAnsi="Verdana" w:cs="Verdana"/>
                <w:b/>
                <w:bCs/>
                <w:sz w:val="20"/>
                <w:szCs w:val="20"/>
                <w:lang w:eastAsia="bg-BG"/>
              </w:rPr>
            </w:pPr>
            <w:r>
              <w:rPr>
                <w:rFonts w:ascii="Verdana" w:hAnsi="Verdana" w:cs="Verdana"/>
                <w:b/>
                <w:bCs/>
                <w:sz w:val="20"/>
                <w:szCs w:val="20"/>
                <w:lang w:eastAsia="bg-BG"/>
              </w:rPr>
              <w:t>3 234</w:t>
            </w:r>
          </w:p>
        </w:tc>
      </w:tr>
      <w:tr w:rsidR="00E41616" w:rsidRPr="000E54EB">
        <w:trPr>
          <w:gridAfter w:val="1"/>
          <w:wAfter w:w="87" w:type="dxa"/>
          <w:trHeight w:val="300"/>
        </w:trPr>
        <w:tc>
          <w:tcPr>
            <w:tcW w:w="7548" w:type="dxa"/>
            <w:gridSpan w:val="2"/>
            <w:tcBorders>
              <w:top w:val="nil"/>
              <w:left w:val="nil"/>
              <w:bottom w:val="nil"/>
              <w:right w:val="nil"/>
            </w:tcBorders>
            <w:noWrap/>
            <w:vAlign w:val="center"/>
          </w:tcPr>
          <w:p w:rsidR="00E41616" w:rsidRPr="000E54EB" w:rsidRDefault="00E41616" w:rsidP="00A13023">
            <w:pPr>
              <w:jc w:val="left"/>
              <w:rPr>
                <w:rFonts w:ascii="Verdana" w:hAnsi="Verdana" w:cs="Verdana"/>
                <w:sz w:val="20"/>
                <w:szCs w:val="20"/>
                <w:lang w:eastAsia="bg-BG"/>
              </w:rPr>
            </w:pPr>
            <w:r w:rsidRPr="000E54EB">
              <w:rPr>
                <w:rFonts w:ascii="Verdana" w:hAnsi="Verdana" w:cs="Verdana"/>
                <w:sz w:val="20"/>
                <w:szCs w:val="20"/>
                <w:lang w:eastAsia="bg-BG"/>
              </w:rPr>
              <w:t> </w:t>
            </w:r>
          </w:p>
        </w:tc>
        <w:tc>
          <w:tcPr>
            <w:tcW w:w="934" w:type="dxa"/>
            <w:gridSpan w:val="2"/>
            <w:tcBorders>
              <w:top w:val="nil"/>
              <w:left w:val="nil"/>
              <w:bottom w:val="nil"/>
              <w:right w:val="nil"/>
            </w:tcBorders>
            <w:noWrap/>
            <w:vAlign w:val="center"/>
          </w:tcPr>
          <w:p w:rsidR="00E41616" w:rsidRPr="000E54EB" w:rsidRDefault="00E41616" w:rsidP="00A13023">
            <w:pPr>
              <w:jc w:val="left"/>
              <w:rPr>
                <w:rFonts w:ascii="Verdana" w:hAnsi="Verdana" w:cs="Verdana"/>
                <w:sz w:val="20"/>
                <w:szCs w:val="20"/>
                <w:lang w:eastAsia="bg-BG"/>
              </w:rPr>
            </w:pPr>
            <w:r w:rsidRPr="000E54EB">
              <w:rPr>
                <w:rFonts w:ascii="Verdana" w:hAnsi="Verdana" w:cs="Verdana"/>
                <w:sz w:val="20"/>
                <w:szCs w:val="20"/>
                <w:lang w:eastAsia="bg-BG"/>
              </w:rPr>
              <w:t> </w:t>
            </w:r>
          </w:p>
        </w:tc>
        <w:tc>
          <w:tcPr>
            <w:tcW w:w="934" w:type="dxa"/>
            <w:tcBorders>
              <w:top w:val="nil"/>
              <w:left w:val="nil"/>
              <w:bottom w:val="nil"/>
              <w:right w:val="nil"/>
            </w:tcBorders>
            <w:noWrap/>
            <w:vAlign w:val="center"/>
          </w:tcPr>
          <w:p w:rsidR="00E41616" w:rsidRPr="000E54EB" w:rsidRDefault="00E41616" w:rsidP="00A13023">
            <w:pPr>
              <w:jc w:val="left"/>
              <w:rPr>
                <w:rFonts w:ascii="Verdana" w:hAnsi="Verdana" w:cs="Verdana"/>
                <w:sz w:val="20"/>
                <w:szCs w:val="20"/>
                <w:lang w:eastAsia="bg-BG"/>
              </w:rPr>
            </w:pPr>
            <w:r w:rsidRPr="000E54EB">
              <w:rPr>
                <w:rFonts w:ascii="Verdana" w:hAnsi="Verdana" w:cs="Verdana"/>
                <w:sz w:val="20"/>
                <w:szCs w:val="20"/>
                <w:lang w:eastAsia="bg-BG"/>
              </w:rPr>
              <w:t> </w:t>
            </w:r>
          </w:p>
        </w:tc>
      </w:tr>
    </w:tbl>
    <w:p w:rsidR="00863C99" w:rsidRPr="000E54EB" w:rsidRDefault="00863C99" w:rsidP="00B66DF8">
      <w:pPr>
        <w:pStyle w:val="Heading4"/>
        <w:rPr>
          <w:rFonts w:ascii="Verdana" w:hAnsi="Verdana" w:cs="Verdana"/>
          <w:i w:val="0"/>
          <w:iCs w:val="0"/>
          <w:lang w:val="bg-BG"/>
        </w:rPr>
      </w:pPr>
      <w:bookmarkStart w:id="114" w:name="_Toc4328829"/>
      <w:r w:rsidRPr="000E54EB">
        <w:rPr>
          <w:rFonts w:ascii="Verdana" w:hAnsi="Verdana" w:cs="Verdana"/>
          <w:i w:val="0"/>
          <w:iCs w:val="0"/>
          <w:lang w:val="bg-BG"/>
        </w:rPr>
        <w:t>1.1.2. Други приходи</w:t>
      </w:r>
      <w:bookmarkEnd w:id="114"/>
    </w:p>
    <w:tbl>
      <w:tblPr>
        <w:tblW w:w="9503" w:type="dxa"/>
        <w:tblInd w:w="-68" w:type="dxa"/>
        <w:tblCellMar>
          <w:left w:w="70" w:type="dxa"/>
          <w:right w:w="70" w:type="dxa"/>
        </w:tblCellMar>
        <w:tblLook w:val="00A0" w:firstRow="1" w:lastRow="0" w:firstColumn="1" w:lastColumn="0" w:noHBand="0" w:noVBand="0"/>
      </w:tblPr>
      <w:tblGrid>
        <w:gridCol w:w="6080"/>
        <w:gridCol w:w="1722"/>
        <w:gridCol w:w="1701"/>
      </w:tblGrid>
      <w:tr w:rsidR="00863C99" w:rsidRPr="000E54EB">
        <w:trPr>
          <w:trHeight w:val="300"/>
        </w:trPr>
        <w:tc>
          <w:tcPr>
            <w:tcW w:w="6080" w:type="dxa"/>
            <w:tcBorders>
              <w:top w:val="single" w:sz="4" w:space="0" w:color="auto"/>
              <w:left w:val="single" w:sz="4" w:space="0" w:color="auto"/>
              <w:bottom w:val="single" w:sz="4" w:space="0" w:color="auto"/>
              <w:right w:val="nil"/>
            </w:tcBorders>
            <w:noWrap/>
            <w:vAlign w:val="center"/>
          </w:tcPr>
          <w:p w:rsidR="00863C99" w:rsidRPr="000E54EB" w:rsidRDefault="00863C99" w:rsidP="00D0272B">
            <w:pPr>
              <w:jc w:val="left"/>
              <w:rPr>
                <w:rFonts w:ascii="Verdana" w:hAnsi="Verdana" w:cs="Verdana"/>
                <w:b/>
                <w:bCs/>
                <w:sz w:val="20"/>
                <w:szCs w:val="20"/>
                <w:lang w:eastAsia="bg-BG"/>
              </w:rPr>
            </w:pPr>
            <w:r w:rsidRPr="000E54EB">
              <w:rPr>
                <w:rFonts w:ascii="Verdana" w:hAnsi="Verdana" w:cs="Verdana"/>
                <w:b/>
                <w:bCs/>
                <w:sz w:val="20"/>
                <w:szCs w:val="20"/>
                <w:lang w:eastAsia="bg-BG"/>
              </w:rPr>
              <w:t>Други приходи, в т.ч.:</w:t>
            </w:r>
          </w:p>
        </w:tc>
        <w:tc>
          <w:tcPr>
            <w:tcW w:w="1722" w:type="dxa"/>
            <w:tcBorders>
              <w:top w:val="single" w:sz="4" w:space="0" w:color="auto"/>
              <w:left w:val="single" w:sz="4" w:space="0" w:color="auto"/>
              <w:bottom w:val="single" w:sz="4" w:space="0" w:color="auto"/>
              <w:right w:val="single" w:sz="4" w:space="0" w:color="auto"/>
            </w:tcBorders>
            <w:noWrap/>
            <w:vAlign w:val="center"/>
          </w:tcPr>
          <w:p w:rsidR="00863C99" w:rsidRPr="000E54EB" w:rsidRDefault="007B34DE" w:rsidP="003B00BC">
            <w:pPr>
              <w:jc w:val="center"/>
              <w:rPr>
                <w:rFonts w:ascii="Verdana" w:hAnsi="Verdana" w:cs="Verdana"/>
                <w:b/>
                <w:bCs/>
                <w:sz w:val="20"/>
                <w:szCs w:val="20"/>
                <w:lang w:eastAsia="bg-BG"/>
              </w:rPr>
            </w:pPr>
            <w:r>
              <w:rPr>
                <w:rFonts w:ascii="Verdana" w:hAnsi="Verdana" w:cs="Verdana"/>
                <w:b/>
                <w:bCs/>
                <w:sz w:val="20"/>
                <w:szCs w:val="20"/>
                <w:lang w:eastAsia="bg-BG"/>
              </w:rPr>
              <w:t>2020</w:t>
            </w:r>
            <w:r w:rsidR="00863C99" w:rsidRPr="000E54EB">
              <w:rPr>
                <w:rFonts w:ascii="Verdana" w:hAnsi="Verdana" w:cs="Verdana"/>
                <w:b/>
                <w:bCs/>
                <w:sz w:val="20"/>
                <w:szCs w:val="20"/>
                <w:lang w:eastAsia="bg-BG"/>
              </w:rPr>
              <w:t xml:space="preserve"> г.</w:t>
            </w:r>
          </w:p>
        </w:tc>
        <w:tc>
          <w:tcPr>
            <w:tcW w:w="1701" w:type="dxa"/>
            <w:tcBorders>
              <w:top w:val="single" w:sz="4" w:space="0" w:color="auto"/>
              <w:left w:val="nil"/>
              <w:bottom w:val="single" w:sz="4" w:space="0" w:color="auto"/>
              <w:right w:val="single" w:sz="4" w:space="0" w:color="auto"/>
            </w:tcBorders>
            <w:noWrap/>
            <w:vAlign w:val="center"/>
          </w:tcPr>
          <w:p w:rsidR="00863C99" w:rsidRPr="000E54EB" w:rsidRDefault="00863C99" w:rsidP="003B00BC">
            <w:pPr>
              <w:jc w:val="center"/>
              <w:rPr>
                <w:rFonts w:ascii="Verdana" w:hAnsi="Verdana" w:cs="Verdana"/>
                <w:b/>
                <w:bCs/>
                <w:sz w:val="20"/>
                <w:szCs w:val="20"/>
                <w:lang w:eastAsia="bg-BG"/>
              </w:rPr>
            </w:pPr>
            <w:r w:rsidRPr="000E54EB">
              <w:rPr>
                <w:rFonts w:ascii="Verdana" w:hAnsi="Verdana" w:cs="Verdana"/>
                <w:b/>
                <w:bCs/>
                <w:sz w:val="20"/>
                <w:szCs w:val="20"/>
                <w:lang w:eastAsia="bg-BG"/>
              </w:rPr>
              <w:t>201</w:t>
            </w:r>
            <w:r w:rsidR="007B34DE">
              <w:rPr>
                <w:rFonts w:ascii="Verdana" w:hAnsi="Verdana" w:cs="Verdana"/>
                <w:b/>
                <w:bCs/>
                <w:sz w:val="20"/>
                <w:szCs w:val="20"/>
                <w:lang w:eastAsia="bg-BG"/>
              </w:rPr>
              <w:t>9</w:t>
            </w:r>
            <w:r w:rsidRPr="000E54EB">
              <w:rPr>
                <w:rFonts w:ascii="Verdana" w:hAnsi="Verdana" w:cs="Verdana"/>
                <w:b/>
                <w:bCs/>
                <w:sz w:val="20"/>
                <w:szCs w:val="20"/>
                <w:lang w:eastAsia="bg-BG"/>
              </w:rPr>
              <w:t xml:space="preserve"> г.</w:t>
            </w:r>
          </w:p>
        </w:tc>
      </w:tr>
      <w:tr w:rsidR="00863C99" w:rsidRPr="000E54EB">
        <w:trPr>
          <w:trHeight w:val="300"/>
        </w:trPr>
        <w:tc>
          <w:tcPr>
            <w:tcW w:w="6080" w:type="dxa"/>
            <w:tcBorders>
              <w:top w:val="nil"/>
              <w:left w:val="single" w:sz="4" w:space="0" w:color="auto"/>
              <w:bottom w:val="single" w:sz="4" w:space="0" w:color="auto"/>
              <w:right w:val="nil"/>
            </w:tcBorders>
            <w:vAlign w:val="center"/>
          </w:tcPr>
          <w:p w:rsidR="00863C99" w:rsidRPr="000E54EB" w:rsidRDefault="00863C99" w:rsidP="00D0272B">
            <w:pPr>
              <w:jc w:val="left"/>
              <w:rPr>
                <w:rFonts w:ascii="Verdana" w:hAnsi="Verdana" w:cs="Verdana"/>
                <w:sz w:val="20"/>
                <w:szCs w:val="20"/>
                <w:lang w:eastAsia="bg-BG"/>
              </w:rPr>
            </w:pPr>
            <w:r w:rsidRPr="000E54EB">
              <w:rPr>
                <w:rFonts w:ascii="Verdana" w:hAnsi="Verdana" w:cs="Verdana"/>
                <w:sz w:val="20"/>
                <w:szCs w:val="20"/>
                <w:lang w:eastAsia="bg-BG"/>
              </w:rPr>
              <w:t>Други приходи</w:t>
            </w:r>
          </w:p>
        </w:tc>
        <w:tc>
          <w:tcPr>
            <w:tcW w:w="1722" w:type="dxa"/>
            <w:tcBorders>
              <w:top w:val="nil"/>
              <w:left w:val="single" w:sz="4" w:space="0" w:color="auto"/>
              <w:bottom w:val="single" w:sz="4" w:space="0" w:color="auto"/>
              <w:right w:val="single" w:sz="4" w:space="0" w:color="auto"/>
            </w:tcBorders>
            <w:noWrap/>
            <w:vAlign w:val="center"/>
          </w:tcPr>
          <w:p w:rsidR="00863C99" w:rsidRPr="000E54EB" w:rsidRDefault="00863C99" w:rsidP="00B32431">
            <w:pPr>
              <w:jc w:val="center"/>
              <w:rPr>
                <w:rFonts w:ascii="Verdana" w:hAnsi="Verdana" w:cs="Verdana"/>
                <w:sz w:val="20"/>
                <w:szCs w:val="20"/>
                <w:lang w:eastAsia="bg-BG"/>
              </w:rPr>
            </w:pPr>
            <w:r>
              <w:rPr>
                <w:rFonts w:ascii="Verdana" w:hAnsi="Verdana" w:cs="Verdana"/>
                <w:sz w:val="20"/>
                <w:szCs w:val="20"/>
                <w:lang w:eastAsia="bg-BG"/>
              </w:rPr>
              <w:t>1</w:t>
            </w:r>
            <w:r w:rsidR="007B34DE">
              <w:rPr>
                <w:rFonts w:ascii="Verdana" w:hAnsi="Verdana" w:cs="Verdana"/>
                <w:sz w:val="20"/>
                <w:szCs w:val="20"/>
                <w:lang w:eastAsia="bg-BG"/>
              </w:rPr>
              <w:t>2</w:t>
            </w:r>
          </w:p>
        </w:tc>
        <w:tc>
          <w:tcPr>
            <w:tcW w:w="1701" w:type="dxa"/>
            <w:tcBorders>
              <w:top w:val="nil"/>
              <w:left w:val="nil"/>
              <w:bottom w:val="single" w:sz="4" w:space="0" w:color="auto"/>
              <w:right w:val="single" w:sz="4" w:space="0" w:color="auto"/>
            </w:tcBorders>
            <w:noWrap/>
            <w:vAlign w:val="center"/>
          </w:tcPr>
          <w:p w:rsidR="00863C99" w:rsidRPr="000E54EB" w:rsidRDefault="007B34DE" w:rsidP="001F704A">
            <w:pPr>
              <w:jc w:val="center"/>
              <w:rPr>
                <w:rFonts w:ascii="Verdana" w:hAnsi="Verdana" w:cs="Verdana"/>
                <w:sz w:val="20"/>
                <w:szCs w:val="20"/>
                <w:lang w:eastAsia="bg-BG"/>
              </w:rPr>
            </w:pPr>
            <w:r>
              <w:rPr>
                <w:rFonts w:ascii="Verdana" w:hAnsi="Verdana" w:cs="Verdana"/>
                <w:sz w:val="20"/>
                <w:szCs w:val="20"/>
                <w:lang w:eastAsia="bg-BG"/>
              </w:rPr>
              <w:t>13</w:t>
            </w:r>
          </w:p>
        </w:tc>
      </w:tr>
      <w:tr w:rsidR="00863C99" w:rsidRPr="000E54EB">
        <w:trPr>
          <w:trHeight w:val="300"/>
        </w:trPr>
        <w:tc>
          <w:tcPr>
            <w:tcW w:w="6080" w:type="dxa"/>
            <w:tcBorders>
              <w:top w:val="nil"/>
              <w:left w:val="single" w:sz="4" w:space="0" w:color="auto"/>
              <w:bottom w:val="single" w:sz="4" w:space="0" w:color="auto"/>
              <w:right w:val="nil"/>
            </w:tcBorders>
            <w:shd w:val="clear" w:color="000000" w:fill="C5D9F1"/>
            <w:noWrap/>
            <w:vAlign w:val="center"/>
          </w:tcPr>
          <w:p w:rsidR="00863C99" w:rsidRPr="000E54EB" w:rsidRDefault="00863C99" w:rsidP="00D0272B">
            <w:pPr>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1722" w:type="dxa"/>
            <w:tcBorders>
              <w:top w:val="nil"/>
              <w:left w:val="single" w:sz="4" w:space="0" w:color="auto"/>
              <w:bottom w:val="single" w:sz="4" w:space="0" w:color="auto"/>
              <w:right w:val="single" w:sz="4" w:space="0" w:color="auto"/>
            </w:tcBorders>
            <w:shd w:val="clear" w:color="000000" w:fill="C5D9F1"/>
            <w:noWrap/>
            <w:vAlign w:val="center"/>
          </w:tcPr>
          <w:p w:rsidR="00863C99" w:rsidRPr="000E54EB" w:rsidRDefault="007B34DE" w:rsidP="00B32431">
            <w:pPr>
              <w:jc w:val="center"/>
              <w:rPr>
                <w:rFonts w:ascii="Verdana" w:hAnsi="Verdana" w:cs="Verdana"/>
                <w:b/>
                <w:bCs/>
                <w:sz w:val="20"/>
                <w:szCs w:val="20"/>
                <w:lang w:eastAsia="bg-BG"/>
              </w:rPr>
            </w:pPr>
            <w:r>
              <w:rPr>
                <w:rFonts w:ascii="Verdana" w:hAnsi="Verdana" w:cs="Verdana"/>
                <w:b/>
                <w:bCs/>
                <w:sz w:val="20"/>
                <w:szCs w:val="20"/>
                <w:lang w:eastAsia="bg-BG"/>
              </w:rPr>
              <w:t>12</w:t>
            </w:r>
          </w:p>
        </w:tc>
        <w:tc>
          <w:tcPr>
            <w:tcW w:w="1701" w:type="dxa"/>
            <w:tcBorders>
              <w:top w:val="nil"/>
              <w:left w:val="nil"/>
              <w:bottom w:val="single" w:sz="4" w:space="0" w:color="auto"/>
              <w:right w:val="single" w:sz="4" w:space="0" w:color="auto"/>
            </w:tcBorders>
            <w:shd w:val="clear" w:color="000000" w:fill="C5D9F1"/>
            <w:noWrap/>
            <w:vAlign w:val="center"/>
          </w:tcPr>
          <w:p w:rsidR="00863C99" w:rsidRPr="000E54EB" w:rsidRDefault="007B34DE" w:rsidP="001F704A">
            <w:pPr>
              <w:jc w:val="center"/>
              <w:rPr>
                <w:rFonts w:ascii="Verdana" w:hAnsi="Verdana" w:cs="Verdana"/>
                <w:b/>
                <w:bCs/>
                <w:sz w:val="20"/>
                <w:szCs w:val="20"/>
                <w:lang w:eastAsia="bg-BG"/>
              </w:rPr>
            </w:pPr>
            <w:r>
              <w:rPr>
                <w:rFonts w:ascii="Verdana" w:hAnsi="Verdana" w:cs="Verdana"/>
                <w:b/>
                <w:bCs/>
                <w:sz w:val="20"/>
                <w:szCs w:val="20"/>
                <w:lang w:eastAsia="bg-BG"/>
              </w:rPr>
              <w:t>13</w:t>
            </w:r>
          </w:p>
        </w:tc>
      </w:tr>
    </w:tbl>
    <w:p w:rsidR="00863C99" w:rsidRPr="000E54EB" w:rsidRDefault="00863C99" w:rsidP="00B66DF8">
      <w:pPr>
        <w:pStyle w:val="Heading3"/>
        <w:rPr>
          <w:rFonts w:ascii="Verdana" w:hAnsi="Verdana" w:cs="Verdana"/>
          <w:lang w:val="bg-BG"/>
        </w:rPr>
      </w:pPr>
      <w:bookmarkStart w:id="115" w:name="_Toc247959164"/>
      <w:bookmarkStart w:id="116" w:name="_Toc314519583"/>
      <w:bookmarkStart w:id="117" w:name="_Toc4328830"/>
      <w:bookmarkEnd w:id="112"/>
      <w:bookmarkEnd w:id="113"/>
      <w:r w:rsidRPr="000E54EB">
        <w:rPr>
          <w:rFonts w:ascii="Verdana" w:hAnsi="Verdana" w:cs="Verdana"/>
          <w:lang w:val="bg-BG"/>
        </w:rPr>
        <w:t>1.2. Разходи</w:t>
      </w:r>
      <w:bookmarkEnd w:id="115"/>
      <w:bookmarkEnd w:id="116"/>
      <w:bookmarkEnd w:id="117"/>
    </w:p>
    <w:p w:rsidR="00863C99" w:rsidRPr="000E54EB" w:rsidRDefault="00863C99" w:rsidP="00B66DF8">
      <w:pPr>
        <w:pStyle w:val="Heading4"/>
        <w:rPr>
          <w:rFonts w:ascii="Verdana" w:hAnsi="Verdana" w:cs="Verdana"/>
          <w:i w:val="0"/>
          <w:iCs w:val="0"/>
          <w:lang w:val="bg-BG"/>
        </w:rPr>
      </w:pPr>
      <w:bookmarkStart w:id="118" w:name="_Toc247959165"/>
      <w:bookmarkStart w:id="119" w:name="_Toc314519584"/>
      <w:bookmarkStart w:id="120" w:name="_Toc4328831"/>
      <w:r w:rsidRPr="000E54EB">
        <w:rPr>
          <w:rFonts w:ascii="Verdana" w:hAnsi="Verdana" w:cs="Verdana"/>
          <w:i w:val="0"/>
          <w:iCs w:val="0"/>
          <w:lang w:val="bg-BG"/>
        </w:rPr>
        <w:t>1.2.1. Разходи за използвани суровини, материали и консумативи</w:t>
      </w:r>
      <w:bookmarkEnd w:id="118"/>
      <w:bookmarkEnd w:id="119"/>
      <w:bookmarkEnd w:id="120"/>
    </w:p>
    <w:tbl>
      <w:tblPr>
        <w:tblW w:w="950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6101"/>
        <w:gridCol w:w="1660"/>
        <w:gridCol w:w="1742"/>
      </w:tblGrid>
      <w:tr w:rsidR="00863C99" w:rsidRPr="000E54EB">
        <w:trPr>
          <w:trHeight w:val="255"/>
        </w:trPr>
        <w:tc>
          <w:tcPr>
            <w:tcW w:w="6101" w:type="dxa"/>
            <w:noWrap/>
            <w:vAlign w:val="center"/>
          </w:tcPr>
          <w:p w:rsidR="00863C99" w:rsidRPr="000E54EB" w:rsidRDefault="00863C99" w:rsidP="009503E5">
            <w:pPr>
              <w:jc w:val="left"/>
              <w:rPr>
                <w:rFonts w:ascii="Verdana" w:hAnsi="Verdana" w:cs="Verdana"/>
                <w:b/>
                <w:bCs/>
                <w:sz w:val="20"/>
                <w:szCs w:val="20"/>
                <w:lang w:eastAsia="bg-BG"/>
              </w:rPr>
            </w:pPr>
            <w:r w:rsidRPr="000E54EB">
              <w:rPr>
                <w:rFonts w:ascii="Verdana" w:hAnsi="Verdana" w:cs="Verdana"/>
                <w:b/>
                <w:bCs/>
                <w:sz w:val="20"/>
                <w:szCs w:val="20"/>
                <w:lang w:eastAsia="bg-BG"/>
              </w:rPr>
              <w:t>Вид разход</w:t>
            </w:r>
          </w:p>
        </w:tc>
        <w:tc>
          <w:tcPr>
            <w:tcW w:w="1660" w:type="dxa"/>
            <w:noWrap/>
            <w:vAlign w:val="center"/>
          </w:tcPr>
          <w:p w:rsidR="00863C99" w:rsidRPr="000E54EB" w:rsidRDefault="00D61C1C" w:rsidP="003B00BC">
            <w:pPr>
              <w:jc w:val="center"/>
              <w:rPr>
                <w:rFonts w:ascii="Verdana" w:hAnsi="Verdana" w:cs="Verdana"/>
                <w:b/>
                <w:bCs/>
                <w:sz w:val="20"/>
                <w:szCs w:val="20"/>
                <w:lang w:eastAsia="bg-BG"/>
              </w:rPr>
            </w:pPr>
            <w:r>
              <w:rPr>
                <w:rFonts w:ascii="Verdana" w:hAnsi="Verdana" w:cs="Verdana"/>
                <w:b/>
                <w:bCs/>
                <w:sz w:val="20"/>
                <w:szCs w:val="20"/>
                <w:lang w:eastAsia="bg-BG"/>
              </w:rPr>
              <w:t>2020</w:t>
            </w:r>
            <w:r w:rsidR="00863C99" w:rsidRPr="000E54EB">
              <w:rPr>
                <w:rFonts w:ascii="Verdana" w:hAnsi="Verdana" w:cs="Verdana"/>
                <w:b/>
                <w:bCs/>
                <w:sz w:val="20"/>
                <w:szCs w:val="20"/>
                <w:lang w:eastAsia="bg-BG"/>
              </w:rPr>
              <w:t xml:space="preserve"> г.</w:t>
            </w:r>
          </w:p>
        </w:tc>
        <w:tc>
          <w:tcPr>
            <w:tcW w:w="1742" w:type="dxa"/>
            <w:noWrap/>
            <w:vAlign w:val="center"/>
          </w:tcPr>
          <w:p w:rsidR="00863C99" w:rsidRPr="000E54EB" w:rsidRDefault="00D61C1C" w:rsidP="001F704A">
            <w:pPr>
              <w:jc w:val="center"/>
              <w:rPr>
                <w:rFonts w:ascii="Verdana" w:hAnsi="Verdana" w:cs="Verdana"/>
                <w:b/>
                <w:bCs/>
                <w:sz w:val="20"/>
                <w:szCs w:val="20"/>
                <w:lang w:eastAsia="bg-BG"/>
              </w:rPr>
            </w:pPr>
            <w:r>
              <w:rPr>
                <w:rFonts w:ascii="Verdana" w:hAnsi="Verdana" w:cs="Verdana"/>
                <w:b/>
                <w:bCs/>
                <w:sz w:val="20"/>
                <w:szCs w:val="20"/>
                <w:lang w:eastAsia="bg-BG"/>
              </w:rPr>
              <w:t>2019</w:t>
            </w:r>
            <w:r w:rsidR="00863C99" w:rsidRPr="000E54EB">
              <w:rPr>
                <w:rFonts w:ascii="Verdana" w:hAnsi="Verdana" w:cs="Verdana"/>
                <w:b/>
                <w:bCs/>
                <w:sz w:val="20"/>
                <w:szCs w:val="20"/>
                <w:lang w:eastAsia="bg-BG"/>
              </w:rPr>
              <w:t xml:space="preserve"> г.</w:t>
            </w:r>
          </w:p>
        </w:tc>
      </w:tr>
      <w:tr w:rsidR="00D61C1C" w:rsidRPr="000E54EB">
        <w:trPr>
          <w:trHeight w:val="255"/>
        </w:trPr>
        <w:tc>
          <w:tcPr>
            <w:tcW w:w="6101" w:type="dxa"/>
            <w:noWrap/>
            <w:vAlign w:val="center"/>
          </w:tcPr>
          <w:p w:rsidR="00D61C1C" w:rsidRPr="000E54EB" w:rsidRDefault="00D61C1C" w:rsidP="009503E5">
            <w:pPr>
              <w:jc w:val="left"/>
              <w:rPr>
                <w:rFonts w:ascii="Verdana" w:hAnsi="Verdana" w:cs="Verdana"/>
                <w:sz w:val="20"/>
                <w:szCs w:val="20"/>
                <w:lang w:eastAsia="bg-BG"/>
              </w:rPr>
            </w:pPr>
            <w:r w:rsidRPr="000E54EB">
              <w:rPr>
                <w:rFonts w:ascii="Verdana" w:hAnsi="Verdana" w:cs="Verdana"/>
                <w:sz w:val="20"/>
                <w:szCs w:val="20"/>
                <w:lang w:eastAsia="bg-BG"/>
              </w:rPr>
              <w:t xml:space="preserve">Основни материали, горива за производство на енергия </w:t>
            </w:r>
          </w:p>
        </w:tc>
        <w:tc>
          <w:tcPr>
            <w:tcW w:w="1660" w:type="dxa"/>
            <w:noWrap/>
            <w:vAlign w:val="center"/>
          </w:tcPr>
          <w:p w:rsidR="00D61C1C" w:rsidRPr="000E54EB" w:rsidRDefault="00554AA7" w:rsidP="00B862F5">
            <w:pPr>
              <w:jc w:val="center"/>
              <w:rPr>
                <w:rFonts w:ascii="Verdana" w:hAnsi="Verdana" w:cs="Verdana"/>
                <w:sz w:val="20"/>
                <w:szCs w:val="20"/>
                <w:lang w:eastAsia="bg-BG"/>
              </w:rPr>
            </w:pPr>
            <w:r>
              <w:rPr>
                <w:rFonts w:ascii="Verdana" w:hAnsi="Verdana" w:cs="Verdana"/>
                <w:sz w:val="20"/>
                <w:szCs w:val="20"/>
                <w:lang w:eastAsia="bg-BG"/>
              </w:rPr>
              <w:t>2 133</w:t>
            </w:r>
          </w:p>
        </w:tc>
        <w:tc>
          <w:tcPr>
            <w:tcW w:w="1742" w:type="dxa"/>
            <w:noWrap/>
            <w:vAlign w:val="center"/>
          </w:tcPr>
          <w:p w:rsidR="00D61C1C" w:rsidRPr="00F25FCA" w:rsidRDefault="00D61C1C" w:rsidP="00B617CE">
            <w:pPr>
              <w:jc w:val="center"/>
              <w:rPr>
                <w:rFonts w:ascii="Verdana" w:hAnsi="Verdana" w:cs="Arial"/>
                <w:sz w:val="20"/>
                <w:lang w:eastAsia="bg-BG"/>
              </w:rPr>
            </w:pPr>
            <w:r w:rsidRPr="00F25FCA">
              <w:rPr>
                <w:rFonts w:ascii="Verdana" w:hAnsi="Verdana" w:cs="Arial"/>
                <w:sz w:val="20"/>
                <w:lang w:eastAsia="bg-BG"/>
              </w:rPr>
              <w:t>2 392</w:t>
            </w:r>
          </w:p>
        </w:tc>
      </w:tr>
      <w:tr w:rsidR="00D61C1C" w:rsidRPr="000E54EB">
        <w:trPr>
          <w:trHeight w:val="255"/>
        </w:trPr>
        <w:tc>
          <w:tcPr>
            <w:tcW w:w="6101" w:type="dxa"/>
            <w:noWrap/>
            <w:vAlign w:val="center"/>
          </w:tcPr>
          <w:p w:rsidR="00D61C1C" w:rsidRPr="000E54EB" w:rsidRDefault="00D61C1C" w:rsidP="009503E5">
            <w:pPr>
              <w:jc w:val="left"/>
              <w:rPr>
                <w:rFonts w:ascii="Verdana" w:hAnsi="Verdana" w:cs="Verdana"/>
                <w:sz w:val="20"/>
                <w:szCs w:val="20"/>
                <w:lang w:eastAsia="bg-BG"/>
              </w:rPr>
            </w:pPr>
            <w:r w:rsidRPr="000E54EB">
              <w:rPr>
                <w:rFonts w:ascii="Verdana" w:hAnsi="Verdana" w:cs="Verdana"/>
                <w:sz w:val="20"/>
                <w:szCs w:val="20"/>
                <w:lang w:eastAsia="bg-BG"/>
              </w:rPr>
              <w:t>Спомагателни материали и химикали</w:t>
            </w:r>
          </w:p>
        </w:tc>
        <w:tc>
          <w:tcPr>
            <w:tcW w:w="1660" w:type="dxa"/>
            <w:noWrap/>
            <w:vAlign w:val="center"/>
          </w:tcPr>
          <w:p w:rsidR="00D61C1C" w:rsidRPr="00554AA7" w:rsidRDefault="00554AA7" w:rsidP="009503E5">
            <w:pPr>
              <w:jc w:val="center"/>
              <w:rPr>
                <w:rFonts w:ascii="Verdana" w:hAnsi="Verdana" w:cs="Verdana"/>
                <w:sz w:val="20"/>
                <w:szCs w:val="20"/>
                <w:lang w:eastAsia="bg-BG"/>
              </w:rPr>
            </w:pPr>
            <w:r>
              <w:rPr>
                <w:rFonts w:ascii="Verdana" w:hAnsi="Verdana" w:cs="Verdana"/>
                <w:sz w:val="20"/>
                <w:szCs w:val="20"/>
                <w:lang w:eastAsia="bg-BG"/>
              </w:rPr>
              <w:t>19</w:t>
            </w:r>
          </w:p>
        </w:tc>
        <w:tc>
          <w:tcPr>
            <w:tcW w:w="1742" w:type="dxa"/>
            <w:noWrap/>
            <w:vAlign w:val="center"/>
          </w:tcPr>
          <w:p w:rsidR="00D61C1C" w:rsidRPr="00F25FCA" w:rsidRDefault="00D61C1C" w:rsidP="00B617CE">
            <w:pPr>
              <w:jc w:val="center"/>
              <w:rPr>
                <w:rFonts w:ascii="Verdana" w:hAnsi="Verdana" w:cs="Arial"/>
                <w:sz w:val="20"/>
                <w:lang w:eastAsia="bg-BG"/>
              </w:rPr>
            </w:pPr>
            <w:r w:rsidRPr="00F25FCA">
              <w:rPr>
                <w:rFonts w:ascii="Verdana" w:hAnsi="Verdana" w:cs="Arial"/>
                <w:sz w:val="20"/>
                <w:lang w:eastAsia="bg-BG"/>
              </w:rPr>
              <w:t>11</w:t>
            </w:r>
          </w:p>
        </w:tc>
      </w:tr>
      <w:tr w:rsidR="00D61C1C" w:rsidRPr="000E54EB">
        <w:trPr>
          <w:trHeight w:val="255"/>
        </w:trPr>
        <w:tc>
          <w:tcPr>
            <w:tcW w:w="6101" w:type="dxa"/>
            <w:noWrap/>
            <w:vAlign w:val="center"/>
          </w:tcPr>
          <w:p w:rsidR="00D61C1C" w:rsidRPr="000E54EB" w:rsidRDefault="00D61C1C" w:rsidP="009503E5">
            <w:pPr>
              <w:jc w:val="left"/>
              <w:rPr>
                <w:rFonts w:ascii="Verdana" w:hAnsi="Verdana" w:cs="Verdana"/>
                <w:sz w:val="20"/>
                <w:szCs w:val="20"/>
                <w:lang w:eastAsia="bg-BG"/>
              </w:rPr>
            </w:pPr>
            <w:r w:rsidRPr="000E54EB">
              <w:rPr>
                <w:rFonts w:ascii="Verdana" w:hAnsi="Verdana" w:cs="Verdana"/>
                <w:sz w:val="20"/>
                <w:szCs w:val="20"/>
                <w:lang w:eastAsia="bg-BG"/>
              </w:rPr>
              <w:t>Горивни и смазочни материали</w:t>
            </w:r>
          </w:p>
        </w:tc>
        <w:tc>
          <w:tcPr>
            <w:tcW w:w="1660" w:type="dxa"/>
            <w:noWrap/>
            <w:vAlign w:val="center"/>
          </w:tcPr>
          <w:p w:rsidR="00D61C1C" w:rsidRPr="000E54EB" w:rsidRDefault="00554AA7" w:rsidP="009503E5">
            <w:pPr>
              <w:jc w:val="center"/>
              <w:rPr>
                <w:rFonts w:ascii="Verdana" w:hAnsi="Verdana" w:cs="Verdana"/>
                <w:sz w:val="20"/>
                <w:szCs w:val="20"/>
                <w:lang w:eastAsia="bg-BG"/>
              </w:rPr>
            </w:pPr>
            <w:r>
              <w:rPr>
                <w:rFonts w:ascii="Verdana" w:hAnsi="Verdana" w:cs="Verdana"/>
                <w:sz w:val="20"/>
                <w:szCs w:val="20"/>
                <w:lang w:eastAsia="bg-BG"/>
              </w:rPr>
              <w:t>2</w:t>
            </w:r>
          </w:p>
        </w:tc>
        <w:tc>
          <w:tcPr>
            <w:tcW w:w="1742" w:type="dxa"/>
            <w:noWrap/>
            <w:vAlign w:val="center"/>
          </w:tcPr>
          <w:p w:rsidR="00D61C1C" w:rsidRPr="00F25FCA" w:rsidRDefault="00D61C1C" w:rsidP="00B617CE">
            <w:pPr>
              <w:jc w:val="center"/>
              <w:rPr>
                <w:rFonts w:ascii="Verdana" w:hAnsi="Verdana" w:cs="Arial"/>
                <w:sz w:val="20"/>
                <w:lang w:eastAsia="bg-BG"/>
              </w:rPr>
            </w:pPr>
            <w:r w:rsidRPr="00F25FCA">
              <w:rPr>
                <w:rFonts w:ascii="Verdana" w:hAnsi="Verdana" w:cs="Arial"/>
                <w:sz w:val="20"/>
                <w:lang w:eastAsia="bg-BG"/>
              </w:rPr>
              <w:t>1</w:t>
            </w:r>
          </w:p>
        </w:tc>
      </w:tr>
      <w:tr w:rsidR="00D61C1C" w:rsidRPr="000E54EB">
        <w:trPr>
          <w:trHeight w:val="255"/>
        </w:trPr>
        <w:tc>
          <w:tcPr>
            <w:tcW w:w="6101" w:type="dxa"/>
            <w:noWrap/>
            <w:vAlign w:val="center"/>
          </w:tcPr>
          <w:p w:rsidR="00D61C1C" w:rsidRPr="000E54EB" w:rsidRDefault="00D61C1C" w:rsidP="009503E5">
            <w:pPr>
              <w:jc w:val="left"/>
              <w:rPr>
                <w:rFonts w:ascii="Verdana" w:hAnsi="Verdana" w:cs="Verdana"/>
                <w:sz w:val="20"/>
                <w:szCs w:val="20"/>
                <w:lang w:eastAsia="bg-BG"/>
              </w:rPr>
            </w:pPr>
            <w:r w:rsidRPr="000E54EB">
              <w:rPr>
                <w:rFonts w:ascii="Verdana" w:hAnsi="Verdana" w:cs="Verdana"/>
                <w:sz w:val="20"/>
                <w:szCs w:val="20"/>
                <w:lang w:eastAsia="bg-BG"/>
              </w:rPr>
              <w:t>Материали за подръжка и ремонт на ДМА</w:t>
            </w:r>
          </w:p>
        </w:tc>
        <w:tc>
          <w:tcPr>
            <w:tcW w:w="1660" w:type="dxa"/>
            <w:noWrap/>
            <w:vAlign w:val="center"/>
          </w:tcPr>
          <w:p w:rsidR="00D61C1C" w:rsidRPr="00554AA7" w:rsidRDefault="00554AA7" w:rsidP="009503E5">
            <w:pPr>
              <w:jc w:val="center"/>
              <w:rPr>
                <w:rFonts w:ascii="Verdana" w:hAnsi="Verdana" w:cs="Verdana"/>
                <w:sz w:val="20"/>
                <w:szCs w:val="20"/>
                <w:lang w:eastAsia="bg-BG"/>
              </w:rPr>
            </w:pPr>
            <w:r>
              <w:rPr>
                <w:rFonts w:ascii="Verdana" w:hAnsi="Verdana" w:cs="Verdana"/>
                <w:sz w:val="20"/>
                <w:szCs w:val="20"/>
                <w:lang w:eastAsia="bg-BG"/>
              </w:rPr>
              <w:t>78</w:t>
            </w:r>
          </w:p>
        </w:tc>
        <w:tc>
          <w:tcPr>
            <w:tcW w:w="1742" w:type="dxa"/>
            <w:noWrap/>
            <w:vAlign w:val="center"/>
          </w:tcPr>
          <w:p w:rsidR="00D61C1C" w:rsidRPr="00F25FCA" w:rsidRDefault="00D61C1C" w:rsidP="00B617CE">
            <w:pPr>
              <w:jc w:val="center"/>
              <w:rPr>
                <w:rFonts w:ascii="Verdana" w:hAnsi="Verdana" w:cs="Arial"/>
                <w:sz w:val="20"/>
                <w:lang w:eastAsia="bg-BG"/>
              </w:rPr>
            </w:pPr>
            <w:r w:rsidRPr="00F25FCA">
              <w:rPr>
                <w:rFonts w:ascii="Verdana" w:hAnsi="Verdana" w:cs="Arial"/>
                <w:sz w:val="20"/>
                <w:lang w:eastAsia="bg-BG"/>
              </w:rPr>
              <w:t>51</w:t>
            </w:r>
          </w:p>
        </w:tc>
      </w:tr>
      <w:tr w:rsidR="00D61C1C" w:rsidRPr="000E54EB">
        <w:trPr>
          <w:trHeight w:val="255"/>
        </w:trPr>
        <w:tc>
          <w:tcPr>
            <w:tcW w:w="6101" w:type="dxa"/>
            <w:noWrap/>
            <w:vAlign w:val="center"/>
          </w:tcPr>
          <w:p w:rsidR="00D61C1C" w:rsidRPr="000E54EB" w:rsidRDefault="00D61C1C" w:rsidP="009503E5">
            <w:pPr>
              <w:jc w:val="left"/>
              <w:rPr>
                <w:rFonts w:ascii="Verdana" w:hAnsi="Verdana" w:cs="Verdana"/>
                <w:sz w:val="20"/>
                <w:szCs w:val="20"/>
                <w:lang w:eastAsia="bg-BG"/>
              </w:rPr>
            </w:pPr>
            <w:r w:rsidRPr="000E54EB">
              <w:rPr>
                <w:rFonts w:ascii="Verdana" w:hAnsi="Verdana" w:cs="Verdana"/>
                <w:sz w:val="20"/>
                <w:szCs w:val="20"/>
                <w:lang w:eastAsia="bg-BG"/>
              </w:rPr>
              <w:t>Стопански инвентар</w:t>
            </w:r>
          </w:p>
        </w:tc>
        <w:tc>
          <w:tcPr>
            <w:tcW w:w="1660" w:type="dxa"/>
            <w:noWrap/>
            <w:vAlign w:val="center"/>
          </w:tcPr>
          <w:p w:rsidR="00D61C1C" w:rsidRPr="000E54EB" w:rsidRDefault="00554AA7" w:rsidP="009503E5">
            <w:pPr>
              <w:jc w:val="center"/>
              <w:rPr>
                <w:rFonts w:ascii="Verdana" w:hAnsi="Verdana" w:cs="Verdana"/>
                <w:sz w:val="20"/>
                <w:szCs w:val="20"/>
                <w:lang w:eastAsia="bg-BG"/>
              </w:rPr>
            </w:pPr>
            <w:r>
              <w:rPr>
                <w:rFonts w:ascii="Verdana" w:hAnsi="Verdana" w:cs="Verdana"/>
                <w:sz w:val="20"/>
                <w:szCs w:val="20"/>
                <w:lang w:eastAsia="bg-BG"/>
              </w:rPr>
              <w:t>2</w:t>
            </w:r>
          </w:p>
        </w:tc>
        <w:tc>
          <w:tcPr>
            <w:tcW w:w="1742" w:type="dxa"/>
            <w:noWrap/>
            <w:vAlign w:val="center"/>
          </w:tcPr>
          <w:p w:rsidR="00D61C1C" w:rsidRPr="00F25FCA" w:rsidRDefault="00D61C1C" w:rsidP="00B617CE">
            <w:pPr>
              <w:jc w:val="center"/>
              <w:rPr>
                <w:rFonts w:ascii="Verdana" w:hAnsi="Verdana" w:cs="Arial"/>
                <w:sz w:val="20"/>
                <w:lang w:eastAsia="bg-BG"/>
              </w:rPr>
            </w:pPr>
            <w:r w:rsidRPr="00F25FCA">
              <w:rPr>
                <w:rFonts w:ascii="Verdana" w:hAnsi="Verdana" w:cs="Arial"/>
                <w:sz w:val="20"/>
                <w:lang w:eastAsia="bg-BG"/>
              </w:rPr>
              <w:t>1</w:t>
            </w:r>
          </w:p>
        </w:tc>
      </w:tr>
      <w:tr w:rsidR="00D61C1C" w:rsidRPr="000E54EB">
        <w:trPr>
          <w:trHeight w:val="255"/>
        </w:trPr>
        <w:tc>
          <w:tcPr>
            <w:tcW w:w="6101" w:type="dxa"/>
            <w:noWrap/>
            <w:vAlign w:val="center"/>
          </w:tcPr>
          <w:p w:rsidR="00D61C1C" w:rsidRPr="000E54EB" w:rsidRDefault="00D61C1C" w:rsidP="009503E5">
            <w:pPr>
              <w:jc w:val="left"/>
              <w:rPr>
                <w:rFonts w:ascii="Verdana" w:hAnsi="Verdana" w:cs="Verdana"/>
                <w:sz w:val="20"/>
                <w:szCs w:val="20"/>
                <w:lang w:eastAsia="bg-BG"/>
              </w:rPr>
            </w:pPr>
            <w:r w:rsidRPr="000E54EB">
              <w:rPr>
                <w:rFonts w:ascii="Verdana" w:hAnsi="Verdana" w:cs="Verdana"/>
                <w:sz w:val="20"/>
                <w:szCs w:val="20"/>
                <w:lang w:eastAsia="bg-BG"/>
              </w:rPr>
              <w:t>Работно облекло</w:t>
            </w:r>
          </w:p>
        </w:tc>
        <w:tc>
          <w:tcPr>
            <w:tcW w:w="1660" w:type="dxa"/>
            <w:noWrap/>
            <w:vAlign w:val="center"/>
          </w:tcPr>
          <w:p w:rsidR="00D61C1C" w:rsidRPr="00B862F5" w:rsidRDefault="00554AA7" w:rsidP="009503E5">
            <w:pPr>
              <w:jc w:val="center"/>
              <w:rPr>
                <w:rFonts w:ascii="Verdana" w:hAnsi="Verdana" w:cs="Verdana"/>
                <w:sz w:val="20"/>
                <w:szCs w:val="20"/>
                <w:lang w:eastAsia="bg-BG"/>
              </w:rPr>
            </w:pPr>
            <w:r>
              <w:rPr>
                <w:rFonts w:ascii="Verdana" w:hAnsi="Verdana" w:cs="Verdana"/>
                <w:sz w:val="20"/>
                <w:szCs w:val="20"/>
                <w:lang w:eastAsia="bg-BG"/>
              </w:rPr>
              <w:t>2</w:t>
            </w:r>
          </w:p>
        </w:tc>
        <w:tc>
          <w:tcPr>
            <w:tcW w:w="1742" w:type="dxa"/>
            <w:noWrap/>
            <w:vAlign w:val="center"/>
          </w:tcPr>
          <w:p w:rsidR="00D61C1C" w:rsidRPr="00F25FCA" w:rsidRDefault="00D61C1C" w:rsidP="00B617CE">
            <w:pPr>
              <w:jc w:val="center"/>
              <w:rPr>
                <w:rFonts w:ascii="Verdana" w:hAnsi="Verdana" w:cs="Arial"/>
                <w:sz w:val="20"/>
                <w:lang w:eastAsia="bg-BG"/>
              </w:rPr>
            </w:pPr>
            <w:r w:rsidRPr="00F25FCA">
              <w:rPr>
                <w:rFonts w:ascii="Verdana" w:hAnsi="Verdana" w:cs="Arial"/>
                <w:sz w:val="20"/>
                <w:lang w:eastAsia="bg-BG"/>
              </w:rPr>
              <w:t>1</w:t>
            </w:r>
          </w:p>
        </w:tc>
      </w:tr>
      <w:tr w:rsidR="00D61C1C" w:rsidRPr="000E54EB">
        <w:trPr>
          <w:trHeight w:val="255"/>
        </w:trPr>
        <w:tc>
          <w:tcPr>
            <w:tcW w:w="6101" w:type="dxa"/>
            <w:noWrap/>
            <w:vAlign w:val="center"/>
          </w:tcPr>
          <w:p w:rsidR="00D61C1C" w:rsidRPr="000E54EB" w:rsidRDefault="00D61C1C" w:rsidP="009503E5">
            <w:pPr>
              <w:jc w:val="left"/>
              <w:rPr>
                <w:rFonts w:ascii="Verdana" w:hAnsi="Verdana" w:cs="Verdana"/>
                <w:sz w:val="20"/>
                <w:szCs w:val="20"/>
                <w:lang w:eastAsia="bg-BG"/>
              </w:rPr>
            </w:pPr>
            <w:r w:rsidRPr="000E54EB">
              <w:rPr>
                <w:rFonts w:ascii="Verdana" w:hAnsi="Verdana" w:cs="Verdana"/>
                <w:sz w:val="20"/>
                <w:szCs w:val="20"/>
                <w:lang w:eastAsia="bg-BG"/>
              </w:rPr>
              <w:lastRenderedPageBreak/>
              <w:t>Електрическа  енергия</w:t>
            </w:r>
          </w:p>
        </w:tc>
        <w:tc>
          <w:tcPr>
            <w:tcW w:w="1660" w:type="dxa"/>
            <w:noWrap/>
            <w:vAlign w:val="center"/>
          </w:tcPr>
          <w:p w:rsidR="00D61C1C" w:rsidRPr="00554AA7" w:rsidRDefault="00554AA7" w:rsidP="009503E5">
            <w:pPr>
              <w:jc w:val="center"/>
              <w:rPr>
                <w:rFonts w:ascii="Verdana" w:hAnsi="Verdana" w:cs="Verdana"/>
                <w:sz w:val="20"/>
                <w:szCs w:val="20"/>
                <w:lang w:eastAsia="bg-BG"/>
              </w:rPr>
            </w:pPr>
            <w:r>
              <w:rPr>
                <w:rFonts w:ascii="Verdana" w:hAnsi="Verdana" w:cs="Verdana"/>
                <w:sz w:val="20"/>
                <w:szCs w:val="20"/>
                <w:lang w:eastAsia="bg-BG"/>
              </w:rPr>
              <w:t>31</w:t>
            </w:r>
          </w:p>
        </w:tc>
        <w:tc>
          <w:tcPr>
            <w:tcW w:w="1742" w:type="dxa"/>
            <w:noWrap/>
            <w:vAlign w:val="center"/>
          </w:tcPr>
          <w:p w:rsidR="00D61C1C" w:rsidRPr="00F25FCA" w:rsidRDefault="00D61C1C" w:rsidP="00B617CE">
            <w:pPr>
              <w:jc w:val="center"/>
              <w:rPr>
                <w:rFonts w:ascii="Verdana" w:hAnsi="Verdana" w:cs="Arial"/>
                <w:sz w:val="20"/>
                <w:lang w:eastAsia="bg-BG"/>
              </w:rPr>
            </w:pPr>
            <w:r w:rsidRPr="00F25FCA">
              <w:rPr>
                <w:rFonts w:ascii="Verdana" w:hAnsi="Verdana" w:cs="Arial"/>
                <w:sz w:val="20"/>
                <w:lang w:eastAsia="bg-BG"/>
              </w:rPr>
              <w:t>37</w:t>
            </w:r>
          </w:p>
        </w:tc>
      </w:tr>
      <w:tr w:rsidR="00D61C1C" w:rsidRPr="000E54EB">
        <w:trPr>
          <w:trHeight w:val="255"/>
        </w:trPr>
        <w:tc>
          <w:tcPr>
            <w:tcW w:w="6101" w:type="dxa"/>
            <w:noWrap/>
            <w:vAlign w:val="center"/>
          </w:tcPr>
          <w:p w:rsidR="00D61C1C" w:rsidRPr="000E54EB" w:rsidRDefault="00D61C1C" w:rsidP="009503E5">
            <w:pPr>
              <w:jc w:val="left"/>
              <w:rPr>
                <w:rFonts w:ascii="Verdana" w:hAnsi="Verdana" w:cs="Verdana"/>
                <w:sz w:val="20"/>
                <w:szCs w:val="20"/>
                <w:lang w:eastAsia="bg-BG"/>
              </w:rPr>
            </w:pPr>
            <w:r w:rsidRPr="000E54EB">
              <w:rPr>
                <w:rFonts w:ascii="Verdana" w:hAnsi="Verdana" w:cs="Verdana"/>
                <w:sz w:val="20"/>
                <w:szCs w:val="20"/>
                <w:lang w:eastAsia="bg-BG"/>
              </w:rPr>
              <w:t>Вода</w:t>
            </w:r>
          </w:p>
        </w:tc>
        <w:tc>
          <w:tcPr>
            <w:tcW w:w="1660" w:type="dxa"/>
            <w:noWrap/>
            <w:vAlign w:val="center"/>
          </w:tcPr>
          <w:p w:rsidR="00D61C1C" w:rsidRPr="00554AA7" w:rsidRDefault="00554AA7" w:rsidP="009503E5">
            <w:pPr>
              <w:jc w:val="center"/>
              <w:rPr>
                <w:rFonts w:ascii="Verdana" w:hAnsi="Verdana" w:cs="Verdana"/>
                <w:sz w:val="20"/>
                <w:szCs w:val="20"/>
                <w:lang w:eastAsia="bg-BG"/>
              </w:rPr>
            </w:pPr>
            <w:r>
              <w:rPr>
                <w:rFonts w:ascii="Verdana" w:hAnsi="Verdana" w:cs="Verdana"/>
                <w:sz w:val="20"/>
                <w:szCs w:val="20"/>
                <w:lang w:eastAsia="bg-BG"/>
              </w:rPr>
              <w:t>3</w:t>
            </w:r>
          </w:p>
        </w:tc>
        <w:tc>
          <w:tcPr>
            <w:tcW w:w="1742" w:type="dxa"/>
            <w:noWrap/>
            <w:vAlign w:val="center"/>
          </w:tcPr>
          <w:p w:rsidR="00D61C1C" w:rsidRPr="00F25FCA" w:rsidRDefault="00D61C1C" w:rsidP="00B617CE">
            <w:pPr>
              <w:jc w:val="center"/>
              <w:rPr>
                <w:rFonts w:ascii="Verdana" w:hAnsi="Verdana" w:cs="Arial"/>
                <w:sz w:val="20"/>
                <w:lang w:eastAsia="bg-BG"/>
              </w:rPr>
            </w:pPr>
            <w:r w:rsidRPr="00F25FCA">
              <w:rPr>
                <w:rFonts w:ascii="Verdana" w:hAnsi="Verdana" w:cs="Arial"/>
                <w:sz w:val="20"/>
                <w:lang w:eastAsia="bg-BG"/>
              </w:rPr>
              <w:t>2</w:t>
            </w:r>
          </w:p>
        </w:tc>
      </w:tr>
      <w:tr w:rsidR="00D61C1C" w:rsidRPr="000E54EB">
        <w:trPr>
          <w:trHeight w:val="255"/>
        </w:trPr>
        <w:tc>
          <w:tcPr>
            <w:tcW w:w="6101" w:type="dxa"/>
            <w:noWrap/>
            <w:vAlign w:val="center"/>
          </w:tcPr>
          <w:p w:rsidR="00D61C1C" w:rsidRPr="000E54EB" w:rsidRDefault="00D61C1C" w:rsidP="009503E5">
            <w:pPr>
              <w:jc w:val="left"/>
              <w:rPr>
                <w:rFonts w:ascii="Verdana" w:hAnsi="Verdana" w:cs="Verdana"/>
                <w:sz w:val="20"/>
                <w:szCs w:val="20"/>
                <w:lang w:eastAsia="bg-BG"/>
              </w:rPr>
            </w:pPr>
            <w:r w:rsidRPr="000E54EB">
              <w:rPr>
                <w:rFonts w:ascii="Verdana" w:hAnsi="Verdana" w:cs="Verdana"/>
                <w:sz w:val="20"/>
                <w:szCs w:val="20"/>
                <w:lang w:eastAsia="bg-BG"/>
              </w:rPr>
              <w:t>Офис материали и консумативи</w:t>
            </w:r>
          </w:p>
        </w:tc>
        <w:tc>
          <w:tcPr>
            <w:tcW w:w="1660" w:type="dxa"/>
            <w:noWrap/>
            <w:vAlign w:val="center"/>
          </w:tcPr>
          <w:p w:rsidR="00D61C1C" w:rsidRPr="000E54EB" w:rsidRDefault="00554AA7" w:rsidP="009503E5">
            <w:pPr>
              <w:jc w:val="center"/>
              <w:rPr>
                <w:rFonts w:ascii="Verdana" w:hAnsi="Verdana" w:cs="Verdana"/>
                <w:sz w:val="20"/>
                <w:szCs w:val="20"/>
                <w:lang w:eastAsia="bg-BG"/>
              </w:rPr>
            </w:pPr>
            <w:r>
              <w:rPr>
                <w:rFonts w:ascii="Verdana" w:hAnsi="Verdana" w:cs="Verdana"/>
                <w:sz w:val="20"/>
                <w:szCs w:val="20"/>
                <w:lang w:eastAsia="bg-BG"/>
              </w:rPr>
              <w:t>1</w:t>
            </w:r>
          </w:p>
        </w:tc>
        <w:tc>
          <w:tcPr>
            <w:tcW w:w="1742" w:type="dxa"/>
            <w:noWrap/>
            <w:vAlign w:val="center"/>
          </w:tcPr>
          <w:p w:rsidR="00D61C1C" w:rsidRPr="00F25FCA" w:rsidRDefault="00D61C1C" w:rsidP="00B617CE">
            <w:pPr>
              <w:jc w:val="center"/>
              <w:rPr>
                <w:rFonts w:ascii="Verdana" w:hAnsi="Verdana" w:cs="Arial"/>
                <w:sz w:val="20"/>
                <w:lang w:eastAsia="bg-BG"/>
              </w:rPr>
            </w:pPr>
            <w:r>
              <w:rPr>
                <w:rFonts w:ascii="Verdana" w:hAnsi="Verdana" w:cs="Arial"/>
                <w:sz w:val="20"/>
                <w:lang w:eastAsia="bg-BG"/>
              </w:rPr>
              <w:t>-</w:t>
            </w:r>
          </w:p>
        </w:tc>
      </w:tr>
      <w:tr w:rsidR="00D61C1C" w:rsidRPr="000E54EB">
        <w:trPr>
          <w:trHeight w:val="240"/>
        </w:trPr>
        <w:tc>
          <w:tcPr>
            <w:tcW w:w="6101" w:type="dxa"/>
            <w:noWrap/>
            <w:vAlign w:val="center"/>
          </w:tcPr>
          <w:p w:rsidR="00D61C1C" w:rsidRPr="000E54EB" w:rsidRDefault="00D61C1C" w:rsidP="009503E5">
            <w:pPr>
              <w:jc w:val="left"/>
              <w:rPr>
                <w:rFonts w:ascii="Verdana" w:hAnsi="Verdana" w:cs="Verdana"/>
                <w:sz w:val="20"/>
                <w:szCs w:val="20"/>
                <w:lang w:eastAsia="bg-BG"/>
              </w:rPr>
            </w:pPr>
            <w:r w:rsidRPr="000E54EB">
              <w:rPr>
                <w:rFonts w:ascii="Verdana" w:hAnsi="Verdana" w:cs="Verdana"/>
                <w:sz w:val="20"/>
                <w:szCs w:val="20"/>
                <w:lang w:eastAsia="bg-BG"/>
              </w:rPr>
              <w:t>Други материали</w:t>
            </w:r>
          </w:p>
        </w:tc>
        <w:tc>
          <w:tcPr>
            <w:tcW w:w="1660" w:type="dxa"/>
            <w:noWrap/>
            <w:vAlign w:val="center"/>
          </w:tcPr>
          <w:p w:rsidR="00D61C1C" w:rsidRPr="00554AA7" w:rsidRDefault="00554AA7" w:rsidP="009503E5">
            <w:pPr>
              <w:jc w:val="center"/>
              <w:rPr>
                <w:rFonts w:ascii="Verdana" w:hAnsi="Verdana" w:cs="Verdana"/>
                <w:sz w:val="20"/>
                <w:szCs w:val="20"/>
                <w:lang w:eastAsia="bg-BG"/>
              </w:rPr>
            </w:pPr>
            <w:r>
              <w:rPr>
                <w:rFonts w:ascii="Verdana" w:hAnsi="Verdana" w:cs="Verdana"/>
                <w:sz w:val="20"/>
                <w:szCs w:val="20"/>
                <w:lang w:eastAsia="bg-BG"/>
              </w:rPr>
              <w:t>2</w:t>
            </w:r>
          </w:p>
        </w:tc>
        <w:tc>
          <w:tcPr>
            <w:tcW w:w="1742" w:type="dxa"/>
            <w:noWrap/>
            <w:vAlign w:val="center"/>
          </w:tcPr>
          <w:p w:rsidR="00D61C1C" w:rsidRPr="00D61C1C" w:rsidRDefault="00D61C1C" w:rsidP="00B617CE">
            <w:pPr>
              <w:jc w:val="center"/>
              <w:rPr>
                <w:rFonts w:ascii="Verdana" w:hAnsi="Verdana" w:cs="Arial"/>
                <w:bCs/>
                <w:sz w:val="20"/>
                <w:lang w:eastAsia="bg-BG"/>
              </w:rPr>
            </w:pPr>
            <w:r w:rsidRPr="00D61C1C">
              <w:rPr>
                <w:rFonts w:ascii="Verdana" w:hAnsi="Verdana" w:cs="Arial"/>
                <w:bCs/>
                <w:sz w:val="20"/>
                <w:lang w:eastAsia="bg-BG"/>
              </w:rPr>
              <w:t>1</w:t>
            </w:r>
          </w:p>
        </w:tc>
      </w:tr>
      <w:tr w:rsidR="00D61C1C" w:rsidRPr="000E54EB">
        <w:trPr>
          <w:trHeight w:val="255"/>
        </w:trPr>
        <w:tc>
          <w:tcPr>
            <w:tcW w:w="6101" w:type="dxa"/>
            <w:shd w:val="clear" w:color="000000" w:fill="C5D9F1"/>
            <w:noWrap/>
            <w:vAlign w:val="center"/>
          </w:tcPr>
          <w:p w:rsidR="00D61C1C" w:rsidRPr="000E54EB" w:rsidRDefault="00D61C1C" w:rsidP="009503E5">
            <w:pPr>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1660" w:type="dxa"/>
            <w:shd w:val="clear" w:color="000000" w:fill="C5D9F1"/>
            <w:noWrap/>
            <w:vAlign w:val="center"/>
          </w:tcPr>
          <w:p w:rsidR="00D61C1C" w:rsidRPr="000E54EB" w:rsidRDefault="003A7A87" w:rsidP="009503E5">
            <w:pPr>
              <w:jc w:val="center"/>
              <w:rPr>
                <w:rFonts w:ascii="Verdana" w:hAnsi="Verdana" w:cs="Verdana"/>
                <w:b/>
                <w:bCs/>
                <w:sz w:val="20"/>
                <w:szCs w:val="20"/>
                <w:lang w:eastAsia="bg-BG"/>
              </w:rPr>
            </w:pPr>
            <w:r>
              <w:rPr>
                <w:rFonts w:ascii="Verdana" w:hAnsi="Verdana" w:cs="Verdana"/>
                <w:b/>
                <w:bCs/>
                <w:sz w:val="20"/>
                <w:szCs w:val="20"/>
                <w:lang w:eastAsia="bg-BG"/>
              </w:rPr>
              <w:t>2 273</w:t>
            </w:r>
          </w:p>
        </w:tc>
        <w:tc>
          <w:tcPr>
            <w:tcW w:w="1742" w:type="dxa"/>
            <w:shd w:val="clear" w:color="000000" w:fill="C5D9F1"/>
            <w:noWrap/>
            <w:vAlign w:val="center"/>
          </w:tcPr>
          <w:p w:rsidR="00D61C1C" w:rsidRPr="000E54EB" w:rsidRDefault="00D61C1C" w:rsidP="001F704A">
            <w:pPr>
              <w:jc w:val="center"/>
              <w:rPr>
                <w:rFonts w:ascii="Verdana" w:hAnsi="Verdana" w:cs="Verdana"/>
                <w:b/>
                <w:bCs/>
                <w:sz w:val="20"/>
                <w:szCs w:val="20"/>
                <w:lang w:eastAsia="bg-BG"/>
              </w:rPr>
            </w:pPr>
            <w:r>
              <w:rPr>
                <w:rFonts w:ascii="Verdana" w:hAnsi="Verdana" w:cs="Verdana"/>
                <w:b/>
                <w:bCs/>
                <w:sz w:val="20"/>
                <w:szCs w:val="20"/>
                <w:lang w:eastAsia="bg-BG"/>
              </w:rPr>
              <w:t>2 497</w:t>
            </w:r>
          </w:p>
        </w:tc>
      </w:tr>
    </w:tbl>
    <w:p w:rsidR="00863C99" w:rsidRPr="000E54EB" w:rsidRDefault="00863C99" w:rsidP="00B66DF8">
      <w:pPr>
        <w:pStyle w:val="Heading4"/>
        <w:rPr>
          <w:rFonts w:ascii="Verdana" w:hAnsi="Verdana" w:cs="Verdana"/>
          <w:i w:val="0"/>
          <w:iCs w:val="0"/>
          <w:lang w:val="bg-BG"/>
        </w:rPr>
      </w:pPr>
      <w:bookmarkStart w:id="121" w:name="_Toc247959166"/>
      <w:bookmarkStart w:id="122" w:name="_Toc314519585"/>
      <w:bookmarkStart w:id="123" w:name="_Toc4328832"/>
      <w:r w:rsidRPr="000E54EB">
        <w:rPr>
          <w:rFonts w:ascii="Verdana" w:hAnsi="Verdana" w:cs="Verdana"/>
          <w:i w:val="0"/>
          <w:iCs w:val="0"/>
          <w:lang w:val="bg-BG"/>
        </w:rPr>
        <w:t>1.2.2. Разходи за външни услуги</w:t>
      </w:r>
      <w:bookmarkEnd w:id="121"/>
      <w:bookmarkEnd w:id="122"/>
      <w:bookmarkEnd w:id="123"/>
    </w:p>
    <w:tbl>
      <w:tblPr>
        <w:tblW w:w="9503" w:type="dxa"/>
        <w:tblInd w:w="-68" w:type="dxa"/>
        <w:tblCellMar>
          <w:left w:w="70" w:type="dxa"/>
          <w:right w:w="70" w:type="dxa"/>
        </w:tblCellMar>
        <w:tblLook w:val="00A0" w:firstRow="1" w:lastRow="0" w:firstColumn="1" w:lastColumn="0" w:noHBand="0" w:noVBand="0"/>
      </w:tblPr>
      <w:tblGrid>
        <w:gridCol w:w="6101"/>
        <w:gridCol w:w="1714"/>
        <w:gridCol w:w="1688"/>
      </w:tblGrid>
      <w:tr w:rsidR="00863C99" w:rsidRPr="000E54EB">
        <w:trPr>
          <w:trHeight w:val="300"/>
        </w:trPr>
        <w:tc>
          <w:tcPr>
            <w:tcW w:w="6101" w:type="dxa"/>
            <w:tcBorders>
              <w:top w:val="single" w:sz="4" w:space="0" w:color="auto"/>
              <w:left w:val="single" w:sz="4" w:space="0" w:color="auto"/>
              <w:bottom w:val="single" w:sz="4" w:space="0" w:color="auto"/>
              <w:right w:val="nil"/>
            </w:tcBorders>
            <w:noWrap/>
            <w:vAlign w:val="center"/>
          </w:tcPr>
          <w:p w:rsidR="00863C99" w:rsidRPr="000E54EB" w:rsidRDefault="00863C99" w:rsidP="009503E5">
            <w:pPr>
              <w:jc w:val="left"/>
              <w:rPr>
                <w:rFonts w:ascii="Verdana" w:hAnsi="Verdana" w:cs="Verdana"/>
                <w:b/>
                <w:bCs/>
                <w:sz w:val="20"/>
                <w:szCs w:val="20"/>
                <w:lang w:eastAsia="bg-BG"/>
              </w:rPr>
            </w:pPr>
            <w:r w:rsidRPr="000E54EB">
              <w:rPr>
                <w:rFonts w:ascii="Verdana" w:hAnsi="Verdana" w:cs="Verdana"/>
                <w:b/>
                <w:bCs/>
                <w:sz w:val="20"/>
                <w:szCs w:val="20"/>
                <w:lang w:eastAsia="bg-BG"/>
              </w:rPr>
              <w:t>Вид разход</w:t>
            </w:r>
          </w:p>
        </w:tc>
        <w:tc>
          <w:tcPr>
            <w:tcW w:w="1714" w:type="dxa"/>
            <w:tcBorders>
              <w:top w:val="single" w:sz="4" w:space="0" w:color="auto"/>
              <w:left w:val="single" w:sz="4" w:space="0" w:color="auto"/>
              <w:bottom w:val="single" w:sz="4" w:space="0" w:color="auto"/>
              <w:right w:val="single" w:sz="4" w:space="0" w:color="auto"/>
            </w:tcBorders>
            <w:noWrap/>
            <w:vAlign w:val="center"/>
          </w:tcPr>
          <w:p w:rsidR="00863C99" w:rsidRPr="000E54EB" w:rsidRDefault="00E648B0" w:rsidP="003B00BC">
            <w:pPr>
              <w:jc w:val="center"/>
              <w:rPr>
                <w:rFonts w:ascii="Verdana" w:hAnsi="Verdana" w:cs="Verdana"/>
                <w:b/>
                <w:bCs/>
                <w:sz w:val="20"/>
                <w:szCs w:val="20"/>
                <w:lang w:eastAsia="bg-BG"/>
              </w:rPr>
            </w:pPr>
            <w:r>
              <w:rPr>
                <w:rFonts w:ascii="Verdana" w:hAnsi="Verdana" w:cs="Verdana"/>
                <w:b/>
                <w:bCs/>
                <w:sz w:val="20"/>
                <w:szCs w:val="20"/>
                <w:lang w:eastAsia="bg-BG"/>
              </w:rPr>
              <w:t>2020</w:t>
            </w:r>
            <w:r w:rsidR="00863C99" w:rsidRPr="000E54EB">
              <w:rPr>
                <w:rFonts w:ascii="Verdana" w:hAnsi="Verdana" w:cs="Verdana"/>
                <w:b/>
                <w:bCs/>
                <w:sz w:val="20"/>
                <w:szCs w:val="20"/>
                <w:lang w:eastAsia="bg-BG"/>
              </w:rPr>
              <w:t xml:space="preserve"> г.</w:t>
            </w:r>
          </w:p>
        </w:tc>
        <w:tc>
          <w:tcPr>
            <w:tcW w:w="1688" w:type="dxa"/>
            <w:tcBorders>
              <w:top w:val="single" w:sz="4" w:space="0" w:color="auto"/>
              <w:left w:val="nil"/>
              <w:bottom w:val="single" w:sz="4" w:space="0" w:color="auto"/>
              <w:right w:val="single" w:sz="4" w:space="0" w:color="auto"/>
            </w:tcBorders>
            <w:noWrap/>
            <w:vAlign w:val="center"/>
          </w:tcPr>
          <w:p w:rsidR="00863C99" w:rsidRPr="000E54EB" w:rsidRDefault="00863C99" w:rsidP="003B00BC">
            <w:pPr>
              <w:jc w:val="center"/>
              <w:rPr>
                <w:rFonts w:ascii="Verdana" w:hAnsi="Verdana" w:cs="Verdana"/>
                <w:b/>
                <w:bCs/>
                <w:sz w:val="20"/>
                <w:szCs w:val="20"/>
                <w:lang w:eastAsia="bg-BG"/>
              </w:rPr>
            </w:pPr>
            <w:r w:rsidRPr="000E54EB">
              <w:rPr>
                <w:rFonts w:ascii="Verdana" w:hAnsi="Verdana" w:cs="Verdana"/>
                <w:b/>
                <w:bCs/>
                <w:sz w:val="20"/>
                <w:szCs w:val="20"/>
                <w:lang w:eastAsia="bg-BG"/>
              </w:rPr>
              <w:t>201</w:t>
            </w:r>
            <w:r w:rsidR="00E648B0">
              <w:rPr>
                <w:rFonts w:ascii="Verdana" w:hAnsi="Verdana" w:cs="Verdana"/>
                <w:b/>
                <w:bCs/>
                <w:sz w:val="20"/>
                <w:szCs w:val="20"/>
                <w:lang w:eastAsia="bg-BG"/>
              </w:rPr>
              <w:t>9</w:t>
            </w:r>
            <w:r w:rsidRPr="000E54EB">
              <w:rPr>
                <w:rFonts w:ascii="Verdana" w:hAnsi="Verdana" w:cs="Verdana"/>
                <w:b/>
                <w:bCs/>
                <w:sz w:val="20"/>
                <w:szCs w:val="20"/>
                <w:lang w:eastAsia="bg-BG"/>
              </w:rPr>
              <w:t xml:space="preserve"> г.</w:t>
            </w:r>
          </w:p>
        </w:tc>
      </w:tr>
      <w:tr w:rsidR="00E648B0" w:rsidRPr="000E54EB">
        <w:trPr>
          <w:trHeight w:val="300"/>
        </w:trPr>
        <w:tc>
          <w:tcPr>
            <w:tcW w:w="6101" w:type="dxa"/>
            <w:tcBorders>
              <w:top w:val="nil"/>
              <w:left w:val="single" w:sz="4" w:space="0" w:color="auto"/>
              <w:bottom w:val="single" w:sz="4" w:space="0" w:color="auto"/>
              <w:right w:val="single" w:sz="4" w:space="0" w:color="auto"/>
            </w:tcBorders>
            <w:noWrap/>
            <w:vAlign w:val="center"/>
          </w:tcPr>
          <w:p w:rsidR="00E648B0" w:rsidRPr="000E54EB" w:rsidRDefault="00E648B0" w:rsidP="009503E5">
            <w:pPr>
              <w:jc w:val="left"/>
              <w:rPr>
                <w:rFonts w:ascii="Verdana" w:hAnsi="Verdana" w:cs="Verdana"/>
                <w:sz w:val="20"/>
                <w:szCs w:val="20"/>
                <w:lang w:eastAsia="bg-BG"/>
              </w:rPr>
            </w:pPr>
            <w:r w:rsidRPr="000E54EB">
              <w:rPr>
                <w:rFonts w:ascii="Verdana" w:hAnsi="Verdana" w:cs="Verdana"/>
                <w:sz w:val="20"/>
                <w:szCs w:val="20"/>
                <w:lang w:eastAsia="bg-BG"/>
              </w:rPr>
              <w:t xml:space="preserve">Нает транспорт                     </w:t>
            </w:r>
          </w:p>
        </w:tc>
        <w:tc>
          <w:tcPr>
            <w:tcW w:w="1714" w:type="dxa"/>
            <w:tcBorders>
              <w:top w:val="nil"/>
              <w:left w:val="nil"/>
              <w:bottom w:val="single" w:sz="4" w:space="0" w:color="auto"/>
              <w:right w:val="single" w:sz="4" w:space="0" w:color="auto"/>
            </w:tcBorders>
            <w:noWrap/>
            <w:vAlign w:val="center"/>
          </w:tcPr>
          <w:p w:rsidR="00E648B0" w:rsidRPr="000E54EB" w:rsidRDefault="002C528D" w:rsidP="009503E5">
            <w:pPr>
              <w:jc w:val="center"/>
              <w:rPr>
                <w:rFonts w:ascii="Verdana" w:hAnsi="Verdana" w:cs="Verdana"/>
                <w:sz w:val="20"/>
                <w:szCs w:val="20"/>
                <w:lang w:eastAsia="bg-BG"/>
              </w:rPr>
            </w:pPr>
            <w:r>
              <w:rPr>
                <w:rFonts w:ascii="Verdana" w:hAnsi="Verdana" w:cs="Verdana"/>
                <w:sz w:val="20"/>
                <w:szCs w:val="20"/>
                <w:lang w:eastAsia="bg-BG"/>
              </w:rPr>
              <w:t>17</w:t>
            </w:r>
          </w:p>
        </w:tc>
        <w:tc>
          <w:tcPr>
            <w:tcW w:w="1688" w:type="dxa"/>
            <w:tcBorders>
              <w:top w:val="nil"/>
              <w:left w:val="nil"/>
              <w:bottom w:val="single" w:sz="4" w:space="0" w:color="auto"/>
              <w:right w:val="single" w:sz="4" w:space="0" w:color="auto"/>
            </w:tcBorders>
            <w:noWrap/>
            <w:vAlign w:val="center"/>
          </w:tcPr>
          <w:p w:rsidR="00E648B0" w:rsidRPr="00F25FCA" w:rsidRDefault="00E648B0" w:rsidP="00B617CE">
            <w:pPr>
              <w:jc w:val="center"/>
              <w:rPr>
                <w:rFonts w:ascii="Verdana" w:hAnsi="Verdana" w:cs="Arial"/>
                <w:color w:val="000000"/>
                <w:sz w:val="20"/>
                <w:lang w:eastAsia="bg-BG"/>
              </w:rPr>
            </w:pPr>
            <w:r w:rsidRPr="00F25FCA">
              <w:rPr>
                <w:rFonts w:ascii="Verdana" w:hAnsi="Verdana" w:cs="Arial"/>
                <w:color w:val="000000"/>
                <w:sz w:val="20"/>
                <w:lang w:eastAsia="bg-BG"/>
              </w:rPr>
              <w:t>21</w:t>
            </w:r>
          </w:p>
        </w:tc>
      </w:tr>
      <w:tr w:rsidR="00E648B0" w:rsidRPr="000E54EB">
        <w:trPr>
          <w:trHeight w:val="600"/>
        </w:trPr>
        <w:tc>
          <w:tcPr>
            <w:tcW w:w="6101" w:type="dxa"/>
            <w:tcBorders>
              <w:top w:val="nil"/>
              <w:left w:val="single" w:sz="4" w:space="0" w:color="auto"/>
              <w:bottom w:val="single" w:sz="4" w:space="0" w:color="auto"/>
              <w:right w:val="single" w:sz="4" w:space="0" w:color="auto"/>
            </w:tcBorders>
            <w:vAlign w:val="center"/>
          </w:tcPr>
          <w:p w:rsidR="00E648B0" w:rsidRPr="000E54EB" w:rsidRDefault="00E648B0" w:rsidP="009503E5">
            <w:pPr>
              <w:jc w:val="left"/>
              <w:rPr>
                <w:rFonts w:ascii="Verdana" w:hAnsi="Verdana" w:cs="Verdana"/>
                <w:sz w:val="20"/>
                <w:szCs w:val="20"/>
                <w:lang w:eastAsia="bg-BG"/>
              </w:rPr>
            </w:pPr>
            <w:r w:rsidRPr="000E54EB">
              <w:rPr>
                <w:rFonts w:ascii="Verdana" w:hAnsi="Verdana" w:cs="Verdana"/>
                <w:sz w:val="20"/>
                <w:szCs w:val="20"/>
                <w:lang w:eastAsia="bg-BG"/>
              </w:rPr>
              <w:t>Сервизно обслужване и ремонти, в т.ч. Газово бутален двигател с генератор</w:t>
            </w:r>
          </w:p>
        </w:tc>
        <w:tc>
          <w:tcPr>
            <w:tcW w:w="1714" w:type="dxa"/>
            <w:tcBorders>
              <w:top w:val="nil"/>
              <w:left w:val="nil"/>
              <w:bottom w:val="single" w:sz="4" w:space="0" w:color="auto"/>
              <w:right w:val="single" w:sz="4" w:space="0" w:color="auto"/>
            </w:tcBorders>
            <w:noWrap/>
            <w:vAlign w:val="center"/>
          </w:tcPr>
          <w:p w:rsidR="00E648B0" w:rsidRPr="000E54EB" w:rsidRDefault="00E87A80" w:rsidP="009503E5">
            <w:pPr>
              <w:jc w:val="center"/>
              <w:rPr>
                <w:rFonts w:ascii="Verdana" w:hAnsi="Verdana" w:cs="Verdana"/>
                <w:sz w:val="20"/>
                <w:szCs w:val="20"/>
                <w:lang w:eastAsia="bg-BG"/>
              </w:rPr>
            </w:pPr>
            <w:r>
              <w:rPr>
                <w:rFonts w:ascii="Verdana" w:hAnsi="Verdana" w:cs="Verdana"/>
                <w:sz w:val="20"/>
                <w:szCs w:val="20"/>
                <w:lang w:eastAsia="bg-BG"/>
              </w:rPr>
              <w:t>15</w:t>
            </w:r>
          </w:p>
        </w:tc>
        <w:tc>
          <w:tcPr>
            <w:tcW w:w="1688" w:type="dxa"/>
            <w:tcBorders>
              <w:top w:val="nil"/>
              <w:left w:val="nil"/>
              <w:bottom w:val="single" w:sz="4" w:space="0" w:color="auto"/>
              <w:right w:val="single" w:sz="4" w:space="0" w:color="auto"/>
            </w:tcBorders>
            <w:noWrap/>
            <w:vAlign w:val="center"/>
          </w:tcPr>
          <w:p w:rsidR="00E648B0" w:rsidRPr="00F25FCA" w:rsidRDefault="00E648B0" w:rsidP="00B617CE">
            <w:pPr>
              <w:jc w:val="center"/>
              <w:rPr>
                <w:rFonts w:ascii="Verdana" w:hAnsi="Verdana" w:cs="Arial"/>
                <w:color w:val="000000"/>
                <w:sz w:val="20"/>
                <w:lang w:eastAsia="bg-BG"/>
              </w:rPr>
            </w:pPr>
            <w:r w:rsidRPr="00F25FCA">
              <w:rPr>
                <w:rFonts w:ascii="Verdana" w:hAnsi="Verdana" w:cs="Arial"/>
                <w:color w:val="000000"/>
                <w:sz w:val="20"/>
                <w:lang w:eastAsia="bg-BG"/>
              </w:rPr>
              <w:t>7</w:t>
            </w:r>
          </w:p>
        </w:tc>
      </w:tr>
      <w:tr w:rsidR="00E648B0" w:rsidRPr="000E54EB">
        <w:trPr>
          <w:trHeight w:val="300"/>
        </w:trPr>
        <w:tc>
          <w:tcPr>
            <w:tcW w:w="6101" w:type="dxa"/>
            <w:tcBorders>
              <w:top w:val="nil"/>
              <w:left w:val="single" w:sz="4" w:space="0" w:color="auto"/>
              <w:bottom w:val="single" w:sz="4" w:space="0" w:color="auto"/>
              <w:right w:val="single" w:sz="4" w:space="0" w:color="auto"/>
            </w:tcBorders>
            <w:noWrap/>
            <w:vAlign w:val="center"/>
          </w:tcPr>
          <w:p w:rsidR="00E648B0" w:rsidRPr="000E54EB" w:rsidRDefault="00E648B0" w:rsidP="009503E5">
            <w:pPr>
              <w:jc w:val="left"/>
              <w:rPr>
                <w:rFonts w:ascii="Verdana" w:hAnsi="Verdana" w:cs="Verdana"/>
                <w:sz w:val="20"/>
                <w:szCs w:val="20"/>
                <w:lang w:eastAsia="bg-BG"/>
              </w:rPr>
            </w:pPr>
            <w:r w:rsidRPr="000E54EB">
              <w:rPr>
                <w:rFonts w:ascii="Verdana" w:hAnsi="Verdana" w:cs="Verdana"/>
                <w:sz w:val="20"/>
                <w:szCs w:val="20"/>
                <w:lang w:eastAsia="bg-BG"/>
              </w:rPr>
              <w:t>Медийно обслужване и реклама</w:t>
            </w:r>
          </w:p>
        </w:tc>
        <w:tc>
          <w:tcPr>
            <w:tcW w:w="1714" w:type="dxa"/>
            <w:tcBorders>
              <w:top w:val="nil"/>
              <w:left w:val="nil"/>
              <w:bottom w:val="single" w:sz="4" w:space="0" w:color="auto"/>
              <w:right w:val="single" w:sz="4" w:space="0" w:color="auto"/>
            </w:tcBorders>
            <w:noWrap/>
            <w:vAlign w:val="center"/>
          </w:tcPr>
          <w:p w:rsidR="00E648B0" w:rsidRPr="000E54EB" w:rsidRDefault="00E87A80" w:rsidP="009503E5">
            <w:pPr>
              <w:jc w:val="center"/>
              <w:rPr>
                <w:rFonts w:ascii="Verdana" w:hAnsi="Verdana" w:cs="Verdana"/>
                <w:sz w:val="20"/>
                <w:szCs w:val="20"/>
                <w:lang w:eastAsia="bg-BG"/>
              </w:rPr>
            </w:pPr>
            <w:r>
              <w:rPr>
                <w:rFonts w:ascii="Verdana" w:hAnsi="Verdana" w:cs="Verdana"/>
                <w:sz w:val="20"/>
                <w:szCs w:val="20"/>
                <w:lang w:eastAsia="bg-BG"/>
              </w:rPr>
              <w:t>2</w:t>
            </w:r>
          </w:p>
        </w:tc>
        <w:tc>
          <w:tcPr>
            <w:tcW w:w="1688" w:type="dxa"/>
            <w:tcBorders>
              <w:top w:val="nil"/>
              <w:left w:val="nil"/>
              <w:bottom w:val="single" w:sz="4" w:space="0" w:color="auto"/>
              <w:right w:val="single" w:sz="4" w:space="0" w:color="auto"/>
            </w:tcBorders>
            <w:noWrap/>
            <w:vAlign w:val="center"/>
          </w:tcPr>
          <w:p w:rsidR="00E648B0" w:rsidRPr="00F25FCA" w:rsidRDefault="00E648B0" w:rsidP="00B617CE">
            <w:pPr>
              <w:jc w:val="center"/>
              <w:rPr>
                <w:rFonts w:ascii="Verdana" w:hAnsi="Verdana" w:cs="Arial"/>
                <w:color w:val="000000"/>
                <w:sz w:val="20"/>
                <w:lang w:eastAsia="bg-BG"/>
              </w:rPr>
            </w:pPr>
            <w:r w:rsidRPr="00F25FCA">
              <w:rPr>
                <w:rFonts w:ascii="Verdana" w:hAnsi="Verdana" w:cs="Arial"/>
                <w:color w:val="000000"/>
                <w:sz w:val="20"/>
                <w:lang w:eastAsia="bg-BG"/>
              </w:rPr>
              <w:t>3</w:t>
            </w:r>
          </w:p>
        </w:tc>
      </w:tr>
      <w:tr w:rsidR="00E648B0" w:rsidRPr="000E54EB">
        <w:trPr>
          <w:trHeight w:val="300"/>
        </w:trPr>
        <w:tc>
          <w:tcPr>
            <w:tcW w:w="6101" w:type="dxa"/>
            <w:tcBorders>
              <w:top w:val="nil"/>
              <w:left w:val="single" w:sz="4" w:space="0" w:color="auto"/>
              <w:bottom w:val="single" w:sz="4" w:space="0" w:color="auto"/>
              <w:right w:val="single" w:sz="4" w:space="0" w:color="auto"/>
            </w:tcBorders>
            <w:noWrap/>
            <w:vAlign w:val="center"/>
          </w:tcPr>
          <w:p w:rsidR="00E648B0" w:rsidRPr="000E54EB" w:rsidRDefault="00E648B0" w:rsidP="009503E5">
            <w:pPr>
              <w:jc w:val="left"/>
              <w:rPr>
                <w:rFonts w:ascii="Verdana" w:hAnsi="Verdana" w:cs="Verdana"/>
                <w:sz w:val="20"/>
                <w:szCs w:val="20"/>
                <w:lang w:eastAsia="bg-BG"/>
              </w:rPr>
            </w:pPr>
            <w:r w:rsidRPr="000E54EB">
              <w:rPr>
                <w:rFonts w:ascii="Verdana" w:hAnsi="Verdana" w:cs="Verdana"/>
                <w:sz w:val="20"/>
                <w:szCs w:val="20"/>
                <w:lang w:eastAsia="bg-BG"/>
              </w:rPr>
              <w:t>Граждански договори и хонорари</w:t>
            </w:r>
          </w:p>
        </w:tc>
        <w:tc>
          <w:tcPr>
            <w:tcW w:w="1714" w:type="dxa"/>
            <w:tcBorders>
              <w:top w:val="nil"/>
              <w:left w:val="nil"/>
              <w:bottom w:val="single" w:sz="4" w:space="0" w:color="auto"/>
              <w:right w:val="single" w:sz="4" w:space="0" w:color="auto"/>
            </w:tcBorders>
            <w:noWrap/>
            <w:vAlign w:val="center"/>
          </w:tcPr>
          <w:p w:rsidR="00E648B0" w:rsidRPr="000E54EB" w:rsidRDefault="002C528D" w:rsidP="009503E5">
            <w:pPr>
              <w:jc w:val="center"/>
              <w:rPr>
                <w:rFonts w:ascii="Verdana" w:hAnsi="Verdana" w:cs="Verdana"/>
                <w:sz w:val="20"/>
                <w:szCs w:val="20"/>
                <w:lang w:eastAsia="bg-BG"/>
              </w:rPr>
            </w:pPr>
            <w:r>
              <w:rPr>
                <w:rFonts w:ascii="Verdana" w:hAnsi="Verdana" w:cs="Verdana"/>
                <w:sz w:val="20"/>
                <w:szCs w:val="20"/>
                <w:lang w:eastAsia="bg-BG"/>
              </w:rPr>
              <w:t>4</w:t>
            </w:r>
          </w:p>
        </w:tc>
        <w:tc>
          <w:tcPr>
            <w:tcW w:w="1688" w:type="dxa"/>
            <w:tcBorders>
              <w:top w:val="nil"/>
              <w:left w:val="nil"/>
              <w:bottom w:val="single" w:sz="4" w:space="0" w:color="auto"/>
              <w:right w:val="single" w:sz="4" w:space="0" w:color="auto"/>
            </w:tcBorders>
            <w:noWrap/>
            <w:vAlign w:val="center"/>
          </w:tcPr>
          <w:p w:rsidR="00E648B0" w:rsidRPr="00F25FCA" w:rsidRDefault="00E648B0" w:rsidP="00B617CE">
            <w:pPr>
              <w:jc w:val="center"/>
              <w:rPr>
                <w:rFonts w:ascii="Verdana" w:hAnsi="Verdana" w:cs="Arial"/>
                <w:color w:val="000000"/>
                <w:sz w:val="20"/>
                <w:lang w:eastAsia="bg-BG"/>
              </w:rPr>
            </w:pPr>
            <w:r w:rsidRPr="00F25FCA">
              <w:rPr>
                <w:rFonts w:ascii="Verdana" w:hAnsi="Verdana" w:cs="Arial"/>
                <w:color w:val="000000"/>
                <w:sz w:val="20"/>
                <w:lang w:eastAsia="bg-BG"/>
              </w:rPr>
              <w:t>1</w:t>
            </w:r>
          </w:p>
        </w:tc>
      </w:tr>
      <w:tr w:rsidR="00E648B0" w:rsidRPr="000E54EB">
        <w:trPr>
          <w:trHeight w:val="300"/>
        </w:trPr>
        <w:tc>
          <w:tcPr>
            <w:tcW w:w="6101" w:type="dxa"/>
            <w:tcBorders>
              <w:top w:val="nil"/>
              <w:left w:val="single" w:sz="4" w:space="0" w:color="auto"/>
              <w:bottom w:val="single" w:sz="4" w:space="0" w:color="auto"/>
              <w:right w:val="single" w:sz="4" w:space="0" w:color="auto"/>
            </w:tcBorders>
            <w:noWrap/>
            <w:vAlign w:val="center"/>
          </w:tcPr>
          <w:p w:rsidR="00E648B0" w:rsidRPr="000E54EB" w:rsidRDefault="00E648B0" w:rsidP="009503E5">
            <w:pPr>
              <w:jc w:val="left"/>
              <w:rPr>
                <w:rFonts w:ascii="Verdana" w:hAnsi="Verdana" w:cs="Verdana"/>
                <w:sz w:val="20"/>
                <w:szCs w:val="20"/>
                <w:lang w:eastAsia="bg-BG"/>
              </w:rPr>
            </w:pPr>
            <w:r w:rsidRPr="000E54EB">
              <w:rPr>
                <w:rFonts w:ascii="Verdana" w:hAnsi="Verdana" w:cs="Verdana"/>
                <w:sz w:val="20"/>
                <w:szCs w:val="20"/>
                <w:lang w:eastAsia="bg-BG"/>
              </w:rPr>
              <w:t>Застраховки</w:t>
            </w:r>
          </w:p>
        </w:tc>
        <w:tc>
          <w:tcPr>
            <w:tcW w:w="1714" w:type="dxa"/>
            <w:tcBorders>
              <w:top w:val="nil"/>
              <w:left w:val="nil"/>
              <w:bottom w:val="single" w:sz="4" w:space="0" w:color="auto"/>
              <w:right w:val="single" w:sz="4" w:space="0" w:color="auto"/>
            </w:tcBorders>
            <w:noWrap/>
            <w:vAlign w:val="center"/>
          </w:tcPr>
          <w:p w:rsidR="00E648B0" w:rsidRPr="000E54EB" w:rsidRDefault="002C528D" w:rsidP="009503E5">
            <w:pPr>
              <w:jc w:val="center"/>
              <w:rPr>
                <w:rFonts w:ascii="Verdana" w:hAnsi="Verdana" w:cs="Verdana"/>
                <w:sz w:val="20"/>
                <w:szCs w:val="20"/>
                <w:lang w:eastAsia="bg-BG"/>
              </w:rPr>
            </w:pPr>
            <w:r>
              <w:rPr>
                <w:rFonts w:ascii="Verdana" w:hAnsi="Verdana" w:cs="Verdana"/>
                <w:sz w:val="20"/>
                <w:szCs w:val="20"/>
                <w:lang w:eastAsia="bg-BG"/>
              </w:rPr>
              <w:t>4</w:t>
            </w:r>
            <w:r w:rsidR="00E87A80">
              <w:rPr>
                <w:rFonts w:ascii="Verdana" w:hAnsi="Verdana" w:cs="Verdana"/>
                <w:sz w:val="20"/>
                <w:szCs w:val="20"/>
                <w:lang w:eastAsia="bg-BG"/>
              </w:rPr>
              <w:t>0</w:t>
            </w:r>
          </w:p>
        </w:tc>
        <w:tc>
          <w:tcPr>
            <w:tcW w:w="1688" w:type="dxa"/>
            <w:tcBorders>
              <w:top w:val="nil"/>
              <w:left w:val="nil"/>
              <w:bottom w:val="single" w:sz="4" w:space="0" w:color="auto"/>
              <w:right w:val="single" w:sz="4" w:space="0" w:color="auto"/>
            </w:tcBorders>
            <w:noWrap/>
            <w:vAlign w:val="center"/>
          </w:tcPr>
          <w:p w:rsidR="00E648B0" w:rsidRPr="00F25FCA" w:rsidRDefault="00E648B0" w:rsidP="00B617CE">
            <w:pPr>
              <w:jc w:val="center"/>
              <w:rPr>
                <w:rFonts w:ascii="Verdana" w:hAnsi="Verdana" w:cs="Arial"/>
                <w:color w:val="000000"/>
                <w:sz w:val="20"/>
                <w:lang w:eastAsia="bg-BG"/>
              </w:rPr>
            </w:pPr>
            <w:r w:rsidRPr="00F25FCA">
              <w:rPr>
                <w:rFonts w:ascii="Verdana" w:hAnsi="Verdana" w:cs="Arial"/>
                <w:color w:val="000000"/>
                <w:sz w:val="20"/>
                <w:lang w:eastAsia="bg-BG"/>
              </w:rPr>
              <w:t>11</w:t>
            </w:r>
          </w:p>
        </w:tc>
      </w:tr>
      <w:tr w:rsidR="00E648B0" w:rsidRPr="000E54EB">
        <w:trPr>
          <w:trHeight w:val="300"/>
        </w:trPr>
        <w:tc>
          <w:tcPr>
            <w:tcW w:w="6101" w:type="dxa"/>
            <w:tcBorders>
              <w:top w:val="nil"/>
              <w:left w:val="single" w:sz="4" w:space="0" w:color="auto"/>
              <w:bottom w:val="single" w:sz="4" w:space="0" w:color="auto"/>
              <w:right w:val="single" w:sz="4" w:space="0" w:color="auto"/>
            </w:tcBorders>
            <w:noWrap/>
            <w:vAlign w:val="center"/>
          </w:tcPr>
          <w:p w:rsidR="00E648B0" w:rsidRPr="000E54EB" w:rsidRDefault="00E648B0" w:rsidP="009503E5">
            <w:pPr>
              <w:jc w:val="left"/>
              <w:rPr>
                <w:rFonts w:ascii="Verdana" w:hAnsi="Verdana" w:cs="Verdana"/>
                <w:sz w:val="20"/>
                <w:szCs w:val="20"/>
                <w:lang w:eastAsia="bg-BG"/>
              </w:rPr>
            </w:pPr>
            <w:r w:rsidRPr="000E54EB">
              <w:rPr>
                <w:rFonts w:ascii="Verdana" w:hAnsi="Verdana" w:cs="Verdana"/>
                <w:sz w:val="20"/>
                <w:szCs w:val="20"/>
                <w:lang w:eastAsia="bg-BG"/>
              </w:rPr>
              <w:t>Охрана</w:t>
            </w:r>
          </w:p>
        </w:tc>
        <w:tc>
          <w:tcPr>
            <w:tcW w:w="1714" w:type="dxa"/>
            <w:tcBorders>
              <w:top w:val="nil"/>
              <w:left w:val="nil"/>
              <w:bottom w:val="single" w:sz="4" w:space="0" w:color="auto"/>
              <w:right w:val="single" w:sz="4" w:space="0" w:color="auto"/>
            </w:tcBorders>
            <w:noWrap/>
            <w:vAlign w:val="center"/>
          </w:tcPr>
          <w:p w:rsidR="00E648B0" w:rsidRPr="000E54EB" w:rsidRDefault="002C528D" w:rsidP="009503E5">
            <w:pPr>
              <w:jc w:val="center"/>
              <w:rPr>
                <w:rFonts w:ascii="Verdana" w:hAnsi="Verdana" w:cs="Verdana"/>
                <w:sz w:val="20"/>
                <w:szCs w:val="20"/>
                <w:lang w:eastAsia="bg-BG"/>
              </w:rPr>
            </w:pPr>
            <w:r>
              <w:rPr>
                <w:rFonts w:ascii="Verdana" w:hAnsi="Verdana" w:cs="Verdana"/>
                <w:sz w:val="20"/>
                <w:szCs w:val="20"/>
                <w:lang w:eastAsia="bg-BG"/>
              </w:rPr>
              <w:t>7</w:t>
            </w:r>
          </w:p>
        </w:tc>
        <w:tc>
          <w:tcPr>
            <w:tcW w:w="1688" w:type="dxa"/>
            <w:tcBorders>
              <w:top w:val="nil"/>
              <w:left w:val="nil"/>
              <w:bottom w:val="single" w:sz="4" w:space="0" w:color="auto"/>
              <w:right w:val="single" w:sz="4" w:space="0" w:color="auto"/>
            </w:tcBorders>
            <w:noWrap/>
            <w:vAlign w:val="center"/>
          </w:tcPr>
          <w:p w:rsidR="00E648B0" w:rsidRPr="00F25FCA" w:rsidRDefault="00E648B0" w:rsidP="00B617CE">
            <w:pPr>
              <w:jc w:val="center"/>
              <w:rPr>
                <w:rFonts w:ascii="Verdana" w:hAnsi="Verdana" w:cs="Arial"/>
                <w:color w:val="000000"/>
                <w:sz w:val="20"/>
                <w:lang w:eastAsia="bg-BG"/>
              </w:rPr>
            </w:pPr>
            <w:r w:rsidRPr="00F25FCA">
              <w:rPr>
                <w:rFonts w:ascii="Verdana" w:hAnsi="Verdana" w:cs="Arial"/>
                <w:color w:val="000000"/>
                <w:sz w:val="20"/>
                <w:lang w:eastAsia="bg-BG"/>
              </w:rPr>
              <w:t>5</w:t>
            </w:r>
          </w:p>
        </w:tc>
      </w:tr>
      <w:tr w:rsidR="00E648B0" w:rsidRPr="000E54EB">
        <w:trPr>
          <w:trHeight w:val="300"/>
        </w:trPr>
        <w:tc>
          <w:tcPr>
            <w:tcW w:w="6101" w:type="dxa"/>
            <w:tcBorders>
              <w:top w:val="nil"/>
              <w:left w:val="single" w:sz="4" w:space="0" w:color="auto"/>
              <w:bottom w:val="single" w:sz="4" w:space="0" w:color="auto"/>
              <w:right w:val="single" w:sz="4" w:space="0" w:color="auto"/>
            </w:tcBorders>
            <w:noWrap/>
            <w:vAlign w:val="center"/>
          </w:tcPr>
          <w:p w:rsidR="00E648B0" w:rsidRPr="000E54EB" w:rsidRDefault="00E648B0" w:rsidP="009503E5">
            <w:pPr>
              <w:jc w:val="left"/>
              <w:rPr>
                <w:rFonts w:ascii="Verdana" w:hAnsi="Verdana" w:cs="Verdana"/>
                <w:sz w:val="20"/>
                <w:szCs w:val="20"/>
                <w:lang w:eastAsia="bg-BG"/>
              </w:rPr>
            </w:pPr>
            <w:r w:rsidRPr="000E54EB">
              <w:rPr>
                <w:rFonts w:ascii="Verdana" w:hAnsi="Verdana" w:cs="Verdana"/>
                <w:sz w:val="20"/>
                <w:szCs w:val="20"/>
                <w:lang w:eastAsia="bg-BG"/>
              </w:rPr>
              <w:t>Данъци и такси</w:t>
            </w:r>
          </w:p>
        </w:tc>
        <w:tc>
          <w:tcPr>
            <w:tcW w:w="1714" w:type="dxa"/>
            <w:tcBorders>
              <w:top w:val="nil"/>
              <w:left w:val="nil"/>
              <w:bottom w:val="single" w:sz="4" w:space="0" w:color="auto"/>
              <w:right w:val="single" w:sz="4" w:space="0" w:color="auto"/>
            </w:tcBorders>
            <w:noWrap/>
            <w:vAlign w:val="center"/>
          </w:tcPr>
          <w:p w:rsidR="00E648B0" w:rsidRPr="000E54EB" w:rsidRDefault="00E87A80" w:rsidP="009503E5">
            <w:pPr>
              <w:jc w:val="center"/>
              <w:rPr>
                <w:rFonts w:ascii="Verdana" w:hAnsi="Verdana" w:cs="Verdana"/>
                <w:sz w:val="20"/>
                <w:szCs w:val="20"/>
                <w:lang w:eastAsia="bg-BG"/>
              </w:rPr>
            </w:pPr>
            <w:r>
              <w:rPr>
                <w:rFonts w:ascii="Verdana" w:hAnsi="Verdana" w:cs="Verdana"/>
                <w:sz w:val="20"/>
                <w:szCs w:val="20"/>
                <w:lang w:eastAsia="bg-BG"/>
              </w:rPr>
              <w:t>1</w:t>
            </w:r>
          </w:p>
        </w:tc>
        <w:tc>
          <w:tcPr>
            <w:tcW w:w="1688" w:type="dxa"/>
            <w:tcBorders>
              <w:top w:val="nil"/>
              <w:left w:val="nil"/>
              <w:bottom w:val="single" w:sz="4" w:space="0" w:color="auto"/>
              <w:right w:val="single" w:sz="4" w:space="0" w:color="auto"/>
            </w:tcBorders>
            <w:noWrap/>
            <w:vAlign w:val="center"/>
          </w:tcPr>
          <w:p w:rsidR="00E648B0" w:rsidRPr="00F25FCA" w:rsidRDefault="00E87A80" w:rsidP="00B617CE">
            <w:pPr>
              <w:jc w:val="center"/>
              <w:rPr>
                <w:rFonts w:ascii="Verdana" w:hAnsi="Verdana" w:cs="Arial"/>
                <w:color w:val="000000"/>
                <w:sz w:val="20"/>
                <w:lang w:eastAsia="bg-BG"/>
              </w:rPr>
            </w:pPr>
            <w:r>
              <w:rPr>
                <w:rFonts w:ascii="Verdana" w:hAnsi="Verdana" w:cs="Arial"/>
                <w:color w:val="000000"/>
                <w:sz w:val="20"/>
                <w:lang w:eastAsia="bg-BG"/>
              </w:rPr>
              <w:t>-</w:t>
            </w:r>
          </w:p>
        </w:tc>
      </w:tr>
      <w:tr w:rsidR="00E648B0" w:rsidRPr="000E54EB">
        <w:trPr>
          <w:trHeight w:val="300"/>
        </w:trPr>
        <w:tc>
          <w:tcPr>
            <w:tcW w:w="6101" w:type="dxa"/>
            <w:tcBorders>
              <w:top w:val="nil"/>
              <w:left w:val="single" w:sz="4" w:space="0" w:color="auto"/>
              <w:bottom w:val="single" w:sz="4" w:space="0" w:color="auto"/>
              <w:right w:val="single" w:sz="4" w:space="0" w:color="auto"/>
            </w:tcBorders>
            <w:noWrap/>
            <w:vAlign w:val="center"/>
          </w:tcPr>
          <w:p w:rsidR="00E648B0" w:rsidRPr="00BE77CF" w:rsidRDefault="00E648B0" w:rsidP="009503E5">
            <w:pPr>
              <w:jc w:val="left"/>
              <w:rPr>
                <w:rFonts w:ascii="Calibri" w:hAnsi="Calibri" w:cs="Calibri"/>
                <w:color w:val="000000"/>
              </w:rPr>
            </w:pPr>
            <w:r>
              <w:rPr>
                <w:rFonts w:ascii="Calibri" w:hAnsi="Calibri" w:cs="Calibri"/>
                <w:color w:val="000000"/>
              </w:rPr>
              <w:t>Дoстъп  произв. чл.104.ал.2. ЗЕ</w:t>
            </w:r>
          </w:p>
        </w:tc>
        <w:tc>
          <w:tcPr>
            <w:tcW w:w="1714" w:type="dxa"/>
            <w:tcBorders>
              <w:top w:val="nil"/>
              <w:left w:val="nil"/>
              <w:bottom w:val="single" w:sz="4" w:space="0" w:color="auto"/>
              <w:right w:val="single" w:sz="4" w:space="0" w:color="auto"/>
            </w:tcBorders>
            <w:noWrap/>
            <w:vAlign w:val="center"/>
          </w:tcPr>
          <w:p w:rsidR="00E648B0" w:rsidRPr="002C528D" w:rsidRDefault="002C528D" w:rsidP="009503E5">
            <w:pPr>
              <w:jc w:val="center"/>
              <w:rPr>
                <w:rFonts w:ascii="Verdana" w:hAnsi="Verdana" w:cs="Verdana"/>
                <w:sz w:val="20"/>
                <w:szCs w:val="20"/>
                <w:lang w:eastAsia="bg-BG"/>
              </w:rPr>
            </w:pPr>
            <w:r>
              <w:rPr>
                <w:rFonts w:ascii="Verdana" w:hAnsi="Verdana" w:cs="Verdana"/>
                <w:sz w:val="20"/>
                <w:szCs w:val="20"/>
                <w:lang w:eastAsia="bg-BG"/>
              </w:rPr>
              <w:t>19</w:t>
            </w:r>
          </w:p>
        </w:tc>
        <w:tc>
          <w:tcPr>
            <w:tcW w:w="1688" w:type="dxa"/>
            <w:tcBorders>
              <w:top w:val="nil"/>
              <w:left w:val="nil"/>
              <w:bottom w:val="single" w:sz="4" w:space="0" w:color="auto"/>
              <w:right w:val="single" w:sz="4" w:space="0" w:color="auto"/>
            </w:tcBorders>
            <w:noWrap/>
            <w:vAlign w:val="center"/>
          </w:tcPr>
          <w:p w:rsidR="00E648B0" w:rsidRPr="00F25FCA" w:rsidRDefault="00E87A80" w:rsidP="00B617CE">
            <w:pPr>
              <w:jc w:val="center"/>
              <w:rPr>
                <w:rFonts w:ascii="Verdana" w:hAnsi="Verdana" w:cs="Arial"/>
                <w:color w:val="000000"/>
                <w:sz w:val="20"/>
                <w:lang w:eastAsia="bg-BG"/>
              </w:rPr>
            </w:pPr>
            <w:r>
              <w:rPr>
                <w:rFonts w:ascii="Verdana" w:hAnsi="Verdana" w:cs="Arial"/>
                <w:color w:val="000000"/>
                <w:sz w:val="20"/>
                <w:lang w:eastAsia="bg-BG"/>
              </w:rPr>
              <w:t>-</w:t>
            </w:r>
          </w:p>
        </w:tc>
      </w:tr>
      <w:tr w:rsidR="00E648B0" w:rsidRPr="000E54EB">
        <w:trPr>
          <w:trHeight w:val="300"/>
        </w:trPr>
        <w:tc>
          <w:tcPr>
            <w:tcW w:w="6101" w:type="dxa"/>
            <w:tcBorders>
              <w:top w:val="nil"/>
              <w:left w:val="single" w:sz="4" w:space="0" w:color="auto"/>
              <w:bottom w:val="single" w:sz="4" w:space="0" w:color="auto"/>
              <w:right w:val="single" w:sz="4" w:space="0" w:color="auto"/>
            </w:tcBorders>
            <w:noWrap/>
            <w:vAlign w:val="center"/>
          </w:tcPr>
          <w:p w:rsidR="00E648B0" w:rsidRPr="000E54EB" w:rsidRDefault="00E648B0" w:rsidP="009503E5">
            <w:pPr>
              <w:jc w:val="left"/>
              <w:rPr>
                <w:rFonts w:ascii="Verdana" w:hAnsi="Verdana" w:cs="Verdana"/>
                <w:sz w:val="20"/>
                <w:szCs w:val="20"/>
                <w:lang w:eastAsia="bg-BG"/>
              </w:rPr>
            </w:pPr>
            <w:r w:rsidRPr="000E54EB">
              <w:rPr>
                <w:rFonts w:ascii="Verdana" w:hAnsi="Verdana" w:cs="Verdana"/>
                <w:sz w:val="20"/>
                <w:szCs w:val="20"/>
                <w:lang w:eastAsia="bg-BG"/>
              </w:rPr>
              <w:t>Счетоводни усулуги и одит</w:t>
            </w:r>
          </w:p>
        </w:tc>
        <w:tc>
          <w:tcPr>
            <w:tcW w:w="1714" w:type="dxa"/>
            <w:tcBorders>
              <w:top w:val="nil"/>
              <w:left w:val="nil"/>
              <w:bottom w:val="single" w:sz="4" w:space="0" w:color="auto"/>
              <w:right w:val="single" w:sz="4" w:space="0" w:color="auto"/>
            </w:tcBorders>
            <w:noWrap/>
            <w:vAlign w:val="center"/>
          </w:tcPr>
          <w:p w:rsidR="00E648B0" w:rsidRPr="000E54EB" w:rsidRDefault="002C528D" w:rsidP="009503E5">
            <w:pPr>
              <w:jc w:val="center"/>
              <w:rPr>
                <w:rFonts w:ascii="Verdana" w:hAnsi="Verdana" w:cs="Verdana"/>
                <w:sz w:val="20"/>
                <w:szCs w:val="20"/>
                <w:lang w:eastAsia="bg-BG"/>
              </w:rPr>
            </w:pPr>
            <w:r>
              <w:rPr>
                <w:rFonts w:ascii="Verdana" w:hAnsi="Verdana" w:cs="Verdana"/>
                <w:sz w:val="20"/>
                <w:szCs w:val="20"/>
                <w:lang w:eastAsia="bg-BG"/>
              </w:rPr>
              <w:t>2</w:t>
            </w:r>
            <w:r w:rsidR="00E87A80">
              <w:rPr>
                <w:rFonts w:ascii="Verdana" w:hAnsi="Verdana" w:cs="Verdana"/>
                <w:sz w:val="20"/>
                <w:szCs w:val="20"/>
                <w:lang w:eastAsia="bg-BG"/>
              </w:rPr>
              <w:t>2</w:t>
            </w:r>
          </w:p>
        </w:tc>
        <w:tc>
          <w:tcPr>
            <w:tcW w:w="1688" w:type="dxa"/>
            <w:tcBorders>
              <w:top w:val="nil"/>
              <w:left w:val="nil"/>
              <w:bottom w:val="single" w:sz="4" w:space="0" w:color="auto"/>
              <w:right w:val="single" w:sz="4" w:space="0" w:color="auto"/>
            </w:tcBorders>
            <w:noWrap/>
            <w:vAlign w:val="center"/>
          </w:tcPr>
          <w:p w:rsidR="00E648B0" w:rsidRPr="00F25FCA" w:rsidRDefault="00E648B0" w:rsidP="00B617CE">
            <w:pPr>
              <w:jc w:val="center"/>
              <w:rPr>
                <w:rFonts w:ascii="Verdana" w:hAnsi="Verdana" w:cs="Arial"/>
                <w:color w:val="000000"/>
                <w:sz w:val="20"/>
                <w:lang w:eastAsia="bg-BG"/>
              </w:rPr>
            </w:pPr>
            <w:r w:rsidRPr="00F25FCA">
              <w:rPr>
                <w:rFonts w:ascii="Verdana" w:hAnsi="Verdana" w:cs="Arial"/>
                <w:color w:val="000000"/>
                <w:sz w:val="20"/>
                <w:lang w:eastAsia="bg-BG"/>
              </w:rPr>
              <w:t>23</w:t>
            </w:r>
          </w:p>
        </w:tc>
      </w:tr>
      <w:tr w:rsidR="00E648B0" w:rsidRPr="000E54EB">
        <w:trPr>
          <w:trHeight w:val="300"/>
        </w:trPr>
        <w:tc>
          <w:tcPr>
            <w:tcW w:w="6101" w:type="dxa"/>
            <w:tcBorders>
              <w:top w:val="nil"/>
              <w:left w:val="single" w:sz="4" w:space="0" w:color="auto"/>
              <w:bottom w:val="single" w:sz="4" w:space="0" w:color="auto"/>
              <w:right w:val="single" w:sz="4" w:space="0" w:color="auto"/>
            </w:tcBorders>
            <w:noWrap/>
            <w:vAlign w:val="center"/>
          </w:tcPr>
          <w:p w:rsidR="00E648B0" w:rsidRPr="000E54EB" w:rsidRDefault="00E648B0" w:rsidP="009503E5">
            <w:pPr>
              <w:jc w:val="left"/>
              <w:rPr>
                <w:rFonts w:ascii="Verdana" w:hAnsi="Verdana" w:cs="Verdana"/>
                <w:sz w:val="20"/>
                <w:szCs w:val="20"/>
                <w:lang w:eastAsia="bg-BG"/>
              </w:rPr>
            </w:pPr>
            <w:r w:rsidRPr="000E54EB">
              <w:rPr>
                <w:rFonts w:ascii="Verdana" w:hAnsi="Verdana" w:cs="Verdana"/>
                <w:sz w:val="20"/>
                <w:szCs w:val="20"/>
                <w:lang w:eastAsia="bg-BG"/>
              </w:rPr>
              <w:t>Юридическо обслужване</w:t>
            </w:r>
          </w:p>
        </w:tc>
        <w:tc>
          <w:tcPr>
            <w:tcW w:w="1714" w:type="dxa"/>
            <w:tcBorders>
              <w:top w:val="nil"/>
              <w:left w:val="nil"/>
              <w:bottom w:val="single" w:sz="4" w:space="0" w:color="auto"/>
              <w:right w:val="single" w:sz="4" w:space="0" w:color="auto"/>
            </w:tcBorders>
            <w:noWrap/>
            <w:vAlign w:val="center"/>
          </w:tcPr>
          <w:p w:rsidR="00E648B0" w:rsidRPr="000E54EB" w:rsidRDefault="002C528D" w:rsidP="009503E5">
            <w:pPr>
              <w:jc w:val="center"/>
              <w:rPr>
                <w:rFonts w:ascii="Verdana" w:hAnsi="Verdana" w:cs="Verdana"/>
                <w:sz w:val="20"/>
                <w:szCs w:val="20"/>
                <w:lang w:eastAsia="bg-BG"/>
              </w:rPr>
            </w:pPr>
            <w:r>
              <w:rPr>
                <w:rFonts w:ascii="Verdana" w:hAnsi="Verdana" w:cs="Verdana"/>
                <w:sz w:val="20"/>
                <w:szCs w:val="20"/>
                <w:lang w:eastAsia="bg-BG"/>
              </w:rPr>
              <w:t>2</w:t>
            </w:r>
          </w:p>
        </w:tc>
        <w:tc>
          <w:tcPr>
            <w:tcW w:w="1688" w:type="dxa"/>
            <w:tcBorders>
              <w:top w:val="nil"/>
              <w:left w:val="nil"/>
              <w:bottom w:val="single" w:sz="4" w:space="0" w:color="auto"/>
              <w:right w:val="single" w:sz="4" w:space="0" w:color="auto"/>
            </w:tcBorders>
            <w:noWrap/>
            <w:vAlign w:val="center"/>
          </w:tcPr>
          <w:p w:rsidR="00E648B0" w:rsidRPr="00F25FCA" w:rsidRDefault="00E648B0" w:rsidP="00B617CE">
            <w:pPr>
              <w:jc w:val="center"/>
              <w:rPr>
                <w:rFonts w:ascii="Verdana" w:hAnsi="Verdana" w:cs="Arial"/>
                <w:color w:val="000000"/>
                <w:sz w:val="20"/>
                <w:lang w:eastAsia="bg-BG"/>
              </w:rPr>
            </w:pPr>
            <w:r w:rsidRPr="00F25FCA">
              <w:rPr>
                <w:rFonts w:ascii="Verdana" w:hAnsi="Verdana" w:cs="Arial"/>
                <w:color w:val="000000"/>
                <w:sz w:val="20"/>
                <w:lang w:eastAsia="bg-BG"/>
              </w:rPr>
              <w:t>3</w:t>
            </w:r>
          </w:p>
        </w:tc>
      </w:tr>
      <w:tr w:rsidR="00E648B0" w:rsidRPr="000E54EB">
        <w:trPr>
          <w:trHeight w:val="300"/>
        </w:trPr>
        <w:tc>
          <w:tcPr>
            <w:tcW w:w="6101" w:type="dxa"/>
            <w:tcBorders>
              <w:top w:val="nil"/>
              <w:left w:val="single" w:sz="4" w:space="0" w:color="auto"/>
              <w:bottom w:val="single" w:sz="4" w:space="0" w:color="auto"/>
              <w:right w:val="single" w:sz="4" w:space="0" w:color="auto"/>
            </w:tcBorders>
            <w:noWrap/>
            <w:vAlign w:val="center"/>
          </w:tcPr>
          <w:p w:rsidR="00E648B0" w:rsidRPr="000E54EB" w:rsidRDefault="00E648B0" w:rsidP="009503E5">
            <w:pPr>
              <w:jc w:val="left"/>
              <w:rPr>
                <w:rFonts w:ascii="Verdana" w:hAnsi="Verdana" w:cs="Verdana"/>
                <w:sz w:val="20"/>
                <w:szCs w:val="20"/>
                <w:lang w:eastAsia="bg-BG"/>
              </w:rPr>
            </w:pPr>
            <w:r w:rsidRPr="000E54EB">
              <w:rPr>
                <w:rFonts w:ascii="Verdana" w:hAnsi="Verdana" w:cs="Verdana"/>
                <w:sz w:val="20"/>
                <w:szCs w:val="20"/>
                <w:lang w:eastAsia="bg-BG"/>
              </w:rPr>
              <w:t>Възнаграждения на СД</w:t>
            </w:r>
          </w:p>
        </w:tc>
        <w:tc>
          <w:tcPr>
            <w:tcW w:w="1714" w:type="dxa"/>
            <w:tcBorders>
              <w:top w:val="nil"/>
              <w:left w:val="nil"/>
              <w:bottom w:val="single" w:sz="4" w:space="0" w:color="auto"/>
              <w:right w:val="single" w:sz="4" w:space="0" w:color="auto"/>
            </w:tcBorders>
            <w:noWrap/>
            <w:vAlign w:val="center"/>
          </w:tcPr>
          <w:p w:rsidR="00E648B0" w:rsidRPr="000E54EB" w:rsidRDefault="002C528D" w:rsidP="009503E5">
            <w:pPr>
              <w:jc w:val="center"/>
              <w:rPr>
                <w:rFonts w:ascii="Verdana" w:hAnsi="Verdana" w:cs="Verdana"/>
                <w:sz w:val="20"/>
                <w:szCs w:val="20"/>
                <w:lang w:eastAsia="bg-BG"/>
              </w:rPr>
            </w:pPr>
            <w:r>
              <w:rPr>
                <w:rFonts w:ascii="Verdana" w:hAnsi="Verdana" w:cs="Verdana"/>
                <w:sz w:val="20"/>
                <w:szCs w:val="20"/>
                <w:lang w:eastAsia="bg-BG"/>
              </w:rPr>
              <w:t>9</w:t>
            </w:r>
          </w:p>
        </w:tc>
        <w:tc>
          <w:tcPr>
            <w:tcW w:w="1688" w:type="dxa"/>
            <w:tcBorders>
              <w:top w:val="nil"/>
              <w:left w:val="nil"/>
              <w:bottom w:val="single" w:sz="4" w:space="0" w:color="auto"/>
              <w:right w:val="single" w:sz="4" w:space="0" w:color="auto"/>
            </w:tcBorders>
            <w:noWrap/>
            <w:vAlign w:val="center"/>
          </w:tcPr>
          <w:p w:rsidR="00E648B0" w:rsidRPr="00F25FCA" w:rsidRDefault="00E648B0" w:rsidP="00B617CE">
            <w:pPr>
              <w:jc w:val="center"/>
              <w:rPr>
                <w:rFonts w:ascii="Verdana" w:hAnsi="Verdana" w:cs="Arial"/>
                <w:color w:val="000000"/>
                <w:sz w:val="20"/>
                <w:lang w:eastAsia="bg-BG"/>
              </w:rPr>
            </w:pPr>
            <w:r w:rsidRPr="00F25FCA">
              <w:rPr>
                <w:rFonts w:ascii="Verdana" w:hAnsi="Verdana" w:cs="Arial"/>
                <w:color w:val="000000"/>
                <w:sz w:val="20"/>
                <w:lang w:eastAsia="bg-BG"/>
              </w:rPr>
              <w:t>9</w:t>
            </w:r>
          </w:p>
        </w:tc>
      </w:tr>
      <w:tr w:rsidR="00E648B0" w:rsidRPr="000E54EB">
        <w:trPr>
          <w:trHeight w:val="300"/>
        </w:trPr>
        <w:tc>
          <w:tcPr>
            <w:tcW w:w="6101" w:type="dxa"/>
            <w:tcBorders>
              <w:top w:val="nil"/>
              <w:left w:val="single" w:sz="4" w:space="0" w:color="auto"/>
              <w:bottom w:val="single" w:sz="4" w:space="0" w:color="auto"/>
              <w:right w:val="single" w:sz="4" w:space="0" w:color="auto"/>
            </w:tcBorders>
            <w:noWrap/>
            <w:vAlign w:val="center"/>
          </w:tcPr>
          <w:p w:rsidR="00E648B0" w:rsidRPr="000E54EB" w:rsidRDefault="00E648B0" w:rsidP="009503E5">
            <w:pPr>
              <w:jc w:val="left"/>
              <w:rPr>
                <w:rFonts w:ascii="Verdana" w:hAnsi="Verdana" w:cs="Verdana"/>
                <w:sz w:val="20"/>
                <w:szCs w:val="20"/>
                <w:lang w:eastAsia="bg-BG"/>
              </w:rPr>
            </w:pPr>
            <w:r w:rsidRPr="000E54EB">
              <w:rPr>
                <w:rFonts w:ascii="Verdana" w:hAnsi="Verdana" w:cs="Verdana"/>
                <w:sz w:val="20"/>
                <w:szCs w:val="20"/>
                <w:lang w:eastAsia="bg-BG"/>
              </w:rPr>
              <w:t>Пощенски услуги</w:t>
            </w:r>
          </w:p>
        </w:tc>
        <w:tc>
          <w:tcPr>
            <w:tcW w:w="1714" w:type="dxa"/>
            <w:tcBorders>
              <w:top w:val="nil"/>
              <w:left w:val="nil"/>
              <w:bottom w:val="single" w:sz="4" w:space="0" w:color="auto"/>
              <w:right w:val="single" w:sz="4" w:space="0" w:color="auto"/>
            </w:tcBorders>
            <w:noWrap/>
            <w:vAlign w:val="center"/>
          </w:tcPr>
          <w:p w:rsidR="00E648B0" w:rsidRPr="000E54EB" w:rsidRDefault="002C528D" w:rsidP="009503E5">
            <w:pPr>
              <w:jc w:val="center"/>
              <w:rPr>
                <w:rFonts w:ascii="Verdana" w:hAnsi="Verdana" w:cs="Verdana"/>
                <w:sz w:val="20"/>
                <w:szCs w:val="20"/>
                <w:lang w:eastAsia="bg-BG"/>
              </w:rPr>
            </w:pPr>
            <w:r>
              <w:rPr>
                <w:rFonts w:ascii="Verdana" w:hAnsi="Verdana" w:cs="Verdana"/>
                <w:sz w:val="20"/>
                <w:szCs w:val="20"/>
                <w:lang w:eastAsia="bg-BG"/>
              </w:rPr>
              <w:t>3</w:t>
            </w:r>
          </w:p>
        </w:tc>
        <w:tc>
          <w:tcPr>
            <w:tcW w:w="1688" w:type="dxa"/>
            <w:tcBorders>
              <w:top w:val="nil"/>
              <w:left w:val="nil"/>
              <w:bottom w:val="single" w:sz="4" w:space="0" w:color="auto"/>
              <w:right w:val="single" w:sz="4" w:space="0" w:color="auto"/>
            </w:tcBorders>
            <w:noWrap/>
            <w:vAlign w:val="center"/>
          </w:tcPr>
          <w:p w:rsidR="00E648B0" w:rsidRPr="00F25FCA" w:rsidRDefault="00E648B0" w:rsidP="00B617CE">
            <w:pPr>
              <w:jc w:val="center"/>
              <w:rPr>
                <w:rFonts w:ascii="Verdana" w:hAnsi="Verdana" w:cs="Arial"/>
                <w:color w:val="000000"/>
                <w:sz w:val="20"/>
                <w:lang w:eastAsia="bg-BG"/>
              </w:rPr>
            </w:pPr>
            <w:r w:rsidRPr="00F25FCA">
              <w:rPr>
                <w:rFonts w:ascii="Verdana" w:hAnsi="Verdana" w:cs="Arial"/>
                <w:color w:val="000000"/>
                <w:sz w:val="20"/>
                <w:lang w:eastAsia="bg-BG"/>
              </w:rPr>
              <w:t>2</w:t>
            </w:r>
          </w:p>
        </w:tc>
      </w:tr>
      <w:tr w:rsidR="00E648B0" w:rsidRPr="000E54EB">
        <w:trPr>
          <w:trHeight w:val="300"/>
        </w:trPr>
        <w:tc>
          <w:tcPr>
            <w:tcW w:w="6101" w:type="dxa"/>
            <w:tcBorders>
              <w:top w:val="nil"/>
              <w:left w:val="single" w:sz="4" w:space="0" w:color="auto"/>
              <w:bottom w:val="single" w:sz="4" w:space="0" w:color="auto"/>
              <w:right w:val="single" w:sz="4" w:space="0" w:color="auto"/>
            </w:tcBorders>
            <w:noWrap/>
            <w:vAlign w:val="center"/>
          </w:tcPr>
          <w:p w:rsidR="00E648B0" w:rsidRPr="000E54EB" w:rsidRDefault="00E648B0" w:rsidP="009503E5">
            <w:pPr>
              <w:jc w:val="left"/>
              <w:rPr>
                <w:rFonts w:ascii="Verdana" w:hAnsi="Verdana" w:cs="Verdana"/>
                <w:sz w:val="20"/>
                <w:szCs w:val="20"/>
                <w:lang w:eastAsia="bg-BG"/>
              </w:rPr>
            </w:pPr>
            <w:r w:rsidRPr="000E54EB">
              <w:rPr>
                <w:rFonts w:ascii="Verdana" w:hAnsi="Verdana" w:cs="Verdana"/>
                <w:sz w:val="20"/>
                <w:szCs w:val="20"/>
                <w:lang w:eastAsia="bg-BG"/>
              </w:rPr>
              <w:t>Управление на персонала и трудова медицина</w:t>
            </w:r>
          </w:p>
        </w:tc>
        <w:tc>
          <w:tcPr>
            <w:tcW w:w="1714" w:type="dxa"/>
            <w:tcBorders>
              <w:top w:val="nil"/>
              <w:left w:val="nil"/>
              <w:bottom w:val="single" w:sz="4" w:space="0" w:color="auto"/>
              <w:right w:val="single" w:sz="4" w:space="0" w:color="auto"/>
            </w:tcBorders>
            <w:noWrap/>
            <w:vAlign w:val="center"/>
          </w:tcPr>
          <w:p w:rsidR="00E648B0" w:rsidRPr="000E54EB" w:rsidRDefault="002C528D" w:rsidP="009503E5">
            <w:pPr>
              <w:jc w:val="center"/>
              <w:rPr>
                <w:rFonts w:ascii="Verdana" w:hAnsi="Verdana" w:cs="Verdana"/>
                <w:sz w:val="20"/>
                <w:szCs w:val="20"/>
                <w:lang w:eastAsia="bg-BG"/>
              </w:rPr>
            </w:pPr>
            <w:r>
              <w:rPr>
                <w:rFonts w:ascii="Verdana" w:hAnsi="Verdana" w:cs="Verdana"/>
                <w:sz w:val="20"/>
                <w:szCs w:val="20"/>
                <w:lang w:eastAsia="bg-BG"/>
              </w:rPr>
              <w:t>5</w:t>
            </w:r>
          </w:p>
        </w:tc>
        <w:tc>
          <w:tcPr>
            <w:tcW w:w="1688" w:type="dxa"/>
            <w:tcBorders>
              <w:top w:val="nil"/>
              <w:left w:val="nil"/>
              <w:bottom w:val="single" w:sz="4" w:space="0" w:color="auto"/>
              <w:right w:val="single" w:sz="4" w:space="0" w:color="auto"/>
            </w:tcBorders>
            <w:noWrap/>
            <w:vAlign w:val="center"/>
          </w:tcPr>
          <w:p w:rsidR="00E648B0" w:rsidRPr="00F25FCA" w:rsidRDefault="00E648B0" w:rsidP="00B617CE">
            <w:pPr>
              <w:jc w:val="center"/>
              <w:rPr>
                <w:rFonts w:ascii="Verdana" w:hAnsi="Verdana" w:cs="Arial"/>
                <w:color w:val="000000"/>
                <w:sz w:val="20"/>
                <w:lang w:eastAsia="bg-BG"/>
              </w:rPr>
            </w:pPr>
            <w:r w:rsidRPr="00F25FCA">
              <w:rPr>
                <w:rFonts w:ascii="Verdana" w:hAnsi="Verdana" w:cs="Arial"/>
                <w:color w:val="000000"/>
                <w:sz w:val="20"/>
                <w:lang w:eastAsia="bg-BG"/>
              </w:rPr>
              <w:t>4</w:t>
            </w:r>
          </w:p>
        </w:tc>
      </w:tr>
      <w:tr w:rsidR="00E648B0" w:rsidRPr="000E54EB">
        <w:trPr>
          <w:trHeight w:val="300"/>
        </w:trPr>
        <w:tc>
          <w:tcPr>
            <w:tcW w:w="6101" w:type="dxa"/>
            <w:tcBorders>
              <w:top w:val="nil"/>
              <w:left w:val="single" w:sz="4" w:space="0" w:color="auto"/>
              <w:bottom w:val="single" w:sz="4" w:space="0" w:color="auto"/>
              <w:right w:val="single" w:sz="4" w:space="0" w:color="auto"/>
            </w:tcBorders>
            <w:noWrap/>
            <w:vAlign w:val="center"/>
          </w:tcPr>
          <w:p w:rsidR="00E648B0" w:rsidRPr="000E54EB" w:rsidRDefault="00E648B0" w:rsidP="009503E5">
            <w:pPr>
              <w:jc w:val="left"/>
              <w:rPr>
                <w:rFonts w:ascii="Verdana" w:hAnsi="Verdana" w:cs="Verdana"/>
                <w:sz w:val="20"/>
                <w:szCs w:val="20"/>
                <w:lang w:eastAsia="bg-BG"/>
              </w:rPr>
            </w:pPr>
            <w:r w:rsidRPr="000E54EB">
              <w:rPr>
                <w:rFonts w:ascii="Verdana" w:hAnsi="Verdana" w:cs="Verdana"/>
                <w:sz w:val="20"/>
                <w:szCs w:val="20"/>
                <w:lang w:eastAsia="bg-BG"/>
              </w:rPr>
              <w:t>Метрологична проверка на уреди и физ. Хим. Анализи</w:t>
            </w:r>
          </w:p>
        </w:tc>
        <w:tc>
          <w:tcPr>
            <w:tcW w:w="1714" w:type="dxa"/>
            <w:tcBorders>
              <w:top w:val="nil"/>
              <w:left w:val="nil"/>
              <w:bottom w:val="single" w:sz="4" w:space="0" w:color="auto"/>
              <w:right w:val="single" w:sz="4" w:space="0" w:color="auto"/>
            </w:tcBorders>
            <w:noWrap/>
            <w:vAlign w:val="center"/>
          </w:tcPr>
          <w:p w:rsidR="00E648B0" w:rsidRPr="000E54EB" w:rsidRDefault="002C528D" w:rsidP="009503E5">
            <w:pPr>
              <w:jc w:val="center"/>
              <w:rPr>
                <w:rFonts w:ascii="Verdana" w:hAnsi="Verdana" w:cs="Verdana"/>
                <w:sz w:val="20"/>
                <w:szCs w:val="20"/>
                <w:lang w:eastAsia="bg-BG"/>
              </w:rPr>
            </w:pPr>
            <w:r>
              <w:rPr>
                <w:rFonts w:ascii="Verdana" w:hAnsi="Verdana" w:cs="Verdana"/>
                <w:sz w:val="20"/>
                <w:szCs w:val="20"/>
                <w:lang w:eastAsia="bg-BG"/>
              </w:rPr>
              <w:t>2</w:t>
            </w:r>
          </w:p>
        </w:tc>
        <w:tc>
          <w:tcPr>
            <w:tcW w:w="1688" w:type="dxa"/>
            <w:tcBorders>
              <w:top w:val="nil"/>
              <w:left w:val="nil"/>
              <w:bottom w:val="single" w:sz="4" w:space="0" w:color="auto"/>
              <w:right w:val="single" w:sz="4" w:space="0" w:color="auto"/>
            </w:tcBorders>
            <w:noWrap/>
            <w:vAlign w:val="center"/>
          </w:tcPr>
          <w:p w:rsidR="00E648B0" w:rsidRPr="00F25FCA" w:rsidRDefault="00E648B0" w:rsidP="00B617CE">
            <w:pPr>
              <w:jc w:val="center"/>
              <w:rPr>
                <w:rFonts w:ascii="Verdana" w:hAnsi="Verdana" w:cs="Arial"/>
                <w:color w:val="000000"/>
                <w:sz w:val="20"/>
                <w:lang w:eastAsia="bg-BG"/>
              </w:rPr>
            </w:pPr>
            <w:r w:rsidRPr="00F25FCA">
              <w:rPr>
                <w:rFonts w:ascii="Verdana" w:hAnsi="Verdana" w:cs="Arial"/>
                <w:color w:val="000000"/>
                <w:sz w:val="20"/>
                <w:lang w:eastAsia="bg-BG"/>
              </w:rPr>
              <w:t>1</w:t>
            </w:r>
          </w:p>
        </w:tc>
      </w:tr>
      <w:tr w:rsidR="00E648B0" w:rsidRPr="000E54EB">
        <w:trPr>
          <w:trHeight w:val="300"/>
        </w:trPr>
        <w:tc>
          <w:tcPr>
            <w:tcW w:w="6101" w:type="dxa"/>
            <w:tcBorders>
              <w:top w:val="nil"/>
              <w:left w:val="single" w:sz="4" w:space="0" w:color="auto"/>
              <w:bottom w:val="single" w:sz="4" w:space="0" w:color="auto"/>
              <w:right w:val="single" w:sz="4" w:space="0" w:color="auto"/>
            </w:tcBorders>
            <w:noWrap/>
            <w:vAlign w:val="center"/>
          </w:tcPr>
          <w:p w:rsidR="00E648B0" w:rsidRPr="000E54EB" w:rsidRDefault="00E648B0" w:rsidP="009503E5">
            <w:pPr>
              <w:jc w:val="left"/>
              <w:rPr>
                <w:rFonts w:ascii="Verdana" w:hAnsi="Verdana" w:cs="Verdana"/>
                <w:sz w:val="20"/>
                <w:szCs w:val="20"/>
                <w:lang w:eastAsia="bg-BG"/>
              </w:rPr>
            </w:pPr>
            <w:r w:rsidRPr="000E54EB">
              <w:rPr>
                <w:rFonts w:ascii="Verdana" w:hAnsi="Verdana" w:cs="Verdana"/>
                <w:sz w:val="20"/>
                <w:szCs w:val="20"/>
                <w:lang w:eastAsia="bg-BG"/>
              </w:rPr>
              <w:t>Такси дялово разпределение и инкасова дейност</w:t>
            </w:r>
          </w:p>
        </w:tc>
        <w:tc>
          <w:tcPr>
            <w:tcW w:w="1714" w:type="dxa"/>
            <w:tcBorders>
              <w:top w:val="nil"/>
              <w:left w:val="nil"/>
              <w:bottom w:val="single" w:sz="4" w:space="0" w:color="auto"/>
              <w:right w:val="single" w:sz="4" w:space="0" w:color="auto"/>
            </w:tcBorders>
            <w:noWrap/>
            <w:vAlign w:val="center"/>
          </w:tcPr>
          <w:p w:rsidR="00E648B0" w:rsidRPr="000E54EB" w:rsidRDefault="002C528D" w:rsidP="009503E5">
            <w:pPr>
              <w:jc w:val="center"/>
              <w:rPr>
                <w:rFonts w:ascii="Verdana" w:hAnsi="Verdana" w:cs="Verdana"/>
                <w:sz w:val="20"/>
                <w:szCs w:val="20"/>
                <w:lang w:eastAsia="bg-BG"/>
              </w:rPr>
            </w:pPr>
            <w:r>
              <w:rPr>
                <w:rFonts w:ascii="Verdana" w:hAnsi="Verdana" w:cs="Verdana"/>
                <w:sz w:val="20"/>
                <w:szCs w:val="20"/>
                <w:lang w:eastAsia="bg-BG"/>
              </w:rPr>
              <w:t>45</w:t>
            </w:r>
          </w:p>
        </w:tc>
        <w:tc>
          <w:tcPr>
            <w:tcW w:w="1688" w:type="dxa"/>
            <w:tcBorders>
              <w:top w:val="nil"/>
              <w:left w:val="nil"/>
              <w:bottom w:val="single" w:sz="4" w:space="0" w:color="auto"/>
              <w:right w:val="single" w:sz="4" w:space="0" w:color="auto"/>
            </w:tcBorders>
            <w:noWrap/>
            <w:vAlign w:val="center"/>
          </w:tcPr>
          <w:p w:rsidR="00E648B0" w:rsidRPr="00F25FCA" w:rsidRDefault="00E648B0" w:rsidP="00B617CE">
            <w:pPr>
              <w:jc w:val="center"/>
              <w:rPr>
                <w:rFonts w:ascii="Verdana" w:hAnsi="Verdana" w:cs="Arial"/>
                <w:color w:val="000000"/>
                <w:sz w:val="20"/>
                <w:lang w:eastAsia="bg-BG"/>
              </w:rPr>
            </w:pPr>
            <w:r w:rsidRPr="00F25FCA">
              <w:rPr>
                <w:rFonts w:ascii="Verdana" w:hAnsi="Verdana" w:cs="Arial"/>
                <w:color w:val="000000"/>
                <w:sz w:val="20"/>
                <w:lang w:eastAsia="bg-BG"/>
              </w:rPr>
              <w:t>32</w:t>
            </w:r>
          </w:p>
        </w:tc>
      </w:tr>
      <w:tr w:rsidR="00E648B0" w:rsidRPr="000E54EB">
        <w:trPr>
          <w:trHeight w:val="300"/>
        </w:trPr>
        <w:tc>
          <w:tcPr>
            <w:tcW w:w="6101" w:type="dxa"/>
            <w:tcBorders>
              <w:top w:val="nil"/>
              <w:left w:val="single" w:sz="4" w:space="0" w:color="auto"/>
              <w:bottom w:val="single" w:sz="4" w:space="0" w:color="auto"/>
              <w:right w:val="single" w:sz="4" w:space="0" w:color="auto"/>
            </w:tcBorders>
            <w:noWrap/>
            <w:vAlign w:val="center"/>
          </w:tcPr>
          <w:p w:rsidR="00E648B0" w:rsidRPr="000E54EB" w:rsidRDefault="00E648B0" w:rsidP="009503E5">
            <w:pPr>
              <w:jc w:val="left"/>
              <w:rPr>
                <w:rFonts w:ascii="Verdana" w:hAnsi="Verdana" w:cs="Verdana"/>
                <w:sz w:val="20"/>
                <w:szCs w:val="20"/>
                <w:lang w:eastAsia="bg-BG"/>
              </w:rPr>
            </w:pPr>
            <w:r>
              <w:rPr>
                <w:rFonts w:ascii="Verdana" w:hAnsi="Verdana" w:cs="Verdana"/>
                <w:sz w:val="20"/>
                <w:szCs w:val="20"/>
                <w:lang w:eastAsia="bg-BG"/>
              </w:rPr>
              <w:t>Информационни и софтуерни услуги</w:t>
            </w:r>
          </w:p>
        </w:tc>
        <w:tc>
          <w:tcPr>
            <w:tcW w:w="1714" w:type="dxa"/>
            <w:tcBorders>
              <w:top w:val="nil"/>
              <w:left w:val="nil"/>
              <w:bottom w:val="single" w:sz="4" w:space="0" w:color="auto"/>
              <w:right w:val="single" w:sz="4" w:space="0" w:color="auto"/>
            </w:tcBorders>
            <w:noWrap/>
            <w:vAlign w:val="center"/>
          </w:tcPr>
          <w:p w:rsidR="00E648B0" w:rsidRDefault="002C528D" w:rsidP="009503E5">
            <w:pPr>
              <w:jc w:val="center"/>
              <w:rPr>
                <w:rFonts w:ascii="Verdana" w:hAnsi="Verdana" w:cs="Verdana"/>
                <w:sz w:val="20"/>
                <w:szCs w:val="20"/>
                <w:lang w:eastAsia="bg-BG"/>
              </w:rPr>
            </w:pPr>
            <w:r>
              <w:rPr>
                <w:rFonts w:ascii="Verdana" w:hAnsi="Verdana" w:cs="Verdana"/>
                <w:sz w:val="20"/>
                <w:szCs w:val="20"/>
                <w:lang w:eastAsia="bg-BG"/>
              </w:rPr>
              <w:t>27</w:t>
            </w:r>
          </w:p>
        </w:tc>
        <w:tc>
          <w:tcPr>
            <w:tcW w:w="1688" w:type="dxa"/>
            <w:tcBorders>
              <w:top w:val="nil"/>
              <w:left w:val="nil"/>
              <w:bottom w:val="single" w:sz="4" w:space="0" w:color="auto"/>
              <w:right w:val="single" w:sz="4" w:space="0" w:color="auto"/>
            </w:tcBorders>
            <w:noWrap/>
            <w:vAlign w:val="center"/>
          </w:tcPr>
          <w:p w:rsidR="00E648B0" w:rsidRPr="00F25FCA" w:rsidRDefault="00E648B0" w:rsidP="00B617CE">
            <w:pPr>
              <w:jc w:val="center"/>
              <w:rPr>
                <w:rFonts w:ascii="Verdana" w:hAnsi="Verdana" w:cs="Arial"/>
                <w:color w:val="000000"/>
                <w:sz w:val="20"/>
                <w:lang w:eastAsia="bg-BG"/>
              </w:rPr>
            </w:pPr>
            <w:r w:rsidRPr="00F25FCA">
              <w:rPr>
                <w:rFonts w:ascii="Verdana" w:hAnsi="Verdana" w:cs="Arial"/>
                <w:color w:val="000000"/>
                <w:sz w:val="20"/>
                <w:lang w:eastAsia="bg-BG"/>
              </w:rPr>
              <w:t>26</w:t>
            </w:r>
          </w:p>
        </w:tc>
      </w:tr>
      <w:tr w:rsidR="00E648B0" w:rsidRPr="000E54EB">
        <w:trPr>
          <w:trHeight w:val="300"/>
        </w:trPr>
        <w:tc>
          <w:tcPr>
            <w:tcW w:w="6101" w:type="dxa"/>
            <w:tcBorders>
              <w:top w:val="nil"/>
              <w:left w:val="single" w:sz="4" w:space="0" w:color="auto"/>
              <w:bottom w:val="single" w:sz="4" w:space="0" w:color="auto"/>
              <w:right w:val="single" w:sz="4" w:space="0" w:color="auto"/>
            </w:tcBorders>
            <w:noWrap/>
            <w:vAlign w:val="center"/>
          </w:tcPr>
          <w:p w:rsidR="00E648B0" w:rsidRPr="000E54EB" w:rsidRDefault="00E648B0" w:rsidP="009503E5">
            <w:pPr>
              <w:jc w:val="left"/>
              <w:rPr>
                <w:rFonts w:ascii="Verdana" w:hAnsi="Verdana" w:cs="Verdana"/>
                <w:sz w:val="20"/>
                <w:szCs w:val="20"/>
                <w:lang w:eastAsia="bg-BG"/>
              </w:rPr>
            </w:pPr>
            <w:r w:rsidRPr="000E54EB">
              <w:rPr>
                <w:rFonts w:ascii="Verdana" w:hAnsi="Verdana" w:cs="Verdana"/>
                <w:sz w:val="20"/>
                <w:szCs w:val="20"/>
                <w:lang w:eastAsia="bg-BG"/>
              </w:rPr>
              <w:t>Други разходи за външни услуги</w:t>
            </w:r>
          </w:p>
        </w:tc>
        <w:tc>
          <w:tcPr>
            <w:tcW w:w="1714" w:type="dxa"/>
            <w:tcBorders>
              <w:top w:val="nil"/>
              <w:left w:val="nil"/>
              <w:bottom w:val="single" w:sz="4" w:space="0" w:color="auto"/>
              <w:right w:val="single" w:sz="4" w:space="0" w:color="auto"/>
            </w:tcBorders>
            <w:noWrap/>
            <w:vAlign w:val="center"/>
          </w:tcPr>
          <w:p w:rsidR="00E648B0" w:rsidRPr="000E54EB" w:rsidRDefault="00E87A80" w:rsidP="009503E5">
            <w:pPr>
              <w:jc w:val="center"/>
              <w:rPr>
                <w:rFonts w:ascii="Verdana" w:hAnsi="Verdana" w:cs="Verdana"/>
                <w:sz w:val="20"/>
                <w:szCs w:val="20"/>
                <w:lang w:eastAsia="bg-BG"/>
              </w:rPr>
            </w:pPr>
            <w:r>
              <w:rPr>
                <w:rFonts w:ascii="Verdana" w:hAnsi="Verdana" w:cs="Verdana"/>
                <w:sz w:val="20"/>
                <w:szCs w:val="20"/>
                <w:lang w:eastAsia="bg-BG"/>
              </w:rPr>
              <w:t>2</w:t>
            </w:r>
          </w:p>
        </w:tc>
        <w:tc>
          <w:tcPr>
            <w:tcW w:w="1688" w:type="dxa"/>
            <w:tcBorders>
              <w:top w:val="nil"/>
              <w:left w:val="nil"/>
              <w:bottom w:val="single" w:sz="4" w:space="0" w:color="auto"/>
              <w:right w:val="single" w:sz="4" w:space="0" w:color="auto"/>
            </w:tcBorders>
            <w:noWrap/>
            <w:vAlign w:val="center"/>
          </w:tcPr>
          <w:p w:rsidR="00E648B0" w:rsidRPr="00F25FCA" w:rsidRDefault="00E648B0" w:rsidP="00B617CE">
            <w:pPr>
              <w:jc w:val="center"/>
              <w:rPr>
                <w:rFonts w:ascii="Verdana" w:hAnsi="Verdana" w:cs="Arial"/>
                <w:color w:val="000000"/>
                <w:sz w:val="20"/>
                <w:lang w:eastAsia="bg-BG"/>
              </w:rPr>
            </w:pPr>
            <w:r w:rsidRPr="00F25FCA">
              <w:rPr>
                <w:rFonts w:ascii="Verdana" w:hAnsi="Verdana" w:cs="Arial"/>
                <w:color w:val="000000"/>
                <w:sz w:val="20"/>
                <w:lang w:eastAsia="bg-BG"/>
              </w:rPr>
              <w:t>4</w:t>
            </w:r>
          </w:p>
        </w:tc>
      </w:tr>
      <w:tr w:rsidR="00E648B0" w:rsidRPr="000E54EB">
        <w:trPr>
          <w:trHeight w:val="300"/>
        </w:trPr>
        <w:tc>
          <w:tcPr>
            <w:tcW w:w="6101" w:type="dxa"/>
            <w:tcBorders>
              <w:top w:val="nil"/>
              <w:left w:val="single" w:sz="4" w:space="0" w:color="auto"/>
              <w:bottom w:val="single" w:sz="4" w:space="0" w:color="auto"/>
              <w:right w:val="nil"/>
            </w:tcBorders>
            <w:shd w:val="clear" w:color="000000" w:fill="C5D9F1"/>
            <w:noWrap/>
            <w:vAlign w:val="center"/>
          </w:tcPr>
          <w:p w:rsidR="00E648B0" w:rsidRPr="000E54EB" w:rsidRDefault="00E648B0" w:rsidP="009503E5">
            <w:pPr>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1714" w:type="dxa"/>
            <w:tcBorders>
              <w:top w:val="nil"/>
              <w:left w:val="single" w:sz="4" w:space="0" w:color="auto"/>
              <w:bottom w:val="single" w:sz="4" w:space="0" w:color="auto"/>
              <w:right w:val="single" w:sz="4" w:space="0" w:color="auto"/>
            </w:tcBorders>
            <w:shd w:val="clear" w:color="000000" w:fill="C5D9F1"/>
            <w:noWrap/>
            <w:vAlign w:val="center"/>
          </w:tcPr>
          <w:p w:rsidR="00E648B0" w:rsidRPr="000E54EB" w:rsidRDefault="00E648B0" w:rsidP="009503E5">
            <w:pPr>
              <w:jc w:val="center"/>
              <w:rPr>
                <w:rFonts w:ascii="Verdana" w:hAnsi="Verdana" w:cs="Verdana"/>
                <w:b/>
                <w:bCs/>
                <w:sz w:val="20"/>
                <w:szCs w:val="20"/>
                <w:lang w:eastAsia="bg-BG"/>
              </w:rPr>
            </w:pPr>
            <w:r>
              <w:rPr>
                <w:rFonts w:ascii="Verdana" w:hAnsi="Verdana" w:cs="Verdana"/>
                <w:b/>
                <w:bCs/>
                <w:sz w:val="20"/>
                <w:szCs w:val="20"/>
                <w:lang w:eastAsia="bg-BG"/>
              </w:rPr>
              <w:t>222</w:t>
            </w:r>
          </w:p>
        </w:tc>
        <w:tc>
          <w:tcPr>
            <w:tcW w:w="1688" w:type="dxa"/>
            <w:tcBorders>
              <w:top w:val="nil"/>
              <w:left w:val="nil"/>
              <w:bottom w:val="single" w:sz="4" w:space="0" w:color="auto"/>
              <w:right w:val="single" w:sz="4" w:space="0" w:color="auto"/>
            </w:tcBorders>
            <w:shd w:val="clear" w:color="000000" w:fill="C5D9F1"/>
            <w:noWrap/>
            <w:vAlign w:val="center"/>
          </w:tcPr>
          <w:p w:rsidR="00E648B0" w:rsidRPr="000E54EB" w:rsidRDefault="00E648B0" w:rsidP="001F704A">
            <w:pPr>
              <w:jc w:val="center"/>
              <w:rPr>
                <w:rFonts w:ascii="Verdana" w:hAnsi="Verdana" w:cs="Verdana"/>
                <w:b/>
                <w:bCs/>
                <w:sz w:val="20"/>
                <w:szCs w:val="20"/>
                <w:lang w:eastAsia="bg-BG"/>
              </w:rPr>
            </w:pPr>
            <w:r>
              <w:rPr>
                <w:rFonts w:ascii="Verdana" w:hAnsi="Verdana" w:cs="Verdana"/>
                <w:b/>
                <w:bCs/>
                <w:sz w:val="20"/>
                <w:szCs w:val="20"/>
                <w:lang w:eastAsia="bg-BG"/>
              </w:rPr>
              <w:t>152</w:t>
            </w:r>
          </w:p>
        </w:tc>
      </w:tr>
    </w:tbl>
    <w:p w:rsidR="00863C99" w:rsidRPr="000E54EB" w:rsidRDefault="00863C99" w:rsidP="00B66DF8">
      <w:pPr>
        <w:pStyle w:val="Heading4"/>
        <w:rPr>
          <w:rFonts w:ascii="Verdana" w:hAnsi="Verdana" w:cs="Verdana"/>
          <w:i w:val="0"/>
          <w:iCs w:val="0"/>
          <w:lang w:val="bg-BG"/>
        </w:rPr>
      </w:pPr>
      <w:bookmarkStart w:id="124" w:name="_Toc247959167"/>
      <w:bookmarkStart w:id="125" w:name="_Toc314519586"/>
      <w:bookmarkStart w:id="126" w:name="_Toc4328833"/>
      <w:r w:rsidRPr="000E54EB">
        <w:rPr>
          <w:rFonts w:ascii="Verdana" w:hAnsi="Verdana" w:cs="Verdana"/>
          <w:i w:val="0"/>
          <w:iCs w:val="0"/>
          <w:lang w:val="bg-BG"/>
        </w:rPr>
        <w:t>1.2.3. Разходи за амортизации</w:t>
      </w:r>
      <w:bookmarkEnd w:id="124"/>
      <w:bookmarkEnd w:id="125"/>
      <w:bookmarkEnd w:id="126"/>
    </w:p>
    <w:tbl>
      <w:tblPr>
        <w:tblW w:w="9503" w:type="dxa"/>
        <w:tblInd w:w="-68" w:type="dxa"/>
        <w:tblCellMar>
          <w:left w:w="70" w:type="dxa"/>
          <w:right w:w="70" w:type="dxa"/>
        </w:tblCellMar>
        <w:tblLook w:val="00A0" w:firstRow="1" w:lastRow="0" w:firstColumn="1" w:lastColumn="0" w:noHBand="0" w:noVBand="0"/>
      </w:tblPr>
      <w:tblGrid>
        <w:gridCol w:w="6101"/>
        <w:gridCol w:w="1714"/>
        <w:gridCol w:w="1688"/>
      </w:tblGrid>
      <w:tr w:rsidR="00863C99" w:rsidRPr="000E54EB">
        <w:trPr>
          <w:trHeight w:val="300"/>
        </w:trPr>
        <w:tc>
          <w:tcPr>
            <w:tcW w:w="6101" w:type="dxa"/>
            <w:tcBorders>
              <w:top w:val="single" w:sz="4" w:space="0" w:color="auto"/>
              <w:left w:val="single" w:sz="4" w:space="0" w:color="auto"/>
              <w:bottom w:val="single" w:sz="4" w:space="0" w:color="auto"/>
              <w:right w:val="nil"/>
            </w:tcBorders>
            <w:noWrap/>
            <w:vAlign w:val="center"/>
          </w:tcPr>
          <w:p w:rsidR="00863C99" w:rsidRPr="000E54EB" w:rsidRDefault="00863C99" w:rsidP="009503E5">
            <w:pPr>
              <w:jc w:val="left"/>
              <w:rPr>
                <w:rFonts w:ascii="Verdana" w:hAnsi="Verdana" w:cs="Verdana"/>
                <w:b/>
                <w:bCs/>
                <w:sz w:val="20"/>
                <w:szCs w:val="20"/>
                <w:lang w:eastAsia="bg-BG"/>
              </w:rPr>
            </w:pPr>
            <w:r w:rsidRPr="000E54EB">
              <w:rPr>
                <w:rFonts w:ascii="Verdana" w:hAnsi="Verdana" w:cs="Verdana"/>
                <w:b/>
                <w:bCs/>
                <w:sz w:val="20"/>
                <w:szCs w:val="20"/>
                <w:lang w:eastAsia="bg-BG"/>
              </w:rPr>
              <w:t>Вид разход</w:t>
            </w:r>
          </w:p>
        </w:tc>
        <w:tc>
          <w:tcPr>
            <w:tcW w:w="1714" w:type="dxa"/>
            <w:tcBorders>
              <w:top w:val="single" w:sz="4" w:space="0" w:color="auto"/>
              <w:left w:val="single" w:sz="4" w:space="0" w:color="auto"/>
              <w:bottom w:val="single" w:sz="4" w:space="0" w:color="auto"/>
              <w:right w:val="single" w:sz="4" w:space="0" w:color="auto"/>
            </w:tcBorders>
            <w:noWrap/>
            <w:vAlign w:val="center"/>
          </w:tcPr>
          <w:p w:rsidR="00863C99" w:rsidRPr="000E54EB" w:rsidRDefault="00522E96" w:rsidP="00481E23">
            <w:pPr>
              <w:jc w:val="center"/>
              <w:rPr>
                <w:rFonts w:ascii="Verdana" w:hAnsi="Verdana" w:cs="Verdana"/>
                <w:b/>
                <w:bCs/>
                <w:sz w:val="20"/>
                <w:szCs w:val="20"/>
                <w:lang w:eastAsia="bg-BG"/>
              </w:rPr>
            </w:pPr>
            <w:r>
              <w:rPr>
                <w:rFonts w:ascii="Verdana" w:hAnsi="Verdana" w:cs="Verdana"/>
                <w:b/>
                <w:bCs/>
                <w:sz w:val="20"/>
                <w:szCs w:val="20"/>
                <w:lang w:eastAsia="bg-BG"/>
              </w:rPr>
              <w:t>2020</w:t>
            </w:r>
            <w:r w:rsidR="00863C99" w:rsidRPr="000E54EB">
              <w:rPr>
                <w:rFonts w:ascii="Verdana" w:hAnsi="Verdana" w:cs="Verdana"/>
                <w:b/>
                <w:bCs/>
                <w:sz w:val="20"/>
                <w:szCs w:val="20"/>
                <w:lang w:eastAsia="bg-BG"/>
              </w:rPr>
              <w:t xml:space="preserve"> г.</w:t>
            </w:r>
          </w:p>
        </w:tc>
        <w:tc>
          <w:tcPr>
            <w:tcW w:w="1688" w:type="dxa"/>
            <w:tcBorders>
              <w:top w:val="single" w:sz="4" w:space="0" w:color="auto"/>
              <w:left w:val="nil"/>
              <w:bottom w:val="single" w:sz="4" w:space="0" w:color="auto"/>
              <w:right w:val="single" w:sz="4" w:space="0" w:color="auto"/>
            </w:tcBorders>
            <w:noWrap/>
            <w:vAlign w:val="center"/>
          </w:tcPr>
          <w:p w:rsidR="00863C99" w:rsidRPr="000E54EB" w:rsidRDefault="00863C99" w:rsidP="00481E23">
            <w:pPr>
              <w:jc w:val="center"/>
              <w:rPr>
                <w:rFonts w:ascii="Verdana" w:hAnsi="Verdana" w:cs="Verdana"/>
                <w:b/>
                <w:bCs/>
                <w:sz w:val="20"/>
                <w:szCs w:val="20"/>
                <w:lang w:eastAsia="bg-BG"/>
              </w:rPr>
            </w:pPr>
            <w:r w:rsidRPr="000E54EB">
              <w:rPr>
                <w:rFonts w:ascii="Verdana" w:hAnsi="Verdana" w:cs="Verdana"/>
                <w:b/>
                <w:bCs/>
                <w:sz w:val="20"/>
                <w:szCs w:val="20"/>
                <w:lang w:eastAsia="bg-BG"/>
              </w:rPr>
              <w:t>201</w:t>
            </w:r>
            <w:r w:rsidR="00522E96">
              <w:rPr>
                <w:rFonts w:ascii="Verdana" w:hAnsi="Verdana" w:cs="Verdana"/>
                <w:b/>
                <w:bCs/>
                <w:sz w:val="20"/>
                <w:szCs w:val="20"/>
                <w:lang w:eastAsia="bg-BG"/>
              </w:rPr>
              <w:t>9</w:t>
            </w:r>
            <w:r w:rsidRPr="000E54EB">
              <w:rPr>
                <w:rFonts w:ascii="Verdana" w:hAnsi="Verdana" w:cs="Verdana"/>
                <w:b/>
                <w:bCs/>
                <w:sz w:val="20"/>
                <w:szCs w:val="20"/>
                <w:lang w:eastAsia="bg-BG"/>
              </w:rPr>
              <w:t xml:space="preserve"> г.</w:t>
            </w:r>
          </w:p>
        </w:tc>
      </w:tr>
      <w:tr w:rsidR="00863C99" w:rsidRPr="000E54EB">
        <w:trPr>
          <w:trHeight w:val="300"/>
        </w:trPr>
        <w:tc>
          <w:tcPr>
            <w:tcW w:w="6101" w:type="dxa"/>
            <w:tcBorders>
              <w:top w:val="nil"/>
              <w:left w:val="single" w:sz="4" w:space="0" w:color="auto"/>
              <w:bottom w:val="single" w:sz="4" w:space="0" w:color="auto"/>
              <w:right w:val="nil"/>
            </w:tcBorders>
            <w:noWrap/>
            <w:vAlign w:val="center"/>
          </w:tcPr>
          <w:p w:rsidR="00863C99" w:rsidRPr="000E54EB" w:rsidRDefault="00863C99" w:rsidP="009503E5">
            <w:pPr>
              <w:jc w:val="left"/>
              <w:rPr>
                <w:rFonts w:ascii="Verdana" w:hAnsi="Verdana" w:cs="Verdana"/>
                <w:sz w:val="20"/>
                <w:szCs w:val="20"/>
                <w:lang w:eastAsia="bg-BG"/>
              </w:rPr>
            </w:pPr>
            <w:r w:rsidRPr="000E54EB">
              <w:rPr>
                <w:rFonts w:ascii="Verdana" w:hAnsi="Verdana" w:cs="Verdana"/>
                <w:sz w:val="20"/>
                <w:szCs w:val="20"/>
                <w:lang w:eastAsia="bg-BG"/>
              </w:rPr>
              <w:t>дълготрайни материални активи</w:t>
            </w:r>
          </w:p>
        </w:tc>
        <w:tc>
          <w:tcPr>
            <w:tcW w:w="1714" w:type="dxa"/>
            <w:tcBorders>
              <w:top w:val="nil"/>
              <w:left w:val="single" w:sz="4" w:space="0" w:color="auto"/>
              <w:bottom w:val="single" w:sz="4" w:space="0" w:color="auto"/>
              <w:right w:val="single" w:sz="4" w:space="0" w:color="auto"/>
            </w:tcBorders>
            <w:shd w:val="clear" w:color="000000" w:fill="FFFFFF"/>
            <w:noWrap/>
            <w:vAlign w:val="center"/>
          </w:tcPr>
          <w:p w:rsidR="00863C99" w:rsidRPr="000E54EB" w:rsidRDefault="00522E96" w:rsidP="009503E5">
            <w:pPr>
              <w:jc w:val="center"/>
              <w:rPr>
                <w:rFonts w:ascii="Verdana" w:hAnsi="Verdana" w:cs="Verdana"/>
                <w:sz w:val="20"/>
                <w:szCs w:val="20"/>
                <w:lang w:eastAsia="bg-BG"/>
              </w:rPr>
            </w:pPr>
            <w:r>
              <w:rPr>
                <w:rFonts w:ascii="Verdana" w:hAnsi="Verdana" w:cs="Verdana"/>
                <w:sz w:val="20"/>
                <w:szCs w:val="20"/>
                <w:lang w:eastAsia="bg-BG"/>
              </w:rPr>
              <w:t>207</w:t>
            </w:r>
          </w:p>
        </w:tc>
        <w:tc>
          <w:tcPr>
            <w:tcW w:w="1688" w:type="dxa"/>
            <w:tcBorders>
              <w:top w:val="nil"/>
              <w:left w:val="nil"/>
              <w:bottom w:val="single" w:sz="4" w:space="0" w:color="auto"/>
              <w:right w:val="single" w:sz="4" w:space="0" w:color="auto"/>
            </w:tcBorders>
            <w:noWrap/>
            <w:vAlign w:val="center"/>
          </w:tcPr>
          <w:p w:rsidR="00863C99" w:rsidRPr="000E54EB" w:rsidRDefault="00522E96" w:rsidP="001F704A">
            <w:pPr>
              <w:jc w:val="center"/>
              <w:rPr>
                <w:rFonts w:ascii="Verdana" w:hAnsi="Verdana" w:cs="Verdana"/>
                <w:sz w:val="20"/>
                <w:szCs w:val="20"/>
                <w:lang w:eastAsia="bg-BG"/>
              </w:rPr>
            </w:pPr>
            <w:r>
              <w:rPr>
                <w:rFonts w:ascii="Verdana" w:hAnsi="Verdana" w:cs="Verdana"/>
                <w:sz w:val="20"/>
                <w:szCs w:val="20"/>
                <w:lang w:eastAsia="bg-BG"/>
              </w:rPr>
              <w:t>156</w:t>
            </w:r>
          </w:p>
        </w:tc>
      </w:tr>
      <w:tr w:rsidR="00863C99" w:rsidRPr="000E54EB">
        <w:trPr>
          <w:trHeight w:val="300"/>
        </w:trPr>
        <w:tc>
          <w:tcPr>
            <w:tcW w:w="6101" w:type="dxa"/>
            <w:tcBorders>
              <w:top w:val="nil"/>
              <w:left w:val="single" w:sz="4" w:space="0" w:color="auto"/>
              <w:bottom w:val="single" w:sz="4" w:space="0" w:color="auto"/>
              <w:right w:val="nil"/>
            </w:tcBorders>
            <w:noWrap/>
            <w:vAlign w:val="center"/>
          </w:tcPr>
          <w:p w:rsidR="00863C99" w:rsidRPr="000E54EB" w:rsidRDefault="00863C99" w:rsidP="009503E5">
            <w:pPr>
              <w:jc w:val="left"/>
              <w:rPr>
                <w:rFonts w:ascii="Verdana" w:hAnsi="Verdana" w:cs="Verdana"/>
                <w:sz w:val="20"/>
                <w:szCs w:val="20"/>
                <w:lang w:eastAsia="bg-BG"/>
              </w:rPr>
            </w:pPr>
            <w:r w:rsidRPr="000E54EB">
              <w:rPr>
                <w:rFonts w:ascii="Verdana" w:hAnsi="Verdana" w:cs="Verdana"/>
                <w:sz w:val="20"/>
                <w:szCs w:val="20"/>
                <w:lang w:eastAsia="bg-BG"/>
              </w:rPr>
              <w:t>дълготрайни нематериални активи</w:t>
            </w:r>
          </w:p>
        </w:tc>
        <w:tc>
          <w:tcPr>
            <w:tcW w:w="1714" w:type="dxa"/>
            <w:tcBorders>
              <w:top w:val="nil"/>
              <w:left w:val="single" w:sz="4" w:space="0" w:color="auto"/>
              <w:bottom w:val="single" w:sz="4" w:space="0" w:color="auto"/>
              <w:right w:val="single" w:sz="4" w:space="0" w:color="auto"/>
            </w:tcBorders>
            <w:noWrap/>
            <w:vAlign w:val="center"/>
          </w:tcPr>
          <w:p w:rsidR="00863C99" w:rsidRPr="000E54EB" w:rsidRDefault="00522E96" w:rsidP="009503E5">
            <w:pPr>
              <w:jc w:val="center"/>
              <w:rPr>
                <w:rFonts w:ascii="Verdana" w:hAnsi="Verdana" w:cs="Verdana"/>
                <w:sz w:val="20"/>
                <w:szCs w:val="20"/>
                <w:lang w:eastAsia="bg-BG"/>
              </w:rPr>
            </w:pPr>
            <w:r>
              <w:rPr>
                <w:rFonts w:ascii="Verdana" w:hAnsi="Verdana" w:cs="Verdana"/>
                <w:sz w:val="20"/>
                <w:szCs w:val="20"/>
                <w:lang w:eastAsia="bg-BG"/>
              </w:rPr>
              <w:t>8</w:t>
            </w:r>
          </w:p>
        </w:tc>
        <w:tc>
          <w:tcPr>
            <w:tcW w:w="1688" w:type="dxa"/>
            <w:tcBorders>
              <w:top w:val="nil"/>
              <w:left w:val="nil"/>
              <w:bottom w:val="single" w:sz="4" w:space="0" w:color="auto"/>
              <w:right w:val="single" w:sz="4" w:space="0" w:color="auto"/>
            </w:tcBorders>
            <w:noWrap/>
            <w:vAlign w:val="center"/>
          </w:tcPr>
          <w:p w:rsidR="00863C99" w:rsidRPr="000E54EB" w:rsidRDefault="00522E96" w:rsidP="001F704A">
            <w:pPr>
              <w:jc w:val="center"/>
              <w:rPr>
                <w:rFonts w:ascii="Verdana" w:hAnsi="Verdana" w:cs="Verdana"/>
                <w:sz w:val="20"/>
                <w:szCs w:val="20"/>
                <w:lang w:eastAsia="bg-BG"/>
              </w:rPr>
            </w:pPr>
            <w:r>
              <w:rPr>
                <w:rFonts w:ascii="Verdana" w:hAnsi="Verdana" w:cs="Verdana"/>
                <w:sz w:val="20"/>
                <w:szCs w:val="20"/>
                <w:lang w:eastAsia="bg-BG"/>
              </w:rPr>
              <w:t>8</w:t>
            </w:r>
          </w:p>
        </w:tc>
      </w:tr>
      <w:tr w:rsidR="00863C99" w:rsidRPr="000E54EB">
        <w:trPr>
          <w:trHeight w:val="300"/>
        </w:trPr>
        <w:tc>
          <w:tcPr>
            <w:tcW w:w="6101" w:type="dxa"/>
            <w:tcBorders>
              <w:top w:val="nil"/>
              <w:left w:val="single" w:sz="4" w:space="0" w:color="auto"/>
              <w:bottom w:val="single" w:sz="4" w:space="0" w:color="auto"/>
              <w:right w:val="nil"/>
            </w:tcBorders>
            <w:shd w:val="clear" w:color="000000" w:fill="C5D9F1"/>
            <w:noWrap/>
            <w:vAlign w:val="center"/>
          </w:tcPr>
          <w:p w:rsidR="00863C99" w:rsidRPr="000E54EB" w:rsidRDefault="00863C99" w:rsidP="009503E5">
            <w:pPr>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1714" w:type="dxa"/>
            <w:tcBorders>
              <w:top w:val="nil"/>
              <w:left w:val="single" w:sz="4" w:space="0" w:color="auto"/>
              <w:bottom w:val="single" w:sz="4" w:space="0" w:color="auto"/>
              <w:right w:val="single" w:sz="4" w:space="0" w:color="auto"/>
            </w:tcBorders>
            <w:shd w:val="clear" w:color="000000" w:fill="C5D9F1"/>
            <w:noWrap/>
            <w:vAlign w:val="center"/>
          </w:tcPr>
          <w:p w:rsidR="00863C99" w:rsidRPr="000E54EB" w:rsidRDefault="00522E96" w:rsidP="009503E5">
            <w:pPr>
              <w:jc w:val="center"/>
              <w:rPr>
                <w:rFonts w:ascii="Verdana" w:hAnsi="Verdana" w:cs="Verdana"/>
                <w:b/>
                <w:bCs/>
                <w:sz w:val="20"/>
                <w:szCs w:val="20"/>
                <w:lang w:eastAsia="bg-BG"/>
              </w:rPr>
            </w:pPr>
            <w:r>
              <w:rPr>
                <w:rFonts w:ascii="Verdana" w:hAnsi="Verdana" w:cs="Verdana"/>
                <w:b/>
                <w:bCs/>
                <w:sz w:val="20"/>
                <w:szCs w:val="20"/>
                <w:lang w:eastAsia="bg-BG"/>
              </w:rPr>
              <w:t>215</w:t>
            </w:r>
          </w:p>
        </w:tc>
        <w:tc>
          <w:tcPr>
            <w:tcW w:w="1688" w:type="dxa"/>
            <w:tcBorders>
              <w:top w:val="nil"/>
              <w:left w:val="nil"/>
              <w:bottom w:val="single" w:sz="4" w:space="0" w:color="auto"/>
              <w:right w:val="single" w:sz="4" w:space="0" w:color="auto"/>
            </w:tcBorders>
            <w:shd w:val="clear" w:color="000000" w:fill="C5D9F1"/>
            <w:noWrap/>
            <w:vAlign w:val="center"/>
          </w:tcPr>
          <w:p w:rsidR="00863C99" w:rsidRPr="000E54EB" w:rsidRDefault="00522E96" w:rsidP="001F704A">
            <w:pPr>
              <w:jc w:val="center"/>
              <w:rPr>
                <w:rFonts w:ascii="Verdana" w:hAnsi="Verdana" w:cs="Verdana"/>
                <w:b/>
                <w:bCs/>
                <w:sz w:val="20"/>
                <w:szCs w:val="20"/>
                <w:lang w:eastAsia="bg-BG"/>
              </w:rPr>
            </w:pPr>
            <w:r>
              <w:rPr>
                <w:rFonts w:ascii="Verdana" w:hAnsi="Verdana" w:cs="Verdana"/>
                <w:b/>
                <w:bCs/>
                <w:sz w:val="20"/>
                <w:szCs w:val="20"/>
                <w:lang w:eastAsia="bg-BG"/>
              </w:rPr>
              <w:t>164</w:t>
            </w:r>
          </w:p>
        </w:tc>
      </w:tr>
    </w:tbl>
    <w:p w:rsidR="00863C99" w:rsidRPr="000E54EB" w:rsidRDefault="00863C99" w:rsidP="00B66DF8">
      <w:pPr>
        <w:pStyle w:val="Heading4"/>
        <w:rPr>
          <w:rFonts w:ascii="Verdana" w:hAnsi="Verdana" w:cs="Verdana"/>
          <w:i w:val="0"/>
          <w:iCs w:val="0"/>
          <w:lang w:val="bg-BG"/>
        </w:rPr>
      </w:pPr>
      <w:bookmarkStart w:id="127" w:name="_Toc247959168"/>
      <w:bookmarkStart w:id="128" w:name="_Toc314519587"/>
      <w:bookmarkStart w:id="129" w:name="_Toc4328834"/>
      <w:r w:rsidRPr="000E54EB">
        <w:rPr>
          <w:rFonts w:ascii="Verdana" w:hAnsi="Verdana" w:cs="Verdana"/>
          <w:i w:val="0"/>
          <w:iCs w:val="0"/>
          <w:lang w:val="bg-BG"/>
        </w:rPr>
        <w:t>1.2.4. Разходи за персонала</w:t>
      </w:r>
      <w:bookmarkEnd w:id="127"/>
      <w:bookmarkEnd w:id="128"/>
      <w:bookmarkEnd w:id="129"/>
    </w:p>
    <w:tbl>
      <w:tblPr>
        <w:tblW w:w="950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6242"/>
        <w:gridCol w:w="1560"/>
        <w:gridCol w:w="1701"/>
      </w:tblGrid>
      <w:tr w:rsidR="00863C99" w:rsidRPr="000E54EB">
        <w:trPr>
          <w:trHeight w:val="300"/>
        </w:trPr>
        <w:tc>
          <w:tcPr>
            <w:tcW w:w="6242" w:type="dxa"/>
            <w:noWrap/>
            <w:vAlign w:val="center"/>
          </w:tcPr>
          <w:p w:rsidR="00863C99" w:rsidRPr="000E54EB" w:rsidRDefault="00863C99" w:rsidP="000E4B7B">
            <w:pPr>
              <w:jc w:val="left"/>
              <w:rPr>
                <w:rFonts w:ascii="Verdana" w:hAnsi="Verdana" w:cs="Verdana"/>
                <w:b/>
                <w:bCs/>
                <w:sz w:val="20"/>
                <w:szCs w:val="20"/>
                <w:lang w:eastAsia="bg-BG"/>
              </w:rPr>
            </w:pPr>
            <w:r w:rsidRPr="000E54EB">
              <w:rPr>
                <w:rFonts w:ascii="Verdana" w:hAnsi="Verdana" w:cs="Verdana"/>
                <w:b/>
                <w:bCs/>
                <w:sz w:val="20"/>
                <w:szCs w:val="20"/>
                <w:lang w:eastAsia="bg-BG"/>
              </w:rPr>
              <w:t>Разходи за:</w:t>
            </w:r>
          </w:p>
        </w:tc>
        <w:tc>
          <w:tcPr>
            <w:tcW w:w="1560" w:type="dxa"/>
            <w:noWrap/>
            <w:vAlign w:val="center"/>
          </w:tcPr>
          <w:p w:rsidR="00863C99" w:rsidRPr="000E54EB" w:rsidRDefault="00EA097D" w:rsidP="00E64E62">
            <w:pPr>
              <w:jc w:val="center"/>
              <w:rPr>
                <w:rFonts w:ascii="Verdana" w:hAnsi="Verdana" w:cs="Verdana"/>
                <w:b/>
                <w:bCs/>
                <w:sz w:val="20"/>
                <w:szCs w:val="20"/>
                <w:lang w:eastAsia="bg-BG"/>
              </w:rPr>
            </w:pPr>
            <w:r>
              <w:rPr>
                <w:rFonts w:ascii="Verdana" w:hAnsi="Verdana" w:cs="Verdana"/>
                <w:b/>
                <w:bCs/>
                <w:sz w:val="20"/>
                <w:szCs w:val="20"/>
                <w:lang w:eastAsia="bg-BG"/>
              </w:rPr>
              <w:t>2020</w:t>
            </w:r>
            <w:r w:rsidR="00863C99" w:rsidRPr="000E54EB">
              <w:rPr>
                <w:rFonts w:ascii="Verdana" w:hAnsi="Verdana" w:cs="Verdana"/>
                <w:b/>
                <w:bCs/>
                <w:sz w:val="20"/>
                <w:szCs w:val="20"/>
                <w:lang w:eastAsia="bg-BG"/>
              </w:rPr>
              <w:t xml:space="preserve"> г.</w:t>
            </w:r>
          </w:p>
        </w:tc>
        <w:tc>
          <w:tcPr>
            <w:tcW w:w="1701" w:type="dxa"/>
            <w:noWrap/>
            <w:vAlign w:val="center"/>
          </w:tcPr>
          <w:p w:rsidR="00863C99" w:rsidRPr="000E54EB" w:rsidRDefault="00EA097D" w:rsidP="001F704A">
            <w:pPr>
              <w:jc w:val="center"/>
              <w:rPr>
                <w:rFonts w:ascii="Verdana" w:hAnsi="Verdana" w:cs="Verdana"/>
                <w:b/>
                <w:bCs/>
                <w:sz w:val="20"/>
                <w:szCs w:val="20"/>
                <w:lang w:eastAsia="bg-BG"/>
              </w:rPr>
            </w:pPr>
            <w:r>
              <w:rPr>
                <w:rFonts w:ascii="Verdana" w:hAnsi="Verdana" w:cs="Verdana"/>
                <w:b/>
                <w:bCs/>
                <w:sz w:val="20"/>
                <w:szCs w:val="20"/>
                <w:lang w:eastAsia="bg-BG"/>
              </w:rPr>
              <w:t>2019</w:t>
            </w:r>
            <w:r w:rsidR="00863C99" w:rsidRPr="000E54EB">
              <w:rPr>
                <w:rFonts w:ascii="Verdana" w:hAnsi="Verdana" w:cs="Verdana"/>
                <w:b/>
                <w:bCs/>
                <w:sz w:val="20"/>
                <w:szCs w:val="20"/>
                <w:lang w:eastAsia="bg-BG"/>
              </w:rPr>
              <w:t xml:space="preserve"> г.</w:t>
            </w:r>
          </w:p>
        </w:tc>
      </w:tr>
      <w:tr w:rsidR="00AF5DD1" w:rsidRPr="000E54EB">
        <w:trPr>
          <w:trHeight w:val="300"/>
        </w:trPr>
        <w:tc>
          <w:tcPr>
            <w:tcW w:w="6242" w:type="dxa"/>
            <w:noWrap/>
            <w:vAlign w:val="center"/>
          </w:tcPr>
          <w:p w:rsidR="00AF5DD1" w:rsidRPr="000E54EB" w:rsidRDefault="00AF5DD1" w:rsidP="000E4B7B">
            <w:pPr>
              <w:jc w:val="left"/>
              <w:rPr>
                <w:rFonts w:ascii="Verdana" w:hAnsi="Verdana" w:cs="Verdana"/>
                <w:b/>
                <w:bCs/>
                <w:sz w:val="20"/>
                <w:szCs w:val="20"/>
                <w:lang w:eastAsia="bg-BG"/>
              </w:rPr>
            </w:pPr>
            <w:r w:rsidRPr="000E54EB">
              <w:rPr>
                <w:rFonts w:ascii="Verdana" w:hAnsi="Verdana" w:cs="Verdana"/>
                <w:b/>
                <w:bCs/>
                <w:sz w:val="20"/>
                <w:szCs w:val="20"/>
                <w:lang w:eastAsia="bg-BG"/>
              </w:rPr>
              <w:t>Разходи за заплати, в т.ч.:</w:t>
            </w:r>
          </w:p>
        </w:tc>
        <w:tc>
          <w:tcPr>
            <w:tcW w:w="1560" w:type="dxa"/>
            <w:noWrap/>
            <w:vAlign w:val="center"/>
          </w:tcPr>
          <w:p w:rsidR="00AF5DD1" w:rsidRPr="000E54EB" w:rsidRDefault="00AF5DD1" w:rsidP="000E4B7B">
            <w:pPr>
              <w:jc w:val="center"/>
              <w:rPr>
                <w:rFonts w:ascii="Verdana" w:hAnsi="Verdana" w:cs="Verdana"/>
                <w:b/>
                <w:bCs/>
                <w:sz w:val="20"/>
                <w:szCs w:val="20"/>
                <w:lang w:eastAsia="bg-BG"/>
              </w:rPr>
            </w:pPr>
            <w:r>
              <w:rPr>
                <w:rFonts w:ascii="Verdana" w:hAnsi="Verdana" w:cs="Verdana"/>
                <w:b/>
                <w:bCs/>
                <w:sz w:val="20"/>
                <w:szCs w:val="20"/>
                <w:lang w:eastAsia="bg-BG"/>
              </w:rPr>
              <w:t>279</w:t>
            </w:r>
          </w:p>
        </w:tc>
        <w:tc>
          <w:tcPr>
            <w:tcW w:w="1701" w:type="dxa"/>
            <w:noWrap/>
            <w:vAlign w:val="center"/>
          </w:tcPr>
          <w:p w:rsidR="00AF5DD1" w:rsidRPr="00F25FCA" w:rsidRDefault="00AF5DD1" w:rsidP="00B617CE">
            <w:pPr>
              <w:ind w:right="-125"/>
              <w:jc w:val="center"/>
              <w:rPr>
                <w:rFonts w:ascii="Verdana" w:hAnsi="Verdana" w:cs="Arial"/>
                <w:b/>
                <w:bCs/>
                <w:sz w:val="20"/>
                <w:lang w:eastAsia="bg-BG"/>
              </w:rPr>
            </w:pPr>
            <w:r w:rsidRPr="00F25FCA">
              <w:rPr>
                <w:rFonts w:ascii="Verdana" w:hAnsi="Verdana" w:cs="Arial"/>
                <w:b/>
                <w:bCs/>
                <w:sz w:val="20"/>
                <w:lang w:eastAsia="bg-BG"/>
              </w:rPr>
              <w:t>238</w:t>
            </w:r>
          </w:p>
        </w:tc>
      </w:tr>
      <w:tr w:rsidR="00AF5DD1" w:rsidRPr="000E54EB">
        <w:trPr>
          <w:trHeight w:val="300"/>
        </w:trPr>
        <w:tc>
          <w:tcPr>
            <w:tcW w:w="6242" w:type="dxa"/>
            <w:noWrap/>
            <w:vAlign w:val="center"/>
          </w:tcPr>
          <w:p w:rsidR="00AF5DD1" w:rsidRPr="000E54EB" w:rsidRDefault="00AF5DD1" w:rsidP="000E4B7B">
            <w:pPr>
              <w:jc w:val="left"/>
              <w:rPr>
                <w:rFonts w:ascii="Verdana" w:hAnsi="Verdana" w:cs="Verdana"/>
                <w:sz w:val="20"/>
                <w:szCs w:val="20"/>
                <w:lang w:eastAsia="bg-BG"/>
              </w:rPr>
            </w:pPr>
            <w:r w:rsidRPr="000E54EB">
              <w:rPr>
                <w:rFonts w:ascii="Verdana" w:hAnsi="Verdana" w:cs="Verdana"/>
                <w:sz w:val="20"/>
                <w:szCs w:val="20"/>
                <w:lang w:eastAsia="bg-BG"/>
              </w:rPr>
              <w:t>на производствен персонал</w:t>
            </w:r>
          </w:p>
        </w:tc>
        <w:tc>
          <w:tcPr>
            <w:tcW w:w="1560" w:type="dxa"/>
            <w:noWrap/>
            <w:vAlign w:val="center"/>
          </w:tcPr>
          <w:p w:rsidR="00AF5DD1" w:rsidRPr="000E54EB" w:rsidRDefault="00AF5DD1" w:rsidP="000E4B7B">
            <w:pPr>
              <w:jc w:val="center"/>
              <w:rPr>
                <w:rFonts w:ascii="Verdana" w:hAnsi="Verdana" w:cs="Verdana"/>
                <w:sz w:val="20"/>
                <w:szCs w:val="20"/>
                <w:lang w:eastAsia="bg-BG"/>
              </w:rPr>
            </w:pPr>
            <w:r>
              <w:rPr>
                <w:rFonts w:ascii="Verdana" w:hAnsi="Verdana" w:cs="Verdana"/>
                <w:sz w:val="20"/>
                <w:szCs w:val="20"/>
                <w:lang w:eastAsia="bg-BG"/>
              </w:rPr>
              <w:t>187</w:t>
            </w:r>
          </w:p>
        </w:tc>
        <w:tc>
          <w:tcPr>
            <w:tcW w:w="1701" w:type="dxa"/>
            <w:noWrap/>
            <w:vAlign w:val="center"/>
          </w:tcPr>
          <w:p w:rsidR="00AF5DD1" w:rsidRPr="003F0B3D" w:rsidRDefault="00AF5DD1" w:rsidP="00B617CE">
            <w:pPr>
              <w:ind w:right="-125"/>
              <w:jc w:val="center"/>
              <w:rPr>
                <w:rFonts w:ascii="Verdana" w:hAnsi="Verdana" w:cs="Arial"/>
                <w:sz w:val="20"/>
                <w:lang w:eastAsia="bg-BG"/>
              </w:rPr>
            </w:pPr>
            <w:r w:rsidRPr="003F0B3D">
              <w:rPr>
                <w:rFonts w:ascii="Verdana" w:hAnsi="Verdana" w:cs="Arial"/>
                <w:sz w:val="20"/>
                <w:lang w:eastAsia="bg-BG"/>
              </w:rPr>
              <w:t>123</w:t>
            </w:r>
          </w:p>
        </w:tc>
      </w:tr>
      <w:tr w:rsidR="00AF5DD1" w:rsidRPr="000E54EB">
        <w:trPr>
          <w:trHeight w:val="300"/>
        </w:trPr>
        <w:tc>
          <w:tcPr>
            <w:tcW w:w="6242" w:type="dxa"/>
            <w:noWrap/>
            <w:vAlign w:val="center"/>
          </w:tcPr>
          <w:p w:rsidR="00AF5DD1" w:rsidRPr="000E54EB" w:rsidRDefault="00AF5DD1" w:rsidP="000E4B7B">
            <w:pPr>
              <w:jc w:val="left"/>
              <w:rPr>
                <w:rFonts w:ascii="Verdana" w:hAnsi="Verdana" w:cs="Verdana"/>
                <w:sz w:val="20"/>
                <w:szCs w:val="20"/>
                <w:lang w:eastAsia="bg-BG"/>
              </w:rPr>
            </w:pPr>
            <w:r w:rsidRPr="000E54EB">
              <w:rPr>
                <w:rFonts w:ascii="Verdana" w:hAnsi="Verdana" w:cs="Verdana"/>
                <w:sz w:val="20"/>
                <w:szCs w:val="20"/>
                <w:lang w:eastAsia="bg-BG"/>
              </w:rPr>
              <w:t>на административен персонал</w:t>
            </w:r>
          </w:p>
        </w:tc>
        <w:tc>
          <w:tcPr>
            <w:tcW w:w="1560" w:type="dxa"/>
            <w:noWrap/>
            <w:vAlign w:val="center"/>
          </w:tcPr>
          <w:p w:rsidR="00AF5DD1" w:rsidRPr="000E54EB" w:rsidRDefault="00AF5DD1" w:rsidP="000E4B7B">
            <w:pPr>
              <w:jc w:val="center"/>
              <w:rPr>
                <w:rFonts w:ascii="Verdana" w:hAnsi="Verdana" w:cs="Verdana"/>
                <w:sz w:val="20"/>
                <w:szCs w:val="20"/>
                <w:lang w:eastAsia="bg-BG"/>
              </w:rPr>
            </w:pPr>
            <w:r>
              <w:rPr>
                <w:rFonts w:ascii="Verdana" w:hAnsi="Verdana" w:cs="Verdana"/>
                <w:sz w:val="20"/>
                <w:szCs w:val="20"/>
                <w:lang w:eastAsia="bg-BG"/>
              </w:rPr>
              <w:t>92</w:t>
            </w:r>
          </w:p>
        </w:tc>
        <w:tc>
          <w:tcPr>
            <w:tcW w:w="1701" w:type="dxa"/>
            <w:noWrap/>
            <w:vAlign w:val="center"/>
          </w:tcPr>
          <w:p w:rsidR="00AF5DD1" w:rsidRPr="003F0B3D" w:rsidRDefault="00AF5DD1" w:rsidP="00B617CE">
            <w:pPr>
              <w:ind w:right="-125"/>
              <w:jc w:val="center"/>
              <w:rPr>
                <w:rFonts w:ascii="Verdana" w:hAnsi="Verdana" w:cs="Arial"/>
                <w:sz w:val="20"/>
                <w:lang w:eastAsia="bg-BG"/>
              </w:rPr>
            </w:pPr>
            <w:r w:rsidRPr="003F0B3D">
              <w:rPr>
                <w:rFonts w:ascii="Verdana" w:hAnsi="Verdana" w:cs="Arial"/>
                <w:sz w:val="20"/>
                <w:lang w:eastAsia="bg-BG"/>
              </w:rPr>
              <w:t>115</w:t>
            </w:r>
          </w:p>
        </w:tc>
      </w:tr>
      <w:tr w:rsidR="00AF5DD1" w:rsidRPr="000E54EB">
        <w:trPr>
          <w:trHeight w:val="300"/>
        </w:trPr>
        <w:tc>
          <w:tcPr>
            <w:tcW w:w="6242" w:type="dxa"/>
            <w:noWrap/>
            <w:vAlign w:val="center"/>
          </w:tcPr>
          <w:p w:rsidR="00AF5DD1" w:rsidRPr="000E54EB" w:rsidRDefault="00AF5DD1" w:rsidP="000E4B7B">
            <w:pPr>
              <w:jc w:val="left"/>
              <w:rPr>
                <w:rFonts w:ascii="Verdana" w:hAnsi="Verdana" w:cs="Verdana"/>
                <w:b/>
                <w:bCs/>
                <w:sz w:val="20"/>
                <w:szCs w:val="20"/>
                <w:lang w:eastAsia="bg-BG"/>
              </w:rPr>
            </w:pPr>
            <w:r w:rsidRPr="000E54EB">
              <w:rPr>
                <w:rFonts w:ascii="Verdana" w:hAnsi="Verdana" w:cs="Verdana"/>
                <w:b/>
                <w:bCs/>
                <w:sz w:val="20"/>
                <w:szCs w:val="20"/>
                <w:lang w:eastAsia="bg-BG"/>
              </w:rPr>
              <w:t>Разходи за осигуровки, в т.ч.:</w:t>
            </w:r>
          </w:p>
        </w:tc>
        <w:tc>
          <w:tcPr>
            <w:tcW w:w="1560" w:type="dxa"/>
            <w:noWrap/>
            <w:vAlign w:val="center"/>
          </w:tcPr>
          <w:p w:rsidR="00AF5DD1" w:rsidRPr="000E54EB" w:rsidRDefault="00AF5DD1" w:rsidP="000E4B7B">
            <w:pPr>
              <w:jc w:val="center"/>
              <w:rPr>
                <w:rFonts w:ascii="Verdana" w:hAnsi="Verdana" w:cs="Verdana"/>
                <w:b/>
                <w:bCs/>
                <w:sz w:val="20"/>
                <w:szCs w:val="20"/>
                <w:lang w:eastAsia="bg-BG"/>
              </w:rPr>
            </w:pPr>
            <w:r>
              <w:rPr>
                <w:rFonts w:ascii="Verdana" w:hAnsi="Verdana" w:cs="Verdana"/>
                <w:b/>
                <w:bCs/>
                <w:sz w:val="20"/>
                <w:szCs w:val="20"/>
                <w:lang w:eastAsia="bg-BG"/>
              </w:rPr>
              <w:t>50</w:t>
            </w:r>
          </w:p>
        </w:tc>
        <w:tc>
          <w:tcPr>
            <w:tcW w:w="1701" w:type="dxa"/>
            <w:noWrap/>
            <w:vAlign w:val="center"/>
          </w:tcPr>
          <w:p w:rsidR="00AF5DD1" w:rsidRPr="003F0B3D" w:rsidRDefault="00AF5DD1" w:rsidP="00B617CE">
            <w:pPr>
              <w:ind w:right="-125"/>
              <w:jc w:val="center"/>
              <w:rPr>
                <w:rFonts w:ascii="Verdana" w:hAnsi="Verdana" w:cs="Arial"/>
                <w:b/>
                <w:bCs/>
                <w:sz w:val="20"/>
                <w:lang w:eastAsia="bg-BG"/>
              </w:rPr>
            </w:pPr>
            <w:r w:rsidRPr="003F0B3D">
              <w:rPr>
                <w:rFonts w:ascii="Verdana" w:hAnsi="Verdana" w:cs="Arial"/>
                <w:b/>
                <w:bCs/>
                <w:sz w:val="20"/>
                <w:lang w:eastAsia="bg-BG"/>
              </w:rPr>
              <w:t>46</w:t>
            </w:r>
          </w:p>
        </w:tc>
      </w:tr>
      <w:tr w:rsidR="00AF5DD1" w:rsidRPr="000E54EB">
        <w:trPr>
          <w:trHeight w:val="300"/>
        </w:trPr>
        <w:tc>
          <w:tcPr>
            <w:tcW w:w="6242" w:type="dxa"/>
            <w:noWrap/>
            <w:vAlign w:val="center"/>
          </w:tcPr>
          <w:p w:rsidR="00AF5DD1" w:rsidRPr="000E54EB" w:rsidRDefault="00AF5DD1" w:rsidP="000E4B7B">
            <w:pPr>
              <w:jc w:val="left"/>
              <w:rPr>
                <w:rFonts w:ascii="Verdana" w:hAnsi="Verdana" w:cs="Verdana"/>
                <w:sz w:val="20"/>
                <w:szCs w:val="20"/>
                <w:lang w:eastAsia="bg-BG"/>
              </w:rPr>
            </w:pPr>
            <w:r w:rsidRPr="000E54EB">
              <w:rPr>
                <w:rFonts w:ascii="Verdana" w:hAnsi="Verdana" w:cs="Verdana"/>
                <w:sz w:val="20"/>
                <w:szCs w:val="20"/>
                <w:lang w:eastAsia="bg-BG"/>
              </w:rPr>
              <w:t>на производствен персонал</w:t>
            </w:r>
          </w:p>
        </w:tc>
        <w:tc>
          <w:tcPr>
            <w:tcW w:w="1560" w:type="dxa"/>
            <w:noWrap/>
            <w:vAlign w:val="center"/>
          </w:tcPr>
          <w:p w:rsidR="00AF5DD1" w:rsidRPr="000E54EB" w:rsidRDefault="00AF5DD1" w:rsidP="000E4B7B">
            <w:pPr>
              <w:jc w:val="center"/>
              <w:rPr>
                <w:rFonts w:ascii="Verdana" w:hAnsi="Verdana" w:cs="Verdana"/>
                <w:sz w:val="20"/>
                <w:szCs w:val="20"/>
                <w:lang w:eastAsia="bg-BG"/>
              </w:rPr>
            </w:pPr>
            <w:r>
              <w:rPr>
                <w:rFonts w:ascii="Verdana" w:hAnsi="Verdana" w:cs="Verdana"/>
                <w:sz w:val="20"/>
                <w:szCs w:val="20"/>
                <w:lang w:eastAsia="bg-BG"/>
              </w:rPr>
              <w:t>35</w:t>
            </w:r>
          </w:p>
        </w:tc>
        <w:tc>
          <w:tcPr>
            <w:tcW w:w="1701" w:type="dxa"/>
            <w:noWrap/>
            <w:vAlign w:val="center"/>
          </w:tcPr>
          <w:p w:rsidR="00AF5DD1" w:rsidRPr="003F0B3D" w:rsidRDefault="00AF5DD1" w:rsidP="00B617CE">
            <w:pPr>
              <w:ind w:right="-125"/>
              <w:jc w:val="center"/>
              <w:rPr>
                <w:rFonts w:ascii="Verdana" w:hAnsi="Verdana" w:cs="Arial"/>
                <w:sz w:val="20"/>
                <w:lang w:eastAsia="bg-BG"/>
              </w:rPr>
            </w:pPr>
            <w:r w:rsidRPr="003F0B3D">
              <w:rPr>
                <w:rFonts w:ascii="Verdana" w:hAnsi="Verdana" w:cs="Arial"/>
                <w:sz w:val="20"/>
                <w:lang w:eastAsia="bg-BG"/>
              </w:rPr>
              <w:t>24</w:t>
            </w:r>
          </w:p>
        </w:tc>
      </w:tr>
      <w:tr w:rsidR="00AF5DD1" w:rsidRPr="000E54EB">
        <w:trPr>
          <w:trHeight w:val="300"/>
        </w:trPr>
        <w:tc>
          <w:tcPr>
            <w:tcW w:w="6242" w:type="dxa"/>
            <w:noWrap/>
            <w:vAlign w:val="center"/>
          </w:tcPr>
          <w:p w:rsidR="00AF5DD1" w:rsidRPr="000E54EB" w:rsidRDefault="00AF5DD1" w:rsidP="000E4B7B">
            <w:pPr>
              <w:jc w:val="left"/>
              <w:rPr>
                <w:rFonts w:ascii="Verdana" w:hAnsi="Verdana" w:cs="Verdana"/>
                <w:sz w:val="20"/>
                <w:szCs w:val="20"/>
                <w:lang w:eastAsia="bg-BG"/>
              </w:rPr>
            </w:pPr>
            <w:r w:rsidRPr="000E54EB">
              <w:rPr>
                <w:rFonts w:ascii="Verdana" w:hAnsi="Verdana" w:cs="Verdana"/>
                <w:sz w:val="20"/>
                <w:szCs w:val="20"/>
                <w:lang w:eastAsia="bg-BG"/>
              </w:rPr>
              <w:t>на административен персонал</w:t>
            </w:r>
          </w:p>
        </w:tc>
        <w:tc>
          <w:tcPr>
            <w:tcW w:w="1560" w:type="dxa"/>
            <w:noWrap/>
            <w:vAlign w:val="center"/>
          </w:tcPr>
          <w:p w:rsidR="00AF5DD1" w:rsidRPr="000E54EB" w:rsidRDefault="00AF5DD1" w:rsidP="000E4B7B">
            <w:pPr>
              <w:jc w:val="center"/>
              <w:rPr>
                <w:rFonts w:ascii="Verdana" w:hAnsi="Verdana" w:cs="Verdana"/>
                <w:sz w:val="20"/>
                <w:szCs w:val="20"/>
                <w:lang w:eastAsia="bg-BG"/>
              </w:rPr>
            </w:pPr>
            <w:r>
              <w:rPr>
                <w:rFonts w:ascii="Verdana" w:hAnsi="Verdana" w:cs="Verdana"/>
                <w:sz w:val="20"/>
                <w:szCs w:val="20"/>
                <w:lang w:eastAsia="bg-BG"/>
              </w:rPr>
              <w:t>15</w:t>
            </w:r>
          </w:p>
        </w:tc>
        <w:tc>
          <w:tcPr>
            <w:tcW w:w="1701" w:type="dxa"/>
            <w:noWrap/>
            <w:vAlign w:val="center"/>
          </w:tcPr>
          <w:p w:rsidR="00AF5DD1" w:rsidRPr="003F0B3D" w:rsidRDefault="00AF5DD1" w:rsidP="00B617CE">
            <w:pPr>
              <w:ind w:right="-125"/>
              <w:jc w:val="center"/>
              <w:rPr>
                <w:rFonts w:ascii="Verdana" w:hAnsi="Verdana" w:cs="Arial"/>
                <w:sz w:val="20"/>
                <w:lang w:eastAsia="bg-BG"/>
              </w:rPr>
            </w:pPr>
            <w:r w:rsidRPr="003F0B3D">
              <w:rPr>
                <w:rFonts w:ascii="Verdana" w:hAnsi="Verdana" w:cs="Arial"/>
                <w:sz w:val="20"/>
                <w:lang w:eastAsia="bg-BG"/>
              </w:rPr>
              <w:t>22</w:t>
            </w:r>
          </w:p>
        </w:tc>
      </w:tr>
      <w:tr w:rsidR="00AF5DD1" w:rsidRPr="000E54EB">
        <w:trPr>
          <w:trHeight w:val="300"/>
        </w:trPr>
        <w:tc>
          <w:tcPr>
            <w:tcW w:w="6242" w:type="dxa"/>
            <w:shd w:val="clear" w:color="000000" w:fill="C5D9F1"/>
            <w:noWrap/>
            <w:vAlign w:val="center"/>
          </w:tcPr>
          <w:p w:rsidR="00AF5DD1" w:rsidRPr="000E54EB" w:rsidRDefault="00AF5DD1" w:rsidP="000E4B7B">
            <w:pPr>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1560" w:type="dxa"/>
            <w:shd w:val="clear" w:color="000000" w:fill="C5D9F1"/>
            <w:noWrap/>
            <w:vAlign w:val="center"/>
          </w:tcPr>
          <w:p w:rsidR="00AF5DD1" w:rsidRPr="000E54EB" w:rsidRDefault="00AF5DD1" w:rsidP="000E4B7B">
            <w:pPr>
              <w:jc w:val="center"/>
              <w:rPr>
                <w:rFonts w:ascii="Verdana" w:hAnsi="Verdana" w:cs="Verdana"/>
                <w:b/>
                <w:bCs/>
                <w:sz w:val="20"/>
                <w:szCs w:val="20"/>
                <w:lang w:eastAsia="bg-BG"/>
              </w:rPr>
            </w:pPr>
            <w:r>
              <w:rPr>
                <w:rFonts w:ascii="Verdana" w:hAnsi="Verdana" w:cs="Verdana"/>
                <w:b/>
                <w:bCs/>
                <w:sz w:val="20"/>
                <w:szCs w:val="20"/>
                <w:lang w:eastAsia="bg-BG"/>
              </w:rPr>
              <w:t>329</w:t>
            </w:r>
          </w:p>
        </w:tc>
        <w:tc>
          <w:tcPr>
            <w:tcW w:w="1701" w:type="dxa"/>
            <w:shd w:val="clear" w:color="000000" w:fill="C5D9F1"/>
            <w:noWrap/>
            <w:vAlign w:val="center"/>
          </w:tcPr>
          <w:p w:rsidR="00AF5DD1" w:rsidRPr="000E54EB" w:rsidRDefault="00AF5DD1" w:rsidP="001F704A">
            <w:pPr>
              <w:jc w:val="center"/>
              <w:rPr>
                <w:rFonts w:ascii="Verdana" w:hAnsi="Verdana" w:cs="Verdana"/>
                <w:b/>
                <w:bCs/>
                <w:sz w:val="20"/>
                <w:szCs w:val="20"/>
                <w:lang w:eastAsia="bg-BG"/>
              </w:rPr>
            </w:pPr>
            <w:r w:rsidRPr="00F25FCA">
              <w:rPr>
                <w:rFonts w:ascii="Verdana" w:hAnsi="Verdana" w:cs="Arial"/>
                <w:b/>
                <w:bCs/>
                <w:sz w:val="20"/>
                <w:lang w:eastAsia="bg-BG"/>
              </w:rPr>
              <w:t>284</w:t>
            </w:r>
          </w:p>
        </w:tc>
      </w:tr>
    </w:tbl>
    <w:p w:rsidR="00863C99" w:rsidRPr="000E54EB" w:rsidRDefault="00863C99" w:rsidP="00922BE3">
      <w:pPr>
        <w:pStyle w:val="Heading4"/>
        <w:rPr>
          <w:rFonts w:ascii="Verdana" w:hAnsi="Verdana" w:cs="Verdana"/>
          <w:i w:val="0"/>
          <w:iCs w:val="0"/>
          <w:lang w:val="bg-BG"/>
        </w:rPr>
      </w:pPr>
      <w:bookmarkStart w:id="130" w:name="_Toc4328835"/>
      <w:bookmarkStart w:id="131" w:name="_Toc247959170"/>
      <w:bookmarkStart w:id="132" w:name="_Toc314519589"/>
      <w:r w:rsidRPr="000E54EB">
        <w:rPr>
          <w:rFonts w:ascii="Verdana" w:hAnsi="Verdana" w:cs="Verdana"/>
          <w:i w:val="0"/>
          <w:iCs w:val="0"/>
          <w:lang w:val="bg-BG"/>
        </w:rPr>
        <w:t>1.2.5. Разходи за обезценки на нефинансови активи</w:t>
      </w:r>
      <w:bookmarkEnd w:id="130"/>
    </w:p>
    <w:tbl>
      <w:tblPr>
        <w:tblW w:w="9503" w:type="dxa"/>
        <w:tblInd w:w="-68" w:type="dxa"/>
        <w:tblCellMar>
          <w:left w:w="70" w:type="dxa"/>
          <w:right w:w="70" w:type="dxa"/>
        </w:tblCellMar>
        <w:tblLook w:val="00A0" w:firstRow="1" w:lastRow="0" w:firstColumn="1" w:lastColumn="0" w:noHBand="0" w:noVBand="0"/>
      </w:tblPr>
      <w:tblGrid>
        <w:gridCol w:w="6242"/>
        <w:gridCol w:w="1701"/>
        <w:gridCol w:w="1560"/>
      </w:tblGrid>
      <w:tr w:rsidR="00863C99" w:rsidRPr="000E54EB">
        <w:trPr>
          <w:trHeight w:val="300"/>
        </w:trPr>
        <w:tc>
          <w:tcPr>
            <w:tcW w:w="6242" w:type="dxa"/>
            <w:tcBorders>
              <w:top w:val="single" w:sz="4" w:space="0" w:color="auto"/>
              <w:left w:val="single" w:sz="4" w:space="0" w:color="auto"/>
              <w:bottom w:val="single" w:sz="4" w:space="0" w:color="auto"/>
              <w:right w:val="nil"/>
            </w:tcBorders>
            <w:noWrap/>
            <w:vAlign w:val="center"/>
          </w:tcPr>
          <w:p w:rsidR="00863C99" w:rsidRPr="000E54EB" w:rsidRDefault="00863C99" w:rsidP="00922BE3">
            <w:pPr>
              <w:jc w:val="left"/>
              <w:rPr>
                <w:rFonts w:ascii="Verdana" w:hAnsi="Verdana" w:cs="Verdana"/>
                <w:b/>
                <w:bCs/>
                <w:sz w:val="20"/>
                <w:szCs w:val="20"/>
                <w:lang w:eastAsia="bg-BG"/>
              </w:rPr>
            </w:pPr>
            <w:r w:rsidRPr="000E54EB">
              <w:rPr>
                <w:rFonts w:ascii="Verdana" w:hAnsi="Verdana" w:cs="Verdana"/>
                <w:b/>
                <w:bCs/>
                <w:sz w:val="20"/>
                <w:szCs w:val="20"/>
                <w:lang w:eastAsia="bg-BG"/>
              </w:rPr>
              <w:t>Вид разход</w:t>
            </w:r>
          </w:p>
        </w:tc>
        <w:tc>
          <w:tcPr>
            <w:tcW w:w="1701" w:type="dxa"/>
            <w:tcBorders>
              <w:top w:val="single" w:sz="4" w:space="0" w:color="auto"/>
              <w:left w:val="single" w:sz="4" w:space="0" w:color="auto"/>
              <w:bottom w:val="single" w:sz="4" w:space="0" w:color="auto"/>
              <w:right w:val="single" w:sz="4" w:space="0" w:color="auto"/>
            </w:tcBorders>
            <w:noWrap/>
            <w:vAlign w:val="center"/>
          </w:tcPr>
          <w:p w:rsidR="00863C99" w:rsidRPr="000E54EB" w:rsidRDefault="009921A1" w:rsidP="00E64E62">
            <w:pPr>
              <w:jc w:val="center"/>
              <w:rPr>
                <w:rFonts w:ascii="Verdana" w:hAnsi="Verdana" w:cs="Verdana"/>
                <w:b/>
                <w:bCs/>
                <w:sz w:val="20"/>
                <w:szCs w:val="20"/>
                <w:lang w:eastAsia="bg-BG"/>
              </w:rPr>
            </w:pPr>
            <w:r>
              <w:rPr>
                <w:rFonts w:ascii="Verdana" w:hAnsi="Verdana" w:cs="Verdana"/>
                <w:b/>
                <w:bCs/>
                <w:sz w:val="20"/>
                <w:szCs w:val="20"/>
                <w:lang w:eastAsia="bg-BG"/>
              </w:rPr>
              <w:t>2020</w:t>
            </w:r>
            <w:r w:rsidR="00863C99" w:rsidRPr="000E54EB">
              <w:rPr>
                <w:rFonts w:ascii="Verdana" w:hAnsi="Verdana" w:cs="Verdana"/>
                <w:b/>
                <w:bCs/>
                <w:sz w:val="20"/>
                <w:szCs w:val="20"/>
                <w:lang w:eastAsia="bg-BG"/>
              </w:rPr>
              <w:t xml:space="preserve"> г.</w:t>
            </w:r>
          </w:p>
        </w:tc>
        <w:tc>
          <w:tcPr>
            <w:tcW w:w="1560" w:type="dxa"/>
            <w:tcBorders>
              <w:top w:val="single" w:sz="4" w:space="0" w:color="auto"/>
              <w:left w:val="nil"/>
              <w:bottom w:val="single" w:sz="4" w:space="0" w:color="auto"/>
              <w:right w:val="single" w:sz="4" w:space="0" w:color="auto"/>
            </w:tcBorders>
            <w:noWrap/>
            <w:vAlign w:val="center"/>
          </w:tcPr>
          <w:p w:rsidR="00863C99" w:rsidRPr="000E54EB" w:rsidRDefault="00863C99" w:rsidP="00E64E62">
            <w:pPr>
              <w:jc w:val="center"/>
              <w:rPr>
                <w:rFonts w:ascii="Verdana" w:hAnsi="Verdana" w:cs="Verdana"/>
                <w:b/>
                <w:bCs/>
                <w:sz w:val="20"/>
                <w:szCs w:val="20"/>
                <w:lang w:eastAsia="bg-BG"/>
              </w:rPr>
            </w:pPr>
            <w:r w:rsidRPr="000E54EB">
              <w:rPr>
                <w:rFonts w:ascii="Verdana" w:hAnsi="Verdana" w:cs="Verdana"/>
                <w:b/>
                <w:bCs/>
                <w:sz w:val="20"/>
                <w:szCs w:val="20"/>
                <w:lang w:eastAsia="bg-BG"/>
              </w:rPr>
              <w:t>201</w:t>
            </w:r>
            <w:r w:rsidR="009921A1">
              <w:rPr>
                <w:rFonts w:ascii="Verdana" w:hAnsi="Verdana" w:cs="Verdana"/>
                <w:b/>
                <w:bCs/>
                <w:sz w:val="20"/>
                <w:szCs w:val="20"/>
                <w:lang w:eastAsia="bg-BG"/>
              </w:rPr>
              <w:t>9</w:t>
            </w:r>
            <w:r w:rsidRPr="000E54EB">
              <w:rPr>
                <w:rFonts w:ascii="Verdana" w:hAnsi="Verdana" w:cs="Verdana"/>
                <w:b/>
                <w:bCs/>
                <w:sz w:val="20"/>
                <w:szCs w:val="20"/>
                <w:lang w:eastAsia="bg-BG"/>
              </w:rPr>
              <w:t xml:space="preserve"> г.</w:t>
            </w:r>
          </w:p>
        </w:tc>
      </w:tr>
      <w:tr w:rsidR="00863C99" w:rsidRPr="000E54EB">
        <w:trPr>
          <w:trHeight w:val="600"/>
        </w:trPr>
        <w:tc>
          <w:tcPr>
            <w:tcW w:w="6242" w:type="dxa"/>
            <w:tcBorders>
              <w:top w:val="nil"/>
              <w:left w:val="single" w:sz="4" w:space="0" w:color="auto"/>
              <w:bottom w:val="single" w:sz="4" w:space="0" w:color="auto"/>
              <w:right w:val="nil"/>
            </w:tcBorders>
            <w:vAlign w:val="center"/>
          </w:tcPr>
          <w:p w:rsidR="00863C99" w:rsidRPr="000E54EB" w:rsidRDefault="00863C99" w:rsidP="00922BE3">
            <w:pPr>
              <w:jc w:val="left"/>
              <w:rPr>
                <w:rFonts w:ascii="Verdana" w:hAnsi="Verdana" w:cs="Verdana"/>
                <w:sz w:val="20"/>
                <w:szCs w:val="20"/>
                <w:lang w:eastAsia="bg-BG"/>
              </w:rPr>
            </w:pPr>
            <w:r w:rsidRPr="000E54EB">
              <w:rPr>
                <w:rFonts w:ascii="Verdana" w:hAnsi="Verdana" w:cs="Verdana"/>
                <w:sz w:val="20"/>
                <w:szCs w:val="20"/>
                <w:lang w:eastAsia="bg-BG"/>
              </w:rPr>
              <w:lastRenderedPageBreak/>
              <w:t>Разходи от обезценка на материални запаси, призната в печалба или загуба</w:t>
            </w:r>
          </w:p>
        </w:tc>
        <w:tc>
          <w:tcPr>
            <w:tcW w:w="1701" w:type="dxa"/>
            <w:tcBorders>
              <w:top w:val="nil"/>
              <w:left w:val="single" w:sz="4" w:space="0" w:color="auto"/>
              <w:bottom w:val="single" w:sz="4" w:space="0" w:color="auto"/>
              <w:right w:val="single" w:sz="4" w:space="0" w:color="auto"/>
            </w:tcBorders>
            <w:noWrap/>
            <w:vAlign w:val="center"/>
          </w:tcPr>
          <w:p w:rsidR="00863C99" w:rsidRPr="000E54EB" w:rsidRDefault="009921A1" w:rsidP="00922BE3">
            <w:pPr>
              <w:jc w:val="center"/>
              <w:rPr>
                <w:rFonts w:ascii="Verdana" w:hAnsi="Verdana" w:cs="Verdana"/>
                <w:sz w:val="20"/>
                <w:szCs w:val="20"/>
                <w:lang w:eastAsia="bg-BG"/>
              </w:rPr>
            </w:pPr>
            <w:r>
              <w:rPr>
                <w:rFonts w:ascii="Verdana" w:hAnsi="Verdana" w:cs="Verdana"/>
                <w:sz w:val="20"/>
                <w:szCs w:val="20"/>
                <w:lang w:eastAsia="bg-BG"/>
              </w:rPr>
              <w:t>-</w:t>
            </w:r>
          </w:p>
        </w:tc>
        <w:tc>
          <w:tcPr>
            <w:tcW w:w="1560" w:type="dxa"/>
            <w:tcBorders>
              <w:top w:val="nil"/>
              <w:left w:val="nil"/>
              <w:bottom w:val="single" w:sz="4" w:space="0" w:color="auto"/>
              <w:right w:val="single" w:sz="4" w:space="0" w:color="auto"/>
            </w:tcBorders>
            <w:noWrap/>
            <w:vAlign w:val="center"/>
          </w:tcPr>
          <w:p w:rsidR="00863C99" w:rsidRPr="000E54EB" w:rsidRDefault="009921A1" w:rsidP="001F704A">
            <w:pPr>
              <w:jc w:val="center"/>
              <w:rPr>
                <w:rFonts w:ascii="Verdana" w:hAnsi="Verdana" w:cs="Verdana"/>
                <w:sz w:val="20"/>
                <w:szCs w:val="20"/>
                <w:lang w:eastAsia="bg-BG"/>
              </w:rPr>
            </w:pPr>
            <w:r>
              <w:rPr>
                <w:rFonts w:ascii="Verdana" w:hAnsi="Verdana" w:cs="Verdana"/>
                <w:sz w:val="20"/>
                <w:szCs w:val="20"/>
                <w:lang w:eastAsia="bg-BG"/>
              </w:rPr>
              <w:t>-</w:t>
            </w:r>
          </w:p>
        </w:tc>
      </w:tr>
      <w:tr w:rsidR="00863C99" w:rsidRPr="000E54EB">
        <w:trPr>
          <w:trHeight w:val="300"/>
        </w:trPr>
        <w:tc>
          <w:tcPr>
            <w:tcW w:w="6242" w:type="dxa"/>
            <w:tcBorders>
              <w:top w:val="nil"/>
              <w:left w:val="single" w:sz="4" w:space="0" w:color="auto"/>
              <w:bottom w:val="single" w:sz="4" w:space="0" w:color="auto"/>
              <w:right w:val="nil"/>
            </w:tcBorders>
            <w:shd w:val="clear" w:color="000000" w:fill="C5D9F1"/>
            <w:noWrap/>
            <w:vAlign w:val="center"/>
          </w:tcPr>
          <w:p w:rsidR="00863C99" w:rsidRPr="000E54EB" w:rsidRDefault="00863C99" w:rsidP="00922BE3">
            <w:pPr>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1701" w:type="dxa"/>
            <w:tcBorders>
              <w:top w:val="nil"/>
              <w:left w:val="single" w:sz="4" w:space="0" w:color="auto"/>
              <w:bottom w:val="single" w:sz="4" w:space="0" w:color="auto"/>
              <w:right w:val="single" w:sz="4" w:space="0" w:color="auto"/>
            </w:tcBorders>
            <w:shd w:val="clear" w:color="000000" w:fill="C5D9F1"/>
            <w:noWrap/>
            <w:vAlign w:val="center"/>
          </w:tcPr>
          <w:p w:rsidR="00863C99" w:rsidRPr="000E54EB" w:rsidRDefault="009921A1" w:rsidP="00922BE3">
            <w:pPr>
              <w:jc w:val="center"/>
              <w:rPr>
                <w:rFonts w:ascii="Verdana" w:hAnsi="Verdana" w:cs="Verdana"/>
                <w:b/>
                <w:bCs/>
                <w:sz w:val="20"/>
                <w:szCs w:val="20"/>
                <w:lang w:eastAsia="bg-BG"/>
              </w:rPr>
            </w:pPr>
            <w:r>
              <w:rPr>
                <w:rFonts w:ascii="Verdana" w:hAnsi="Verdana" w:cs="Verdana"/>
                <w:b/>
                <w:bCs/>
                <w:sz w:val="20"/>
                <w:szCs w:val="20"/>
                <w:lang w:eastAsia="bg-BG"/>
              </w:rPr>
              <w:t>-</w:t>
            </w:r>
          </w:p>
        </w:tc>
        <w:tc>
          <w:tcPr>
            <w:tcW w:w="1560" w:type="dxa"/>
            <w:tcBorders>
              <w:top w:val="nil"/>
              <w:left w:val="nil"/>
              <w:bottom w:val="single" w:sz="4" w:space="0" w:color="auto"/>
              <w:right w:val="single" w:sz="4" w:space="0" w:color="auto"/>
            </w:tcBorders>
            <w:shd w:val="clear" w:color="000000" w:fill="C5D9F1"/>
            <w:noWrap/>
            <w:vAlign w:val="center"/>
          </w:tcPr>
          <w:p w:rsidR="00863C99" w:rsidRPr="000E54EB" w:rsidRDefault="009921A1" w:rsidP="001F704A">
            <w:pPr>
              <w:jc w:val="center"/>
              <w:rPr>
                <w:rFonts w:ascii="Verdana" w:hAnsi="Verdana" w:cs="Verdana"/>
                <w:b/>
                <w:bCs/>
                <w:sz w:val="20"/>
                <w:szCs w:val="20"/>
                <w:lang w:eastAsia="bg-BG"/>
              </w:rPr>
            </w:pPr>
            <w:r>
              <w:rPr>
                <w:rFonts w:ascii="Verdana" w:hAnsi="Verdana" w:cs="Verdana"/>
                <w:b/>
                <w:bCs/>
                <w:sz w:val="20"/>
                <w:szCs w:val="20"/>
                <w:lang w:eastAsia="bg-BG"/>
              </w:rPr>
              <w:t>-</w:t>
            </w:r>
          </w:p>
        </w:tc>
      </w:tr>
    </w:tbl>
    <w:p w:rsidR="00863C99" w:rsidRPr="000E54EB" w:rsidRDefault="00863C99" w:rsidP="00B66DF8">
      <w:pPr>
        <w:pStyle w:val="Heading4"/>
        <w:rPr>
          <w:rFonts w:ascii="Verdana" w:hAnsi="Verdana" w:cs="Verdana"/>
          <w:i w:val="0"/>
          <w:iCs w:val="0"/>
        </w:rPr>
      </w:pPr>
      <w:bookmarkStart w:id="133" w:name="_Toc4328836"/>
      <w:r w:rsidRPr="000E54EB">
        <w:rPr>
          <w:rFonts w:ascii="Verdana" w:hAnsi="Verdana" w:cs="Verdana"/>
          <w:i w:val="0"/>
          <w:iCs w:val="0"/>
          <w:lang w:val="bg-BG"/>
        </w:rPr>
        <w:t>1.2.6. Други разходи</w:t>
      </w:r>
      <w:bookmarkEnd w:id="131"/>
      <w:bookmarkEnd w:id="132"/>
      <w:bookmarkEnd w:id="133"/>
    </w:p>
    <w:tbl>
      <w:tblPr>
        <w:tblW w:w="9503" w:type="dxa"/>
        <w:tblInd w:w="-68" w:type="dxa"/>
        <w:tblCellMar>
          <w:left w:w="70" w:type="dxa"/>
          <w:right w:w="70" w:type="dxa"/>
        </w:tblCellMar>
        <w:tblLook w:val="00A0" w:firstRow="1" w:lastRow="0" w:firstColumn="1" w:lastColumn="0" w:noHBand="0" w:noVBand="0"/>
      </w:tblPr>
      <w:tblGrid>
        <w:gridCol w:w="6242"/>
        <w:gridCol w:w="1560"/>
        <w:gridCol w:w="1701"/>
      </w:tblGrid>
      <w:tr w:rsidR="00863C99" w:rsidRPr="000E54EB">
        <w:trPr>
          <w:trHeight w:val="300"/>
        </w:trPr>
        <w:tc>
          <w:tcPr>
            <w:tcW w:w="6242" w:type="dxa"/>
            <w:tcBorders>
              <w:top w:val="single" w:sz="4" w:space="0" w:color="auto"/>
              <w:left w:val="single" w:sz="4" w:space="0" w:color="auto"/>
              <w:bottom w:val="single" w:sz="4" w:space="0" w:color="auto"/>
              <w:right w:val="nil"/>
            </w:tcBorders>
            <w:noWrap/>
            <w:vAlign w:val="center"/>
          </w:tcPr>
          <w:p w:rsidR="00863C99" w:rsidRPr="000E54EB" w:rsidRDefault="00863C99" w:rsidP="000E4B7B">
            <w:pPr>
              <w:jc w:val="left"/>
              <w:rPr>
                <w:rFonts w:ascii="Verdana" w:hAnsi="Verdana" w:cs="Verdana"/>
                <w:b/>
                <w:bCs/>
                <w:sz w:val="20"/>
                <w:szCs w:val="20"/>
                <w:lang w:eastAsia="bg-BG"/>
              </w:rPr>
            </w:pPr>
            <w:r w:rsidRPr="000E54EB">
              <w:rPr>
                <w:rFonts w:ascii="Verdana" w:hAnsi="Verdana" w:cs="Verdana"/>
                <w:b/>
                <w:bCs/>
                <w:sz w:val="20"/>
                <w:szCs w:val="20"/>
                <w:lang w:eastAsia="bg-BG"/>
              </w:rPr>
              <w:t>Вид разход</w:t>
            </w:r>
          </w:p>
        </w:tc>
        <w:tc>
          <w:tcPr>
            <w:tcW w:w="1560" w:type="dxa"/>
            <w:tcBorders>
              <w:top w:val="single" w:sz="4" w:space="0" w:color="auto"/>
              <w:left w:val="single" w:sz="4" w:space="0" w:color="auto"/>
              <w:bottom w:val="single" w:sz="4" w:space="0" w:color="auto"/>
              <w:right w:val="single" w:sz="4" w:space="0" w:color="auto"/>
            </w:tcBorders>
            <w:noWrap/>
            <w:vAlign w:val="center"/>
          </w:tcPr>
          <w:p w:rsidR="00863C99" w:rsidRPr="000E54EB" w:rsidRDefault="009921A1" w:rsidP="00E64E62">
            <w:pPr>
              <w:jc w:val="center"/>
              <w:rPr>
                <w:rFonts w:ascii="Verdana" w:hAnsi="Verdana" w:cs="Verdana"/>
                <w:b/>
                <w:bCs/>
                <w:sz w:val="20"/>
                <w:szCs w:val="20"/>
                <w:lang w:eastAsia="bg-BG"/>
              </w:rPr>
            </w:pPr>
            <w:r>
              <w:rPr>
                <w:rFonts w:ascii="Verdana" w:hAnsi="Verdana" w:cs="Verdana"/>
                <w:b/>
                <w:bCs/>
                <w:sz w:val="20"/>
                <w:szCs w:val="20"/>
                <w:lang w:eastAsia="bg-BG"/>
              </w:rPr>
              <w:t>2020</w:t>
            </w:r>
            <w:r w:rsidR="00863C99" w:rsidRPr="000E54EB">
              <w:rPr>
                <w:rFonts w:ascii="Verdana" w:hAnsi="Verdana" w:cs="Verdana"/>
                <w:b/>
                <w:bCs/>
                <w:sz w:val="20"/>
                <w:szCs w:val="20"/>
                <w:lang w:eastAsia="bg-BG"/>
              </w:rPr>
              <w:t xml:space="preserve"> г.</w:t>
            </w:r>
          </w:p>
        </w:tc>
        <w:tc>
          <w:tcPr>
            <w:tcW w:w="1701" w:type="dxa"/>
            <w:tcBorders>
              <w:top w:val="single" w:sz="4" w:space="0" w:color="auto"/>
              <w:left w:val="nil"/>
              <w:bottom w:val="single" w:sz="4" w:space="0" w:color="auto"/>
              <w:right w:val="single" w:sz="4" w:space="0" w:color="auto"/>
            </w:tcBorders>
            <w:noWrap/>
            <w:vAlign w:val="center"/>
          </w:tcPr>
          <w:p w:rsidR="00863C99" w:rsidRPr="000E54EB" w:rsidRDefault="00863C99" w:rsidP="00E64E62">
            <w:pPr>
              <w:jc w:val="center"/>
              <w:rPr>
                <w:rFonts w:ascii="Verdana" w:hAnsi="Verdana" w:cs="Verdana"/>
                <w:b/>
                <w:bCs/>
                <w:sz w:val="20"/>
                <w:szCs w:val="20"/>
                <w:lang w:eastAsia="bg-BG"/>
              </w:rPr>
            </w:pPr>
            <w:r w:rsidRPr="000E54EB">
              <w:rPr>
                <w:rFonts w:ascii="Verdana" w:hAnsi="Verdana" w:cs="Verdana"/>
                <w:b/>
                <w:bCs/>
                <w:sz w:val="20"/>
                <w:szCs w:val="20"/>
                <w:lang w:eastAsia="bg-BG"/>
              </w:rPr>
              <w:t>201</w:t>
            </w:r>
            <w:r w:rsidR="009921A1">
              <w:rPr>
                <w:rFonts w:ascii="Verdana" w:hAnsi="Verdana" w:cs="Verdana"/>
                <w:b/>
                <w:bCs/>
                <w:sz w:val="20"/>
                <w:szCs w:val="20"/>
                <w:lang w:eastAsia="bg-BG"/>
              </w:rPr>
              <w:t>9</w:t>
            </w:r>
            <w:r w:rsidRPr="000E54EB">
              <w:rPr>
                <w:rFonts w:ascii="Verdana" w:hAnsi="Verdana" w:cs="Verdana"/>
                <w:b/>
                <w:bCs/>
                <w:sz w:val="20"/>
                <w:szCs w:val="20"/>
                <w:lang w:eastAsia="bg-BG"/>
              </w:rPr>
              <w:t xml:space="preserve"> г.</w:t>
            </w:r>
          </w:p>
        </w:tc>
      </w:tr>
      <w:tr w:rsidR="009921A1" w:rsidRPr="000E54EB" w:rsidTr="00B617CE">
        <w:trPr>
          <w:trHeight w:val="300"/>
        </w:trPr>
        <w:tc>
          <w:tcPr>
            <w:tcW w:w="6242" w:type="dxa"/>
            <w:tcBorders>
              <w:top w:val="nil"/>
              <w:left w:val="single" w:sz="4" w:space="0" w:color="000000"/>
              <w:bottom w:val="single" w:sz="4" w:space="0" w:color="000000"/>
              <w:right w:val="single" w:sz="4" w:space="0" w:color="000000"/>
            </w:tcBorders>
            <w:noWrap/>
            <w:vAlign w:val="center"/>
          </w:tcPr>
          <w:p w:rsidR="009921A1" w:rsidRPr="000E54EB" w:rsidRDefault="009921A1" w:rsidP="000E4B7B">
            <w:pPr>
              <w:jc w:val="left"/>
              <w:rPr>
                <w:rFonts w:ascii="Verdana" w:hAnsi="Verdana" w:cs="Verdana"/>
                <w:sz w:val="20"/>
                <w:szCs w:val="20"/>
                <w:lang w:eastAsia="bg-BG"/>
              </w:rPr>
            </w:pPr>
            <w:r w:rsidRPr="000E54EB">
              <w:rPr>
                <w:rFonts w:ascii="Verdana" w:hAnsi="Verdana" w:cs="Verdana"/>
                <w:sz w:val="20"/>
                <w:szCs w:val="20"/>
                <w:lang w:eastAsia="bg-BG"/>
              </w:rPr>
              <w:t>Разходи за командиравки</w:t>
            </w:r>
          </w:p>
        </w:tc>
        <w:tc>
          <w:tcPr>
            <w:tcW w:w="1560" w:type="dxa"/>
            <w:tcBorders>
              <w:top w:val="nil"/>
              <w:left w:val="nil"/>
              <w:bottom w:val="single" w:sz="4" w:space="0" w:color="auto"/>
              <w:right w:val="single" w:sz="4" w:space="0" w:color="auto"/>
            </w:tcBorders>
            <w:noWrap/>
            <w:vAlign w:val="center"/>
          </w:tcPr>
          <w:p w:rsidR="009921A1" w:rsidRPr="000E54EB" w:rsidRDefault="00CF5EFB" w:rsidP="000E4B7B">
            <w:pPr>
              <w:jc w:val="center"/>
              <w:rPr>
                <w:rFonts w:ascii="Verdana" w:hAnsi="Verdana" w:cs="Verdana"/>
                <w:sz w:val="20"/>
                <w:szCs w:val="20"/>
                <w:lang w:eastAsia="bg-BG"/>
              </w:rPr>
            </w:pPr>
            <w:r>
              <w:rPr>
                <w:rFonts w:ascii="Verdana" w:hAnsi="Verdana" w:cs="Verdana"/>
                <w:sz w:val="20"/>
                <w:szCs w:val="20"/>
                <w:lang w:eastAsia="bg-BG"/>
              </w:rPr>
              <w:t>1</w:t>
            </w:r>
          </w:p>
        </w:tc>
        <w:tc>
          <w:tcPr>
            <w:tcW w:w="1701" w:type="dxa"/>
            <w:tcBorders>
              <w:top w:val="nil"/>
              <w:left w:val="nil"/>
              <w:bottom w:val="single" w:sz="4" w:space="0" w:color="auto"/>
              <w:right w:val="single" w:sz="4" w:space="0" w:color="auto"/>
            </w:tcBorders>
            <w:noWrap/>
            <w:vAlign w:val="bottom"/>
          </w:tcPr>
          <w:p w:rsidR="009921A1" w:rsidRPr="00F25FCA" w:rsidRDefault="009921A1" w:rsidP="00B617CE">
            <w:pPr>
              <w:jc w:val="center"/>
              <w:rPr>
                <w:rFonts w:ascii="Verdana" w:hAnsi="Verdana" w:cs="Arial"/>
                <w:color w:val="000000"/>
                <w:sz w:val="20"/>
                <w:lang w:eastAsia="bg-BG"/>
              </w:rPr>
            </w:pPr>
            <w:r w:rsidRPr="00F25FCA">
              <w:rPr>
                <w:rFonts w:ascii="Verdana" w:hAnsi="Verdana" w:cs="Arial"/>
                <w:color w:val="000000"/>
                <w:sz w:val="20"/>
                <w:lang w:eastAsia="bg-BG"/>
              </w:rPr>
              <w:t>2</w:t>
            </w:r>
          </w:p>
        </w:tc>
      </w:tr>
      <w:tr w:rsidR="009921A1" w:rsidRPr="000E54EB" w:rsidTr="00B617CE">
        <w:trPr>
          <w:trHeight w:val="300"/>
        </w:trPr>
        <w:tc>
          <w:tcPr>
            <w:tcW w:w="6242" w:type="dxa"/>
            <w:tcBorders>
              <w:top w:val="nil"/>
              <w:left w:val="single" w:sz="4" w:space="0" w:color="000000"/>
              <w:bottom w:val="single" w:sz="4" w:space="0" w:color="000000"/>
              <w:right w:val="single" w:sz="4" w:space="0" w:color="000000"/>
            </w:tcBorders>
            <w:noWrap/>
            <w:vAlign w:val="center"/>
          </w:tcPr>
          <w:p w:rsidR="009921A1" w:rsidRPr="000E54EB" w:rsidRDefault="009921A1" w:rsidP="000E4B7B">
            <w:pPr>
              <w:jc w:val="left"/>
              <w:rPr>
                <w:rFonts w:ascii="Verdana" w:hAnsi="Verdana" w:cs="Verdana"/>
                <w:sz w:val="20"/>
                <w:szCs w:val="20"/>
                <w:lang w:eastAsia="bg-BG"/>
              </w:rPr>
            </w:pPr>
            <w:r w:rsidRPr="000E54EB">
              <w:rPr>
                <w:rFonts w:ascii="Verdana" w:hAnsi="Verdana" w:cs="Verdana"/>
                <w:sz w:val="20"/>
                <w:szCs w:val="20"/>
                <w:lang w:eastAsia="bg-BG"/>
              </w:rPr>
              <w:t>Разходи по социална програма</w:t>
            </w:r>
          </w:p>
        </w:tc>
        <w:tc>
          <w:tcPr>
            <w:tcW w:w="1560" w:type="dxa"/>
            <w:tcBorders>
              <w:top w:val="nil"/>
              <w:left w:val="nil"/>
              <w:bottom w:val="single" w:sz="4" w:space="0" w:color="auto"/>
              <w:right w:val="single" w:sz="4" w:space="0" w:color="auto"/>
            </w:tcBorders>
            <w:noWrap/>
            <w:vAlign w:val="center"/>
          </w:tcPr>
          <w:p w:rsidR="009921A1" w:rsidRPr="00DB29A0" w:rsidRDefault="00CF5EFB" w:rsidP="000E4B7B">
            <w:pPr>
              <w:jc w:val="center"/>
              <w:rPr>
                <w:rFonts w:ascii="Verdana" w:hAnsi="Verdana" w:cs="Verdana"/>
                <w:sz w:val="20"/>
                <w:szCs w:val="20"/>
                <w:lang w:eastAsia="bg-BG"/>
              </w:rPr>
            </w:pPr>
            <w:r>
              <w:rPr>
                <w:rFonts w:ascii="Verdana" w:hAnsi="Verdana" w:cs="Verdana"/>
                <w:sz w:val="20"/>
                <w:szCs w:val="20"/>
                <w:lang w:eastAsia="bg-BG"/>
              </w:rPr>
              <w:t>21</w:t>
            </w:r>
          </w:p>
        </w:tc>
        <w:tc>
          <w:tcPr>
            <w:tcW w:w="1701" w:type="dxa"/>
            <w:tcBorders>
              <w:top w:val="nil"/>
              <w:left w:val="nil"/>
              <w:bottom w:val="single" w:sz="4" w:space="0" w:color="auto"/>
              <w:right w:val="single" w:sz="4" w:space="0" w:color="auto"/>
            </w:tcBorders>
            <w:noWrap/>
            <w:vAlign w:val="bottom"/>
          </w:tcPr>
          <w:p w:rsidR="009921A1" w:rsidRPr="00F25FCA" w:rsidRDefault="009921A1" w:rsidP="00B617CE">
            <w:pPr>
              <w:jc w:val="center"/>
              <w:rPr>
                <w:rFonts w:ascii="Verdana" w:hAnsi="Verdana" w:cs="Arial"/>
                <w:color w:val="000000"/>
                <w:sz w:val="20"/>
                <w:lang w:eastAsia="bg-BG"/>
              </w:rPr>
            </w:pPr>
            <w:r w:rsidRPr="00F25FCA">
              <w:rPr>
                <w:rFonts w:ascii="Verdana" w:hAnsi="Verdana" w:cs="Arial"/>
                <w:color w:val="000000"/>
                <w:sz w:val="20"/>
                <w:lang w:eastAsia="bg-BG"/>
              </w:rPr>
              <w:t>21</w:t>
            </w:r>
          </w:p>
        </w:tc>
      </w:tr>
      <w:tr w:rsidR="009921A1" w:rsidRPr="000E54EB" w:rsidTr="00B617CE">
        <w:trPr>
          <w:trHeight w:val="300"/>
        </w:trPr>
        <w:tc>
          <w:tcPr>
            <w:tcW w:w="6242" w:type="dxa"/>
            <w:tcBorders>
              <w:top w:val="nil"/>
              <w:left w:val="single" w:sz="4" w:space="0" w:color="000000"/>
              <w:bottom w:val="single" w:sz="4" w:space="0" w:color="000000"/>
              <w:right w:val="single" w:sz="4" w:space="0" w:color="000000"/>
            </w:tcBorders>
            <w:noWrap/>
            <w:vAlign w:val="center"/>
          </w:tcPr>
          <w:p w:rsidR="009921A1" w:rsidRPr="000E54EB" w:rsidRDefault="009921A1" w:rsidP="000E4B7B">
            <w:pPr>
              <w:jc w:val="left"/>
              <w:rPr>
                <w:rFonts w:ascii="Verdana" w:hAnsi="Verdana" w:cs="Verdana"/>
                <w:sz w:val="20"/>
                <w:szCs w:val="20"/>
                <w:lang w:eastAsia="bg-BG"/>
              </w:rPr>
            </w:pPr>
            <w:r w:rsidRPr="000E54EB">
              <w:rPr>
                <w:rFonts w:ascii="Verdana" w:hAnsi="Verdana" w:cs="Verdana"/>
                <w:sz w:val="20"/>
                <w:szCs w:val="20"/>
                <w:lang w:eastAsia="bg-BG"/>
              </w:rPr>
              <w:t>Разходи за преобразуване в данъчната декларация</w:t>
            </w:r>
          </w:p>
        </w:tc>
        <w:tc>
          <w:tcPr>
            <w:tcW w:w="1560" w:type="dxa"/>
            <w:tcBorders>
              <w:top w:val="nil"/>
              <w:left w:val="nil"/>
              <w:bottom w:val="single" w:sz="4" w:space="0" w:color="auto"/>
              <w:right w:val="single" w:sz="4" w:space="0" w:color="auto"/>
            </w:tcBorders>
            <w:noWrap/>
            <w:vAlign w:val="center"/>
          </w:tcPr>
          <w:p w:rsidR="009921A1" w:rsidRPr="000E54EB" w:rsidRDefault="009921A1" w:rsidP="000E4B7B">
            <w:pPr>
              <w:jc w:val="center"/>
              <w:rPr>
                <w:rFonts w:ascii="Verdana" w:hAnsi="Verdana" w:cs="Verdana"/>
                <w:sz w:val="20"/>
                <w:szCs w:val="20"/>
                <w:lang w:eastAsia="bg-BG"/>
              </w:rPr>
            </w:pPr>
          </w:p>
        </w:tc>
        <w:tc>
          <w:tcPr>
            <w:tcW w:w="1701" w:type="dxa"/>
            <w:tcBorders>
              <w:top w:val="nil"/>
              <w:left w:val="nil"/>
              <w:bottom w:val="single" w:sz="4" w:space="0" w:color="auto"/>
              <w:right w:val="single" w:sz="4" w:space="0" w:color="auto"/>
            </w:tcBorders>
            <w:noWrap/>
            <w:vAlign w:val="bottom"/>
          </w:tcPr>
          <w:p w:rsidR="009921A1" w:rsidRPr="00F25FCA" w:rsidRDefault="009921A1" w:rsidP="00B617CE">
            <w:pPr>
              <w:jc w:val="center"/>
              <w:rPr>
                <w:rFonts w:ascii="Verdana" w:hAnsi="Verdana" w:cs="Arial"/>
                <w:color w:val="000000"/>
                <w:sz w:val="20"/>
                <w:lang w:eastAsia="bg-BG"/>
              </w:rPr>
            </w:pPr>
            <w:r w:rsidRPr="00F25FCA">
              <w:rPr>
                <w:rFonts w:ascii="Verdana" w:hAnsi="Verdana" w:cs="Arial"/>
                <w:color w:val="000000"/>
                <w:sz w:val="20"/>
                <w:lang w:eastAsia="bg-BG"/>
              </w:rPr>
              <w:t>53</w:t>
            </w:r>
          </w:p>
        </w:tc>
      </w:tr>
      <w:tr w:rsidR="009921A1" w:rsidRPr="000E54EB" w:rsidTr="00B617CE">
        <w:trPr>
          <w:trHeight w:val="300"/>
        </w:trPr>
        <w:tc>
          <w:tcPr>
            <w:tcW w:w="6242" w:type="dxa"/>
            <w:tcBorders>
              <w:top w:val="nil"/>
              <w:left w:val="single" w:sz="4" w:space="0" w:color="000000"/>
              <w:bottom w:val="single" w:sz="4" w:space="0" w:color="000000"/>
              <w:right w:val="single" w:sz="4" w:space="0" w:color="000000"/>
            </w:tcBorders>
            <w:noWrap/>
            <w:vAlign w:val="center"/>
          </w:tcPr>
          <w:p w:rsidR="009921A1" w:rsidRPr="000E54EB" w:rsidRDefault="009921A1" w:rsidP="000E4B7B">
            <w:pPr>
              <w:jc w:val="left"/>
              <w:rPr>
                <w:rFonts w:ascii="Verdana" w:hAnsi="Verdana" w:cs="Verdana"/>
                <w:sz w:val="20"/>
                <w:szCs w:val="20"/>
                <w:lang w:eastAsia="bg-BG"/>
              </w:rPr>
            </w:pPr>
            <w:r w:rsidRPr="000E54EB">
              <w:rPr>
                <w:rFonts w:ascii="Verdana" w:hAnsi="Verdana" w:cs="Verdana"/>
                <w:sz w:val="20"/>
                <w:szCs w:val="20"/>
                <w:lang w:eastAsia="bg-BG"/>
              </w:rPr>
              <w:t>Отписани вземания</w:t>
            </w:r>
          </w:p>
        </w:tc>
        <w:tc>
          <w:tcPr>
            <w:tcW w:w="1560" w:type="dxa"/>
            <w:tcBorders>
              <w:top w:val="nil"/>
              <w:left w:val="nil"/>
              <w:bottom w:val="single" w:sz="4" w:space="0" w:color="auto"/>
              <w:right w:val="single" w:sz="4" w:space="0" w:color="auto"/>
            </w:tcBorders>
            <w:noWrap/>
            <w:vAlign w:val="center"/>
          </w:tcPr>
          <w:p w:rsidR="009921A1" w:rsidRPr="000E54EB" w:rsidRDefault="00CF5EFB" w:rsidP="000E4B7B">
            <w:pPr>
              <w:jc w:val="center"/>
              <w:rPr>
                <w:rFonts w:ascii="Verdana" w:hAnsi="Verdana" w:cs="Verdana"/>
                <w:sz w:val="20"/>
                <w:szCs w:val="20"/>
                <w:lang w:eastAsia="bg-BG"/>
              </w:rPr>
            </w:pPr>
            <w:r>
              <w:rPr>
                <w:rFonts w:ascii="Verdana" w:hAnsi="Verdana" w:cs="Verdana"/>
                <w:sz w:val="20"/>
                <w:szCs w:val="20"/>
                <w:lang w:eastAsia="bg-BG"/>
              </w:rPr>
              <w:t>3</w:t>
            </w:r>
          </w:p>
        </w:tc>
        <w:tc>
          <w:tcPr>
            <w:tcW w:w="1701" w:type="dxa"/>
            <w:tcBorders>
              <w:top w:val="nil"/>
              <w:left w:val="nil"/>
              <w:bottom w:val="single" w:sz="4" w:space="0" w:color="auto"/>
              <w:right w:val="single" w:sz="4" w:space="0" w:color="auto"/>
            </w:tcBorders>
            <w:noWrap/>
            <w:vAlign w:val="bottom"/>
          </w:tcPr>
          <w:p w:rsidR="009921A1" w:rsidRPr="00F25FCA" w:rsidRDefault="009921A1" w:rsidP="00B617CE">
            <w:pPr>
              <w:jc w:val="center"/>
              <w:rPr>
                <w:rFonts w:ascii="Verdana" w:hAnsi="Verdana" w:cs="Arial"/>
                <w:color w:val="000000"/>
                <w:sz w:val="20"/>
                <w:lang w:eastAsia="bg-BG"/>
              </w:rPr>
            </w:pPr>
            <w:r w:rsidRPr="00F25FCA">
              <w:rPr>
                <w:rFonts w:ascii="Verdana" w:hAnsi="Verdana" w:cs="Arial"/>
                <w:color w:val="000000"/>
                <w:sz w:val="20"/>
                <w:lang w:eastAsia="bg-BG"/>
              </w:rPr>
              <w:t>1</w:t>
            </w:r>
          </w:p>
        </w:tc>
      </w:tr>
      <w:tr w:rsidR="009921A1" w:rsidRPr="000E54EB" w:rsidTr="00B617CE">
        <w:trPr>
          <w:trHeight w:val="300"/>
        </w:trPr>
        <w:tc>
          <w:tcPr>
            <w:tcW w:w="6242" w:type="dxa"/>
            <w:tcBorders>
              <w:top w:val="nil"/>
              <w:left w:val="single" w:sz="4" w:space="0" w:color="000000"/>
              <w:bottom w:val="single" w:sz="4" w:space="0" w:color="000000"/>
              <w:right w:val="single" w:sz="4" w:space="0" w:color="000000"/>
            </w:tcBorders>
            <w:noWrap/>
            <w:vAlign w:val="center"/>
          </w:tcPr>
          <w:p w:rsidR="009921A1" w:rsidRPr="000E54EB" w:rsidRDefault="009921A1" w:rsidP="000E4B7B">
            <w:pPr>
              <w:jc w:val="left"/>
              <w:rPr>
                <w:rFonts w:ascii="Verdana" w:hAnsi="Verdana" w:cs="Verdana"/>
                <w:sz w:val="20"/>
                <w:szCs w:val="20"/>
                <w:lang w:eastAsia="bg-BG"/>
              </w:rPr>
            </w:pPr>
            <w:r w:rsidRPr="000E54EB">
              <w:rPr>
                <w:rFonts w:ascii="Verdana" w:hAnsi="Verdana" w:cs="Verdana"/>
                <w:sz w:val="20"/>
                <w:szCs w:val="20"/>
                <w:lang w:eastAsia="bg-BG"/>
              </w:rPr>
              <w:t>Неустойки по договори</w:t>
            </w:r>
          </w:p>
        </w:tc>
        <w:tc>
          <w:tcPr>
            <w:tcW w:w="1560" w:type="dxa"/>
            <w:tcBorders>
              <w:top w:val="nil"/>
              <w:left w:val="nil"/>
              <w:bottom w:val="single" w:sz="4" w:space="0" w:color="auto"/>
              <w:right w:val="single" w:sz="4" w:space="0" w:color="auto"/>
            </w:tcBorders>
            <w:noWrap/>
            <w:vAlign w:val="center"/>
          </w:tcPr>
          <w:p w:rsidR="009921A1" w:rsidRPr="000E54EB" w:rsidRDefault="00CF5EFB" w:rsidP="000E4B7B">
            <w:pPr>
              <w:jc w:val="center"/>
              <w:rPr>
                <w:rFonts w:ascii="Verdana" w:hAnsi="Verdana" w:cs="Verdana"/>
                <w:sz w:val="20"/>
                <w:szCs w:val="20"/>
                <w:lang w:eastAsia="bg-BG"/>
              </w:rPr>
            </w:pPr>
            <w:r>
              <w:rPr>
                <w:rFonts w:ascii="Verdana" w:hAnsi="Verdana" w:cs="Verdana"/>
                <w:sz w:val="20"/>
                <w:szCs w:val="20"/>
                <w:lang w:eastAsia="bg-BG"/>
              </w:rPr>
              <w:t>49</w:t>
            </w:r>
          </w:p>
        </w:tc>
        <w:tc>
          <w:tcPr>
            <w:tcW w:w="1701" w:type="dxa"/>
            <w:tcBorders>
              <w:top w:val="nil"/>
              <w:left w:val="nil"/>
              <w:bottom w:val="single" w:sz="4" w:space="0" w:color="auto"/>
              <w:right w:val="single" w:sz="4" w:space="0" w:color="auto"/>
            </w:tcBorders>
            <w:noWrap/>
            <w:vAlign w:val="bottom"/>
          </w:tcPr>
          <w:p w:rsidR="009921A1" w:rsidRPr="00F25FCA" w:rsidRDefault="009921A1" w:rsidP="00B617CE">
            <w:pPr>
              <w:jc w:val="center"/>
              <w:rPr>
                <w:rFonts w:ascii="Verdana" w:hAnsi="Verdana" w:cs="Arial"/>
                <w:color w:val="000000"/>
                <w:sz w:val="20"/>
                <w:lang w:eastAsia="bg-BG"/>
              </w:rPr>
            </w:pPr>
            <w:r w:rsidRPr="00F25FCA">
              <w:rPr>
                <w:rFonts w:ascii="Verdana" w:hAnsi="Verdana" w:cs="Arial"/>
                <w:color w:val="000000"/>
                <w:sz w:val="20"/>
                <w:lang w:eastAsia="bg-BG"/>
              </w:rPr>
              <w:t>124</w:t>
            </w:r>
          </w:p>
        </w:tc>
      </w:tr>
      <w:tr w:rsidR="009921A1" w:rsidRPr="000E54EB" w:rsidTr="00B617CE">
        <w:trPr>
          <w:trHeight w:val="300"/>
        </w:trPr>
        <w:tc>
          <w:tcPr>
            <w:tcW w:w="6242" w:type="dxa"/>
            <w:tcBorders>
              <w:top w:val="nil"/>
              <w:left w:val="single" w:sz="4" w:space="0" w:color="000000"/>
              <w:bottom w:val="single" w:sz="4" w:space="0" w:color="000000"/>
              <w:right w:val="single" w:sz="4" w:space="0" w:color="000000"/>
            </w:tcBorders>
            <w:noWrap/>
            <w:vAlign w:val="center"/>
          </w:tcPr>
          <w:p w:rsidR="009921A1" w:rsidRPr="000E54EB" w:rsidRDefault="009921A1" w:rsidP="000E4B7B">
            <w:pPr>
              <w:jc w:val="left"/>
              <w:rPr>
                <w:rFonts w:ascii="Verdana" w:hAnsi="Verdana" w:cs="Verdana"/>
                <w:sz w:val="20"/>
                <w:szCs w:val="20"/>
                <w:lang w:eastAsia="bg-BG"/>
              </w:rPr>
            </w:pPr>
            <w:r w:rsidRPr="000E54EB">
              <w:rPr>
                <w:rFonts w:ascii="Verdana" w:hAnsi="Verdana" w:cs="Verdana"/>
                <w:sz w:val="20"/>
                <w:szCs w:val="20"/>
                <w:lang w:eastAsia="bg-BG"/>
              </w:rPr>
              <w:t>Разходи данъци върху разходите</w:t>
            </w:r>
          </w:p>
        </w:tc>
        <w:tc>
          <w:tcPr>
            <w:tcW w:w="1560" w:type="dxa"/>
            <w:tcBorders>
              <w:top w:val="nil"/>
              <w:left w:val="nil"/>
              <w:bottom w:val="single" w:sz="4" w:space="0" w:color="auto"/>
              <w:right w:val="single" w:sz="4" w:space="0" w:color="auto"/>
            </w:tcBorders>
            <w:noWrap/>
            <w:vAlign w:val="center"/>
          </w:tcPr>
          <w:p w:rsidR="009921A1" w:rsidRPr="000E54EB" w:rsidRDefault="00CF5EFB" w:rsidP="000E4B7B">
            <w:pPr>
              <w:jc w:val="center"/>
              <w:rPr>
                <w:rFonts w:ascii="Verdana" w:hAnsi="Verdana" w:cs="Verdana"/>
                <w:sz w:val="20"/>
                <w:szCs w:val="20"/>
                <w:lang w:eastAsia="bg-BG"/>
              </w:rPr>
            </w:pPr>
            <w:r>
              <w:rPr>
                <w:rFonts w:ascii="Verdana" w:hAnsi="Verdana" w:cs="Verdana"/>
                <w:sz w:val="20"/>
                <w:szCs w:val="20"/>
                <w:lang w:eastAsia="bg-BG"/>
              </w:rPr>
              <w:t>1</w:t>
            </w:r>
          </w:p>
        </w:tc>
        <w:tc>
          <w:tcPr>
            <w:tcW w:w="1701" w:type="dxa"/>
            <w:tcBorders>
              <w:top w:val="nil"/>
              <w:left w:val="nil"/>
              <w:bottom w:val="single" w:sz="4" w:space="0" w:color="auto"/>
              <w:right w:val="single" w:sz="4" w:space="0" w:color="auto"/>
            </w:tcBorders>
            <w:noWrap/>
            <w:vAlign w:val="bottom"/>
          </w:tcPr>
          <w:p w:rsidR="009921A1" w:rsidRPr="00F25FCA" w:rsidRDefault="009921A1" w:rsidP="00B617CE">
            <w:pPr>
              <w:jc w:val="center"/>
              <w:rPr>
                <w:rFonts w:ascii="Verdana" w:hAnsi="Verdana" w:cs="Arial"/>
                <w:color w:val="000000"/>
                <w:sz w:val="20"/>
                <w:lang w:eastAsia="bg-BG"/>
              </w:rPr>
            </w:pPr>
            <w:r w:rsidRPr="00F25FCA">
              <w:rPr>
                <w:rFonts w:ascii="Verdana" w:hAnsi="Verdana" w:cs="Arial"/>
                <w:color w:val="000000"/>
                <w:sz w:val="20"/>
                <w:lang w:eastAsia="bg-BG"/>
              </w:rPr>
              <w:t>1</w:t>
            </w:r>
          </w:p>
        </w:tc>
      </w:tr>
      <w:tr w:rsidR="009921A1" w:rsidRPr="000E54EB" w:rsidTr="00B617CE">
        <w:trPr>
          <w:trHeight w:val="300"/>
        </w:trPr>
        <w:tc>
          <w:tcPr>
            <w:tcW w:w="6242" w:type="dxa"/>
            <w:tcBorders>
              <w:top w:val="nil"/>
              <w:left w:val="single" w:sz="4" w:space="0" w:color="000000"/>
              <w:bottom w:val="single" w:sz="4" w:space="0" w:color="000000"/>
              <w:right w:val="single" w:sz="4" w:space="0" w:color="000000"/>
            </w:tcBorders>
            <w:noWrap/>
            <w:vAlign w:val="center"/>
          </w:tcPr>
          <w:p w:rsidR="009921A1" w:rsidRPr="000E54EB" w:rsidRDefault="009921A1" w:rsidP="000E4B7B">
            <w:pPr>
              <w:jc w:val="left"/>
              <w:rPr>
                <w:rFonts w:ascii="Verdana" w:hAnsi="Verdana" w:cs="Verdana"/>
                <w:sz w:val="20"/>
                <w:szCs w:val="20"/>
                <w:lang w:eastAsia="bg-BG"/>
              </w:rPr>
            </w:pPr>
            <w:r w:rsidRPr="000E54EB">
              <w:rPr>
                <w:rFonts w:ascii="Verdana" w:hAnsi="Verdana" w:cs="Verdana"/>
                <w:sz w:val="20"/>
                <w:szCs w:val="20"/>
                <w:lang w:eastAsia="bg-BG"/>
              </w:rPr>
              <w:t>Разходи за МДТ</w:t>
            </w:r>
          </w:p>
        </w:tc>
        <w:tc>
          <w:tcPr>
            <w:tcW w:w="1560" w:type="dxa"/>
            <w:tcBorders>
              <w:top w:val="nil"/>
              <w:left w:val="nil"/>
              <w:bottom w:val="single" w:sz="4" w:space="0" w:color="auto"/>
              <w:right w:val="single" w:sz="4" w:space="0" w:color="auto"/>
            </w:tcBorders>
            <w:noWrap/>
            <w:vAlign w:val="center"/>
          </w:tcPr>
          <w:p w:rsidR="009921A1" w:rsidRPr="000E54EB" w:rsidRDefault="009921A1" w:rsidP="000E4B7B">
            <w:pPr>
              <w:jc w:val="center"/>
              <w:rPr>
                <w:rFonts w:ascii="Verdana" w:hAnsi="Verdana" w:cs="Verdana"/>
                <w:sz w:val="20"/>
                <w:szCs w:val="20"/>
                <w:lang w:eastAsia="bg-BG"/>
              </w:rPr>
            </w:pPr>
          </w:p>
        </w:tc>
        <w:tc>
          <w:tcPr>
            <w:tcW w:w="1701" w:type="dxa"/>
            <w:tcBorders>
              <w:top w:val="nil"/>
              <w:left w:val="nil"/>
              <w:bottom w:val="single" w:sz="4" w:space="0" w:color="auto"/>
              <w:right w:val="single" w:sz="4" w:space="0" w:color="auto"/>
            </w:tcBorders>
            <w:noWrap/>
            <w:vAlign w:val="bottom"/>
          </w:tcPr>
          <w:p w:rsidR="009921A1" w:rsidRPr="00F25FCA" w:rsidRDefault="009921A1" w:rsidP="00B617CE">
            <w:pPr>
              <w:jc w:val="center"/>
              <w:rPr>
                <w:rFonts w:ascii="Verdana" w:hAnsi="Verdana" w:cs="Arial"/>
                <w:color w:val="000000"/>
                <w:sz w:val="20"/>
                <w:lang w:eastAsia="bg-BG"/>
              </w:rPr>
            </w:pPr>
            <w:r w:rsidRPr="00F25FCA">
              <w:rPr>
                <w:rFonts w:ascii="Verdana" w:hAnsi="Verdana" w:cs="Arial"/>
                <w:color w:val="000000"/>
                <w:sz w:val="20"/>
                <w:lang w:eastAsia="bg-BG"/>
              </w:rPr>
              <w:t>17</w:t>
            </w:r>
          </w:p>
        </w:tc>
      </w:tr>
      <w:tr w:rsidR="009921A1" w:rsidRPr="000E54EB" w:rsidTr="00B617CE">
        <w:trPr>
          <w:trHeight w:val="300"/>
        </w:trPr>
        <w:tc>
          <w:tcPr>
            <w:tcW w:w="6242" w:type="dxa"/>
            <w:tcBorders>
              <w:top w:val="nil"/>
              <w:left w:val="single" w:sz="4" w:space="0" w:color="000000"/>
              <w:bottom w:val="single" w:sz="4" w:space="0" w:color="000000"/>
              <w:right w:val="single" w:sz="4" w:space="0" w:color="000000"/>
            </w:tcBorders>
            <w:noWrap/>
            <w:vAlign w:val="center"/>
          </w:tcPr>
          <w:p w:rsidR="009921A1" w:rsidRPr="000E54EB" w:rsidRDefault="009921A1" w:rsidP="000E4B7B">
            <w:pPr>
              <w:jc w:val="left"/>
              <w:rPr>
                <w:rFonts w:ascii="Verdana" w:hAnsi="Verdana" w:cs="Verdana"/>
                <w:sz w:val="20"/>
                <w:szCs w:val="20"/>
                <w:lang w:eastAsia="bg-BG"/>
              </w:rPr>
            </w:pPr>
            <w:r w:rsidRPr="000E54EB">
              <w:rPr>
                <w:rFonts w:ascii="Verdana" w:hAnsi="Verdana" w:cs="Verdana"/>
                <w:sz w:val="20"/>
                <w:szCs w:val="20"/>
                <w:lang w:eastAsia="bg-BG"/>
              </w:rPr>
              <w:t>Разход по Закона за енергетиката, чл.36е, ал.1, т.1</w:t>
            </w:r>
          </w:p>
        </w:tc>
        <w:tc>
          <w:tcPr>
            <w:tcW w:w="1560" w:type="dxa"/>
            <w:tcBorders>
              <w:top w:val="nil"/>
              <w:left w:val="nil"/>
              <w:bottom w:val="single" w:sz="4" w:space="0" w:color="auto"/>
              <w:right w:val="single" w:sz="4" w:space="0" w:color="auto"/>
            </w:tcBorders>
            <w:noWrap/>
            <w:vAlign w:val="center"/>
          </w:tcPr>
          <w:p w:rsidR="009921A1" w:rsidRPr="000E54EB" w:rsidRDefault="00CF5EFB" w:rsidP="000E4B7B">
            <w:pPr>
              <w:jc w:val="center"/>
              <w:rPr>
                <w:rFonts w:ascii="Verdana" w:hAnsi="Verdana" w:cs="Verdana"/>
                <w:sz w:val="20"/>
                <w:szCs w:val="20"/>
                <w:lang w:eastAsia="bg-BG"/>
              </w:rPr>
            </w:pPr>
            <w:r>
              <w:rPr>
                <w:rFonts w:ascii="Verdana" w:hAnsi="Verdana" w:cs="Verdana"/>
                <w:sz w:val="20"/>
                <w:szCs w:val="20"/>
                <w:lang w:eastAsia="bg-BG"/>
              </w:rPr>
              <w:t>96</w:t>
            </w:r>
          </w:p>
        </w:tc>
        <w:tc>
          <w:tcPr>
            <w:tcW w:w="1701" w:type="dxa"/>
            <w:tcBorders>
              <w:top w:val="nil"/>
              <w:left w:val="nil"/>
              <w:bottom w:val="single" w:sz="4" w:space="0" w:color="auto"/>
              <w:right w:val="single" w:sz="4" w:space="0" w:color="auto"/>
            </w:tcBorders>
            <w:noWrap/>
            <w:vAlign w:val="bottom"/>
          </w:tcPr>
          <w:p w:rsidR="009921A1" w:rsidRPr="00F25FCA" w:rsidRDefault="009921A1" w:rsidP="00B617CE">
            <w:pPr>
              <w:jc w:val="center"/>
              <w:rPr>
                <w:rFonts w:ascii="Verdana" w:hAnsi="Verdana" w:cs="Arial"/>
                <w:color w:val="000000"/>
                <w:sz w:val="20"/>
                <w:lang w:eastAsia="bg-BG"/>
              </w:rPr>
            </w:pPr>
            <w:r w:rsidRPr="00F25FCA">
              <w:rPr>
                <w:rFonts w:ascii="Verdana" w:hAnsi="Verdana" w:cs="Arial"/>
                <w:color w:val="000000"/>
                <w:sz w:val="20"/>
                <w:lang w:eastAsia="bg-BG"/>
              </w:rPr>
              <w:t>89</w:t>
            </w:r>
          </w:p>
        </w:tc>
      </w:tr>
      <w:tr w:rsidR="009921A1" w:rsidRPr="000E54EB" w:rsidTr="00B617CE">
        <w:trPr>
          <w:trHeight w:val="300"/>
        </w:trPr>
        <w:tc>
          <w:tcPr>
            <w:tcW w:w="6242" w:type="dxa"/>
            <w:tcBorders>
              <w:top w:val="nil"/>
              <w:left w:val="single" w:sz="4" w:space="0" w:color="000000"/>
              <w:bottom w:val="single" w:sz="4" w:space="0" w:color="000000"/>
              <w:right w:val="single" w:sz="4" w:space="0" w:color="000000"/>
            </w:tcBorders>
            <w:noWrap/>
            <w:vAlign w:val="center"/>
          </w:tcPr>
          <w:p w:rsidR="009921A1" w:rsidRPr="000E54EB" w:rsidRDefault="009921A1" w:rsidP="000E4B7B">
            <w:pPr>
              <w:jc w:val="left"/>
              <w:rPr>
                <w:rFonts w:ascii="Verdana" w:hAnsi="Verdana" w:cs="Verdana"/>
                <w:sz w:val="20"/>
                <w:szCs w:val="20"/>
                <w:lang w:eastAsia="bg-BG"/>
              </w:rPr>
            </w:pPr>
            <w:r w:rsidRPr="000E54EB">
              <w:rPr>
                <w:rFonts w:ascii="Verdana" w:hAnsi="Verdana" w:cs="Verdana"/>
                <w:sz w:val="20"/>
                <w:szCs w:val="20"/>
                <w:lang w:eastAsia="bg-BG"/>
              </w:rPr>
              <w:t>Разходи за лични нужди</w:t>
            </w:r>
          </w:p>
        </w:tc>
        <w:tc>
          <w:tcPr>
            <w:tcW w:w="1560" w:type="dxa"/>
            <w:tcBorders>
              <w:top w:val="nil"/>
              <w:left w:val="nil"/>
              <w:bottom w:val="single" w:sz="4" w:space="0" w:color="auto"/>
              <w:right w:val="single" w:sz="4" w:space="0" w:color="auto"/>
            </w:tcBorders>
            <w:noWrap/>
            <w:vAlign w:val="center"/>
          </w:tcPr>
          <w:p w:rsidR="009921A1" w:rsidRPr="000E54EB" w:rsidRDefault="00CF5EFB" w:rsidP="000E4B7B">
            <w:pPr>
              <w:jc w:val="center"/>
              <w:rPr>
                <w:rFonts w:ascii="Verdana" w:hAnsi="Verdana" w:cs="Verdana"/>
                <w:sz w:val="20"/>
                <w:szCs w:val="20"/>
                <w:lang w:eastAsia="bg-BG"/>
              </w:rPr>
            </w:pPr>
            <w:r>
              <w:rPr>
                <w:rFonts w:ascii="Verdana" w:hAnsi="Verdana" w:cs="Verdana"/>
                <w:sz w:val="20"/>
                <w:szCs w:val="20"/>
                <w:lang w:eastAsia="bg-BG"/>
              </w:rPr>
              <w:t>7</w:t>
            </w:r>
          </w:p>
        </w:tc>
        <w:tc>
          <w:tcPr>
            <w:tcW w:w="1701" w:type="dxa"/>
            <w:tcBorders>
              <w:top w:val="nil"/>
              <w:left w:val="nil"/>
              <w:bottom w:val="single" w:sz="4" w:space="0" w:color="auto"/>
              <w:right w:val="single" w:sz="4" w:space="0" w:color="auto"/>
            </w:tcBorders>
            <w:noWrap/>
            <w:vAlign w:val="bottom"/>
          </w:tcPr>
          <w:p w:rsidR="009921A1" w:rsidRPr="00F25FCA" w:rsidRDefault="009921A1" w:rsidP="00B617CE">
            <w:pPr>
              <w:jc w:val="center"/>
              <w:rPr>
                <w:rFonts w:ascii="Verdana" w:hAnsi="Verdana" w:cs="Arial"/>
                <w:color w:val="000000"/>
                <w:sz w:val="20"/>
                <w:lang w:eastAsia="bg-BG"/>
              </w:rPr>
            </w:pPr>
            <w:r w:rsidRPr="00F25FCA">
              <w:rPr>
                <w:rFonts w:ascii="Verdana" w:hAnsi="Verdana" w:cs="Arial"/>
                <w:color w:val="000000"/>
                <w:sz w:val="20"/>
                <w:lang w:eastAsia="bg-BG"/>
              </w:rPr>
              <w:t>7</w:t>
            </w:r>
          </w:p>
        </w:tc>
      </w:tr>
      <w:tr w:rsidR="009921A1" w:rsidRPr="000E54EB" w:rsidTr="00B617CE">
        <w:trPr>
          <w:trHeight w:val="300"/>
        </w:trPr>
        <w:tc>
          <w:tcPr>
            <w:tcW w:w="6242" w:type="dxa"/>
            <w:tcBorders>
              <w:top w:val="nil"/>
              <w:left w:val="single" w:sz="4" w:space="0" w:color="000000"/>
              <w:bottom w:val="single" w:sz="4" w:space="0" w:color="000000"/>
              <w:right w:val="single" w:sz="4" w:space="0" w:color="000000"/>
            </w:tcBorders>
            <w:noWrap/>
            <w:vAlign w:val="center"/>
          </w:tcPr>
          <w:p w:rsidR="009921A1" w:rsidRPr="000E54EB" w:rsidRDefault="009921A1" w:rsidP="00742C47">
            <w:pPr>
              <w:jc w:val="left"/>
              <w:rPr>
                <w:rFonts w:ascii="Verdana" w:hAnsi="Verdana" w:cs="Verdana"/>
                <w:sz w:val="20"/>
                <w:szCs w:val="20"/>
                <w:lang w:eastAsia="bg-BG"/>
              </w:rPr>
            </w:pPr>
            <w:r w:rsidRPr="000E54EB">
              <w:rPr>
                <w:rFonts w:ascii="Verdana" w:hAnsi="Verdana" w:cs="Verdana"/>
                <w:sz w:val="20"/>
                <w:szCs w:val="20"/>
                <w:lang w:eastAsia="bg-BG"/>
              </w:rPr>
              <w:t>Акцизна ставка, потребление на електрическа енергия</w:t>
            </w:r>
          </w:p>
        </w:tc>
        <w:tc>
          <w:tcPr>
            <w:tcW w:w="1560" w:type="dxa"/>
            <w:tcBorders>
              <w:top w:val="nil"/>
              <w:left w:val="nil"/>
              <w:bottom w:val="single" w:sz="4" w:space="0" w:color="auto"/>
              <w:right w:val="single" w:sz="4" w:space="0" w:color="auto"/>
            </w:tcBorders>
            <w:noWrap/>
            <w:vAlign w:val="center"/>
          </w:tcPr>
          <w:p w:rsidR="009921A1" w:rsidRPr="000E54EB" w:rsidRDefault="00CF5EFB" w:rsidP="000E4B7B">
            <w:pPr>
              <w:jc w:val="center"/>
              <w:rPr>
                <w:rFonts w:ascii="Verdana" w:hAnsi="Verdana" w:cs="Verdana"/>
                <w:sz w:val="20"/>
                <w:szCs w:val="20"/>
                <w:lang w:eastAsia="bg-BG"/>
              </w:rPr>
            </w:pPr>
            <w:r>
              <w:rPr>
                <w:rFonts w:ascii="Verdana" w:hAnsi="Verdana" w:cs="Verdana"/>
                <w:sz w:val="20"/>
                <w:szCs w:val="20"/>
                <w:lang w:eastAsia="bg-BG"/>
              </w:rPr>
              <w:t>1</w:t>
            </w:r>
          </w:p>
        </w:tc>
        <w:tc>
          <w:tcPr>
            <w:tcW w:w="1701" w:type="dxa"/>
            <w:tcBorders>
              <w:top w:val="nil"/>
              <w:left w:val="nil"/>
              <w:bottom w:val="single" w:sz="4" w:space="0" w:color="auto"/>
              <w:right w:val="single" w:sz="4" w:space="0" w:color="auto"/>
            </w:tcBorders>
            <w:noWrap/>
            <w:vAlign w:val="bottom"/>
          </w:tcPr>
          <w:p w:rsidR="009921A1" w:rsidRPr="00F25FCA" w:rsidRDefault="009921A1" w:rsidP="00B617CE">
            <w:pPr>
              <w:jc w:val="center"/>
              <w:rPr>
                <w:rFonts w:ascii="Verdana" w:hAnsi="Verdana" w:cs="Arial"/>
                <w:color w:val="000000"/>
                <w:sz w:val="20"/>
                <w:lang w:eastAsia="bg-BG"/>
              </w:rPr>
            </w:pPr>
            <w:r w:rsidRPr="00F25FCA">
              <w:rPr>
                <w:rFonts w:ascii="Verdana" w:hAnsi="Verdana" w:cs="Arial"/>
                <w:color w:val="000000"/>
                <w:sz w:val="20"/>
                <w:lang w:eastAsia="bg-BG"/>
              </w:rPr>
              <w:t>1</w:t>
            </w:r>
          </w:p>
        </w:tc>
      </w:tr>
      <w:tr w:rsidR="009921A1" w:rsidRPr="000E54EB" w:rsidTr="00B617CE">
        <w:trPr>
          <w:trHeight w:val="300"/>
        </w:trPr>
        <w:tc>
          <w:tcPr>
            <w:tcW w:w="6242" w:type="dxa"/>
            <w:tcBorders>
              <w:top w:val="single" w:sz="4" w:space="0" w:color="auto"/>
              <w:left w:val="single" w:sz="4" w:space="0" w:color="auto"/>
              <w:bottom w:val="single" w:sz="4" w:space="0" w:color="auto"/>
              <w:right w:val="single" w:sz="4" w:space="0" w:color="auto"/>
            </w:tcBorders>
            <w:noWrap/>
            <w:vAlign w:val="center"/>
          </w:tcPr>
          <w:p w:rsidR="009921A1" w:rsidRPr="000E54EB" w:rsidRDefault="009921A1" w:rsidP="000E4B7B">
            <w:pPr>
              <w:jc w:val="left"/>
              <w:rPr>
                <w:rFonts w:ascii="Verdana" w:hAnsi="Verdana" w:cs="Verdana"/>
                <w:sz w:val="20"/>
                <w:szCs w:val="20"/>
                <w:lang w:eastAsia="bg-BG"/>
              </w:rPr>
            </w:pPr>
            <w:r w:rsidRPr="000E54EB">
              <w:rPr>
                <w:rFonts w:ascii="Verdana" w:hAnsi="Verdana" w:cs="Verdana"/>
                <w:sz w:val="20"/>
                <w:szCs w:val="20"/>
                <w:lang w:eastAsia="bg-BG"/>
              </w:rPr>
              <w:t>Такси</w:t>
            </w:r>
          </w:p>
        </w:tc>
        <w:tc>
          <w:tcPr>
            <w:tcW w:w="1560" w:type="dxa"/>
            <w:tcBorders>
              <w:top w:val="single" w:sz="4" w:space="0" w:color="auto"/>
              <w:left w:val="nil"/>
              <w:bottom w:val="single" w:sz="4" w:space="0" w:color="auto"/>
              <w:right w:val="single" w:sz="4" w:space="0" w:color="auto"/>
            </w:tcBorders>
            <w:noWrap/>
            <w:vAlign w:val="center"/>
          </w:tcPr>
          <w:p w:rsidR="009921A1" w:rsidRPr="000E54EB" w:rsidRDefault="00CF5EFB" w:rsidP="000E4B7B">
            <w:pPr>
              <w:jc w:val="center"/>
              <w:rPr>
                <w:rFonts w:ascii="Verdana" w:hAnsi="Verdana" w:cs="Verdana"/>
                <w:sz w:val="20"/>
                <w:szCs w:val="20"/>
                <w:lang w:eastAsia="bg-BG"/>
              </w:rPr>
            </w:pPr>
            <w:r>
              <w:rPr>
                <w:rFonts w:ascii="Verdana" w:hAnsi="Verdana" w:cs="Verdana"/>
                <w:sz w:val="20"/>
                <w:szCs w:val="20"/>
                <w:lang w:eastAsia="bg-BG"/>
              </w:rPr>
              <w:t>5</w:t>
            </w:r>
          </w:p>
        </w:tc>
        <w:tc>
          <w:tcPr>
            <w:tcW w:w="1701" w:type="dxa"/>
            <w:tcBorders>
              <w:top w:val="single" w:sz="4" w:space="0" w:color="auto"/>
              <w:left w:val="nil"/>
              <w:bottom w:val="single" w:sz="4" w:space="0" w:color="auto"/>
              <w:right w:val="single" w:sz="4" w:space="0" w:color="auto"/>
            </w:tcBorders>
            <w:noWrap/>
            <w:vAlign w:val="bottom"/>
          </w:tcPr>
          <w:p w:rsidR="009921A1" w:rsidRPr="00F25FCA" w:rsidRDefault="009921A1" w:rsidP="00B617CE">
            <w:pPr>
              <w:jc w:val="center"/>
              <w:rPr>
                <w:rFonts w:ascii="Verdana" w:hAnsi="Verdana" w:cs="Arial"/>
                <w:color w:val="000000"/>
                <w:sz w:val="20"/>
                <w:lang w:eastAsia="bg-BG"/>
              </w:rPr>
            </w:pPr>
            <w:r w:rsidRPr="00F25FCA">
              <w:rPr>
                <w:rFonts w:ascii="Verdana" w:hAnsi="Verdana" w:cs="Arial"/>
                <w:color w:val="000000"/>
                <w:sz w:val="20"/>
                <w:lang w:eastAsia="bg-BG"/>
              </w:rPr>
              <w:t>2</w:t>
            </w:r>
          </w:p>
        </w:tc>
      </w:tr>
      <w:tr w:rsidR="009921A1" w:rsidRPr="000E54EB" w:rsidTr="00B617CE">
        <w:trPr>
          <w:trHeight w:val="300"/>
        </w:trPr>
        <w:tc>
          <w:tcPr>
            <w:tcW w:w="6242" w:type="dxa"/>
            <w:tcBorders>
              <w:top w:val="nil"/>
              <w:left w:val="single" w:sz="4" w:space="0" w:color="auto"/>
              <w:bottom w:val="single" w:sz="4" w:space="0" w:color="auto"/>
              <w:right w:val="single" w:sz="4" w:space="0" w:color="auto"/>
            </w:tcBorders>
            <w:noWrap/>
            <w:vAlign w:val="center"/>
          </w:tcPr>
          <w:p w:rsidR="009921A1" w:rsidRPr="000E54EB" w:rsidRDefault="009921A1" w:rsidP="000E4B7B">
            <w:pPr>
              <w:jc w:val="left"/>
              <w:rPr>
                <w:rFonts w:ascii="Verdana" w:hAnsi="Verdana" w:cs="Verdana"/>
                <w:sz w:val="20"/>
                <w:szCs w:val="20"/>
                <w:lang w:eastAsia="bg-BG"/>
              </w:rPr>
            </w:pPr>
            <w:r w:rsidRPr="000E54EB">
              <w:rPr>
                <w:rFonts w:ascii="Verdana" w:hAnsi="Verdana" w:cs="Verdana"/>
                <w:sz w:val="20"/>
                <w:szCs w:val="20"/>
                <w:lang w:eastAsia="bg-BG"/>
              </w:rPr>
              <w:t>Лицензионни и браншови такси</w:t>
            </w:r>
          </w:p>
        </w:tc>
        <w:tc>
          <w:tcPr>
            <w:tcW w:w="1560" w:type="dxa"/>
            <w:tcBorders>
              <w:top w:val="nil"/>
              <w:left w:val="nil"/>
              <w:bottom w:val="single" w:sz="4" w:space="0" w:color="auto"/>
              <w:right w:val="single" w:sz="4" w:space="0" w:color="auto"/>
            </w:tcBorders>
            <w:noWrap/>
            <w:vAlign w:val="center"/>
          </w:tcPr>
          <w:p w:rsidR="009921A1" w:rsidRPr="000E54EB" w:rsidRDefault="00CF5EFB" w:rsidP="000E4B7B">
            <w:pPr>
              <w:jc w:val="center"/>
              <w:rPr>
                <w:rFonts w:ascii="Verdana" w:hAnsi="Verdana" w:cs="Verdana"/>
                <w:sz w:val="20"/>
                <w:szCs w:val="20"/>
                <w:lang w:eastAsia="bg-BG"/>
              </w:rPr>
            </w:pPr>
            <w:r>
              <w:rPr>
                <w:rFonts w:ascii="Verdana" w:hAnsi="Verdana" w:cs="Verdana"/>
                <w:sz w:val="20"/>
                <w:szCs w:val="20"/>
                <w:lang w:eastAsia="bg-BG"/>
              </w:rPr>
              <w:t>6</w:t>
            </w:r>
          </w:p>
        </w:tc>
        <w:tc>
          <w:tcPr>
            <w:tcW w:w="1701" w:type="dxa"/>
            <w:tcBorders>
              <w:top w:val="nil"/>
              <w:left w:val="nil"/>
              <w:bottom w:val="single" w:sz="4" w:space="0" w:color="auto"/>
              <w:right w:val="single" w:sz="4" w:space="0" w:color="auto"/>
            </w:tcBorders>
            <w:noWrap/>
            <w:vAlign w:val="bottom"/>
          </w:tcPr>
          <w:p w:rsidR="009921A1" w:rsidRPr="00F25FCA" w:rsidRDefault="009921A1" w:rsidP="00B617CE">
            <w:pPr>
              <w:jc w:val="center"/>
              <w:rPr>
                <w:rFonts w:ascii="Verdana" w:hAnsi="Verdana" w:cs="Arial"/>
                <w:color w:val="000000"/>
                <w:sz w:val="20"/>
                <w:lang w:eastAsia="bg-BG"/>
              </w:rPr>
            </w:pPr>
            <w:r w:rsidRPr="00F25FCA">
              <w:rPr>
                <w:rFonts w:ascii="Verdana" w:hAnsi="Verdana" w:cs="Arial"/>
                <w:color w:val="000000"/>
                <w:sz w:val="20"/>
                <w:lang w:eastAsia="bg-BG"/>
              </w:rPr>
              <w:t>6</w:t>
            </w:r>
          </w:p>
        </w:tc>
      </w:tr>
      <w:tr w:rsidR="009921A1" w:rsidRPr="000E54EB" w:rsidTr="00B617CE">
        <w:trPr>
          <w:trHeight w:val="300"/>
        </w:trPr>
        <w:tc>
          <w:tcPr>
            <w:tcW w:w="6242" w:type="dxa"/>
            <w:tcBorders>
              <w:top w:val="nil"/>
              <w:left w:val="single" w:sz="4" w:space="0" w:color="auto"/>
              <w:bottom w:val="single" w:sz="4" w:space="0" w:color="auto"/>
              <w:right w:val="single" w:sz="4" w:space="0" w:color="auto"/>
            </w:tcBorders>
            <w:noWrap/>
            <w:vAlign w:val="center"/>
          </w:tcPr>
          <w:p w:rsidR="009921A1" w:rsidRPr="000E54EB" w:rsidRDefault="009921A1" w:rsidP="000E4B7B">
            <w:pPr>
              <w:jc w:val="left"/>
              <w:rPr>
                <w:rFonts w:ascii="Verdana" w:hAnsi="Verdana" w:cs="Verdana"/>
                <w:sz w:val="20"/>
                <w:szCs w:val="20"/>
                <w:lang w:eastAsia="bg-BG"/>
              </w:rPr>
            </w:pPr>
            <w:r w:rsidRPr="000E54EB">
              <w:rPr>
                <w:rFonts w:ascii="Verdana" w:hAnsi="Verdana" w:cs="Verdana"/>
                <w:sz w:val="20"/>
                <w:szCs w:val="20"/>
                <w:lang w:eastAsia="bg-BG"/>
              </w:rPr>
              <w:t>Разходи свързани с опазване на околната среда</w:t>
            </w:r>
          </w:p>
        </w:tc>
        <w:tc>
          <w:tcPr>
            <w:tcW w:w="1560" w:type="dxa"/>
            <w:tcBorders>
              <w:top w:val="nil"/>
              <w:left w:val="nil"/>
              <w:bottom w:val="single" w:sz="4" w:space="0" w:color="auto"/>
              <w:right w:val="single" w:sz="4" w:space="0" w:color="auto"/>
            </w:tcBorders>
            <w:noWrap/>
            <w:vAlign w:val="center"/>
          </w:tcPr>
          <w:p w:rsidR="009921A1" w:rsidRPr="000E54EB" w:rsidRDefault="00CF5EFB" w:rsidP="000E4B7B">
            <w:pPr>
              <w:jc w:val="center"/>
              <w:rPr>
                <w:rFonts w:ascii="Verdana" w:hAnsi="Verdana" w:cs="Verdana"/>
                <w:sz w:val="20"/>
                <w:szCs w:val="20"/>
                <w:lang w:eastAsia="bg-BG"/>
              </w:rPr>
            </w:pPr>
            <w:r>
              <w:rPr>
                <w:rFonts w:ascii="Verdana" w:hAnsi="Verdana" w:cs="Verdana"/>
                <w:sz w:val="20"/>
                <w:szCs w:val="20"/>
                <w:lang w:eastAsia="bg-BG"/>
              </w:rPr>
              <w:t>2</w:t>
            </w:r>
          </w:p>
        </w:tc>
        <w:tc>
          <w:tcPr>
            <w:tcW w:w="1701" w:type="dxa"/>
            <w:tcBorders>
              <w:top w:val="nil"/>
              <w:left w:val="nil"/>
              <w:bottom w:val="single" w:sz="4" w:space="0" w:color="auto"/>
              <w:right w:val="single" w:sz="4" w:space="0" w:color="auto"/>
            </w:tcBorders>
            <w:noWrap/>
            <w:vAlign w:val="bottom"/>
          </w:tcPr>
          <w:p w:rsidR="009921A1" w:rsidRPr="00F25FCA" w:rsidRDefault="009921A1" w:rsidP="00B617CE">
            <w:pPr>
              <w:jc w:val="center"/>
              <w:rPr>
                <w:rFonts w:ascii="Verdana" w:hAnsi="Verdana" w:cs="Arial"/>
                <w:color w:val="000000"/>
                <w:sz w:val="20"/>
                <w:lang w:eastAsia="bg-BG"/>
              </w:rPr>
            </w:pPr>
            <w:r w:rsidRPr="00F25FCA">
              <w:rPr>
                <w:rFonts w:ascii="Verdana" w:hAnsi="Verdana" w:cs="Arial"/>
                <w:color w:val="000000"/>
                <w:sz w:val="20"/>
                <w:lang w:eastAsia="bg-BG"/>
              </w:rPr>
              <w:t>2</w:t>
            </w:r>
          </w:p>
        </w:tc>
      </w:tr>
      <w:tr w:rsidR="009921A1" w:rsidRPr="000E54EB" w:rsidTr="00B617CE">
        <w:trPr>
          <w:trHeight w:val="300"/>
        </w:trPr>
        <w:tc>
          <w:tcPr>
            <w:tcW w:w="6242" w:type="dxa"/>
            <w:tcBorders>
              <w:top w:val="nil"/>
              <w:left w:val="single" w:sz="4" w:space="0" w:color="auto"/>
              <w:bottom w:val="single" w:sz="4" w:space="0" w:color="auto"/>
              <w:right w:val="nil"/>
            </w:tcBorders>
            <w:noWrap/>
            <w:vAlign w:val="center"/>
          </w:tcPr>
          <w:p w:rsidR="009921A1" w:rsidRPr="000E54EB" w:rsidRDefault="009921A1" w:rsidP="00F527BE">
            <w:pPr>
              <w:jc w:val="left"/>
              <w:rPr>
                <w:rFonts w:ascii="Verdana" w:hAnsi="Verdana" w:cs="Verdana"/>
                <w:sz w:val="20"/>
                <w:szCs w:val="20"/>
                <w:lang w:eastAsia="bg-BG"/>
              </w:rPr>
            </w:pPr>
            <w:r w:rsidRPr="000E54EB">
              <w:rPr>
                <w:rFonts w:ascii="Verdana" w:hAnsi="Verdana" w:cs="Verdana"/>
                <w:sz w:val="20"/>
                <w:szCs w:val="20"/>
                <w:lang w:eastAsia="bg-BG"/>
              </w:rPr>
              <w:t>Неустойки/ недостик електрическа енергия</w:t>
            </w:r>
          </w:p>
        </w:tc>
        <w:tc>
          <w:tcPr>
            <w:tcW w:w="1560" w:type="dxa"/>
            <w:tcBorders>
              <w:top w:val="nil"/>
              <w:left w:val="single" w:sz="4" w:space="0" w:color="auto"/>
              <w:bottom w:val="single" w:sz="4" w:space="0" w:color="auto"/>
              <w:right w:val="single" w:sz="4" w:space="0" w:color="auto"/>
            </w:tcBorders>
            <w:noWrap/>
            <w:vAlign w:val="center"/>
          </w:tcPr>
          <w:p w:rsidR="009921A1" w:rsidRPr="000E54EB" w:rsidRDefault="00CF5EFB" w:rsidP="000E4B7B">
            <w:pPr>
              <w:jc w:val="center"/>
              <w:rPr>
                <w:rFonts w:ascii="Verdana" w:hAnsi="Verdana" w:cs="Verdana"/>
                <w:sz w:val="20"/>
                <w:szCs w:val="20"/>
                <w:lang w:eastAsia="bg-BG"/>
              </w:rPr>
            </w:pPr>
            <w:r>
              <w:rPr>
                <w:rFonts w:ascii="Verdana" w:hAnsi="Verdana" w:cs="Verdana"/>
                <w:sz w:val="20"/>
                <w:szCs w:val="20"/>
                <w:lang w:eastAsia="bg-BG"/>
              </w:rPr>
              <w:t>5</w:t>
            </w:r>
          </w:p>
        </w:tc>
        <w:tc>
          <w:tcPr>
            <w:tcW w:w="1701" w:type="dxa"/>
            <w:tcBorders>
              <w:top w:val="nil"/>
              <w:left w:val="nil"/>
              <w:bottom w:val="single" w:sz="4" w:space="0" w:color="auto"/>
              <w:right w:val="single" w:sz="4" w:space="0" w:color="auto"/>
            </w:tcBorders>
            <w:noWrap/>
            <w:vAlign w:val="bottom"/>
          </w:tcPr>
          <w:p w:rsidR="009921A1" w:rsidRPr="00F25FCA" w:rsidRDefault="009921A1" w:rsidP="00B617CE">
            <w:pPr>
              <w:jc w:val="center"/>
              <w:rPr>
                <w:rFonts w:ascii="Verdana" w:hAnsi="Verdana" w:cs="Arial"/>
                <w:color w:val="000000"/>
                <w:sz w:val="20"/>
                <w:lang w:eastAsia="bg-BG"/>
              </w:rPr>
            </w:pPr>
            <w:r w:rsidRPr="00F25FCA">
              <w:rPr>
                <w:rFonts w:ascii="Verdana" w:hAnsi="Verdana" w:cs="Arial"/>
                <w:color w:val="000000"/>
                <w:sz w:val="20"/>
                <w:lang w:eastAsia="bg-BG"/>
              </w:rPr>
              <w:t>3</w:t>
            </w:r>
          </w:p>
        </w:tc>
      </w:tr>
      <w:tr w:rsidR="009921A1" w:rsidRPr="000E54EB">
        <w:trPr>
          <w:trHeight w:val="300"/>
        </w:trPr>
        <w:tc>
          <w:tcPr>
            <w:tcW w:w="6242" w:type="dxa"/>
            <w:tcBorders>
              <w:top w:val="nil"/>
              <w:left w:val="single" w:sz="4" w:space="0" w:color="auto"/>
              <w:bottom w:val="single" w:sz="4" w:space="0" w:color="auto"/>
              <w:right w:val="nil"/>
            </w:tcBorders>
            <w:noWrap/>
            <w:vAlign w:val="center"/>
          </w:tcPr>
          <w:p w:rsidR="009921A1" w:rsidRPr="000E54EB" w:rsidRDefault="009921A1" w:rsidP="000E4B7B">
            <w:pPr>
              <w:jc w:val="left"/>
              <w:rPr>
                <w:rFonts w:ascii="Verdana" w:hAnsi="Verdana" w:cs="Verdana"/>
                <w:sz w:val="20"/>
                <w:szCs w:val="20"/>
                <w:lang w:eastAsia="bg-BG"/>
              </w:rPr>
            </w:pPr>
            <w:r w:rsidRPr="000E54EB">
              <w:rPr>
                <w:rFonts w:ascii="Verdana" w:hAnsi="Verdana" w:cs="Verdana"/>
                <w:sz w:val="20"/>
                <w:szCs w:val="20"/>
                <w:lang w:eastAsia="bg-BG"/>
              </w:rPr>
              <w:t>Трудова медицина</w:t>
            </w:r>
          </w:p>
        </w:tc>
        <w:tc>
          <w:tcPr>
            <w:tcW w:w="1560" w:type="dxa"/>
            <w:tcBorders>
              <w:top w:val="nil"/>
              <w:left w:val="single" w:sz="4" w:space="0" w:color="auto"/>
              <w:bottom w:val="single" w:sz="4" w:space="0" w:color="auto"/>
              <w:right w:val="single" w:sz="4" w:space="0" w:color="auto"/>
            </w:tcBorders>
            <w:noWrap/>
            <w:vAlign w:val="center"/>
          </w:tcPr>
          <w:p w:rsidR="009921A1" w:rsidRPr="000E54EB" w:rsidRDefault="00CF5EFB" w:rsidP="000E4B7B">
            <w:pPr>
              <w:jc w:val="center"/>
              <w:rPr>
                <w:rFonts w:ascii="Verdana" w:hAnsi="Verdana" w:cs="Verdana"/>
                <w:sz w:val="20"/>
                <w:szCs w:val="20"/>
                <w:lang w:eastAsia="bg-BG"/>
              </w:rPr>
            </w:pPr>
            <w:r>
              <w:rPr>
                <w:rFonts w:ascii="Verdana" w:hAnsi="Verdana" w:cs="Verdana"/>
                <w:sz w:val="20"/>
                <w:szCs w:val="20"/>
                <w:lang w:eastAsia="bg-BG"/>
              </w:rPr>
              <w:t>2</w:t>
            </w:r>
          </w:p>
        </w:tc>
        <w:tc>
          <w:tcPr>
            <w:tcW w:w="1701" w:type="dxa"/>
            <w:tcBorders>
              <w:top w:val="nil"/>
              <w:left w:val="nil"/>
              <w:bottom w:val="single" w:sz="4" w:space="0" w:color="auto"/>
              <w:right w:val="single" w:sz="4" w:space="0" w:color="auto"/>
            </w:tcBorders>
            <w:noWrap/>
            <w:vAlign w:val="center"/>
          </w:tcPr>
          <w:p w:rsidR="009921A1" w:rsidRPr="00F25FCA" w:rsidRDefault="00CF5EFB" w:rsidP="00B617CE">
            <w:pPr>
              <w:jc w:val="center"/>
              <w:rPr>
                <w:rFonts w:ascii="Verdana" w:hAnsi="Verdana" w:cs="Arial"/>
                <w:b/>
                <w:bCs/>
                <w:sz w:val="20"/>
                <w:lang w:eastAsia="bg-BG"/>
              </w:rPr>
            </w:pPr>
            <w:r>
              <w:rPr>
                <w:rFonts w:ascii="Verdana" w:hAnsi="Verdana" w:cs="Arial"/>
                <w:b/>
                <w:bCs/>
                <w:sz w:val="20"/>
                <w:lang w:eastAsia="bg-BG"/>
              </w:rPr>
              <w:t>-</w:t>
            </w:r>
          </w:p>
        </w:tc>
      </w:tr>
      <w:tr w:rsidR="009921A1" w:rsidRPr="000E54EB">
        <w:trPr>
          <w:trHeight w:val="300"/>
        </w:trPr>
        <w:tc>
          <w:tcPr>
            <w:tcW w:w="6242" w:type="dxa"/>
            <w:tcBorders>
              <w:top w:val="nil"/>
              <w:left w:val="single" w:sz="4" w:space="0" w:color="000000"/>
              <w:bottom w:val="single" w:sz="4" w:space="0" w:color="000000"/>
              <w:right w:val="single" w:sz="4" w:space="0" w:color="000000"/>
            </w:tcBorders>
            <w:noWrap/>
            <w:vAlign w:val="center"/>
          </w:tcPr>
          <w:p w:rsidR="009921A1" w:rsidRPr="000E54EB" w:rsidRDefault="009921A1" w:rsidP="000E4B7B">
            <w:pPr>
              <w:jc w:val="left"/>
              <w:rPr>
                <w:rFonts w:ascii="Verdana" w:hAnsi="Verdana" w:cs="Verdana"/>
                <w:sz w:val="20"/>
                <w:szCs w:val="20"/>
                <w:lang w:eastAsia="bg-BG"/>
              </w:rPr>
            </w:pPr>
            <w:r w:rsidRPr="000E54EB">
              <w:rPr>
                <w:rFonts w:ascii="Verdana" w:hAnsi="Verdana" w:cs="Verdana"/>
                <w:sz w:val="20"/>
                <w:szCs w:val="20"/>
                <w:lang w:eastAsia="bg-BG"/>
              </w:rPr>
              <w:t>Други разходи</w:t>
            </w:r>
          </w:p>
        </w:tc>
        <w:tc>
          <w:tcPr>
            <w:tcW w:w="1560" w:type="dxa"/>
            <w:tcBorders>
              <w:top w:val="nil"/>
              <w:left w:val="nil"/>
              <w:bottom w:val="single" w:sz="4" w:space="0" w:color="auto"/>
              <w:right w:val="single" w:sz="4" w:space="0" w:color="auto"/>
            </w:tcBorders>
            <w:noWrap/>
            <w:vAlign w:val="center"/>
          </w:tcPr>
          <w:p w:rsidR="009921A1" w:rsidRPr="00DB29A0" w:rsidRDefault="00CF5EFB" w:rsidP="000E4B7B">
            <w:pPr>
              <w:jc w:val="center"/>
              <w:rPr>
                <w:rFonts w:ascii="Verdana" w:hAnsi="Verdana" w:cs="Verdana"/>
                <w:sz w:val="20"/>
                <w:szCs w:val="20"/>
                <w:lang w:eastAsia="bg-BG"/>
              </w:rPr>
            </w:pPr>
            <w:r>
              <w:rPr>
                <w:rFonts w:ascii="Verdana" w:hAnsi="Verdana" w:cs="Verdana"/>
                <w:sz w:val="20"/>
                <w:szCs w:val="20"/>
                <w:lang w:eastAsia="bg-BG"/>
              </w:rPr>
              <w:t>2</w:t>
            </w:r>
          </w:p>
        </w:tc>
        <w:tc>
          <w:tcPr>
            <w:tcW w:w="1701" w:type="dxa"/>
            <w:tcBorders>
              <w:top w:val="nil"/>
              <w:left w:val="nil"/>
              <w:bottom w:val="single" w:sz="4" w:space="0" w:color="auto"/>
              <w:right w:val="single" w:sz="4" w:space="0" w:color="auto"/>
            </w:tcBorders>
            <w:noWrap/>
            <w:vAlign w:val="center"/>
          </w:tcPr>
          <w:p w:rsidR="009921A1" w:rsidRPr="00CF5EFB" w:rsidRDefault="00CF5EFB" w:rsidP="001F704A">
            <w:pPr>
              <w:jc w:val="center"/>
              <w:rPr>
                <w:rFonts w:ascii="Verdana" w:hAnsi="Verdana" w:cs="Verdana"/>
                <w:sz w:val="20"/>
                <w:szCs w:val="20"/>
                <w:lang w:eastAsia="bg-BG"/>
              </w:rPr>
            </w:pPr>
            <w:r>
              <w:rPr>
                <w:rFonts w:ascii="Verdana" w:hAnsi="Verdana" w:cs="Verdana"/>
                <w:sz w:val="20"/>
                <w:szCs w:val="20"/>
                <w:lang w:eastAsia="bg-BG"/>
              </w:rPr>
              <w:t>-</w:t>
            </w:r>
          </w:p>
        </w:tc>
      </w:tr>
      <w:tr w:rsidR="009921A1" w:rsidRPr="000E54EB">
        <w:trPr>
          <w:trHeight w:val="300"/>
        </w:trPr>
        <w:tc>
          <w:tcPr>
            <w:tcW w:w="6242" w:type="dxa"/>
            <w:tcBorders>
              <w:top w:val="nil"/>
              <w:left w:val="single" w:sz="4" w:space="0" w:color="auto"/>
              <w:bottom w:val="single" w:sz="4" w:space="0" w:color="auto"/>
              <w:right w:val="nil"/>
            </w:tcBorders>
            <w:shd w:val="clear" w:color="000000" w:fill="C5D9F1"/>
            <w:noWrap/>
            <w:vAlign w:val="center"/>
          </w:tcPr>
          <w:p w:rsidR="009921A1" w:rsidRPr="000E54EB" w:rsidRDefault="009921A1" w:rsidP="000E4B7B">
            <w:pPr>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1560" w:type="dxa"/>
            <w:tcBorders>
              <w:top w:val="nil"/>
              <w:left w:val="single" w:sz="4" w:space="0" w:color="auto"/>
              <w:bottom w:val="single" w:sz="4" w:space="0" w:color="auto"/>
              <w:right w:val="single" w:sz="4" w:space="0" w:color="auto"/>
            </w:tcBorders>
            <w:shd w:val="clear" w:color="000000" w:fill="C5D9F1"/>
            <w:noWrap/>
            <w:vAlign w:val="center"/>
          </w:tcPr>
          <w:p w:rsidR="009921A1" w:rsidRPr="000E54EB" w:rsidRDefault="00CF5EFB" w:rsidP="003768C6">
            <w:pPr>
              <w:jc w:val="center"/>
              <w:rPr>
                <w:rFonts w:ascii="Verdana" w:hAnsi="Verdana" w:cs="Verdana"/>
                <w:b/>
                <w:bCs/>
                <w:sz w:val="20"/>
                <w:szCs w:val="20"/>
                <w:lang w:eastAsia="bg-BG"/>
              </w:rPr>
            </w:pPr>
            <w:r>
              <w:rPr>
                <w:rFonts w:ascii="Verdana" w:hAnsi="Verdana" w:cs="Verdana"/>
                <w:b/>
                <w:bCs/>
                <w:sz w:val="20"/>
                <w:szCs w:val="20"/>
                <w:lang w:eastAsia="bg-BG"/>
              </w:rPr>
              <w:t>201</w:t>
            </w:r>
          </w:p>
        </w:tc>
        <w:tc>
          <w:tcPr>
            <w:tcW w:w="1701" w:type="dxa"/>
            <w:tcBorders>
              <w:top w:val="nil"/>
              <w:left w:val="nil"/>
              <w:bottom w:val="single" w:sz="4" w:space="0" w:color="auto"/>
              <w:right w:val="single" w:sz="4" w:space="0" w:color="auto"/>
            </w:tcBorders>
            <w:shd w:val="clear" w:color="000000" w:fill="C5D9F1"/>
            <w:noWrap/>
            <w:vAlign w:val="center"/>
          </w:tcPr>
          <w:p w:rsidR="009921A1" w:rsidRPr="000E54EB" w:rsidRDefault="009921A1" w:rsidP="001F704A">
            <w:pPr>
              <w:jc w:val="center"/>
              <w:rPr>
                <w:rFonts w:ascii="Verdana" w:hAnsi="Verdana" w:cs="Verdana"/>
                <w:b/>
                <w:bCs/>
                <w:sz w:val="20"/>
                <w:szCs w:val="20"/>
                <w:lang w:eastAsia="bg-BG"/>
              </w:rPr>
            </w:pPr>
            <w:r>
              <w:rPr>
                <w:rFonts w:ascii="Verdana" w:hAnsi="Verdana" w:cs="Verdana"/>
                <w:b/>
                <w:bCs/>
                <w:sz w:val="20"/>
                <w:szCs w:val="20"/>
                <w:lang w:eastAsia="bg-BG"/>
              </w:rPr>
              <w:t>330</w:t>
            </w:r>
          </w:p>
        </w:tc>
      </w:tr>
    </w:tbl>
    <w:p w:rsidR="00863C99" w:rsidRPr="000E54EB" w:rsidRDefault="00863C99" w:rsidP="00B66DF8">
      <w:pPr>
        <w:pStyle w:val="Heading4"/>
        <w:rPr>
          <w:rFonts w:ascii="Verdana" w:hAnsi="Verdana" w:cs="Verdana"/>
          <w:i w:val="0"/>
          <w:iCs w:val="0"/>
          <w:lang w:val="bg-BG"/>
        </w:rPr>
      </w:pPr>
      <w:bookmarkStart w:id="134" w:name="_Toc247959171"/>
      <w:bookmarkStart w:id="135" w:name="_Toc314519590"/>
      <w:bookmarkStart w:id="136" w:name="_Toc4328837"/>
      <w:r w:rsidRPr="000E54EB">
        <w:rPr>
          <w:rFonts w:ascii="Verdana" w:hAnsi="Verdana" w:cs="Verdana"/>
          <w:i w:val="0"/>
          <w:iCs w:val="0"/>
          <w:lang w:val="bg-BG"/>
        </w:rPr>
        <w:t>1.2.7. Суми с корективен характер</w:t>
      </w:r>
      <w:bookmarkEnd w:id="134"/>
      <w:bookmarkEnd w:id="135"/>
      <w:bookmarkEnd w:id="136"/>
    </w:p>
    <w:tbl>
      <w:tblPr>
        <w:tblW w:w="9503" w:type="dxa"/>
        <w:tblInd w:w="-68" w:type="dxa"/>
        <w:tblCellMar>
          <w:left w:w="70" w:type="dxa"/>
          <w:right w:w="70" w:type="dxa"/>
        </w:tblCellMar>
        <w:tblLook w:val="00A0" w:firstRow="1" w:lastRow="0" w:firstColumn="1" w:lastColumn="0" w:noHBand="0" w:noVBand="0"/>
      </w:tblPr>
      <w:tblGrid>
        <w:gridCol w:w="6242"/>
        <w:gridCol w:w="1560"/>
        <w:gridCol w:w="1701"/>
      </w:tblGrid>
      <w:tr w:rsidR="00863C99" w:rsidRPr="00145102">
        <w:trPr>
          <w:trHeight w:val="255"/>
        </w:trPr>
        <w:tc>
          <w:tcPr>
            <w:tcW w:w="6242" w:type="dxa"/>
            <w:tcBorders>
              <w:top w:val="single" w:sz="4" w:space="0" w:color="auto"/>
              <w:left w:val="single" w:sz="4" w:space="0" w:color="auto"/>
              <w:bottom w:val="single" w:sz="4" w:space="0" w:color="auto"/>
              <w:right w:val="nil"/>
            </w:tcBorders>
            <w:noWrap/>
            <w:vAlign w:val="bottom"/>
          </w:tcPr>
          <w:p w:rsidR="00863C99" w:rsidRPr="00145102" w:rsidRDefault="00863C99" w:rsidP="00FC0103">
            <w:pPr>
              <w:jc w:val="left"/>
              <w:rPr>
                <w:rFonts w:ascii="Verdana" w:hAnsi="Verdana" w:cs="Verdana"/>
                <w:b/>
                <w:bCs/>
                <w:sz w:val="20"/>
                <w:szCs w:val="20"/>
                <w:lang w:eastAsia="bg-BG"/>
              </w:rPr>
            </w:pPr>
            <w:r w:rsidRPr="00145102">
              <w:rPr>
                <w:rFonts w:ascii="Verdana" w:hAnsi="Verdana" w:cs="Verdana"/>
                <w:b/>
                <w:bCs/>
                <w:sz w:val="20"/>
                <w:szCs w:val="20"/>
                <w:lang w:eastAsia="bg-BG"/>
              </w:rPr>
              <w:t>Вид разход</w:t>
            </w:r>
          </w:p>
        </w:tc>
        <w:tc>
          <w:tcPr>
            <w:tcW w:w="1560" w:type="dxa"/>
            <w:tcBorders>
              <w:top w:val="single" w:sz="4" w:space="0" w:color="auto"/>
              <w:left w:val="single" w:sz="4" w:space="0" w:color="auto"/>
              <w:bottom w:val="single" w:sz="4" w:space="0" w:color="auto"/>
              <w:right w:val="single" w:sz="4" w:space="0" w:color="auto"/>
            </w:tcBorders>
            <w:noWrap/>
            <w:vAlign w:val="center"/>
          </w:tcPr>
          <w:p w:rsidR="00863C99" w:rsidRPr="00145102" w:rsidRDefault="00145102" w:rsidP="006D1A89">
            <w:pPr>
              <w:jc w:val="center"/>
              <w:rPr>
                <w:rFonts w:ascii="Verdana" w:hAnsi="Verdana" w:cs="Verdana"/>
                <w:b/>
                <w:bCs/>
                <w:sz w:val="20"/>
                <w:szCs w:val="20"/>
                <w:lang w:eastAsia="bg-BG"/>
              </w:rPr>
            </w:pPr>
            <w:r>
              <w:rPr>
                <w:rFonts w:ascii="Verdana" w:hAnsi="Verdana" w:cs="Verdana"/>
                <w:b/>
                <w:bCs/>
                <w:sz w:val="20"/>
                <w:szCs w:val="20"/>
                <w:lang w:eastAsia="bg-BG"/>
              </w:rPr>
              <w:t>2020</w:t>
            </w:r>
            <w:r w:rsidR="00863C99" w:rsidRPr="00145102">
              <w:rPr>
                <w:rFonts w:ascii="Verdana" w:hAnsi="Verdana" w:cs="Verdana"/>
                <w:b/>
                <w:bCs/>
                <w:sz w:val="20"/>
                <w:szCs w:val="20"/>
                <w:lang w:eastAsia="bg-BG"/>
              </w:rPr>
              <w:t xml:space="preserve"> г.</w:t>
            </w:r>
          </w:p>
        </w:tc>
        <w:tc>
          <w:tcPr>
            <w:tcW w:w="1701" w:type="dxa"/>
            <w:tcBorders>
              <w:top w:val="single" w:sz="4" w:space="0" w:color="auto"/>
              <w:left w:val="nil"/>
              <w:bottom w:val="single" w:sz="4" w:space="0" w:color="auto"/>
              <w:right w:val="single" w:sz="4" w:space="0" w:color="auto"/>
            </w:tcBorders>
            <w:noWrap/>
            <w:vAlign w:val="center"/>
          </w:tcPr>
          <w:p w:rsidR="00863C99" w:rsidRPr="00145102" w:rsidRDefault="00145102" w:rsidP="006D1A89">
            <w:pPr>
              <w:jc w:val="center"/>
              <w:rPr>
                <w:rFonts w:ascii="Verdana" w:hAnsi="Verdana" w:cs="Verdana"/>
                <w:b/>
                <w:bCs/>
                <w:sz w:val="20"/>
                <w:szCs w:val="20"/>
                <w:lang w:eastAsia="bg-BG"/>
              </w:rPr>
            </w:pPr>
            <w:r>
              <w:rPr>
                <w:rFonts w:ascii="Verdana" w:hAnsi="Verdana" w:cs="Verdana"/>
                <w:b/>
                <w:bCs/>
                <w:sz w:val="20"/>
                <w:szCs w:val="20"/>
                <w:lang w:eastAsia="bg-BG"/>
              </w:rPr>
              <w:t>2019</w:t>
            </w:r>
            <w:r w:rsidR="00863C99" w:rsidRPr="00145102">
              <w:rPr>
                <w:rFonts w:ascii="Verdana" w:hAnsi="Verdana" w:cs="Verdana"/>
                <w:b/>
                <w:bCs/>
                <w:sz w:val="20"/>
                <w:szCs w:val="20"/>
                <w:lang w:eastAsia="bg-BG"/>
              </w:rPr>
              <w:t xml:space="preserve"> г.</w:t>
            </w:r>
          </w:p>
        </w:tc>
      </w:tr>
      <w:tr w:rsidR="00863C99" w:rsidRPr="00145102">
        <w:trPr>
          <w:trHeight w:val="255"/>
        </w:trPr>
        <w:tc>
          <w:tcPr>
            <w:tcW w:w="6242" w:type="dxa"/>
            <w:tcBorders>
              <w:top w:val="nil"/>
              <w:left w:val="single" w:sz="4" w:space="0" w:color="auto"/>
              <w:bottom w:val="single" w:sz="4" w:space="0" w:color="auto"/>
              <w:right w:val="nil"/>
            </w:tcBorders>
            <w:noWrap/>
            <w:vAlign w:val="bottom"/>
          </w:tcPr>
          <w:p w:rsidR="00863C99" w:rsidRPr="00145102" w:rsidRDefault="00863C99" w:rsidP="00FC0103">
            <w:pPr>
              <w:jc w:val="left"/>
              <w:rPr>
                <w:rFonts w:ascii="Verdana" w:hAnsi="Verdana" w:cs="Verdana"/>
                <w:b/>
                <w:bCs/>
                <w:sz w:val="20"/>
                <w:szCs w:val="20"/>
                <w:lang w:eastAsia="bg-BG"/>
              </w:rPr>
            </w:pPr>
            <w:r w:rsidRPr="00145102">
              <w:rPr>
                <w:rFonts w:ascii="Verdana" w:hAnsi="Verdana" w:cs="Verdana"/>
                <w:b/>
                <w:bCs/>
                <w:sz w:val="20"/>
                <w:szCs w:val="20"/>
                <w:lang w:eastAsia="bg-BG"/>
              </w:rPr>
              <w:t>Балансова стойност на продадени активи /нето/</w:t>
            </w:r>
          </w:p>
        </w:tc>
        <w:tc>
          <w:tcPr>
            <w:tcW w:w="1560" w:type="dxa"/>
            <w:tcBorders>
              <w:top w:val="nil"/>
              <w:left w:val="single" w:sz="4" w:space="0" w:color="auto"/>
              <w:bottom w:val="single" w:sz="4" w:space="0" w:color="auto"/>
              <w:right w:val="single" w:sz="4" w:space="0" w:color="auto"/>
            </w:tcBorders>
            <w:noWrap/>
            <w:vAlign w:val="center"/>
          </w:tcPr>
          <w:p w:rsidR="00863C99" w:rsidRPr="00145102" w:rsidRDefault="00863C99" w:rsidP="005464B0">
            <w:pPr>
              <w:jc w:val="center"/>
              <w:rPr>
                <w:rFonts w:ascii="Verdana" w:hAnsi="Verdana" w:cs="Verdana"/>
                <w:b/>
                <w:bCs/>
                <w:sz w:val="20"/>
                <w:szCs w:val="20"/>
                <w:lang w:eastAsia="bg-BG"/>
              </w:rPr>
            </w:pPr>
            <w:r w:rsidRPr="00145102">
              <w:rPr>
                <w:rFonts w:ascii="Verdana" w:hAnsi="Verdana" w:cs="Verdana"/>
                <w:b/>
                <w:bCs/>
                <w:sz w:val="20"/>
                <w:szCs w:val="20"/>
                <w:lang w:eastAsia="bg-BG"/>
              </w:rPr>
              <w:t>-</w:t>
            </w:r>
          </w:p>
        </w:tc>
        <w:tc>
          <w:tcPr>
            <w:tcW w:w="1701" w:type="dxa"/>
            <w:tcBorders>
              <w:top w:val="nil"/>
              <w:left w:val="nil"/>
              <w:bottom w:val="single" w:sz="4" w:space="0" w:color="auto"/>
              <w:right w:val="single" w:sz="4" w:space="0" w:color="auto"/>
            </w:tcBorders>
            <w:noWrap/>
            <w:vAlign w:val="center"/>
          </w:tcPr>
          <w:p w:rsidR="00863C99" w:rsidRPr="00145102" w:rsidRDefault="00145102" w:rsidP="001F704A">
            <w:pPr>
              <w:jc w:val="center"/>
              <w:rPr>
                <w:rFonts w:ascii="Verdana" w:hAnsi="Verdana" w:cs="Verdana"/>
                <w:b/>
                <w:bCs/>
                <w:sz w:val="20"/>
                <w:szCs w:val="20"/>
                <w:lang w:eastAsia="bg-BG"/>
              </w:rPr>
            </w:pPr>
            <w:r>
              <w:rPr>
                <w:rFonts w:ascii="Verdana" w:hAnsi="Verdana" w:cs="Verdana"/>
                <w:b/>
                <w:bCs/>
                <w:sz w:val="20"/>
                <w:szCs w:val="20"/>
                <w:lang w:eastAsia="bg-BG"/>
              </w:rPr>
              <w:t>-</w:t>
            </w:r>
          </w:p>
        </w:tc>
      </w:tr>
      <w:tr w:rsidR="00863C99" w:rsidRPr="00145102">
        <w:trPr>
          <w:trHeight w:val="255"/>
        </w:trPr>
        <w:tc>
          <w:tcPr>
            <w:tcW w:w="6242" w:type="dxa"/>
            <w:tcBorders>
              <w:top w:val="nil"/>
              <w:left w:val="single" w:sz="4" w:space="0" w:color="auto"/>
              <w:bottom w:val="single" w:sz="4" w:space="0" w:color="auto"/>
              <w:right w:val="single" w:sz="4" w:space="0" w:color="auto"/>
            </w:tcBorders>
            <w:noWrap/>
            <w:vAlign w:val="bottom"/>
          </w:tcPr>
          <w:p w:rsidR="00863C99" w:rsidRPr="00145102" w:rsidRDefault="00863C99" w:rsidP="00FC0103">
            <w:pPr>
              <w:jc w:val="left"/>
              <w:rPr>
                <w:rFonts w:ascii="Verdana" w:hAnsi="Verdana" w:cs="Verdana"/>
                <w:sz w:val="20"/>
                <w:szCs w:val="20"/>
                <w:lang w:eastAsia="bg-BG"/>
              </w:rPr>
            </w:pPr>
            <w:r w:rsidRPr="00145102">
              <w:rPr>
                <w:rFonts w:ascii="Verdana" w:hAnsi="Verdana" w:cs="Verdana"/>
                <w:sz w:val="20"/>
                <w:szCs w:val="20"/>
                <w:lang w:eastAsia="bg-BG"/>
              </w:rPr>
              <w:t>Балансова стойност на продадени активи / природен газ/</w:t>
            </w:r>
          </w:p>
        </w:tc>
        <w:tc>
          <w:tcPr>
            <w:tcW w:w="1560" w:type="dxa"/>
            <w:tcBorders>
              <w:top w:val="nil"/>
              <w:left w:val="nil"/>
              <w:bottom w:val="single" w:sz="4" w:space="0" w:color="auto"/>
              <w:right w:val="single" w:sz="4" w:space="0" w:color="auto"/>
            </w:tcBorders>
            <w:noWrap/>
            <w:vAlign w:val="center"/>
          </w:tcPr>
          <w:p w:rsidR="00863C99" w:rsidRPr="00145102" w:rsidRDefault="00863C99" w:rsidP="005464B0">
            <w:pPr>
              <w:jc w:val="center"/>
              <w:rPr>
                <w:rFonts w:ascii="Verdana" w:hAnsi="Verdana" w:cs="Verdana"/>
                <w:sz w:val="20"/>
                <w:szCs w:val="20"/>
                <w:lang w:eastAsia="bg-BG"/>
              </w:rPr>
            </w:pPr>
            <w:r w:rsidRPr="00145102">
              <w:rPr>
                <w:rFonts w:ascii="Verdana" w:hAnsi="Verdana" w:cs="Verdana"/>
                <w:sz w:val="20"/>
                <w:szCs w:val="20"/>
                <w:lang w:eastAsia="bg-BG"/>
              </w:rPr>
              <w:t>-</w:t>
            </w:r>
          </w:p>
        </w:tc>
        <w:tc>
          <w:tcPr>
            <w:tcW w:w="1701" w:type="dxa"/>
            <w:tcBorders>
              <w:top w:val="nil"/>
              <w:left w:val="nil"/>
              <w:bottom w:val="single" w:sz="4" w:space="0" w:color="auto"/>
              <w:right w:val="single" w:sz="4" w:space="0" w:color="auto"/>
            </w:tcBorders>
            <w:noWrap/>
            <w:vAlign w:val="center"/>
          </w:tcPr>
          <w:p w:rsidR="00863C99" w:rsidRPr="00145102" w:rsidRDefault="00145102" w:rsidP="001F704A">
            <w:pPr>
              <w:jc w:val="center"/>
              <w:rPr>
                <w:rFonts w:ascii="Verdana" w:hAnsi="Verdana" w:cs="Verdana"/>
                <w:sz w:val="20"/>
                <w:szCs w:val="20"/>
                <w:lang w:eastAsia="bg-BG"/>
              </w:rPr>
            </w:pPr>
            <w:r>
              <w:rPr>
                <w:rFonts w:ascii="Verdana" w:hAnsi="Verdana" w:cs="Verdana"/>
                <w:sz w:val="20"/>
                <w:szCs w:val="20"/>
                <w:lang w:eastAsia="bg-BG"/>
              </w:rPr>
              <w:t>-</w:t>
            </w:r>
          </w:p>
        </w:tc>
      </w:tr>
      <w:tr w:rsidR="00863C99" w:rsidRPr="000E54EB">
        <w:trPr>
          <w:trHeight w:val="255"/>
        </w:trPr>
        <w:tc>
          <w:tcPr>
            <w:tcW w:w="6242" w:type="dxa"/>
            <w:tcBorders>
              <w:top w:val="nil"/>
              <w:left w:val="single" w:sz="4" w:space="0" w:color="auto"/>
              <w:bottom w:val="single" w:sz="4" w:space="0" w:color="auto"/>
              <w:right w:val="nil"/>
            </w:tcBorders>
            <w:shd w:val="clear" w:color="auto" w:fill="B4C6E7"/>
            <w:noWrap/>
            <w:vAlign w:val="bottom"/>
          </w:tcPr>
          <w:p w:rsidR="00863C99" w:rsidRPr="00145102" w:rsidRDefault="00863C99" w:rsidP="00FC0103">
            <w:pPr>
              <w:jc w:val="left"/>
              <w:rPr>
                <w:rFonts w:ascii="Verdana" w:hAnsi="Verdana" w:cs="Verdana"/>
                <w:b/>
                <w:bCs/>
                <w:sz w:val="20"/>
                <w:szCs w:val="20"/>
                <w:lang w:eastAsia="bg-BG"/>
              </w:rPr>
            </w:pPr>
            <w:r w:rsidRPr="00145102">
              <w:rPr>
                <w:rFonts w:ascii="Verdana" w:hAnsi="Verdana" w:cs="Verdana"/>
                <w:b/>
                <w:bCs/>
                <w:sz w:val="20"/>
                <w:szCs w:val="20"/>
                <w:lang w:eastAsia="bg-BG"/>
              </w:rPr>
              <w:t>Общо</w:t>
            </w:r>
          </w:p>
        </w:tc>
        <w:tc>
          <w:tcPr>
            <w:tcW w:w="1560" w:type="dxa"/>
            <w:tcBorders>
              <w:top w:val="nil"/>
              <w:left w:val="single" w:sz="4" w:space="0" w:color="auto"/>
              <w:bottom w:val="single" w:sz="4" w:space="0" w:color="auto"/>
              <w:right w:val="single" w:sz="4" w:space="0" w:color="auto"/>
            </w:tcBorders>
            <w:shd w:val="clear" w:color="auto" w:fill="B4C6E7"/>
            <w:noWrap/>
            <w:vAlign w:val="center"/>
          </w:tcPr>
          <w:p w:rsidR="00863C99" w:rsidRPr="00145102" w:rsidRDefault="00863C99" w:rsidP="005464B0">
            <w:pPr>
              <w:jc w:val="center"/>
              <w:rPr>
                <w:rFonts w:ascii="Verdana" w:hAnsi="Verdana" w:cs="Verdana"/>
                <w:b/>
                <w:bCs/>
                <w:sz w:val="20"/>
                <w:szCs w:val="20"/>
                <w:lang w:eastAsia="bg-BG"/>
              </w:rPr>
            </w:pPr>
            <w:r w:rsidRPr="00145102">
              <w:rPr>
                <w:rFonts w:ascii="Verdana" w:hAnsi="Verdana" w:cs="Verdana"/>
                <w:b/>
                <w:bCs/>
                <w:sz w:val="20"/>
                <w:szCs w:val="20"/>
                <w:lang w:eastAsia="bg-BG"/>
              </w:rPr>
              <w:t>-</w:t>
            </w:r>
          </w:p>
        </w:tc>
        <w:tc>
          <w:tcPr>
            <w:tcW w:w="1701" w:type="dxa"/>
            <w:tcBorders>
              <w:top w:val="nil"/>
              <w:left w:val="nil"/>
              <w:bottom w:val="single" w:sz="4" w:space="0" w:color="auto"/>
              <w:right w:val="single" w:sz="4" w:space="0" w:color="auto"/>
            </w:tcBorders>
            <w:shd w:val="clear" w:color="auto" w:fill="B4C6E7"/>
            <w:noWrap/>
            <w:vAlign w:val="center"/>
          </w:tcPr>
          <w:p w:rsidR="00863C99" w:rsidRPr="000E54EB" w:rsidRDefault="00145102" w:rsidP="001F704A">
            <w:pPr>
              <w:jc w:val="center"/>
              <w:rPr>
                <w:rFonts w:ascii="Verdana" w:hAnsi="Verdana" w:cs="Verdana"/>
                <w:b/>
                <w:bCs/>
                <w:sz w:val="20"/>
                <w:szCs w:val="20"/>
                <w:lang w:eastAsia="bg-BG"/>
              </w:rPr>
            </w:pPr>
            <w:r>
              <w:rPr>
                <w:rFonts w:ascii="Verdana" w:hAnsi="Verdana" w:cs="Verdana"/>
                <w:b/>
                <w:bCs/>
                <w:sz w:val="20"/>
                <w:szCs w:val="20"/>
                <w:lang w:eastAsia="bg-BG"/>
              </w:rPr>
              <w:t>-</w:t>
            </w:r>
          </w:p>
        </w:tc>
      </w:tr>
    </w:tbl>
    <w:p w:rsidR="00863C99" w:rsidRPr="00E36A7C" w:rsidRDefault="00863C99" w:rsidP="00E36A7C">
      <w:pPr>
        <w:pStyle w:val="Heading4"/>
        <w:ind w:left="1240" w:right="-1771" w:hanging="1098"/>
        <w:rPr>
          <w:rFonts w:ascii="Verdana" w:hAnsi="Verdana" w:cs="Verdana"/>
          <w:i w:val="0"/>
          <w:iCs w:val="0"/>
          <w:lang w:val="bg-BG"/>
        </w:rPr>
      </w:pPr>
      <w:bookmarkStart w:id="137" w:name="_Toc247959163"/>
      <w:bookmarkStart w:id="138" w:name="_Toc314519582"/>
      <w:bookmarkStart w:id="139" w:name="_Toc4328840"/>
      <w:bookmarkStart w:id="140" w:name="_Hlk510712219"/>
      <w:r w:rsidRPr="00E36A7C">
        <w:rPr>
          <w:rFonts w:ascii="Verdana" w:hAnsi="Verdana" w:cs="Verdana"/>
          <w:i w:val="0"/>
          <w:iCs w:val="0"/>
          <w:lang w:val="bg-BG"/>
        </w:rPr>
        <w:t>1.3. Финансови приходи</w:t>
      </w:r>
      <w:bookmarkEnd w:id="137"/>
      <w:bookmarkEnd w:id="138"/>
      <w:r w:rsidRPr="00E36A7C">
        <w:rPr>
          <w:rFonts w:ascii="Verdana" w:hAnsi="Verdana" w:cs="Verdana"/>
          <w:i w:val="0"/>
          <w:iCs w:val="0"/>
          <w:lang w:val="bg-BG"/>
        </w:rPr>
        <w:t xml:space="preserve"> и финансови разходи</w:t>
      </w:r>
      <w:bookmarkEnd w:id="139"/>
    </w:p>
    <w:tbl>
      <w:tblPr>
        <w:tblW w:w="9503" w:type="dxa"/>
        <w:tblInd w:w="-68" w:type="dxa"/>
        <w:tblCellMar>
          <w:left w:w="70" w:type="dxa"/>
          <w:right w:w="70" w:type="dxa"/>
        </w:tblCellMar>
        <w:tblLook w:val="00A0" w:firstRow="1" w:lastRow="0" w:firstColumn="1" w:lastColumn="0" w:noHBand="0" w:noVBand="0"/>
      </w:tblPr>
      <w:tblGrid>
        <w:gridCol w:w="6242"/>
        <w:gridCol w:w="1560"/>
        <w:gridCol w:w="1701"/>
      </w:tblGrid>
      <w:tr w:rsidR="00863C99" w:rsidRPr="000E54EB">
        <w:trPr>
          <w:trHeight w:val="300"/>
        </w:trPr>
        <w:tc>
          <w:tcPr>
            <w:tcW w:w="9503" w:type="dxa"/>
            <w:gridSpan w:val="3"/>
            <w:tcBorders>
              <w:top w:val="single" w:sz="4" w:space="0" w:color="auto"/>
              <w:left w:val="single" w:sz="4" w:space="0" w:color="auto"/>
              <w:bottom w:val="single" w:sz="4" w:space="0" w:color="auto"/>
              <w:right w:val="single" w:sz="4" w:space="0" w:color="000000"/>
            </w:tcBorders>
            <w:noWrap/>
            <w:vAlign w:val="center"/>
          </w:tcPr>
          <w:p w:rsidR="00863C99" w:rsidRPr="000E54EB" w:rsidRDefault="00863C99" w:rsidP="00BF0FA8">
            <w:pPr>
              <w:jc w:val="left"/>
              <w:rPr>
                <w:rFonts w:ascii="Verdana" w:hAnsi="Verdana" w:cs="Verdana"/>
                <w:b/>
                <w:bCs/>
                <w:sz w:val="20"/>
                <w:szCs w:val="20"/>
                <w:lang w:eastAsia="bg-BG"/>
              </w:rPr>
            </w:pPr>
            <w:r w:rsidRPr="000E54EB">
              <w:rPr>
                <w:rFonts w:ascii="Verdana" w:hAnsi="Verdana" w:cs="Verdana"/>
                <w:b/>
                <w:bCs/>
                <w:sz w:val="20"/>
                <w:szCs w:val="20"/>
                <w:lang w:eastAsia="bg-BG"/>
              </w:rPr>
              <w:t>Финансови приходи</w:t>
            </w:r>
          </w:p>
        </w:tc>
      </w:tr>
      <w:tr w:rsidR="00863C99" w:rsidRPr="000E54EB">
        <w:trPr>
          <w:trHeight w:val="300"/>
        </w:trPr>
        <w:tc>
          <w:tcPr>
            <w:tcW w:w="6242" w:type="dxa"/>
            <w:tcBorders>
              <w:top w:val="single" w:sz="4" w:space="0" w:color="auto"/>
              <w:left w:val="single" w:sz="4" w:space="0" w:color="auto"/>
              <w:bottom w:val="single" w:sz="4" w:space="0" w:color="auto"/>
              <w:right w:val="nil"/>
            </w:tcBorders>
            <w:noWrap/>
            <w:vAlign w:val="center"/>
          </w:tcPr>
          <w:p w:rsidR="00863C99" w:rsidRPr="000E54EB" w:rsidRDefault="00863C99" w:rsidP="00AC5FB0">
            <w:pPr>
              <w:jc w:val="left"/>
              <w:rPr>
                <w:rFonts w:ascii="Verdana" w:hAnsi="Verdana" w:cs="Verdana"/>
                <w:b/>
                <w:bCs/>
                <w:sz w:val="20"/>
                <w:szCs w:val="20"/>
                <w:lang w:eastAsia="bg-BG"/>
              </w:rPr>
            </w:pPr>
            <w:r w:rsidRPr="000E54EB">
              <w:rPr>
                <w:rFonts w:ascii="Verdana" w:hAnsi="Verdana" w:cs="Verdana"/>
                <w:b/>
                <w:bCs/>
                <w:sz w:val="20"/>
                <w:szCs w:val="20"/>
                <w:lang w:eastAsia="bg-BG"/>
              </w:rPr>
              <w:t>Вид приход</w:t>
            </w:r>
          </w:p>
        </w:tc>
        <w:tc>
          <w:tcPr>
            <w:tcW w:w="1560" w:type="dxa"/>
            <w:tcBorders>
              <w:top w:val="single" w:sz="4" w:space="0" w:color="auto"/>
              <w:left w:val="single" w:sz="4" w:space="0" w:color="auto"/>
              <w:bottom w:val="single" w:sz="4" w:space="0" w:color="auto"/>
              <w:right w:val="single" w:sz="4" w:space="0" w:color="auto"/>
            </w:tcBorders>
            <w:noWrap/>
            <w:vAlign w:val="center"/>
          </w:tcPr>
          <w:p w:rsidR="00863C99" w:rsidRPr="000E54EB" w:rsidRDefault="00D3568E" w:rsidP="00F25615">
            <w:pPr>
              <w:jc w:val="center"/>
              <w:rPr>
                <w:rFonts w:ascii="Verdana" w:hAnsi="Verdana" w:cs="Verdana"/>
                <w:b/>
                <w:bCs/>
                <w:sz w:val="20"/>
                <w:szCs w:val="20"/>
                <w:lang w:eastAsia="bg-BG"/>
              </w:rPr>
            </w:pPr>
            <w:r>
              <w:rPr>
                <w:rFonts w:ascii="Verdana" w:hAnsi="Verdana" w:cs="Verdana"/>
                <w:b/>
                <w:bCs/>
                <w:sz w:val="20"/>
                <w:szCs w:val="20"/>
                <w:lang w:eastAsia="bg-BG"/>
              </w:rPr>
              <w:t>2020</w:t>
            </w:r>
            <w:r w:rsidR="00863C99" w:rsidRPr="000E54EB">
              <w:rPr>
                <w:rFonts w:ascii="Verdana" w:hAnsi="Verdana" w:cs="Verdana"/>
                <w:b/>
                <w:bCs/>
                <w:sz w:val="20"/>
                <w:szCs w:val="20"/>
                <w:lang w:eastAsia="bg-BG"/>
              </w:rPr>
              <w:t xml:space="preserve"> г.</w:t>
            </w:r>
          </w:p>
        </w:tc>
        <w:tc>
          <w:tcPr>
            <w:tcW w:w="1701" w:type="dxa"/>
            <w:tcBorders>
              <w:top w:val="single" w:sz="4" w:space="0" w:color="auto"/>
              <w:left w:val="nil"/>
              <w:bottom w:val="single" w:sz="4" w:space="0" w:color="auto"/>
              <w:right w:val="single" w:sz="4" w:space="0" w:color="auto"/>
            </w:tcBorders>
            <w:noWrap/>
            <w:vAlign w:val="center"/>
          </w:tcPr>
          <w:p w:rsidR="00863C99" w:rsidRPr="000E54EB" w:rsidRDefault="00D3568E" w:rsidP="001F704A">
            <w:pPr>
              <w:jc w:val="center"/>
              <w:rPr>
                <w:rFonts w:ascii="Verdana" w:hAnsi="Verdana" w:cs="Verdana"/>
                <w:b/>
                <w:bCs/>
                <w:sz w:val="20"/>
                <w:szCs w:val="20"/>
                <w:lang w:eastAsia="bg-BG"/>
              </w:rPr>
            </w:pPr>
            <w:r>
              <w:rPr>
                <w:rFonts w:ascii="Verdana" w:hAnsi="Verdana" w:cs="Verdana"/>
                <w:b/>
                <w:bCs/>
                <w:sz w:val="20"/>
                <w:szCs w:val="20"/>
                <w:lang w:eastAsia="bg-BG"/>
              </w:rPr>
              <w:t>2019</w:t>
            </w:r>
            <w:r w:rsidR="00863C99" w:rsidRPr="000E54EB">
              <w:rPr>
                <w:rFonts w:ascii="Verdana" w:hAnsi="Verdana" w:cs="Verdana"/>
                <w:b/>
                <w:bCs/>
                <w:sz w:val="20"/>
                <w:szCs w:val="20"/>
                <w:lang w:eastAsia="bg-BG"/>
              </w:rPr>
              <w:t xml:space="preserve"> г.</w:t>
            </w:r>
          </w:p>
        </w:tc>
      </w:tr>
      <w:tr w:rsidR="00863C99" w:rsidRPr="000E54EB">
        <w:trPr>
          <w:trHeight w:val="300"/>
        </w:trPr>
        <w:tc>
          <w:tcPr>
            <w:tcW w:w="6242" w:type="dxa"/>
            <w:tcBorders>
              <w:top w:val="nil"/>
              <w:left w:val="single" w:sz="4" w:space="0" w:color="auto"/>
              <w:bottom w:val="single" w:sz="4" w:space="0" w:color="auto"/>
              <w:right w:val="nil"/>
            </w:tcBorders>
            <w:noWrap/>
            <w:vAlign w:val="center"/>
          </w:tcPr>
          <w:p w:rsidR="00863C99" w:rsidRPr="000E54EB" w:rsidRDefault="00863C99" w:rsidP="00AC5FB0">
            <w:pPr>
              <w:jc w:val="left"/>
              <w:rPr>
                <w:rFonts w:ascii="Verdana" w:hAnsi="Verdana" w:cs="Verdana"/>
                <w:sz w:val="20"/>
                <w:szCs w:val="20"/>
                <w:lang w:eastAsia="bg-BG"/>
              </w:rPr>
            </w:pPr>
            <w:r w:rsidRPr="000E54EB">
              <w:rPr>
                <w:rFonts w:ascii="Verdana" w:hAnsi="Verdana" w:cs="Verdana"/>
                <w:sz w:val="20"/>
                <w:szCs w:val="20"/>
                <w:lang w:eastAsia="bg-BG"/>
              </w:rPr>
              <w:t>От операции с финансови инструменти</w:t>
            </w:r>
          </w:p>
        </w:tc>
        <w:tc>
          <w:tcPr>
            <w:tcW w:w="1560" w:type="dxa"/>
            <w:tcBorders>
              <w:top w:val="nil"/>
              <w:left w:val="single" w:sz="4" w:space="0" w:color="auto"/>
              <w:bottom w:val="single" w:sz="4" w:space="0" w:color="auto"/>
              <w:right w:val="single" w:sz="4" w:space="0" w:color="auto"/>
            </w:tcBorders>
            <w:noWrap/>
            <w:vAlign w:val="center"/>
          </w:tcPr>
          <w:p w:rsidR="00863C99" w:rsidRPr="000E54EB" w:rsidRDefault="00D3568E" w:rsidP="00AC5FB0">
            <w:pPr>
              <w:jc w:val="center"/>
              <w:rPr>
                <w:rFonts w:ascii="Verdana" w:hAnsi="Verdana" w:cs="Verdana"/>
                <w:sz w:val="20"/>
                <w:szCs w:val="20"/>
                <w:lang w:eastAsia="bg-BG"/>
              </w:rPr>
            </w:pPr>
            <w:r w:rsidRPr="003E116A">
              <w:rPr>
                <w:rFonts w:ascii="Verdana" w:hAnsi="Verdana" w:cs="Verdana"/>
                <w:sz w:val="20"/>
                <w:szCs w:val="20"/>
                <w:lang w:eastAsia="bg-BG"/>
              </w:rPr>
              <w:t>42</w:t>
            </w:r>
          </w:p>
        </w:tc>
        <w:tc>
          <w:tcPr>
            <w:tcW w:w="1701" w:type="dxa"/>
            <w:tcBorders>
              <w:top w:val="nil"/>
              <w:left w:val="nil"/>
              <w:bottom w:val="single" w:sz="4" w:space="0" w:color="auto"/>
              <w:right w:val="single" w:sz="4" w:space="0" w:color="auto"/>
            </w:tcBorders>
            <w:noWrap/>
            <w:vAlign w:val="center"/>
          </w:tcPr>
          <w:p w:rsidR="00863C99" w:rsidRPr="000E54EB" w:rsidRDefault="00D3568E" w:rsidP="001F704A">
            <w:pPr>
              <w:jc w:val="center"/>
              <w:rPr>
                <w:rFonts w:ascii="Verdana" w:hAnsi="Verdana" w:cs="Verdana"/>
                <w:sz w:val="20"/>
                <w:szCs w:val="20"/>
                <w:lang w:eastAsia="bg-BG"/>
              </w:rPr>
            </w:pPr>
            <w:r>
              <w:rPr>
                <w:rFonts w:ascii="Verdana" w:hAnsi="Verdana" w:cs="Verdana"/>
                <w:sz w:val="20"/>
                <w:szCs w:val="20"/>
                <w:lang w:eastAsia="bg-BG"/>
              </w:rPr>
              <w:t>54</w:t>
            </w:r>
          </w:p>
        </w:tc>
      </w:tr>
      <w:tr w:rsidR="00863C99" w:rsidRPr="000E54EB">
        <w:trPr>
          <w:trHeight w:val="300"/>
        </w:trPr>
        <w:tc>
          <w:tcPr>
            <w:tcW w:w="6242" w:type="dxa"/>
            <w:tcBorders>
              <w:top w:val="nil"/>
              <w:left w:val="single" w:sz="4" w:space="0" w:color="auto"/>
              <w:bottom w:val="single" w:sz="4" w:space="0" w:color="auto"/>
              <w:right w:val="nil"/>
            </w:tcBorders>
            <w:shd w:val="clear" w:color="000000" w:fill="C5D9F1"/>
            <w:noWrap/>
            <w:vAlign w:val="center"/>
          </w:tcPr>
          <w:p w:rsidR="00863C99" w:rsidRPr="000E54EB" w:rsidRDefault="00863C99" w:rsidP="00AC5FB0">
            <w:pPr>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1560" w:type="dxa"/>
            <w:tcBorders>
              <w:top w:val="nil"/>
              <w:left w:val="single" w:sz="4" w:space="0" w:color="auto"/>
              <w:bottom w:val="single" w:sz="4" w:space="0" w:color="auto"/>
              <w:right w:val="single" w:sz="4" w:space="0" w:color="auto"/>
            </w:tcBorders>
            <w:shd w:val="clear" w:color="000000" w:fill="C5D9F1"/>
            <w:noWrap/>
            <w:vAlign w:val="center"/>
          </w:tcPr>
          <w:p w:rsidR="00863C99" w:rsidRPr="000E54EB" w:rsidRDefault="00D3568E" w:rsidP="00AC5FB0">
            <w:pPr>
              <w:jc w:val="center"/>
              <w:rPr>
                <w:rFonts w:ascii="Verdana" w:hAnsi="Verdana" w:cs="Verdana"/>
                <w:b/>
                <w:bCs/>
                <w:sz w:val="20"/>
                <w:szCs w:val="20"/>
                <w:lang w:eastAsia="bg-BG"/>
              </w:rPr>
            </w:pPr>
            <w:r>
              <w:rPr>
                <w:rFonts w:ascii="Verdana" w:hAnsi="Verdana" w:cs="Verdana"/>
                <w:b/>
                <w:bCs/>
                <w:sz w:val="20"/>
                <w:szCs w:val="20"/>
                <w:lang w:eastAsia="bg-BG"/>
              </w:rPr>
              <w:t>42</w:t>
            </w:r>
          </w:p>
        </w:tc>
        <w:tc>
          <w:tcPr>
            <w:tcW w:w="1701" w:type="dxa"/>
            <w:tcBorders>
              <w:top w:val="nil"/>
              <w:left w:val="nil"/>
              <w:bottom w:val="single" w:sz="4" w:space="0" w:color="auto"/>
              <w:right w:val="single" w:sz="4" w:space="0" w:color="auto"/>
            </w:tcBorders>
            <w:shd w:val="clear" w:color="000000" w:fill="C5D9F1"/>
            <w:noWrap/>
            <w:vAlign w:val="center"/>
          </w:tcPr>
          <w:p w:rsidR="00863C99" w:rsidRPr="000E54EB" w:rsidRDefault="00D3568E" w:rsidP="001F704A">
            <w:pPr>
              <w:jc w:val="center"/>
              <w:rPr>
                <w:rFonts w:ascii="Verdana" w:hAnsi="Verdana" w:cs="Verdana"/>
                <w:b/>
                <w:bCs/>
                <w:sz w:val="20"/>
                <w:szCs w:val="20"/>
                <w:lang w:eastAsia="bg-BG"/>
              </w:rPr>
            </w:pPr>
            <w:r>
              <w:rPr>
                <w:rFonts w:ascii="Verdana" w:hAnsi="Verdana" w:cs="Verdana"/>
                <w:b/>
                <w:bCs/>
                <w:sz w:val="20"/>
                <w:szCs w:val="20"/>
                <w:lang w:eastAsia="bg-BG"/>
              </w:rPr>
              <w:t>54</w:t>
            </w:r>
          </w:p>
        </w:tc>
      </w:tr>
    </w:tbl>
    <w:p w:rsidR="00863C99" w:rsidRPr="000E54EB" w:rsidRDefault="00863C99" w:rsidP="00AC5FB0">
      <w:pPr>
        <w:rPr>
          <w:rFonts w:ascii="Verdana" w:hAnsi="Verdana" w:cs="Verdana"/>
          <w:sz w:val="20"/>
          <w:szCs w:val="20"/>
        </w:rPr>
      </w:pPr>
    </w:p>
    <w:tbl>
      <w:tblPr>
        <w:tblW w:w="9503" w:type="dxa"/>
        <w:tblInd w:w="-68" w:type="dxa"/>
        <w:tblCellMar>
          <w:left w:w="70" w:type="dxa"/>
          <w:right w:w="70" w:type="dxa"/>
        </w:tblCellMar>
        <w:tblLook w:val="00A0" w:firstRow="1" w:lastRow="0" w:firstColumn="1" w:lastColumn="0" w:noHBand="0" w:noVBand="0"/>
      </w:tblPr>
      <w:tblGrid>
        <w:gridCol w:w="4660"/>
        <w:gridCol w:w="1280"/>
        <w:gridCol w:w="302"/>
        <w:gridCol w:w="978"/>
        <w:gridCol w:w="582"/>
        <w:gridCol w:w="1701"/>
      </w:tblGrid>
      <w:tr w:rsidR="00863C99" w:rsidRPr="000E54EB">
        <w:trPr>
          <w:trHeight w:val="300"/>
        </w:trPr>
        <w:tc>
          <w:tcPr>
            <w:tcW w:w="9503" w:type="dxa"/>
            <w:gridSpan w:val="6"/>
            <w:tcBorders>
              <w:top w:val="single" w:sz="4" w:space="0" w:color="auto"/>
              <w:left w:val="single" w:sz="4" w:space="0" w:color="auto"/>
              <w:bottom w:val="single" w:sz="4" w:space="0" w:color="auto"/>
              <w:right w:val="single" w:sz="4" w:space="0" w:color="000000"/>
            </w:tcBorders>
            <w:noWrap/>
            <w:vAlign w:val="center"/>
          </w:tcPr>
          <w:p w:rsidR="00863C99" w:rsidRPr="000E54EB" w:rsidRDefault="00863C99" w:rsidP="00AC5FB0">
            <w:pPr>
              <w:jc w:val="left"/>
              <w:rPr>
                <w:rFonts w:ascii="Verdana" w:hAnsi="Verdana" w:cs="Verdana"/>
                <w:b/>
                <w:bCs/>
                <w:sz w:val="20"/>
                <w:szCs w:val="20"/>
                <w:lang w:eastAsia="bg-BG"/>
              </w:rPr>
            </w:pPr>
            <w:r w:rsidRPr="000E54EB">
              <w:rPr>
                <w:rFonts w:ascii="Verdana" w:hAnsi="Verdana" w:cs="Verdana"/>
                <w:b/>
                <w:bCs/>
                <w:sz w:val="20"/>
                <w:szCs w:val="20"/>
                <w:lang w:eastAsia="bg-BG"/>
              </w:rPr>
              <w:t>Финансови разходи</w:t>
            </w:r>
          </w:p>
        </w:tc>
      </w:tr>
      <w:tr w:rsidR="00863C99" w:rsidRPr="000E54EB">
        <w:trPr>
          <w:trHeight w:val="300"/>
        </w:trPr>
        <w:tc>
          <w:tcPr>
            <w:tcW w:w="6242" w:type="dxa"/>
            <w:gridSpan w:val="3"/>
            <w:tcBorders>
              <w:top w:val="nil"/>
              <w:left w:val="single" w:sz="4" w:space="0" w:color="auto"/>
              <w:bottom w:val="single" w:sz="4" w:space="0" w:color="auto"/>
              <w:right w:val="nil"/>
            </w:tcBorders>
            <w:noWrap/>
            <w:vAlign w:val="center"/>
          </w:tcPr>
          <w:p w:rsidR="00863C99" w:rsidRPr="000E54EB" w:rsidRDefault="00863C99" w:rsidP="00AC5FB0">
            <w:pPr>
              <w:jc w:val="left"/>
              <w:rPr>
                <w:rFonts w:ascii="Verdana" w:hAnsi="Verdana" w:cs="Verdana"/>
                <w:b/>
                <w:bCs/>
                <w:sz w:val="20"/>
                <w:szCs w:val="20"/>
                <w:lang w:eastAsia="bg-BG"/>
              </w:rPr>
            </w:pPr>
            <w:r w:rsidRPr="000E54EB">
              <w:rPr>
                <w:rFonts w:ascii="Verdana" w:hAnsi="Verdana" w:cs="Verdana"/>
                <w:b/>
                <w:bCs/>
                <w:sz w:val="20"/>
                <w:szCs w:val="20"/>
                <w:lang w:eastAsia="bg-BG"/>
              </w:rPr>
              <w:t>Вид разход</w:t>
            </w:r>
          </w:p>
        </w:tc>
        <w:tc>
          <w:tcPr>
            <w:tcW w:w="1560" w:type="dxa"/>
            <w:gridSpan w:val="2"/>
            <w:tcBorders>
              <w:top w:val="nil"/>
              <w:left w:val="single" w:sz="4" w:space="0" w:color="auto"/>
              <w:bottom w:val="single" w:sz="4" w:space="0" w:color="auto"/>
              <w:right w:val="single" w:sz="4" w:space="0" w:color="auto"/>
            </w:tcBorders>
            <w:noWrap/>
            <w:vAlign w:val="center"/>
          </w:tcPr>
          <w:p w:rsidR="00863C99" w:rsidRPr="000E54EB" w:rsidRDefault="005F0EB7" w:rsidP="00F25615">
            <w:pPr>
              <w:jc w:val="center"/>
              <w:rPr>
                <w:rFonts w:ascii="Verdana" w:hAnsi="Verdana" w:cs="Verdana"/>
                <w:b/>
                <w:bCs/>
                <w:sz w:val="20"/>
                <w:szCs w:val="20"/>
                <w:lang w:eastAsia="bg-BG"/>
              </w:rPr>
            </w:pPr>
            <w:r>
              <w:rPr>
                <w:rFonts w:ascii="Verdana" w:hAnsi="Verdana" w:cs="Verdana"/>
                <w:b/>
                <w:bCs/>
                <w:sz w:val="20"/>
                <w:szCs w:val="20"/>
                <w:lang w:eastAsia="bg-BG"/>
              </w:rPr>
              <w:t>2020</w:t>
            </w:r>
            <w:r w:rsidR="00863C99" w:rsidRPr="000E54EB">
              <w:rPr>
                <w:rFonts w:ascii="Verdana" w:hAnsi="Verdana" w:cs="Verdana"/>
                <w:b/>
                <w:bCs/>
                <w:sz w:val="20"/>
                <w:szCs w:val="20"/>
                <w:lang w:eastAsia="bg-BG"/>
              </w:rPr>
              <w:t xml:space="preserve"> г.</w:t>
            </w:r>
          </w:p>
        </w:tc>
        <w:tc>
          <w:tcPr>
            <w:tcW w:w="1701" w:type="dxa"/>
            <w:tcBorders>
              <w:top w:val="nil"/>
              <w:left w:val="nil"/>
              <w:bottom w:val="single" w:sz="4" w:space="0" w:color="auto"/>
              <w:right w:val="single" w:sz="4" w:space="0" w:color="auto"/>
            </w:tcBorders>
            <w:noWrap/>
            <w:vAlign w:val="center"/>
          </w:tcPr>
          <w:p w:rsidR="00863C99" w:rsidRPr="000E54EB" w:rsidRDefault="005F0EB7" w:rsidP="001F704A">
            <w:pPr>
              <w:jc w:val="center"/>
              <w:rPr>
                <w:rFonts w:ascii="Verdana" w:hAnsi="Verdana" w:cs="Verdana"/>
                <w:b/>
                <w:bCs/>
                <w:sz w:val="20"/>
                <w:szCs w:val="20"/>
                <w:lang w:eastAsia="bg-BG"/>
              </w:rPr>
            </w:pPr>
            <w:r>
              <w:rPr>
                <w:rFonts w:ascii="Verdana" w:hAnsi="Verdana" w:cs="Verdana"/>
                <w:b/>
                <w:bCs/>
                <w:sz w:val="20"/>
                <w:szCs w:val="20"/>
                <w:lang w:eastAsia="bg-BG"/>
              </w:rPr>
              <w:t>2019</w:t>
            </w:r>
            <w:r w:rsidR="00863C99" w:rsidRPr="000E54EB">
              <w:rPr>
                <w:rFonts w:ascii="Verdana" w:hAnsi="Verdana" w:cs="Verdana"/>
                <w:b/>
                <w:bCs/>
                <w:sz w:val="20"/>
                <w:szCs w:val="20"/>
                <w:lang w:eastAsia="bg-BG"/>
              </w:rPr>
              <w:t xml:space="preserve"> г.</w:t>
            </w:r>
          </w:p>
        </w:tc>
      </w:tr>
      <w:tr w:rsidR="00863C99" w:rsidRPr="000E54EB">
        <w:trPr>
          <w:trHeight w:val="300"/>
        </w:trPr>
        <w:tc>
          <w:tcPr>
            <w:tcW w:w="6242" w:type="dxa"/>
            <w:gridSpan w:val="3"/>
            <w:tcBorders>
              <w:top w:val="nil"/>
              <w:left w:val="single" w:sz="4" w:space="0" w:color="auto"/>
              <w:bottom w:val="single" w:sz="4" w:space="0" w:color="auto"/>
              <w:right w:val="nil"/>
            </w:tcBorders>
            <w:noWrap/>
            <w:vAlign w:val="center"/>
          </w:tcPr>
          <w:p w:rsidR="00863C99" w:rsidRPr="000E54EB" w:rsidRDefault="00863C99" w:rsidP="00AC5FB0">
            <w:pPr>
              <w:jc w:val="left"/>
              <w:rPr>
                <w:rFonts w:ascii="Verdana" w:hAnsi="Verdana" w:cs="Verdana"/>
                <w:b/>
                <w:bCs/>
                <w:sz w:val="20"/>
                <w:szCs w:val="20"/>
                <w:lang w:eastAsia="bg-BG"/>
              </w:rPr>
            </w:pPr>
            <w:r w:rsidRPr="000E54EB">
              <w:rPr>
                <w:rFonts w:ascii="Verdana" w:hAnsi="Verdana" w:cs="Verdana"/>
                <w:b/>
                <w:bCs/>
                <w:sz w:val="20"/>
                <w:szCs w:val="20"/>
                <w:lang w:eastAsia="bg-BG"/>
              </w:rPr>
              <w:t>Разходи за лихви, в т.ч.:</w:t>
            </w:r>
          </w:p>
        </w:tc>
        <w:tc>
          <w:tcPr>
            <w:tcW w:w="1560" w:type="dxa"/>
            <w:gridSpan w:val="2"/>
            <w:tcBorders>
              <w:top w:val="nil"/>
              <w:left w:val="single" w:sz="4" w:space="0" w:color="auto"/>
              <w:bottom w:val="single" w:sz="4" w:space="0" w:color="auto"/>
              <w:right w:val="single" w:sz="4" w:space="0" w:color="auto"/>
            </w:tcBorders>
            <w:noWrap/>
            <w:vAlign w:val="center"/>
          </w:tcPr>
          <w:p w:rsidR="00863C99" w:rsidRPr="000E54EB" w:rsidRDefault="005F0EB7" w:rsidP="00AC5FB0">
            <w:pPr>
              <w:jc w:val="center"/>
              <w:rPr>
                <w:rFonts w:ascii="Verdana" w:hAnsi="Verdana" w:cs="Verdana"/>
                <w:b/>
                <w:bCs/>
                <w:sz w:val="20"/>
                <w:szCs w:val="20"/>
                <w:lang w:eastAsia="bg-BG"/>
              </w:rPr>
            </w:pPr>
            <w:r>
              <w:rPr>
                <w:rFonts w:ascii="Verdana" w:hAnsi="Verdana" w:cs="Verdana"/>
                <w:b/>
                <w:bCs/>
                <w:sz w:val="20"/>
                <w:szCs w:val="20"/>
                <w:lang w:eastAsia="bg-BG"/>
              </w:rPr>
              <w:t>16</w:t>
            </w:r>
          </w:p>
        </w:tc>
        <w:tc>
          <w:tcPr>
            <w:tcW w:w="1701" w:type="dxa"/>
            <w:tcBorders>
              <w:top w:val="nil"/>
              <w:left w:val="nil"/>
              <w:bottom w:val="single" w:sz="4" w:space="0" w:color="auto"/>
              <w:right w:val="single" w:sz="4" w:space="0" w:color="auto"/>
            </w:tcBorders>
            <w:noWrap/>
            <w:vAlign w:val="center"/>
          </w:tcPr>
          <w:p w:rsidR="00863C99" w:rsidRPr="000E54EB" w:rsidRDefault="005F0EB7" w:rsidP="001F704A">
            <w:pPr>
              <w:jc w:val="center"/>
              <w:rPr>
                <w:rFonts w:ascii="Verdana" w:hAnsi="Verdana" w:cs="Verdana"/>
                <w:b/>
                <w:bCs/>
                <w:sz w:val="20"/>
                <w:szCs w:val="20"/>
                <w:lang w:eastAsia="bg-BG"/>
              </w:rPr>
            </w:pPr>
            <w:r>
              <w:rPr>
                <w:rFonts w:ascii="Verdana" w:hAnsi="Verdana" w:cs="Verdana"/>
                <w:b/>
                <w:bCs/>
                <w:sz w:val="20"/>
                <w:szCs w:val="20"/>
                <w:lang w:eastAsia="bg-BG"/>
              </w:rPr>
              <w:t>23</w:t>
            </w:r>
          </w:p>
        </w:tc>
      </w:tr>
      <w:tr w:rsidR="00863C99" w:rsidRPr="000E54EB">
        <w:trPr>
          <w:trHeight w:val="300"/>
        </w:trPr>
        <w:tc>
          <w:tcPr>
            <w:tcW w:w="6242" w:type="dxa"/>
            <w:gridSpan w:val="3"/>
            <w:tcBorders>
              <w:top w:val="nil"/>
              <w:left w:val="single" w:sz="4" w:space="0" w:color="auto"/>
              <w:bottom w:val="single" w:sz="4" w:space="0" w:color="auto"/>
              <w:right w:val="nil"/>
            </w:tcBorders>
            <w:noWrap/>
            <w:vAlign w:val="center"/>
          </w:tcPr>
          <w:p w:rsidR="00863C99" w:rsidRPr="000E54EB" w:rsidRDefault="00863C99" w:rsidP="00AC5FB0">
            <w:pPr>
              <w:jc w:val="left"/>
              <w:rPr>
                <w:rFonts w:ascii="Verdana" w:hAnsi="Verdana" w:cs="Verdana"/>
                <w:sz w:val="20"/>
                <w:szCs w:val="20"/>
                <w:lang w:eastAsia="bg-BG"/>
              </w:rPr>
            </w:pPr>
            <w:r w:rsidRPr="000E54EB">
              <w:rPr>
                <w:rFonts w:ascii="Verdana" w:hAnsi="Verdana" w:cs="Verdana"/>
                <w:sz w:val="20"/>
                <w:szCs w:val="20"/>
                <w:lang w:eastAsia="bg-BG"/>
              </w:rPr>
              <w:t>по заеми</w:t>
            </w:r>
          </w:p>
        </w:tc>
        <w:tc>
          <w:tcPr>
            <w:tcW w:w="1560" w:type="dxa"/>
            <w:gridSpan w:val="2"/>
            <w:tcBorders>
              <w:top w:val="nil"/>
              <w:left w:val="single" w:sz="4" w:space="0" w:color="auto"/>
              <w:bottom w:val="single" w:sz="4" w:space="0" w:color="auto"/>
              <w:right w:val="single" w:sz="4" w:space="0" w:color="auto"/>
            </w:tcBorders>
            <w:noWrap/>
            <w:vAlign w:val="center"/>
          </w:tcPr>
          <w:p w:rsidR="00863C99" w:rsidRPr="000E54EB" w:rsidRDefault="005F0EB7" w:rsidP="00AC5FB0">
            <w:pPr>
              <w:jc w:val="center"/>
              <w:rPr>
                <w:rFonts w:ascii="Verdana" w:hAnsi="Verdana" w:cs="Verdana"/>
                <w:sz w:val="20"/>
                <w:szCs w:val="20"/>
                <w:lang w:eastAsia="bg-BG"/>
              </w:rPr>
            </w:pPr>
            <w:r>
              <w:rPr>
                <w:rFonts w:ascii="Verdana" w:hAnsi="Verdana" w:cs="Verdana"/>
                <w:sz w:val="20"/>
                <w:szCs w:val="20"/>
                <w:lang w:eastAsia="bg-BG"/>
              </w:rPr>
              <w:t>16</w:t>
            </w:r>
          </w:p>
        </w:tc>
        <w:tc>
          <w:tcPr>
            <w:tcW w:w="1701" w:type="dxa"/>
            <w:tcBorders>
              <w:top w:val="nil"/>
              <w:left w:val="nil"/>
              <w:bottom w:val="single" w:sz="4" w:space="0" w:color="auto"/>
              <w:right w:val="single" w:sz="4" w:space="0" w:color="auto"/>
            </w:tcBorders>
            <w:noWrap/>
            <w:vAlign w:val="center"/>
          </w:tcPr>
          <w:p w:rsidR="00863C99" w:rsidRPr="000E54EB" w:rsidRDefault="005F0EB7" w:rsidP="001F704A">
            <w:pPr>
              <w:jc w:val="center"/>
              <w:rPr>
                <w:rFonts w:ascii="Verdana" w:hAnsi="Verdana" w:cs="Verdana"/>
                <w:sz w:val="20"/>
                <w:szCs w:val="20"/>
                <w:lang w:eastAsia="bg-BG"/>
              </w:rPr>
            </w:pPr>
            <w:r>
              <w:rPr>
                <w:rFonts w:ascii="Verdana" w:hAnsi="Verdana" w:cs="Verdana"/>
                <w:sz w:val="20"/>
                <w:szCs w:val="20"/>
                <w:lang w:eastAsia="bg-BG"/>
              </w:rPr>
              <w:t>23</w:t>
            </w:r>
          </w:p>
        </w:tc>
      </w:tr>
      <w:tr w:rsidR="00863C99" w:rsidRPr="000E54EB">
        <w:trPr>
          <w:trHeight w:val="300"/>
        </w:trPr>
        <w:tc>
          <w:tcPr>
            <w:tcW w:w="6242" w:type="dxa"/>
            <w:gridSpan w:val="3"/>
            <w:tcBorders>
              <w:top w:val="nil"/>
              <w:left w:val="single" w:sz="4" w:space="0" w:color="auto"/>
              <w:bottom w:val="single" w:sz="4" w:space="0" w:color="auto"/>
              <w:right w:val="nil"/>
            </w:tcBorders>
            <w:noWrap/>
            <w:vAlign w:val="center"/>
          </w:tcPr>
          <w:p w:rsidR="00863C99" w:rsidRPr="000E54EB" w:rsidRDefault="00863C99" w:rsidP="00AC5FB0">
            <w:pPr>
              <w:jc w:val="left"/>
              <w:rPr>
                <w:rFonts w:ascii="Verdana" w:hAnsi="Verdana" w:cs="Verdana"/>
                <w:b/>
                <w:bCs/>
                <w:sz w:val="20"/>
                <w:szCs w:val="20"/>
                <w:lang w:eastAsia="bg-BG"/>
              </w:rPr>
            </w:pPr>
            <w:r w:rsidRPr="000E54EB">
              <w:rPr>
                <w:rFonts w:ascii="Verdana" w:hAnsi="Verdana" w:cs="Verdana"/>
                <w:b/>
                <w:bCs/>
                <w:sz w:val="20"/>
                <w:szCs w:val="20"/>
                <w:lang w:eastAsia="bg-BG"/>
              </w:rPr>
              <w:t>Отрицателни курсови разлики, нетно</w:t>
            </w:r>
          </w:p>
        </w:tc>
        <w:tc>
          <w:tcPr>
            <w:tcW w:w="1560" w:type="dxa"/>
            <w:gridSpan w:val="2"/>
            <w:tcBorders>
              <w:top w:val="nil"/>
              <w:left w:val="single" w:sz="4" w:space="0" w:color="auto"/>
              <w:bottom w:val="single" w:sz="4" w:space="0" w:color="auto"/>
              <w:right w:val="single" w:sz="4" w:space="0" w:color="auto"/>
            </w:tcBorders>
            <w:noWrap/>
            <w:vAlign w:val="center"/>
          </w:tcPr>
          <w:p w:rsidR="00863C99" w:rsidRPr="000E54EB" w:rsidRDefault="005F0EB7" w:rsidP="00AC5FB0">
            <w:pPr>
              <w:jc w:val="center"/>
              <w:rPr>
                <w:rFonts w:ascii="Verdana" w:hAnsi="Verdana" w:cs="Verdana"/>
                <w:b/>
                <w:bCs/>
                <w:sz w:val="20"/>
                <w:szCs w:val="20"/>
                <w:lang w:eastAsia="bg-BG"/>
              </w:rPr>
            </w:pPr>
            <w:r>
              <w:rPr>
                <w:rFonts w:ascii="Verdana" w:hAnsi="Verdana" w:cs="Verdana"/>
                <w:b/>
                <w:bCs/>
                <w:sz w:val="20"/>
                <w:szCs w:val="20"/>
                <w:lang w:eastAsia="bg-BG"/>
              </w:rPr>
              <w:t>-</w:t>
            </w:r>
          </w:p>
        </w:tc>
        <w:tc>
          <w:tcPr>
            <w:tcW w:w="1701" w:type="dxa"/>
            <w:tcBorders>
              <w:top w:val="nil"/>
              <w:left w:val="nil"/>
              <w:bottom w:val="single" w:sz="4" w:space="0" w:color="auto"/>
              <w:right w:val="single" w:sz="4" w:space="0" w:color="auto"/>
            </w:tcBorders>
            <w:noWrap/>
            <w:vAlign w:val="center"/>
          </w:tcPr>
          <w:p w:rsidR="00863C99" w:rsidRPr="000E54EB" w:rsidRDefault="005F0EB7" w:rsidP="001F704A">
            <w:pPr>
              <w:jc w:val="center"/>
              <w:rPr>
                <w:rFonts w:ascii="Verdana" w:hAnsi="Verdana" w:cs="Verdana"/>
                <w:b/>
                <w:bCs/>
                <w:sz w:val="20"/>
                <w:szCs w:val="20"/>
                <w:lang w:eastAsia="bg-BG"/>
              </w:rPr>
            </w:pPr>
            <w:r>
              <w:rPr>
                <w:rFonts w:ascii="Verdana" w:hAnsi="Verdana" w:cs="Verdana"/>
                <w:b/>
                <w:bCs/>
                <w:sz w:val="20"/>
                <w:szCs w:val="20"/>
                <w:lang w:eastAsia="bg-BG"/>
              </w:rPr>
              <w:t>1</w:t>
            </w:r>
          </w:p>
        </w:tc>
      </w:tr>
      <w:tr w:rsidR="00863C99" w:rsidRPr="000E54EB">
        <w:trPr>
          <w:trHeight w:val="300"/>
        </w:trPr>
        <w:tc>
          <w:tcPr>
            <w:tcW w:w="6242" w:type="dxa"/>
            <w:gridSpan w:val="3"/>
            <w:tcBorders>
              <w:top w:val="nil"/>
              <w:left w:val="single" w:sz="4" w:space="0" w:color="auto"/>
              <w:bottom w:val="single" w:sz="4" w:space="0" w:color="auto"/>
              <w:right w:val="nil"/>
            </w:tcBorders>
            <w:noWrap/>
            <w:vAlign w:val="center"/>
          </w:tcPr>
          <w:p w:rsidR="00863C99" w:rsidRPr="000E54EB" w:rsidRDefault="00863C99" w:rsidP="00AC5FB0">
            <w:pPr>
              <w:jc w:val="left"/>
              <w:rPr>
                <w:rFonts w:ascii="Verdana" w:hAnsi="Verdana" w:cs="Verdana"/>
                <w:b/>
                <w:bCs/>
                <w:sz w:val="20"/>
                <w:szCs w:val="20"/>
                <w:lang w:eastAsia="bg-BG"/>
              </w:rPr>
            </w:pPr>
            <w:r w:rsidRPr="000E54EB">
              <w:rPr>
                <w:rFonts w:ascii="Verdana" w:hAnsi="Verdana" w:cs="Verdana"/>
                <w:b/>
                <w:bCs/>
                <w:sz w:val="20"/>
                <w:szCs w:val="20"/>
                <w:lang w:eastAsia="bg-BG"/>
              </w:rPr>
              <w:t>Други финансови разходи</w:t>
            </w:r>
          </w:p>
        </w:tc>
        <w:tc>
          <w:tcPr>
            <w:tcW w:w="1560" w:type="dxa"/>
            <w:gridSpan w:val="2"/>
            <w:tcBorders>
              <w:top w:val="nil"/>
              <w:left w:val="single" w:sz="4" w:space="0" w:color="auto"/>
              <w:bottom w:val="single" w:sz="4" w:space="0" w:color="auto"/>
              <w:right w:val="single" w:sz="4" w:space="0" w:color="auto"/>
            </w:tcBorders>
            <w:noWrap/>
            <w:vAlign w:val="center"/>
          </w:tcPr>
          <w:p w:rsidR="00863C99" w:rsidRPr="000E54EB" w:rsidRDefault="005F0EB7" w:rsidP="00AC5FB0">
            <w:pPr>
              <w:jc w:val="center"/>
              <w:rPr>
                <w:rFonts w:ascii="Verdana" w:hAnsi="Verdana" w:cs="Verdana"/>
                <w:b/>
                <w:bCs/>
                <w:sz w:val="20"/>
                <w:szCs w:val="20"/>
                <w:lang w:eastAsia="bg-BG"/>
              </w:rPr>
            </w:pPr>
            <w:r>
              <w:rPr>
                <w:rFonts w:ascii="Verdana" w:hAnsi="Verdana" w:cs="Verdana"/>
                <w:b/>
                <w:bCs/>
                <w:sz w:val="20"/>
                <w:szCs w:val="20"/>
                <w:lang w:eastAsia="bg-BG"/>
              </w:rPr>
              <w:t>6</w:t>
            </w:r>
          </w:p>
        </w:tc>
        <w:tc>
          <w:tcPr>
            <w:tcW w:w="1701" w:type="dxa"/>
            <w:tcBorders>
              <w:top w:val="nil"/>
              <w:left w:val="nil"/>
              <w:bottom w:val="single" w:sz="4" w:space="0" w:color="auto"/>
              <w:right w:val="single" w:sz="4" w:space="0" w:color="auto"/>
            </w:tcBorders>
            <w:noWrap/>
            <w:vAlign w:val="center"/>
          </w:tcPr>
          <w:p w:rsidR="00863C99" w:rsidRPr="000E54EB" w:rsidRDefault="005F0EB7" w:rsidP="001F704A">
            <w:pPr>
              <w:jc w:val="center"/>
              <w:rPr>
                <w:rFonts w:ascii="Verdana" w:hAnsi="Verdana" w:cs="Verdana"/>
                <w:b/>
                <w:bCs/>
                <w:sz w:val="20"/>
                <w:szCs w:val="20"/>
                <w:lang w:eastAsia="bg-BG"/>
              </w:rPr>
            </w:pPr>
            <w:r>
              <w:rPr>
                <w:rFonts w:ascii="Verdana" w:hAnsi="Verdana" w:cs="Verdana"/>
                <w:b/>
                <w:bCs/>
                <w:sz w:val="20"/>
                <w:szCs w:val="20"/>
                <w:lang w:eastAsia="bg-BG"/>
              </w:rPr>
              <w:t>6</w:t>
            </w:r>
          </w:p>
        </w:tc>
      </w:tr>
      <w:tr w:rsidR="00863C99" w:rsidRPr="000E54EB">
        <w:trPr>
          <w:trHeight w:val="300"/>
        </w:trPr>
        <w:tc>
          <w:tcPr>
            <w:tcW w:w="6242" w:type="dxa"/>
            <w:gridSpan w:val="3"/>
            <w:tcBorders>
              <w:top w:val="nil"/>
              <w:left w:val="single" w:sz="4" w:space="0" w:color="auto"/>
              <w:bottom w:val="single" w:sz="4" w:space="0" w:color="auto"/>
              <w:right w:val="nil"/>
            </w:tcBorders>
            <w:shd w:val="clear" w:color="000000" w:fill="C5D9F1"/>
            <w:noWrap/>
            <w:vAlign w:val="center"/>
          </w:tcPr>
          <w:p w:rsidR="00863C99" w:rsidRPr="000E54EB" w:rsidRDefault="00863C99" w:rsidP="00AC5FB0">
            <w:pPr>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1560" w:type="dxa"/>
            <w:gridSpan w:val="2"/>
            <w:tcBorders>
              <w:top w:val="nil"/>
              <w:left w:val="single" w:sz="4" w:space="0" w:color="auto"/>
              <w:bottom w:val="single" w:sz="4" w:space="0" w:color="auto"/>
              <w:right w:val="single" w:sz="4" w:space="0" w:color="auto"/>
            </w:tcBorders>
            <w:shd w:val="clear" w:color="000000" w:fill="C5D9F1"/>
            <w:noWrap/>
            <w:vAlign w:val="center"/>
          </w:tcPr>
          <w:p w:rsidR="00863C99" w:rsidRPr="000E54EB" w:rsidRDefault="005F0EB7" w:rsidP="00AC5FB0">
            <w:pPr>
              <w:jc w:val="center"/>
              <w:rPr>
                <w:rFonts w:ascii="Verdana" w:hAnsi="Verdana" w:cs="Verdana"/>
                <w:b/>
                <w:bCs/>
                <w:sz w:val="20"/>
                <w:szCs w:val="20"/>
                <w:lang w:eastAsia="bg-BG"/>
              </w:rPr>
            </w:pPr>
            <w:r>
              <w:rPr>
                <w:rFonts w:ascii="Verdana" w:hAnsi="Verdana" w:cs="Verdana"/>
                <w:b/>
                <w:bCs/>
                <w:sz w:val="20"/>
                <w:szCs w:val="20"/>
                <w:lang w:eastAsia="bg-BG"/>
              </w:rPr>
              <w:t>22</w:t>
            </w:r>
          </w:p>
        </w:tc>
        <w:tc>
          <w:tcPr>
            <w:tcW w:w="1701" w:type="dxa"/>
            <w:tcBorders>
              <w:top w:val="nil"/>
              <w:left w:val="nil"/>
              <w:bottom w:val="single" w:sz="4" w:space="0" w:color="auto"/>
              <w:right w:val="single" w:sz="4" w:space="0" w:color="auto"/>
            </w:tcBorders>
            <w:shd w:val="clear" w:color="000000" w:fill="C5D9F1"/>
            <w:noWrap/>
            <w:vAlign w:val="center"/>
          </w:tcPr>
          <w:p w:rsidR="00863C99" w:rsidRPr="000E54EB" w:rsidRDefault="005F0EB7" w:rsidP="001F704A">
            <w:pPr>
              <w:jc w:val="center"/>
              <w:rPr>
                <w:rFonts w:ascii="Verdana" w:hAnsi="Verdana" w:cs="Verdana"/>
                <w:b/>
                <w:bCs/>
                <w:sz w:val="20"/>
                <w:szCs w:val="20"/>
                <w:lang w:eastAsia="bg-BG"/>
              </w:rPr>
            </w:pPr>
            <w:r>
              <w:rPr>
                <w:rFonts w:ascii="Verdana" w:hAnsi="Verdana" w:cs="Verdana"/>
                <w:b/>
                <w:bCs/>
                <w:sz w:val="20"/>
                <w:szCs w:val="20"/>
                <w:lang w:eastAsia="bg-BG"/>
              </w:rPr>
              <w:t>30</w:t>
            </w:r>
          </w:p>
        </w:tc>
      </w:tr>
      <w:tr w:rsidR="00863C99" w:rsidRPr="000E54EB">
        <w:trPr>
          <w:gridAfter w:val="2"/>
          <w:wAfter w:w="2283" w:type="dxa"/>
          <w:trHeight w:val="300"/>
        </w:trPr>
        <w:tc>
          <w:tcPr>
            <w:tcW w:w="4660" w:type="dxa"/>
            <w:tcBorders>
              <w:top w:val="nil"/>
              <w:left w:val="nil"/>
              <w:bottom w:val="nil"/>
              <w:right w:val="nil"/>
            </w:tcBorders>
            <w:noWrap/>
            <w:vAlign w:val="center"/>
          </w:tcPr>
          <w:p w:rsidR="00863C99" w:rsidRPr="000E54EB" w:rsidRDefault="00863C99" w:rsidP="00AC5FB0">
            <w:pPr>
              <w:jc w:val="left"/>
              <w:rPr>
                <w:rFonts w:ascii="Verdana" w:hAnsi="Verdana" w:cs="Verdana"/>
                <w:sz w:val="20"/>
                <w:szCs w:val="20"/>
                <w:lang w:eastAsia="bg-BG"/>
              </w:rPr>
            </w:pPr>
            <w:r w:rsidRPr="000E54EB">
              <w:rPr>
                <w:rFonts w:ascii="Verdana" w:hAnsi="Verdana" w:cs="Verdana"/>
                <w:sz w:val="20"/>
                <w:szCs w:val="20"/>
                <w:lang w:eastAsia="bg-BG"/>
              </w:rPr>
              <w:t> </w:t>
            </w:r>
          </w:p>
        </w:tc>
        <w:tc>
          <w:tcPr>
            <w:tcW w:w="1280" w:type="dxa"/>
            <w:tcBorders>
              <w:top w:val="nil"/>
              <w:left w:val="nil"/>
              <w:bottom w:val="nil"/>
              <w:right w:val="nil"/>
            </w:tcBorders>
            <w:noWrap/>
            <w:vAlign w:val="center"/>
          </w:tcPr>
          <w:p w:rsidR="00863C99" w:rsidRPr="000E54EB" w:rsidRDefault="00863C99" w:rsidP="00AC5FB0">
            <w:pPr>
              <w:jc w:val="left"/>
              <w:rPr>
                <w:rFonts w:ascii="Verdana" w:hAnsi="Verdana" w:cs="Verdana"/>
                <w:sz w:val="20"/>
                <w:szCs w:val="20"/>
                <w:lang w:eastAsia="bg-BG"/>
              </w:rPr>
            </w:pPr>
            <w:r w:rsidRPr="000E54EB">
              <w:rPr>
                <w:rFonts w:ascii="Verdana" w:hAnsi="Verdana" w:cs="Verdana"/>
                <w:sz w:val="20"/>
                <w:szCs w:val="20"/>
                <w:lang w:eastAsia="bg-BG"/>
              </w:rPr>
              <w:t> </w:t>
            </w:r>
          </w:p>
        </w:tc>
        <w:tc>
          <w:tcPr>
            <w:tcW w:w="1280" w:type="dxa"/>
            <w:gridSpan w:val="2"/>
            <w:tcBorders>
              <w:top w:val="nil"/>
              <w:left w:val="nil"/>
              <w:bottom w:val="nil"/>
              <w:right w:val="nil"/>
            </w:tcBorders>
            <w:noWrap/>
            <w:vAlign w:val="center"/>
          </w:tcPr>
          <w:p w:rsidR="00863C99" w:rsidRPr="000E54EB" w:rsidRDefault="00863C99" w:rsidP="00AC5FB0">
            <w:pPr>
              <w:jc w:val="left"/>
              <w:rPr>
                <w:rFonts w:ascii="Verdana" w:hAnsi="Verdana" w:cs="Verdana"/>
                <w:sz w:val="20"/>
                <w:szCs w:val="20"/>
                <w:lang w:eastAsia="bg-BG"/>
              </w:rPr>
            </w:pPr>
          </w:p>
        </w:tc>
      </w:tr>
    </w:tbl>
    <w:p w:rsidR="00863C99" w:rsidRPr="000E54EB" w:rsidRDefault="00863C99" w:rsidP="004C461A">
      <w:pPr>
        <w:pStyle w:val="Heading4"/>
        <w:rPr>
          <w:rFonts w:ascii="Verdana" w:hAnsi="Verdana" w:cs="Verdana"/>
          <w:i w:val="0"/>
          <w:iCs w:val="0"/>
          <w:lang w:val="bg-BG"/>
        </w:rPr>
      </w:pPr>
      <w:bookmarkStart w:id="141" w:name="_Toc247959175"/>
      <w:bookmarkStart w:id="142" w:name="_Toc4328841"/>
      <w:bookmarkEnd w:id="140"/>
      <w:r w:rsidRPr="000E54EB">
        <w:rPr>
          <w:rFonts w:ascii="Verdana" w:hAnsi="Verdana" w:cs="Verdana"/>
          <w:i w:val="0"/>
          <w:iCs w:val="0"/>
          <w:lang w:val="bg-BG"/>
        </w:rPr>
        <w:lastRenderedPageBreak/>
        <w:t>2. Индивидуален Отчет за финансовото състояние</w:t>
      </w:r>
      <w:bookmarkEnd w:id="141"/>
      <w:bookmarkEnd w:id="142"/>
    </w:p>
    <w:p w:rsidR="00863C99" w:rsidRPr="000E54EB" w:rsidRDefault="00863C99" w:rsidP="00B66DF8">
      <w:pPr>
        <w:pStyle w:val="Heading3"/>
        <w:rPr>
          <w:rFonts w:ascii="Verdana" w:hAnsi="Verdana" w:cs="Verdana"/>
          <w:lang w:val="bg-BG"/>
        </w:rPr>
      </w:pPr>
      <w:bookmarkStart w:id="143" w:name="_Toc4328842"/>
      <w:bookmarkStart w:id="144" w:name="_Toc247959176"/>
      <w:r w:rsidRPr="000E54EB">
        <w:rPr>
          <w:rFonts w:ascii="Verdana" w:hAnsi="Verdana" w:cs="Verdana"/>
          <w:lang w:val="bg-BG"/>
        </w:rPr>
        <w:t>Нетекущи активи</w:t>
      </w:r>
      <w:bookmarkEnd w:id="143"/>
    </w:p>
    <w:p w:rsidR="00863C99" w:rsidRPr="000E54EB" w:rsidRDefault="00863C99" w:rsidP="00B66DF8">
      <w:pPr>
        <w:pStyle w:val="Heading4"/>
        <w:rPr>
          <w:rFonts w:ascii="Verdana" w:hAnsi="Verdana" w:cs="Verdana"/>
          <w:i w:val="0"/>
          <w:iCs w:val="0"/>
          <w:lang w:val="bg-BG"/>
        </w:rPr>
      </w:pPr>
      <w:bookmarkStart w:id="145" w:name="_Toc4328843"/>
      <w:r w:rsidRPr="000E54EB">
        <w:rPr>
          <w:rFonts w:ascii="Verdana" w:hAnsi="Verdana" w:cs="Verdana"/>
          <w:i w:val="0"/>
          <w:iCs w:val="0"/>
          <w:lang w:val="bg-BG"/>
        </w:rPr>
        <w:t>2.1. Имоти, машини, съоръжения и оборудване</w:t>
      </w:r>
      <w:bookmarkEnd w:id="144"/>
      <w:bookmarkEnd w:id="145"/>
    </w:p>
    <w:p w:rsidR="00863C99" w:rsidRPr="00A52D1E" w:rsidRDefault="00E41BA3" w:rsidP="00B66DF8">
      <w:pPr>
        <w:rPr>
          <w:rFonts w:ascii="Verdana" w:hAnsi="Verdana" w:cs="Verdana"/>
          <w:snapToGrid w:val="0"/>
          <w:sz w:val="20"/>
          <w:szCs w:val="20"/>
          <w:lang w:val="ru-RU"/>
        </w:rPr>
      </w:pPr>
      <w:r w:rsidRPr="00E41BA3">
        <w:rPr>
          <w:rFonts w:ascii="Verdana" w:hAnsi="Verdana" w:cs="Verdana"/>
          <w:snapToGrid w:val="0"/>
          <w:sz w:val="20"/>
          <w:szCs w:val="20"/>
        </w:rPr>
        <w:t>Към 30 юни 2020г. и 2019</w:t>
      </w:r>
      <w:r w:rsidR="00863C99" w:rsidRPr="00E41BA3">
        <w:rPr>
          <w:rFonts w:ascii="Verdana" w:hAnsi="Verdana" w:cs="Verdana"/>
          <w:snapToGrid w:val="0"/>
          <w:sz w:val="20"/>
          <w:szCs w:val="20"/>
        </w:rPr>
        <w:t>г.</w:t>
      </w:r>
      <w:r w:rsidR="00863C99" w:rsidRPr="000E54EB">
        <w:rPr>
          <w:rFonts w:ascii="Verdana" w:hAnsi="Verdana" w:cs="Verdana"/>
          <w:snapToGrid w:val="0"/>
          <w:sz w:val="20"/>
          <w:szCs w:val="20"/>
        </w:rPr>
        <w:t xml:space="preserve"> Имотите, машините съоръженията и оборудването включват:</w:t>
      </w:r>
    </w:p>
    <w:p w:rsidR="00863C99" w:rsidRPr="00A52D1E" w:rsidRDefault="00863C99" w:rsidP="00B66DF8">
      <w:pPr>
        <w:rPr>
          <w:rFonts w:ascii="Verdana" w:hAnsi="Verdana" w:cs="Verdana"/>
          <w:snapToGrid w:val="0"/>
          <w:sz w:val="20"/>
          <w:szCs w:val="20"/>
          <w:lang w:val="ru-RU"/>
        </w:rPr>
      </w:pPr>
    </w:p>
    <w:tbl>
      <w:tblPr>
        <w:tblW w:w="1033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848"/>
        <w:gridCol w:w="851"/>
        <w:gridCol w:w="685"/>
        <w:gridCol w:w="23"/>
        <w:gridCol w:w="969"/>
        <w:gridCol w:w="1134"/>
        <w:gridCol w:w="1134"/>
        <w:gridCol w:w="1127"/>
        <w:gridCol w:w="858"/>
        <w:gridCol w:w="858"/>
        <w:gridCol w:w="851"/>
      </w:tblGrid>
      <w:tr w:rsidR="00863C99" w:rsidRPr="000E54EB">
        <w:trPr>
          <w:trHeight w:val="375"/>
        </w:trPr>
        <w:tc>
          <w:tcPr>
            <w:tcW w:w="1848" w:type="dxa"/>
            <w:vMerge w:val="restart"/>
            <w:noWrap/>
            <w:vAlign w:val="center"/>
          </w:tcPr>
          <w:p w:rsidR="00863C99" w:rsidRPr="000E54EB" w:rsidRDefault="00863C99" w:rsidP="00A13023">
            <w:pPr>
              <w:jc w:val="center"/>
              <w:rPr>
                <w:rFonts w:ascii="Verdana" w:hAnsi="Verdana" w:cs="Verdana"/>
                <w:sz w:val="20"/>
                <w:szCs w:val="20"/>
                <w:lang w:eastAsia="bg-BG"/>
              </w:rPr>
            </w:pPr>
            <w:r w:rsidRPr="000E54EB">
              <w:rPr>
                <w:rFonts w:ascii="Verdana" w:hAnsi="Verdana" w:cs="Verdana"/>
                <w:sz w:val="20"/>
                <w:szCs w:val="20"/>
                <w:lang w:eastAsia="bg-BG"/>
              </w:rPr>
              <w:t> </w:t>
            </w:r>
          </w:p>
        </w:tc>
        <w:tc>
          <w:tcPr>
            <w:tcW w:w="851" w:type="dxa"/>
            <w:vMerge w:val="restart"/>
            <w:noWrap/>
            <w:vAlign w:val="center"/>
          </w:tcPr>
          <w:p w:rsidR="00863C99" w:rsidRPr="009A3CAA" w:rsidRDefault="00863C99" w:rsidP="00A13023">
            <w:pPr>
              <w:jc w:val="center"/>
              <w:rPr>
                <w:rFonts w:ascii="Verdana" w:hAnsi="Verdana" w:cs="Verdana"/>
                <w:b/>
                <w:bCs/>
                <w:sz w:val="16"/>
                <w:szCs w:val="16"/>
                <w:lang w:eastAsia="bg-BG"/>
              </w:rPr>
            </w:pPr>
            <w:r w:rsidRPr="009A3CAA">
              <w:rPr>
                <w:rFonts w:ascii="Verdana" w:hAnsi="Verdana" w:cs="Verdana"/>
                <w:b/>
                <w:bCs/>
                <w:sz w:val="16"/>
                <w:szCs w:val="16"/>
                <w:lang w:eastAsia="bg-BG"/>
              </w:rPr>
              <w:t>Земи</w:t>
            </w:r>
          </w:p>
        </w:tc>
        <w:tc>
          <w:tcPr>
            <w:tcW w:w="685" w:type="dxa"/>
            <w:vMerge w:val="restart"/>
            <w:vAlign w:val="center"/>
          </w:tcPr>
          <w:p w:rsidR="00863C99" w:rsidRPr="009A3CAA" w:rsidRDefault="00863C99" w:rsidP="00A13023">
            <w:pPr>
              <w:jc w:val="center"/>
              <w:rPr>
                <w:rFonts w:ascii="Verdana" w:hAnsi="Verdana" w:cs="Verdana"/>
                <w:b/>
                <w:bCs/>
                <w:sz w:val="16"/>
                <w:szCs w:val="16"/>
                <w:lang w:eastAsia="bg-BG"/>
              </w:rPr>
            </w:pPr>
            <w:r w:rsidRPr="009A3CAA">
              <w:rPr>
                <w:rFonts w:ascii="Verdana" w:hAnsi="Verdana" w:cs="Verdana"/>
                <w:b/>
                <w:bCs/>
                <w:sz w:val="16"/>
                <w:szCs w:val="16"/>
                <w:lang w:eastAsia="bg-BG"/>
              </w:rPr>
              <w:t>Сгради</w:t>
            </w:r>
          </w:p>
        </w:tc>
        <w:tc>
          <w:tcPr>
            <w:tcW w:w="992" w:type="dxa"/>
            <w:gridSpan w:val="2"/>
            <w:vMerge w:val="restart"/>
            <w:vAlign w:val="center"/>
          </w:tcPr>
          <w:p w:rsidR="00863C99" w:rsidRPr="009A3CAA" w:rsidRDefault="00863C99" w:rsidP="00A13023">
            <w:pPr>
              <w:jc w:val="center"/>
              <w:rPr>
                <w:rFonts w:ascii="Verdana" w:hAnsi="Verdana" w:cs="Verdana"/>
                <w:b/>
                <w:bCs/>
                <w:sz w:val="16"/>
                <w:szCs w:val="16"/>
                <w:lang w:eastAsia="bg-BG"/>
              </w:rPr>
            </w:pPr>
            <w:r w:rsidRPr="009A3CAA">
              <w:rPr>
                <w:rFonts w:ascii="Verdana" w:hAnsi="Verdana" w:cs="Verdana"/>
                <w:b/>
                <w:bCs/>
                <w:sz w:val="16"/>
                <w:szCs w:val="16"/>
                <w:lang w:eastAsia="bg-BG"/>
              </w:rPr>
              <w:t>Машини и обороудване</w:t>
            </w:r>
          </w:p>
        </w:tc>
        <w:tc>
          <w:tcPr>
            <w:tcW w:w="1134" w:type="dxa"/>
            <w:vMerge w:val="restart"/>
            <w:vAlign w:val="center"/>
          </w:tcPr>
          <w:p w:rsidR="00863C99" w:rsidRPr="009A3CAA" w:rsidRDefault="00863C99" w:rsidP="00A13023">
            <w:pPr>
              <w:jc w:val="center"/>
              <w:rPr>
                <w:rFonts w:ascii="Verdana" w:hAnsi="Verdana" w:cs="Verdana"/>
                <w:b/>
                <w:bCs/>
                <w:sz w:val="16"/>
                <w:szCs w:val="16"/>
                <w:lang w:eastAsia="bg-BG"/>
              </w:rPr>
            </w:pPr>
            <w:r w:rsidRPr="009A3CAA">
              <w:rPr>
                <w:rFonts w:ascii="Verdana" w:hAnsi="Verdana" w:cs="Verdana"/>
                <w:b/>
                <w:bCs/>
                <w:sz w:val="16"/>
                <w:szCs w:val="16"/>
                <w:lang w:eastAsia="bg-BG"/>
              </w:rPr>
              <w:t>Съо</w:t>
            </w:r>
            <w:r>
              <w:rPr>
                <w:rFonts w:ascii="Verdana" w:hAnsi="Verdana" w:cs="Verdana"/>
                <w:b/>
                <w:bCs/>
                <w:sz w:val="16"/>
                <w:szCs w:val="16"/>
                <w:lang w:val="en-US" w:eastAsia="bg-BG"/>
              </w:rPr>
              <w:t>-</w:t>
            </w:r>
            <w:r w:rsidRPr="009A3CAA">
              <w:rPr>
                <w:rFonts w:ascii="Verdana" w:hAnsi="Verdana" w:cs="Verdana"/>
                <w:b/>
                <w:bCs/>
                <w:sz w:val="16"/>
                <w:szCs w:val="16"/>
                <w:lang w:eastAsia="bg-BG"/>
              </w:rPr>
              <w:t>ръжения</w:t>
            </w:r>
          </w:p>
        </w:tc>
        <w:tc>
          <w:tcPr>
            <w:tcW w:w="1134" w:type="dxa"/>
            <w:vMerge w:val="restart"/>
            <w:vAlign w:val="center"/>
          </w:tcPr>
          <w:p w:rsidR="00863C99" w:rsidRPr="009A3CAA" w:rsidRDefault="00863C99" w:rsidP="00A13023">
            <w:pPr>
              <w:jc w:val="center"/>
              <w:rPr>
                <w:rFonts w:ascii="Verdana" w:hAnsi="Verdana" w:cs="Verdana"/>
                <w:b/>
                <w:bCs/>
                <w:sz w:val="16"/>
                <w:szCs w:val="16"/>
                <w:lang w:eastAsia="bg-BG"/>
              </w:rPr>
            </w:pPr>
            <w:r w:rsidRPr="009A3CAA">
              <w:rPr>
                <w:rFonts w:ascii="Verdana" w:hAnsi="Verdana" w:cs="Verdana"/>
                <w:b/>
                <w:bCs/>
                <w:sz w:val="16"/>
                <w:szCs w:val="16"/>
                <w:lang w:eastAsia="bg-BG"/>
              </w:rPr>
              <w:t>Моторни Превозни средства</w:t>
            </w:r>
          </w:p>
        </w:tc>
        <w:tc>
          <w:tcPr>
            <w:tcW w:w="1127" w:type="dxa"/>
            <w:vMerge w:val="restart"/>
            <w:vAlign w:val="center"/>
          </w:tcPr>
          <w:p w:rsidR="00863C99" w:rsidRPr="009A3CAA" w:rsidRDefault="00863C99" w:rsidP="00A13023">
            <w:pPr>
              <w:jc w:val="center"/>
              <w:rPr>
                <w:rFonts w:ascii="Verdana" w:hAnsi="Verdana" w:cs="Verdana"/>
                <w:b/>
                <w:bCs/>
                <w:sz w:val="16"/>
                <w:szCs w:val="16"/>
                <w:lang w:eastAsia="bg-BG"/>
              </w:rPr>
            </w:pPr>
            <w:r w:rsidRPr="009A3CAA">
              <w:rPr>
                <w:rFonts w:ascii="Verdana" w:hAnsi="Verdana" w:cs="Verdana"/>
                <w:b/>
                <w:bCs/>
                <w:sz w:val="16"/>
                <w:szCs w:val="16"/>
                <w:lang w:eastAsia="bg-BG"/>
              </w:rPr>
              <w:t>В процес на изграждане/придобиване</w:t>
            </w:r>
          </w:p>
        </w:tc>
        <w:tc>
          <w:tcPr>
            <w:tcW w:w="858" w:type="dxa"/>
            <w:tcBorders>
              <w:bottom w:val="nil"/>
            </w:tcBorders>
          </w:tcPr>
          <w:p w:rsidR="00863C99" w:rsidRPr="00C427ED" w:rsidRDefault="00863C99" w:rsidP="00A13023">
            <w:pPr>
              <w:jc w:val="center"/>
              <w:rPr>
                <w:rFonts w:ascii="Verdana" w:hAnsi="Verdana" w:cs="Verdana"/>
                <w:b/>
                <w:bCs/>
                <w:sz w:val="16"/>
                <w:szCs w:val="16"/>
                <w:lang w:eastAsia="bg-BG"/>
              </w:rPr>
            </w:pPr>
            <w:proofErr w:type="spellStart"/>
            <w:r>
              <w:rPr>
                <w:rFonts w:ascii="Verdana" w:hAnsi="Verdana" w:cs="Verdana"/>
                <w:b/>
                <w:bCs/>
                <w:sz w:val="16"/>
                <w:szCs w:val="16"/>
                <w:lang w:val="en-US" w:eastAsia="bg-BG"/>
              </w:rPr>
              <w:t>Активи</w:t>
            </w:r>
            <w:proofErr w:type="spellEnd"/>
          </w:p>
        </w:tc>
        <w:tc>
          <w:tcPr>
            <w:tcW w:w="858" w:type="dxa"/>
            <w:vMerge w:val="restart"/>
            <w:vAlign w:val="center"/>
          </w:tcPr>
          <w:p w:rsidR="00863C99" w:rsidRPr="009A3CAA" w:rsidRDefault="00863C99" w:rsidP="00A13023">
            <w:pPr>
              <w:jc w:val="center"/>
              <w:rPr>
                <w:rFonts w:ascii="Verdana" w:hAnsi="Verdana" w:cs="Verdana"/>
                <w:b/>
                <w:bCs/>
                <w:sz w:val="16"/>
                <w:szCs w:val="16"/>
                <w:lang w:eastAsia="bg-BG"/>
              </w:rPr>
            </w:pPr>
            <w:r w:rsidRPr="009A3CAA">
              <w:rPr>
                <w:rFonts w:ascii="Verdana" w:hAnsi="Verdana" w:cs="Verdana"/>
                <w:b/>
                <w:bCs/>
                <w:sz w:val="16"/>
                <w:szCs w:val="16"/>
                <w:lang w:eastAsia="bg-BG"/>
              </w:rPr>
              <w:t>Други активи</w:t>
            </w:r>
          </w:p>
        </w:tc>
        <w:tc>
          <w:tcPr>
            <w:tcW w:w="851" w:type="dxa"/>
            <w:vMerge w:val="restart"/>
            <w:noWrap/>
            <w:vAlign w:val="center"/>
          </w:tcPr>
          <w:p w:rsidR="00863C99" w:rsidRPr="009A3CAA" w:rsidRDefault="00863C99" w:rsidP="00A13023">
            <w:pPr>
              <w:jc w:val="center"/>
              <w:rPr>
                <w:rFonts w:ascii="Verdana" w:hAnsi="Verdana" w:cs="Verdana"/>
                <w:b/>
                <w:bCs/>
                <w:sz w:val="16"/>
                <w:szCs w:val="16"/>
                <w:lang w:eastAsia="bg-BG"/>
              </w:rPr>
            </w:pPr>
            <w:r w:rsidRPr="009A3CAA">
              <w:rPr>
                <w:rFonts w:ascii="Verdana" w:hAnsi="Verdana" w:cs="Verdana"/>
                <w:b/>
                <w:bCs/>
                <w:sz w:val="16"/>
                <w:szCs w:val="16"/>
                <w:lang w:eastAsia="bg-BG"/>
              </w:rPr>
              <w:t>Общо</w:t>
            </w:r>
          </w:p>
        </w:tc>
      </w:tr>
      <w:tr w:rsidR="00863C99" w:rsidRPr="000E54EB">
        <w:trPr>
          <w:trHeight w:val="558"/>
        </w:trPr>
        <w:tc>
          <w:tcPr>
            <w:tcW w:w="1848" w:type="dxa"/>
            <w:vMerge/>
            <w:vAlign w:val="center"/>
          </w:tcPr>
          <w:p w:rsidR="00863C99" w:rsidRPr="000E54EB" w:rsidRDefault="00863C99" w:rsidP="00A13023">
            <w:pPr>
              <w:jc w:val="left"/>
              <w:rPr>
                <w:rFonts w:ascii="Verdana" w:hAnsi="Verdana" w:cs="Verdana"/>
                <w:sz w:val="20"/>
                <w:szCs w:val="20"/>
                <w:lang w:eastAsia="bg-BG"/>
              </w:rPr>
            </w:pPr>
          </w:p>
        </w:tc>
        <w:tc>
          <w:tcPr>
            <w:tcW w:w="851" w:type="dxa"/>
            <w:vMerge/>
            <w:vAlign w:val="center"/>
          </w:tcPr>
          <w:p w:rsidR="00863C99" w:rsidRPr="000E54EB" w:rsidRDefault="00863C99" w:rsidP="00A13023">
            <w:pPr>
              <w:jc w:val="center"/>
              <w:rPr>
                <w:rFonts w:ascii="Verdana" w:hAnsi="Verdana" w:cs="Verdana"/>
                <w:b/>
                <w:bCs/>
                <w:sz w:val="20"/>
                <w:szCs w:val="20"/>
                <w:lang w:eastAsia="bg-BG"/>
              </w:rPr>
            </w:pPr>
          </w:p>
        </w:tc>
        <w:tc>
          <w:tcPr>
            <w:tcW w:w="685" w:type="dxa"/>
            <w:vMerge/>
            <w:vAlign w:val="center"/>
          </w:tcPr>
          <w:p w:rsidR="00863C99" w:rsidRPr="000E54EB" w:rsidRDefault="00863C99" w:rsidP="00A13023">
            <w:pPr>
              <w:jc w:val="center"/>
              <w:rPr>
                <w:rFonts w:ascii="Verdana" w:hAnsi="Verdana" w:cs="Verdana"/>
                <w:b/>
                <w:bCs/>
                <w:sz w:val="20"/>
                <w:szCs w:val="20"/>
                <w:lang w:eastAsia="bg-BG"/>
              </w:rPr>
            </w:pPr>
          </w:p>
        </w:tc>
        <w:tc>
          <w:tcPr>
            <w:tcW w:w="992" w:type="dxa"/>
            <w:gridSpan w:val="2"/>
            <w:vMerge/>
            <w:vAlign w:val="center"/>
          </w:tcPr>
          <w:p w:rsidR="00863C99" w:rsidRPr="000E54EB" w:rsidRDefault="00863C99" w:rsidP="00A13023">
            <w:pPr>
              <w:jc w:val="center"/>
              <w:rPr>
                <w:rFonts w:ascii="Verdana" w:hAnsi="Verdana" w:cs="Verdana"/>
                <w:b/>
                <w:bCs/>
                <w:sz w:val="20"/>
                <w:szCs w:val="20"/>
                <w:lang w:eastAsia="bg-BG"/>
              </w:rPr>
            </w:pPr>
          </w:p>
        </w:tc>
        <w:tc>
          <w:tcPr>
            <w:tcW w:w="1134" w:type="dxa"/>
            <w:vMerge/>
            <w:vAlign w:val="center"/>
          </w:tcPr>
          <w:p w:rsidR="00863C99" w:rsidRPr="000E54EB" w:rsidRDefault="00863C99" w:rsidP="00A13023">
            <w:pPr>
              <w:jc w:val="center"/>
              <w:rPr>
                <w:rFonts w:ascii="Verdana" w:hAnsi="Verdana" w:cs="Verdana"/>
                <w:b/>
                <w:bCs/>
                <w:sz w:val="20"/>
                <w:szCs w:val="20"/>
                <w:lang w:eastAsia="bg-BG"/>
              </w:rPr>
            </w:pPr>
          </w:p>
        </w:tc>
        <w:tc>
          <w:tcPr>
            <w:tcW w:w="1134" w:type="dxa"/>
            <w:vMerge/>
            <w:vAlign w:val="center"/>
          </w:tcPr>
          <w:p w:rsidR="00863C99" w:rsidRPr="000E54EB" w:rsidRDefault="00863C99" w:rsidP="00A13023">
            <w:pPr>
              <w:jc w:val="center"/>
              <w:rPr>
                <w:rFonts w:ascii="Verdana" w:hAnsi="Verdana" w:cs="Verdana"/>
                <w:b/>
                <w:bCs/>
                <w:sz w:val="20"/>
                <w:szCs w:val="20"/>
                <w:lang w:eastAsia="bg-BG"/>
              </w:rPr>
            </w:pPr>
          </w:p>
        </w:tc>
        <w:tc>
          <w:tcPr>
            <w:tcW w:w="1127" w:type="dxa"/>
            <w:vMerge/>
            <w:vAlign w:val="center"/>
          </w:tcPr>
          <w:p w:rsidR="00863C99" w:rsidRPr="000E54EB" w:rsidRDefault="00863C99" w:rsidP="00A13023">
            <w:pPr>
              <w:jc w:val="center"/>
              <w:rPr>
                <w:rFonts w:ascii="Verdana" w:hAnsi="Verdana" w:cs="Verdana"/>
                <w:b/>
                <w:bCs/>
                <w:sz w:val="20"/>
                <w:szCs w:val="20"/>
                <w:lang w:eastAsia="bg-BG"/>
              </w:rPr>
            </w:pPr>
          </w:p>
        </w:tc>
        <w:tc>
          <w:tcPr>
            <w:tcW w:w="858" w:type="dxa"/>
            <w:tcBorders>
              <w:top w:val="nil"/>
            </w:tcBorders>
          </w:tcPr>
          <w:p w:rsidR="00863C99" w:rsidRPr="000E54EB" w:rsidRDefault="00863C99" w:rsidP="00A13023">
            <w:pPr>
              <w:jc w:val="center"/>
              <w:rPr>
                <w:rFonts w:ascii="Verdana" w:hAnsi="Verdana" w:cs="Verdana"/>
                <w:b/>
                <w:bCs/>
                <w:sz w:val="20"/>
                <w:szCs w:val="20"/>
                <w:lang w:eastAsia="bg-BG"/>
              </w:rPr>
            </w:pPr>
            <w:r w:rsidRPr="00C427ED">
              <w:rPr>
                <w:rFonts w:ascii="Verdana" w:hAnsi="Verdana" w:cs="Verdana"/>
                <w:b/>
                <w:bCs/>
                <w:sz w:val="16"/>
                <w:szCs w:val="16"/>
                <w:lang w:eastAsia="bg-BG"/>
              </w:rPr>
              <w:t>с право на ползване (МСФО16</w:t>
            </w:r>
            <w:r>
              <w:rPr>
                <w:rFonts w:ascii="Verdana" w:hAnsi="Verdana" w:cs="Verdana"/>
                <w:b/>
                <w:bCs/>
                <w:sz w:val="20"/>
                <w:szCs w:val="20"/>
                <w:lang w:eastAsia="bg-BG"/>
              </w:rPr>
              <w:t xml:space="preserve">) </w:t>
            </w:r>
          </w:p>
        </w:tc>
        <w:tc>
          <w:tcPr>
            <w:tcW w:w="858" w:type="dxa"/>
            <w:vMerge/>
            <w:vAlign w:val="center"/>
          </w:tcPr>
          <w:p w:rsidR="00863C99" w:rsidRPr="000E54EB" w:rsidRDefault="00863C99" w:rsidP="00A13023">
            <w:pPr>
              <w:jc w:val="center"/>
              <w:rPr>
                <w:rFonts w:ascii="Verdana" w:hAnsi="Verdana" w:cs="Verdana"/>
                <w:b/>
                <w:bCs/>
                <w:sz w:val="20"/>
                <w:szCs w:val="20"/>
                <w:lang w:eastAsia="bg-BG"/>
              </w:rPr>
            </w:pPr>
          </w:p>
        </w:tc>
        <w:tc>
          <w:tcPr>
            <w:tcW w:w="851" w:type="dxa"/>
            <w:vMerge/>
            <w:vAlign w:val="center"/>
          </w:tcPr>
          <w:p w:rsidR="00863C99" w:rsidRPr="000E54EB" w:rsidRDefault="00863C99" w:rsidP="00A13023">
            <w:pPr>
              <w:jc w:val="center"/>
              <w:rPr>
                <w:rFonts w:ascii="Verdana" w:hAnsi="Verdana" w:cs="Verdana"/>
                <w:b/>
                <w:bCs/>
                <w:sz w:val="20"/>
                <w:szCs w:val="20"/>
                <w:lang w:eastAsia="bg-BG"/>
              </w:rPr>
            </w:pPr>
          </w:p>
        </w:tc>
      </w:tr>
      <w:tr w:rsidR="00863C99" w:rsidRPr="000E54EB">
        <w:trPr>
          <w:trHeight w:val="300"/>
        </w:trPr>
        <w:tc>
          <w:tcPr>
            <w:tcW w:w="1848" w:type="dxa"/>
            <w:shd w:val="clear" w:color="000000" w:fill="FFFFFF"/>
            <w:noWrap/>
            <w:vAlign w:val="center"/>
          </w:tcPr>
          <w:p w:rsidR="00863C99" w:rsidRPr="000E54EB" w:rsidRDefault="00863C99" w:rsidP="00A13023">
            <w:pPr>
              <w:jc w:val="left"/>
              <w:rPr>
                <w:rFonts w:ascii="Verdana" w:hAnsi="Verdana" w:cs="Verdana"/>
                <w:b/>
                <w:bCs/>
                <w:sz w:val="20"/>
                <w:szCs w:val="20"/>
                <w:lang w:eastAsia="bg-BG"/>
              </w:rPr>
            </w:pPr>
            <w:r w:rsidRPr="000E54EB">
              <w:rPr>
                <w:rFonts w:ascii="Verdana" w:hAnsi="Verdana" w:cs="Verdana"/>
                <w:b/>
                <w:bCs/>
                <w:sz w:val="20"/>
                <w:szCs w:val="20"/>
                <w:lang w:eastAsia="bg-BG"/>
              </w:rPr>
              <w:t>Отчетна стойност</w:t>
            </w:r>
          </w:p>
        </w:tc>
        <w:tc>
          <w:tcPr>
            <w:tcW w:w="851" w:type="dxa"/>
            <w:shd w:val="clear" w:color="000000" w:fill="FFFFFF"/>
            <w:noWrap/>
            <w:vAlign w:val="center"/>
          </w:tcPr>
          <w:p w:rsidR="00863C99" w:rsidRPr="000E54EB" w:rsidRDefault="00863C99" w:rsidP="00A13023">
            <w:pPr>
              <w:jc w:val="center"/>
              <w:rPr>
                <w:rFonts w:ascii="Verdana" w:hAnsi="Verdana" w:cs="Verdana"/>
                <w:b/>
                <w:bCs/>
                <w:sz w:val="20"/>
                <w:szCs w:val="20"/>
                <w:lang w:eastAsia="bg-BG"/>
              </w:rPr>
            </w:pPr>
          </w:p>
        </w:tc>
        <w:tc>
          <w:tcPr>
            <w:tcW w:w="685" w:type="dxa"/>
            <w:shd w:val="clear" w:color="000000" w:fill="FFFFFF"/>
            <w:vAlign w:val="center"/>
          </w:tcPr>
          <w:p w:rsidR="00863C99" w:rsidRPr="000E54EB" w:rsidRDefault="00863C99" w:rsidP="00A13023">
            <w:pPr>
              <w:jc w:val="center"/>
              <w:rPr>
                <w:rFonts w:ascii="Verdana" w:hAnsi="Verdana" w:cs="Verdana"/>
                <w:b/>
                <w:bCs/>
                <w:sz w:val="20"/>
                <w:szCs w:val="20"/>
                <w:lang w:eastAsia="bg-BG"/>
              </w:rPr>
            </w:pPr>
          </w:p>
        </w:tc>
        <w:tc>
          <w:tcPr>
            <w:tcW w:w="992" w:type="dxa"/>
            <w:gridSpan w:val="2"/>
            <w:shd w:val="clear" w:color="000000" w:fill="FFFFFF"/>
            <w:noWrap/>
            <w:vAlign w:val="center"/>
          </w:tcPr>
          <w:p w:rsidR="00863C99" w:rsidRPr="000E54EB" w:rsidRDefault="00863C99" w:rsidP="00A13023">
            <w:pPr>
              <w:jc w:val="center"/>
              <w:rPr>
                <w:rFonts w:ascii="Verdana" w:hAnsi="Verdana" w:cs="Verdana"/>
                <w:sz w:val="20"/>
                <w:szCs w:val="20"/>
                <w:lang w:eastAsia="bg-BG"/>
              </w:rPr>
            </w:pPr>
          </w:p>
        </w:tc>
        <w:tc>
          <w:tcPr>
            <w:tcW w:w="1134" w:type="dxa"/>
            <w:shd w:val="clear" w:color="000000" w:fill="FFFFFF"/>
            <w:noWrap/>
            <w:vAlign w:val="center"/>
          </w:tcPr>
          <w:p w:rsidR="00863C99" w:rsidRPr="000E54EB" w:rsidRDefault="00863C99" w:rsidP="00A13023">
            <w:pPr>
              <w:jc w:val="center"/>
              <w:rPr>
                <w:rFonts w:ascii="Verdana" w:hAnsi="Verdana" w:cs="Verdana"/>
                <w:sz w:val="20"/>
                <w:szCs w:val="20"/>
                <w:lang w:eastAsia="bg-BG"/>
              </w:rPr>
            </w:pPr>
          </w:p>
        </w:tc>
        <w:tc>
          <w:tcPr>
            <w:tcW w:w="1134" w:type="dxa"/>
            <w:shd w:val="clear" w:color="000000" w:fill="FFFFFF"/>
            <w:noWrap/>
            <w:vAlign w:val="center"/>
          </w:tcPr>
          <w:p w:rsidR="00863C99" w:rsidRPr="000E54EB" w:rsidRDefault="00863C99" w:rsidP="00A13023">
            <w:pPr>
              <w:jc w:val="center"/>
              <w:rPr>
                <w:rFonts w:ascii="Verdana" w:hAnsi="Verdana" w:cs="Verdana"/>
                <w:sz w:val="20"/>
                <w:szCs w:val="20"/>
                <w:lang w:eastAsia="bg-BG"/>
              </w:rPr>
            </w:pPr>
          </w:p>
        </w:tc>
        <w:tc>
          <w:tcPr>
            <w:tcW w:w="1127" w:type="dxa"/>
            <w:shd w:val="clear" w:color="000000" w:fill="FFFFFF"/>
            <w:noWrap/>
            <w:vAlign w:val="center"/>
          </w:tcPr>
          <w:p w:rsidR="00863C99" w:rsidRPr="000E54EB" w:rsidRDefault="00863C99" w:rsidP="00A13023">
            <w:pPr>
              <w:jc w:val="center"/>
              <w:rPr>
                <w:rFonts w:ascii="Verdana" w:hAnsi="Verdana" w:cs="Verdana"/>
                <w:sz w:val="20"/>
                <w:szCs w:val="20"/>
                <w:lang w:eastAsia="bg-BG"/>
              </w:rPr>
            </w:pPr>
          </w:p>
        </w:tc>
        <w:tc>
          <w:tcPr>
            <w:tcW w:w="858" w:type="dxa"/>
            <w:shd w:val="clear" w:color="000000" w:fill="FFFFFF"/>
          </w:tcPr>
          <w:p w:rsidR="00863C99" w:rsidRPr="000E54EB" w:rsidRDefault="00863C99" w:rsidP="00A13023">
            <w:pPr>
              <w:jc w:val="center"/>
              <w:rPr>
                <w:rFonts w:ascii="Verdana" w:hAnsi="Verdana" w:cs="Verdana"/>
                <w:sz w:val="20"/>
                <w:szCs w:val="20"/>
                <w:lang w:eastAsia="bg-BG"/>
              </w:rPr>
            </w:pPr>
          </w:p>
        </w:tc>
        <w:tc>
          <w:tcPr>
            <w:tcW w:w="858" w:type="dxa"/>
            <w:shd w:val="clear" w:color="000000" w:fill="FFFFFF"/>
            <w:noWrap/>
            <w:vAlign w:val="center"/>
          </w:tcPr>
          <w:p w:rsidR="00863C99" w:rsidRPr="000E54EB" w:rsidRDefault="00863C99" w:rsidP="00A13023">
            <w:pPr>
              <w:jc w:val="center"/>
              <w:rPr>
                <w:rFonts w:ascii="Verdana" w:hAnsi="Verdana" w:cs="Verdana"/>
                <w:sz w:val="20"/>
                <w:szCs w:val="20"/>
                <w:lang w:eastAsia="bg-BG"/>
              </w:rPr>
            </w:pPr>
          </w:p>
        </w:tc>
        <w:tc>
          <w:tcPr>
            <w:tcW w:w="851" w:type="dxa"/>
            <w:shd w:val="clear" w:color="000000" w:fill="FFFFFF"/>
            <w:noWrap/>
            <w:vAlign w:val="center"/>
          </w:tcPr>
          <w:p w:rsidR="00863C99" w:rsidRPr="000E54EB" w:rsidRDefault="00863C99" w:rsidP="00A13023">
            <w:pPr>
              <w:jc w:val="center"/>
              <w:rPr>
                <w:rFonts w:ascii="Verdana" w:hAnsi="Verdana" w:cs="Verdana"/>
                <w:sz w:val="20"/>
                <w:szCs w:val="20"/>
                <w:lang w:eastAsia="bg-BG"/>
              </w:rPr>
            </w:pPr>
          </w:p>
        </w:tc>
      </w:tr>
      <w:tr w:rsidR="005B53DF" w:rsidRPr="000E54EB">
        <w:trPr>
          <w:trHeight w:val="435"/>
        </w:trPr>
        <w:tc>
          <w:tcPr>
            <w:tcW w:w="1848" w:type="dxa"/>
            <w:vAlign w:val="center"/>
          </w:tcPr>
          <w:p w:rsidR="005B53DF" w:rsidRPr="000E54EB" w:rsidRDefault="005B53DF" w:rsidP="00537B3C">
            <w:pPr>
              <w:jc w:val="left"/>
              <w:rPr>
                <w:rFonts w:ascii="Verdana" w:hAnsi="Verdana" w:cs="Verdana"/>
                <w:b/>
                <w:bCs/>
                <w:sz w:val="20"/>
                <w:szCs w:val="20"/>
                <w:lang w:eastAsia="bg-BG"/>
              </w:rPr>
            </w:pPr>
            <w:r w:rsidRPr="000E54EB">
              <w:rPr>
                <w:rFonts w:ascii="Verdana" w:hAnsi="Verdana" w:cs="Verdana"/>
                <w:b/>
                <w:bCs/>
                <w:sz w:val="20"/>
                <w:szCs w:val="20"/>
                <w:lang w:eastAsia="bg-BG"/>
              </w:rPr>
              <w:t>Салдо към 31.12.201</w:t>
            </w:r>
            <w:r>
              <w:rPr>
                <w:rFonts w:ascii="Verdana" w:hAnsi="Verdana" w:cs="Verdana"/>
                <w:b/>
                <w:bCs/>
                <w:sz w:val="20"/>
                <w:szCs w:val="20"/>
                <w:lang w:eastAsia="bg-BG"/>
              </w:rPr>
              <w:t>8</w:t>
            </w:r>
          </w:p>
        </w:tc>
        <w:tc>
          <w:tcPr>
            <w:tcW w:w="851" w:type="dxa"/>
            <w:noWrap/>
            <w:vAlign w:val="center"/>
          </w:tcPr>
          <w:p w:rsidR="005B53DF" w:rsidRPr="000E54EB" w:rsidRDefault="005B53DF" w:rsidP="00B617CE">
            <w:pPr>
              <w:jc w:val="center"/>
              <w:rPr>
                <w:rFonts w:ascii="Verdana" w:hAnsi="Verdana" w:cs="Verdana"/>
                <w:b/>
                <w:bCs/>
                <w:sz w:val="20"/>
                <w:szCs w:val="20"/>
                <w:lang w:eastAsia="bg-BG"/>
              </w:rPr>
            </w:pPr>
            <w:r w:rsidRPr="000E54EB">
              <w:rPr>
                <w:rFonts w:ascii="Verdana" w:hAnsi="Verdana" w:cs="Verdana"/>
                <w:b/>
                <w:bCs/>
                <w:sz w:val="20"/>
                <w:szCs w:val="20"/>
                <w:lang w:eastAsia="bg-BG"/>
              </w:rPr>
              <w:t>62</w:t>
            </w:r>
          </w:p>
        </w:tc>
        <w:tc>
          <w:tcPr>
            <w:tcW w:w="685" w:type="dxa"/>
            <w:noWrap/>
            <w:vAlign w:val="center"/>
          </w:tcPr>
          <w:p w:rsidR="005B53DF" w:rsidRPr="000E54EB" w:rsidRDefault="005B53DF" w:rsidP="00B617CE">
            <w:pPr>
              <w:jc w:val="center"/>
              <w:rPr>
                <w:rFonts w:ascii="Verdana" w:hAnsi="Verdana" w:cs="Verdana"/>
                <w:b/>
                <w:bCs/>
                <w:sz w:val="20"/>
                <w:szCs w:val="20"/>
                <w:lang w:eastAsia="bg-BG"/>
              </w:rPr>
            </w:pPr>
            <w:r w:rsidRPr="000E54EB">
              <w:rPr>
                <w:rFonts w:ascii="Verdana" w:hAnsi="Verdana" w:cs="Verdana"/>
                <w:b/>
                <w:bCs/>
                <w:sz w:val="20"/>
                <w:szCs w:val="20"/>
                <w:lang w:eastAsia="bg-BG"/>
              </w:rPr>
              <w:t>358</w:t>
            </w:r>
          </w:p>
        </w:tc>
        <w:tc>
          <w:tcPr>
            <w:tcW w:w="992" w:type="dxa"/>
            <w:gridSpan w:val="2"/>
            <w:noWrap/>
            <w:vAlign w:val="center"/>
          </w:tcPr>
          <w:p w:rsidR="005B53DF" w:rsidRPr="000E54EB" w:rsidRDefault="005B53DF" w:rsidP="00B617CE">
            <w:pPr>
              <w:jc w:val="center"/>
              <w:rPr>
                <w:rFonts w:ascii="Verdana" w:hAnsi="Verdana" w:cs="Verdana"/>
                <w:b/>
                <w:bCs/>
                <w:sz w:val="20"/>
                <w:szCs w:val="20"/>
                <w:lang w:eastAsia="bg-BG"/>
              </w:rPr>
            </w:pPr>
            <w:r w:rsidRPr="000E54EB">
              <w:rPr>
                <w:rFonts w:ascii="Verdana" w:hAnsi="Verdana" w:cs="Verdana"/>
                <w:b/>
                <w:bCs/>
                <w:sz w:val="20"/>
                <w:szCs w:val="20"/>
                <w:lang w:eastAsia="bg-BG"/>
              </w:rPr>
              <w:t>4 952</w:t>
            </w:r>
          </w:p>
        </w:tc>
        <w:tc>
          <w:tcPr>
            <w:tcW w:w="1134" w:type="dxa"/>
            <w:noWrap/>
            <w:vAlign w:val="center"/>
          </w:tcPr>
          <w:p w:rsidR="005B53DF" w:rsidRPr="000E54EB" w:rsidRDefault="005B53DF" w:rsidP="00B617CE">
            <w:pPr>
              <w:jc w:val="center"/>
              <w:rPr>
                <w:rFonts w:ascii="Verdana" w:hAnsi="Verdana" w:cs="Verdana"/>
                <w:b/>
                <w:bCs/>
                <w:sz w:val="20"/>
                <w:szCs w:val="20"/>
                <w:lang w:eastAsia="bg-BG"/>
              </w:rPr>
            </w:pPr>
            <w:r w:rsidRPr="000E54EB">
              <w:rPr>
                <w:rFonts w:ascii="Verdana" w:hAnsi="Verdana" w:cs="Verdana"/>
                <w:b/>
                <w:bCs/>
                <w:sz w:val="20"/>
                <w:szCs w:val="20"/>
                <w:lang w:eastAsia="bg-BG"/>
              </w:rPr>
              <w:t>1 011</w:t>
            </w:r>
          </w:p>
        </w:tc>
        <w:tc>
          <w:tcPr>
            <w:tcW w:w="1134" w:type="dxa"/>
            <w:noWrap/>
            <w:vAlign w:val="center"/>
          </w:tcPr>
          <w:p w:rsidR="005B53DF" w:rsidRPr="000E54EB" w:rsidRDefault="005B53DF" w:rsidP="00B617CE">
            <w:pPr>
              <w:jc w:val="center"/>
              <w:rPr>
                <w:rFonts w:ascii="Verdana" w:hAnsi="Verdana" w:cs="Verdana"/>
                <w:b/>
                <w:bCs/>
                <w:sz w:val="20"/>
                <w:szCs w:val="20"/>
                <w:lang w:eastAsia="bg-BG"/>
              </w:rPr>
            </w:pPr>
            <w:r w:rsidRPr="000E54EB">
              <w:rPr>
                <w:rFonts w:ascii="Verdana" w:hAnsi="Verdana" w:cs="Verdana"/>
                <w:b/>
                <w:bCs/>
                <w:sz w:val="20"/>
                <w:szCs w:val="20"/>
                <w:lang w:eastAsia="bg-BG"/>
              </w:rPr>
              <w:t>32</w:t>
            </w:r>
          </w:p>
        </w:tc>
        <w:tc>
          <w:tcPr>
            <w:tcW w:w="1127" w:type="dxa"/>
            <w:noWrap/>
            <w:vAlign w:val="center"/>
          </w:tcPr>
          <w:p w:rsidR="005B53DF" w:rsidRPr="000E54EB" w:rsidRDefault="005B53DF" w:rsidP="00B617CE">
            <w:pPr>
              <w:jc w:val="center"/>
              <w:rPr>
                <w:rFonts w:ascii="Verdana" w:hAnsi="Verdana" w:cs="Verdana"/>
                <w:b/>
                <w:bCs/>
                <w:sz w:val="20"/>
                <w:szCs w:val="20"/>
                <w:lang w:eastAsia="bg-BG"/>
              </w:rPr>
            </w:pPr>
            <w:r w:rsidRPr="000E54EB">
              <w:rPr>
                <w:rFonts w:ascii="Verdana" w:hAnsi="Verdana" w:cs="Verdana"/>
                <w:b/>
                <w:bCs/>
                <w:sz w:val="20"/>
                <w:szCs w:val="20"/>
                <w:lang w:eastAsia="bg-BG"/>
              </w:rPr>
              <w:t>94</w:t>
            </w:r>
          </w:p>
        </w:tc>
        <w:tc>
          <w:tcPr>
            <w:tcW w:w="858" w:type="dxa"/>
          </w:tcPr>
          <w:p w:rsidR="005B53DF" w:rsidRPr="000E54EB" w:rsidRDefault="005B53DF" w:rsidP="00B617CE">
            <w:pPr>
              <w:jc w:val="center"/>
              <w:rPr>
                <w:rFonts w:ascii="Verdana" w:hAnsi="Verdana" w:cs="Verdana"/>
                <w:b/>
                <w:bCs/>
                <w:sz w:val="20"/>
                <w:szCs w:val="20"/>
                <w:lang w:eastAsia="bg-BG"/>
              </w:rPr>
            </w:pPr>
          </w:p>
        </w:tc>
        <w:tc>
          <w:tcPr>
            <w:tcW w:w="858" w:type="dxa"/>
            <w:noWrap/>
            <w:vAlign w:val="center"/>
          </w:tcPr>
          <w:p w:rsidR="005B53DF" w:rsidRPr="000E54EB" w:rsidRDefault="005B53DF" w:rsidP="00B617CE">
            <w:pPr>
              <w:jc w:val="center"/>
              <w:rPr>
                <w:rFonts w:ascii="Verdana" w:hAnsi="Verdana" w:cs="Verdana"/>
                <w:b/>
                <w:bCs/>
                <w:sz w:val="20"/>
                <w:szCs w:val="20"/>
                <w:lang w:eastAsia="bg-BG"/>
              </w:rPr>
            </w:pPr>
            <w:r w:rsidRPr="000E54EB">
              <w:rPr>
                <w:rFonts w:ascii="Verdana" w:hAnsi="Verdana" w:cs="Verdana"/>
                <w:b/>
                <w:bCs/>
                <w:sz w:val="20"/>
                <w:szCs w:val="20"/>
                <w:lang w:eastAsia="bg-BG"/>
              </w:rPr>
              <w:t>40</w:t>
            </w:r>
          </w:p>
        </w:tc>
        <w:tc>
          <w:tcPr>
            <w:tcW w:w="851" w:type="dxa"/>
            <w:noWrap/>
            <w:vAlign w:val="center"/>
          </w:tcPr>
          <w:p w:rsidR="005B53DF" w:rsidRPr="000E54EB" w:rsidRDefault="005B53DF" w:rsidP="00B617CE">
            <w:pPr>
              <w:jc w:val="center"/>
              <w:rPr>
                <w:rFonts w:ascii="Verdana" w:hAnsi="Verdana" w:cs="Verdana"/>
                <w:b/>
                <w:bCs/>
                <w:sz w:val="20"/>
                <w:szCs w:val="20"/>
                <w:lang w:eastAsia="bg-BG"/>
              </w:rPr>
            </w:pPr>
            <w:r w:rsidRPr="000E54EB">
              <w:rPr>
                <w:rFonts w:ascii="Verdana" w:hAnsi="Verdana" w:cs="Verdana"/>
                <w:b/>
                <w:bCs/>
                <w:sz w:val="20"/>
                <w:szCs w:val="20"/>
                <w:lang w:eastAsia="bg-BG"/>
              </w:rPr>
              <w:t>6 549</w:t>
            </w:r>
          </w:p>
        </w:tc>
      </w:tr>
      <w:tr w:rsidR="005B53DF" w:rsidRPr="000E54EB">
        <w:trPr>
          <w:trHeight w:val="221"/>
        </w:trPr>
        <w:tc>
          <w:tcPr>
            <w:tcW w:w="1848" w:type="dxa"/>
            <w:vAlign w:val="center"/>
          </w:tcPr>
          <w:p w:rsidR="005B53DF" w:rsidRPr="009A3CAA" w:rsidRDefault="005B53DF" w:rsidP="00A13023">
            <w:pPr>
              <w:jc w:val="left"/>
              <w:rPr>
                <w:rFonts w:ascii="Verdana" w:hAnsi="Verdana" w:cs="Verdana"/>
                <w:sz w:val="18"/>
                <w:szCs w:val="18"/>
                <w:lang w:eastAsia="bg-BG"/>
              </w:rPr>
            </w:pPr>
            <w:r w:rsidRPr="009A3CAA">
              <w:rPr>
                <w:rFonts w:ascii="Verdana" w:hAnsi="Verdana" w:cs="Verdana"/>
                <w:sz w:val="18"/>
                <w:szCs w:val="18"/>
                <w:lang w:eastAsia="bg-BG"/>
              </w:rPr>
              <w:t>Постъпили</w:t>
            </w:r>
          </w:p>
        </w:tc>
        <w:tc>
          <w:tcPr>
            <w:tcW w:w="851" w:type="dxa"/>
            <w:noWrap/>
            <w:vAlign w:val="center"/>
          </w:tcPr>
          <w:p w:rsidR="005B53DF" w:rsidRPr="000E54EB" w:rsidRDefault="005B53DF" w:rsidP="00B617CE">
            <w:pPr>
              <w:jc w:val="center"/>
              <w:rPr>
                <w:rFonts w:ascii="Verdana" w:hAnsi="Verdana" w:cs="Verdana"/>
                <w:sz w:val="20"/>
                <w:szCs w:val="20"/>
                <w:lang w:eastAsia="bg-BG"/>
              </w:rPr>
            </w:pPr>
          </w:p>
        </w:tc>
        <w:tc>
          <w:tcPr>
            <w:tcW w:w="685" w:type="dxa"/>
            <w:noWrap/>
            <w:vAlign w:val="center"/>
          </w:tcPr>
          <w:p w:rsidR="005B53DF" w:rsidRPr="000E54EB" w:rsidRDefault="005B53DF" w:rsidP="00B617CE">
            <w:pPr>
              <w:jc w:val="center"/>
              <w:rPr>
                <w:rFonts w:ascii="Verdana" w:hAnsi="Verdana" w:cs="Verdana"/>
                <w:sz w:val="20"/>
                <w:szCs w:val="20"/>
                <w:lang w:eastAsia="bg-BG"/>
              </w:rPr>
            </w:pPr>
          </w:p>
        </w:tc>
        <w:tc>
          <w:tcPr>
            <w:tcW w:w="992" w:type="dxa"/>
            <w:gridSpan w:val="2"/>
            <w:noWrap/>
            <w:vAlign w:val="center"/>
          </w:tcPr>
          <w:p w:rsidR="005B53DF" w:rsidRPr="000E54EB" w:rsidRDefault="005B53DF" w:rsidP="00B617CE">
            <w:pPr>
              <w:jc w:val="center"/>
              <w:rPr>
                <w:rFonts w:ascii="Verdana" w:hAnsi="Verdana" w:cs="Verdana"/>
                <w:sz w:val="20"/>
                <w:szCs w:val="20"/>
                <w:lang w:eastAsia="bg-BG"/>
              </w:rPr>
            </w:pPr>
            <w:r>
              <w:rPr>
                <w:rFonts w:ascii="Verdana" w:hAnsi="Verdana" w:cs="Verdana"/>
                <w:sz w:val="20"/>
                <w:szCs w:val="20"/>
                <w:lang w:eastAsia="bg-BG"/>
              </w:rPr>
              <w:t>238</w:t>
            </w:r>
          </w:p>
        </w:tc>
        <w:tc>
          <w:tcPr>
            <w:tcW w:w="1134" w:type="dxa"/>
            <w:noWrap/>
            <w:vAlign w:val="center"/>
          </w:tcPr>
          <w:p w:rsidR="005B53DF" w:rsidRPr="00DC02A4" w:rsidRDefault="005B53DF" w:rsidP="00B617CE">
            <w:pPr>
              <w:jc w:val="center"/>
              <w:rPr>
                <w:rFonts w:ascii="Verdana" w:hAnsi="Verdana" w:cs="Verdana"/>
                <w:sz w:val="20"/>
                <w:szCs w:val="20"/>
                <w:lang w:val="en-US" w:eastAsia="bg-BG"/>
              </w:rPr>
            </w:pPr>
            <w:r>
              <w:rPr>
                <w:rFonts w:ascii="Verdana" w:hAnsi="Verdana" w:cs="Verdana"/>
                <w:sz w:val="20"/>
                <w:szCs w:val="20"/>
                <w:lang w:val="en-US" w:eastAsia="bg-BG"/>
              </w:rPr>
              <w:t>5</w:t>
            </w:r>
          </w:p>
        </w:tc>
        <w:tc>
          <w:tcPr>
            <w:tcW w:w="1134" w:type="dxa"/>
            <w:noWrap/>
            <w:vAlign w:val="center"/>
          </w:tcPr>
          <w:p w:rsidR="005B53DF" w:rsidRPr="000E54EB" w:rsidRDefault="005B53DF" w:rsidP="00B617CE">
            <w:pPr>
              <w:jc w:val="center"/>
              <w:rPr>
                <w:rFonts w:ascii="Verdana" w:hAnsi="Verdana" w:cs="Verdana"/>
                <w:sz w:val="20"/>
                <w:szCs w:val="20"/>
                <w:lang w:eastAsia="bg-BG"/>
              </w:rPr>
            </w:pPr>
          </w:p>
        </w:tc>
        <w:tc>
          <w:tcPr>
            <w:tcW w:w="1127" w:type="dxa"/>
            <w:noWrap/>
            <w:vAlign w:val="center"/>
          </w:tcPr>
          <w:p w:rsidR="005B53DF" w:rsidRPr="00DC02A4" w:rsidRDefault="005B53DF" w:rsidP="00B617CE">
            <w:pPr>
              <w:jc w:val="center"/>
              <w:rPr>
                <w:rFonts w:ascii="Verdana" w:hAnsi="Verdana" w:cs="Verdana"/>
                <w:sz w:val="20"/>
                <w:szCs w:val="20"/>
                <w:lang w:val="en-US" w:eastAsia="bg-BG"/>
              </w:rPr>
            </w:pPr>
            <w:r>
              <w:rPr>
                <w:rFonts w:ascii="Verdana" w:hAnsi="Verdana" w:cs="Verdana"/>
                <w:sz w:val="20"/>
                <w:szCs w:val="20"/>
                <w:lang w:val="en-US" w:eastAsia="bg-BG"/>
              </w:rPr>
              <w:t>423</w:t>
            </w:r>
          </w:p>
        </w:tc>
        <w:tc>
          <w:tcPr>
            <w:tcW w:w="858" w:type="dxa"/>
          </w:tcPr>
          <w:p w:rsidR="005B53DF" w:rsidRPr="00C427ED" w:rsidRDefault="005B53DF" w:rsidP="00B617CE">
            <w:pPr>
              <w:jc w:val="center"/>
              <w:rPr>
                <w:rFonts w:ascii="Verdana" w:hAnsi="Verdana" w:cs="Verdana"/>
                <w:sz w:val="20"/>
                <w:szCs w:val="20"/>
                <w:lang w:val="en-US" w:eastAsia="bg-BG"/>
              </w:rPr>
            </w:pPr>
            <w:r w:rsidRPr="00C427ED">
              <w:rPr>
                <w:rFonts w:ascii="Verdana" w:hAnsi="Verdana" w:cs="Verdana"/>
                <w:sz w:val="20"/>
                <w:szCs w:val="20"/>
                <w:lang w:val="en-US" w:eastAsia="bg-BG"/>
              </w:rPr>
              <w:t>10</w:t>
            </w:r>
          </w:p>
        </w:tc>
        <w:tc>
          <w:tcPr>
            <w:tcW w:w="858" w:type="dxa"/>
            <w:noWrap/>
            <w:vAlign w:val="center"/>
          </w:tcPr>
          <w:p w:rsidR="005B53DF" w:rsidRPr="000E54EB" w:rsidRDefault="005B53DF" w:rsidP="00B617CE">
            <w:pPr>
              <w:jc w:val="center"/>
              <w:rPr>
                <w:rFonts w:ascii="Verdana" w:hAnsi="Verdana" w:cs="Verdana"/>
                <w:sz w:val="20"/>
                <w:szCs w:val="20"/>
                <w:lang w:eastAsia="bg-BG"/>
              </w:rPr>
            </w:pPr>
            <w:r>
              <w:rPr>
                <w:rFonts w:ascii="Verdana" w:hAnsi="Verdana" w:cs="Verdana"/>
                <w:sz w:val="20"/>
                <w:szCs w:val="20"/>
                <w:lang w:eastAsia="bg-BG"/>
              </w:rPr>
              <w:t>1</w:t>
            </w:r>
          </w:p>
        </w:tc>
        <w:tc>
          <w:tcPr>
            <w:tcW w:w="851" w:type="dxa"/>
            <w:noWrap/>
            <w:vAlign w:val="center"/>
          </w:tcPr>
          <w:p w:rsidR="005B53DF" w:rsidRPr="000E54EB" w:rsidRDefault="005B53DF" w:rsidP="00B617CE">
            <w:pPr>
              <w:jc w:val="center"/>
              <w:rPr>
                <w:rFonts w:ascii="Verdana" w:hAnsi="Verdana" w:cs="Verdana"/>
                <w:b/>
                <w:bCs/>
                <w:sz w:val="20"/>
                <w:szCs w:val="20"/>
                <w:lang w:eastAsia="bg-BG"/>
              </w:rPr>
            </w:pPr>
            <w:r>
              <w:rPr>
                <w:rFonts w:ascii="Verdana" w:hAnsi="Verdana" w:cs="Verdana"/>
                <w:b/>
                <w:bCs/>
                <w:sz w:val="20"/>
                <w:szCs w:val="20"/>
                <w:lang w:eastAsia="bg-BG"/>
              </w:rPr>
              <w:t>677</w:t>
            </w:r>
          </w:p>
        </w:tc>
      </w:tr>
      <w:tr w:rsidR="005B53DF" w:rsidRPr="000E54EB">
        <w:trPr>
          <w:trHeight w:val="300"/>
        </w:trPr>
        <w:tc>
          <w:tcPr>
            <w:tcW w:w="1848" w:type="dxa"/>
            <w:vAlign w:val="center"/>
          </w:tcPr>
          <w:p w:rsidR="005B53DF" w:rsidRPr="009A3CAA" w:rsidRDefault="005B53DF" w:rsidP="00A13023">
            <w:pPr>
              <w:jc w:val="left"/>
              <w:rPr>
                <w:rFonts w:ascii="Verdana" w:hAnsi="Verdana" w:cs="Verdana"/>
                <w:sz w:val="18"/>
                <w:szCs w:val="18"/>
                <w:lang w:eastAsia="bg-BG"/>
              </w:rPr>
            </w:pPr>
            <w:r w:rsidRPr="009A3CAA">
              <w:rPr>
                <w:rFonts w:ascii="Verdana" w:hAnsi="Verdana" w:cs="Verdana"/>
                <w:sz w:val="18"/>
                <w:szCs w:val="18"/>
                <w:lang w:eastAsia="bg-BG"/>
              </w:rPr>
              <w:t>Излезли от употреба</w:t>
            </w:r>
          </w:p>
        </w:tc>
        <w:tc>
          <w:tcPr>
            <w:tcW w:w="851" w:type="dxa"/>
            <w:noWrap/>
            <w:vAlign w:val="center"/>
          </w:tcPr>
          <w:p w:rsidR="005B53DF" w:rsidRPr="000E54EB" w:rsidRDefault="005B53DF" w:rsidP="00B617CE">
            <w:pPr>
              <w:jc w:val="center"/>
              <w:rPr>
                <w:rFonts w:ascii="Verdana" w:hAnsi="Verdana" w:cs="Verdana"/>
                <w:sz w:val="20"/>
                <w:szCs w:val="20"/>
                <w:lang w:eastAsia="bg-BG"/>
              </w:rPr>
            </w:pPr>
          </w:p>
        </w:tc>
        <w:tc>
          <w:tcPr>
            <w:tcW w:w="685" w:type="dxa"/>
            <w:noWrap/>
            <w:vAlign w:val="center"/>
          </w:tcPr>
          <w:p w:rsidR="005B53DF" w:rsidRPr="000E54EB" w:rsidRDefault="005B53DF" w:rsidP="00B617CE">
            <w:pPr>
              <w:jc w:val="center"/>
              <w:rPr>
                <w:rFonts w:ascii="Verdana" w:hAnsi="Verdana" w:cs="Verdana"/>
                <w:sz w:val="20"/>
                <w:szCs w:val="20"/>
                <w:lang w:eastAsia="bg-BG"/>
              </w:rPr>
            </w:pPr>
          </w:p>
        </w:tc>
        <w:tc>
          <w:tcPr>
            <w:tcW w:w="992" w:type="dxa"/>
            <w:gridSpan w:val="2"/>
            <w:noWrap/>
            <w:vAlign w:val="center"/>
          </w:tcPr>
          <w:p w:rsidR="005B53DF" w:rsidRPr="00DC02A4" w:rsidRDefault="005B53DF" w:rsidP="00B617CE">
            <w:pPr>
              <w:jc w:val="center"/>
              <w:rPr>
                <w:rFonts w:ascii="Verdana" w:hAnsi="Verdana" w:cs="Verdana"/>
                <w:sz w:val="20"/>
                <w:szCs w:val="20"/>
                <w:lang w:val="en-US" w:eastAsia="bg-BG"/>
              </w:rPr>
            </w:pPr>
            <w:r>
              <w:rPr>
                <w:rFonts w:ascii="Verdana" w:hAnsi="Verdana" w:cs="Verdana"/>
                <w:sz w:val="20"/>
                <w:szCs w:val="20"/>
                <w:lang w:eastAsia="bg-BG"/>
              </w:rPr>
              <w:t>(</w:t>
            </w:r>
            <w:r>
              <w:rPr>
                <w:rFonts w:ascii="Verdana" w:hAnsi="Verdana" w:cs="Verdana"/>
                <w:sz w:val="20"/>
                <w:szCs w:val="20"/>
                <w:lang w:val="en-US" w:eastAsia="bg-BG"/>
              </w:rPr>
              <w:t>15</w:t>
            </w:r>
            <w:r>
              <w:rPr>
                <w:rFonts w:ascii="Verdana" w:hAnsi="Verdana" w:cs="Verdana"/>
                <w:sz w:val="20"/>
                <w:szCs w:val="20"/>
                <w:lang w:eastAsia="bg-BG"/>
              </w:rPr>
              <w:t>)</w:t>
            </w:r>
          </w:p>
        </w:tc>
        <w:tc>
          <w:tcPr>
            <w:tcW w:w="1134" w:type="dxa"/>
            <w:noWrap/>
            <w:vAlign w:val="center"/>
          </w:tcPr>
          <w:p w:rsidR="005B53DF" w:rsidRPr="000E54EB" w:rsidRDefault="005B53DF" w:rsidP="00B617CE">
            <w:pPr>
              <w:jc w:val="center"/>
              <w:rPr>
                <w:rFonts w:ascii="Verdana" w:hAnsi="Verdana" w:cs="Verdana"/>
                <w:sz w:val="20"/>
                <w:szCs w:val="20"/>
                <w:lang w:eastAsia="bg-BG"/>
              </w:rPr>
            </w:pPr>
          </w:p>
        </w:tc>
        <w:tc>
          <w:tcPr>
            <w:tcW w:w="1134" w:type="dxa"/>
            <w:noWrap/>
            <w:vAlign w:val="center"/>
          </w:tcPr>
          <w:p w:rsidR="005B53DF" w:rsidRPr="000E54EB" w:rsidRDefault="005B53DF" w:rsidP="00B617CE">
            <w:pPr>
              <w:jc w:val="center"/>
              <w:rPr>
                <w:rFonts w:ascii="Verdana" w:hAnsi="Verdana" w:cs="Verdana"/>
                <w:sz w:val="20"/>
                <w:szCs w:val="20"/>
                <w:lang w:eastAsia="bg-BG"/>
              </w:rPr>
            </w:pPr>
          </w:p>
        </w:tc>
        <w:tc>
          <w:tcPr>
            <w:tcW w:w="1127" w:type="dxa"/>
            <w:noWrap/>
            <w:vAlign w:val="center"/>
          </w:tcPr>
          <w:p w:rsidR="005B53DF" w:rsidRPr="00DC02A4" w:rsidRDefault="005B53DF" w:rsidP="00B617CE">
            <w:pPr>
              <w:jc w:val="center"/>
              <w:rPr>
                <w:rFonts w:ascii="Verdana" w:hAnsi="Verdana" w:cs="Verdana"/>
                <w:sz w:val="20"/>
                <w:szCs w:val="20"/>
                <w:lang w:val="en-US" w:eastAsia="bg-BG"/>
              </w:rPr>
            </w:pPr>
            <w:r>
              <w:rPr>
                <w:rFonts w:ascii="Verdana" w:hAnsi="Verdana" w:cs="Verdana"/>
                <w:sz w:val="20"/>
                <w:szCs w:val="20"/>
                <w:lang w:val="en-US" w:eastAsia="bg-BG"/>
              </w:rPr>
              <w:t>(243)</w:t>
            </w:r>
          </w:p>
        </w:tc>
        <w:tc>
          <w:tcPr>
            <w:tcW w:w="858" w:type="dxa"/>
          </w:tcPr>
          <w:p w:rsidR="005B53DF" w:rsidRPr="000E54EB" w:rsidRDefault="005B53DF" w:rsidP="00B617CE">
            <w:pPr>
              <w:jc w:val="center"/>
              <w:rPr>
                <w:rFonts w:ascii="Verdana" w:hAnsi="Verdana" w:cs="Verdana"/>
                <w:sz w:val="20"/>
                <w:szCs w:val="20"/>
                <w:lang w:eastAsia="bg-BG"/>
              </w:rPr>
            </w:pPr>
          </w:p>
        </w:tc>
        <w:tc>
          <w:tcPr>
            <w:tcW w:w="858" w:type="dxa"/>
            <w:noWrap/>
            <w:vAlign w:val="center"/>
          </w:tcPr>
          <w:p w:rsidR="005B53DF" w:rsidRPr="000E54EB" w:rsidRDefault="005B53DF" w:rsidP="00B617CE">
            <w:pPr>
              <w:jc w:val="center"/>
              <w:rPr>
                <w:rFonts w:ascii="Verdana" w:hAnsi="Verdana" w:cs="Verdana"/>
                <w:sz w:val="20"/>
                <w:szCs w:val="20"/>
                <w:lang w:eastAsia="bg-BG"/>
              </w:rPr>
            </w:pPr>
          </w:p>
        </w:tc>
        <w:tc>
          <w:tcPr>
            <w:tcW w:w="851" w:type="dxa"/>
            <w:noWrap/>
            <w:vAlign w:val="center"/>
          </w:tcPr>
          <w:p w:rsidR="005B53DF" w:rsidRPr="00C427ED" w:rsidRDefault="005B53DF" w:rsidP="00B617CE">
            <w:pPr>
              <w:jc w:val="center"/>
              <w:rPr>
                <w:rFonts w:ascii="Verdana" w:hAnsi="Verdana" w:cs="Verdana"/>
                <w:b/>
                <w:bCs/>
                <w:sz w:val="20"/>
                <w:szCs w:val="20"/>
                <w:lang w:val="en-US" w:eastAsia="bg-BG"/>
              </w:rPr>
            </w:pPr>
            <w:r>
              <w:rPr>
                <w:rFonts w:ascii="Verdana" w:hAnsi="Verdana" w:cs="Verdana"/>
                <w:b/>
                <w:bCs/>
                <w:sz w:val="20"/>
                <w:szCs w:val="20"/>
                <w:lang w:eastAsia="bg-BG"/>
              </w:rPr>
              <w:t>(</w:t>
            </w:r>
            <w:r>
              <w:rPr>
                <w:rFonts w:ascii="Verdana" w:hAnsi="Verdana" w:cs="Verdana"/>
                <w:b/>
                <w:bCs/>
                <w:sz w:val="20"/>
                <w:szCs w:val="20"/>
                <w:lang w:val="en-US" w:eastAsia="bg-BG"/>
              </w:rPr>
              <w:t>258</w:t>
            </w:r>
            <w:r>
              <w:rPr>
                <w:rFonts w:ascii="Verdana" w:hAnsi="Verdana" w:cs="Verdana"/>
                <w:b/>
                <w:bCs/>
                <w:sz w:val="20"/>
                <w:szCs w:val="20"/>
                <w:lang w:eastAsia="bg-BG"/>
              </w:rPr>
              <w:t>)</w:t>
            </w:r>
          </w:p>
        </w:tc>
      </w:tr>
      <w:tr w:rsidR="005B53DF" w:rsidRPr="000E54EB">
        <w:trPr>
          <w:trHeight w:val="300"/>
        </w:trPr>
        <w:tc>
          <w:tcPr>
            <w:tcW w:w="1848" w:type="dxa"/>
            <w:vAlign w:val="center"/>
          </w:tcPr>
          <w:p w:rsidR="005B53DF" w:rsidRPr="00DC02A4" w:rsidRDefault="005B53DF" w:rsidP="005B53DF">
            <w:pPr>
              <w:jc w:val="left"/>
              <w:rPr>
                <w:rFonts w:ascii="Verdana" w:hAnsi="Verdana" w:cs="Verdana"/>
                <w:sz w:val="18"/>
                <w:szCs w:val="18"/>
                <w:lang w:eastAsia="bg-BG"/>
              </w:rPr>
            </w:pPr>
            <w:r w:rsidRPr="00DC02A4">
              <w:rPr>
                <w:rFonts w:ascii="Verdana" w:hAnsi="Verdana" w:cs="Verdana"/>
                <w:sz w:val="18"/>
                <w:szCs w:val="18"/>
                <w:lang w:eastAsia="bg-BG"/>
              </w:rPr>
              <w:t>Увеличения в резултат от преоценка, които са признати в друг всеобхватен доход</w:t>
            </w:r>
          </w:p>
          <w:p w:rsidR="005B53DF" w:rsidRPr="009A3CAA" w:rsidRDefault="005B53DF" w:rsidP="00A13023">
            <w:pPr>
              <w:jc w:val="left"/>
              <w:rPr>
                <w:rFonts w:ascii="Verdana" w:hAnsi="Verdana" w:cs="Verdana"/>
                <w:sz w:val="18"/>
                <w:szCs w:val="18"/>
                <w:lang w:eastAsia="bg-BG"/>
              </w:rPr>
            </w:pPr>
          </w:p>
        </w:tc>
        <w:tc>
          <w:tcPr>
            <w:tcW w:w="851" w:type="dxa"/>
            <w:noWrap/>
            <w:vAlign w:val="center"/>
          </w:tcPr>
          <w:p w:rsidR="005B53DF" w:rsidRPr="000E54EB" w:rsidRDefault="005B53DF" w:rsidP="00B617CE">
            <w:pPr>
              <w:jc w:val="center"/>
              <w:rPr>
                <w:rFonts w:ascii="Verdana" w:hAnsi="Verdana" w:cs="Verdana"/>
                <w:sz w:val="20"/>
                <w:szCs w:val="20"/>
                <w:lang w:eastAsia="bg-BG"/>
              </w:rPr>
            </w:pPr>
            <w:r>
              <w:rPr>
                <w:rFonts w:ascii="Verdana" w:hAnsi="Verdana" w:cs="Verdana"/>
                <w:sz w:val="20"/>
                <w:szCs w:val="20"/>
                <w:lang w:eastAsia="bg-BG"/>
              </w:rPr>
              <w:t>1 600</w:t>
            </w:r>
          </w:p>
        </w:tc>
        <w:tc>
          <w:tcPr>
            <w:tcW w:w="685" w:type="dxa"/>
            <w:noWrap/>
            <w:vAlign w:val="center"/>
          </w:tcPr>
          <w:p w:rsidR="005B53DF" w:rsidRPr="000E54EB" w:rsidRDefault="005B53DF" w:rsidP="00B617CE">
            <w:pPr>
              <w:jc w:val="center"/>
              <w:rPr>
                <w:rFonts w:ascii="Verdana" w:hAnsi="Verdana" w:cs="Verdana"/>
                <w:sz w:val="20"/>
                <w:szCs w:val="20"/>
                <w:lang w:eastAsia="bg-BG"/>
              </w:rPr>
            </w:pPr>
          </w:p>
        </w:tc>
        <w:tc>
          <w:tcPr>
            <w:tcW w:w="992" w:type="dxa"/>
            <w:gridSpan w:val="2"/>
            <w:noWrap/>
            <w:vAlign w:val="center"/>
          </w:tcPr>
          <w:p w:rsidR="005B53DF" w:rsidRPr="00DC02A4" w:rsidRDefault="005B53DF" w:rsidP="00B617CE">
            <w:pPr>
              <w:jc w:val="center"/>
              <w:rPr>
                <w:rFonts w:ascii="Verdana" w:hAnsi="Verdana" w:cs="Verdana"/>
                <w:sz w:val="20"/>
                <w:szCs w:val="20"/>
                <w:lang w:val="en-US" w:eastAsia="bg-BG"/>
              </w:rPr>
            </w:pPr>
            <w:r>
              <w:rPr>
                <w:rFonts w:ascii="Verdana" w:hAnsi="Verdana" w:cs="Verdana"/>
                <w:sz w:val="20"/>
                <w:szCs w:val="20"/>
                <w:lang w:val="en-US" w:eastAsia="bg-BG"/>
              </w:rPr>
              <w:t>1</w:t>
            </w:r>
          </w:p>
        </w:tc>
        <w:tc>
          <w:tcPr>
            <w:tcW w:w="1134" w:type="dxa"/>
            <w:noWrap/>
            <w:vAlign w:val="center"/>
          </w:tcPr>
          <w:p w:rsidR="005B53DF" w:rsidRPr="00DC02A4" w:rsidRDefault="005B53DF" w:rsidP="00B617CE">
            <w:pPr>
              <w:jc w:val="center"/>
              <w:rPr>
                <w:rFonts w:ascii="Verdana" w:hAnsi="Verdana" w:cs="Verdana"/>
                <w:sz w:val="20"/>
                <w:szCs w:val="20"/>
                <w:lang w:val="en-US" w:eastAsia="bg-BG"/>
              </w:rPr>
            </w:pPr>
            <w:r>
              <w:rPr>
                <w:rFonts w:ascii="Verdana" w:hAnsi="Verdana" w:cs="Verdana"/>
                <w:sz w:val="20"/>
                <w:szCs w:val="20"/>
                <w:lang w:val="en-US" w:eastAsia="bg-BG"/>
              </w:rPr>
              <w:t>1</w:t>
            </w:r>
          </w:p>
        </w:tc>
        <w:tc>
          <w:tcPr>
            <w:tcW w:w="1134" w:type="dxa"/>
            <w:noWrap/>
            <w:vAlign w:val="center"/>
          </w:tcPr>
          <w:p w:rsidR="005B53DF" w:rsidRPr="000E54EB" w:rsidRDefault="005B53DF" w:rsidP="00B617CE">
            <w:pPr>
              <w:jc w:val="center"/>
              <w:rPr>
                <w:rFonts w:ascii="Verdana" w:hAnsi="Verdana" w:cs="Verdana"/>
                <w:sz w:val="20"/>
                <w:szCs w:val="20"/>
                <w:lang w:eastAsia="bg-BG"/>
              </w:rPr>
            </w:pPr>
          </w:p>
        </w:tc>
        <w:tc>
          <w:tcPr>
            <w:tcW w:w="1127" w:type="dxa"/>
            <w:noWrap/>
            <w:vAlign w:val="center"/>
          </w:tcPr>
          <w:p w:rsidR="005B53DF" w:rsidRPr="000E54EB" w:rsidRDefault="005B53DF" w:rsidP="00B617CE">
            <w:pPr>
              <w:jc w:val="center"/>
              <w:rPr>
                <w:rFonts w:ascii="Verdana" w:hAnsi="Verdana" w:cs="Verdana"/>
                <w:sz w:val="20"/>
                <w:szCs w:val="20"/>
                <w:lang w:eastAsia="bg-BG"/>
              </w:rPr>
            </w:pPr>
          </w:p>
        </w:tc>
        <w:tc>
          <w:tcPr>
            <w:tcW w:w="858" w:type="dxa"/>
          </w:tcPr>
          <w:p w:rsidR="005B53DF" w:rsidRPr="000E54EB" w:rsidRDefault="005B53DF" w:rsidP="00B617CE">
            <w:pPr>
              <w:jc w:val="center"/>
              <w:rPr>
                <w:rFonts w:ascii="Verdana" w:hAnsi="Verdana" w:cs="Verdana"/>
                <w:sz w:val="20"/>
                <w:szCs w:val="20"/>
                <w:lang w:eastAsia="bg-BG"/>
              </w:rPr>
            </w:pPr>
          </w:p>
        </w:tc>
        <w:tc>
          <w:tcPr>
            <w:tcW w:w="858" w:type="dxa"/>
            <w:noWrap/>
            <w:vAlign w:val="center"/>
          </w:tcPr>
          <w:p w:rsidR="005B53DF" w:rsidRPr="000E54EB" w:rsidRDefault="005B53DF" w:rsidP="00B617CE">
            <w:pPr>
              <w:jc w:val="center"/>
              <w:rPr>
                <w:rFonts w:ascii="Verdana" w:hAnsi="Verdana" w:cs="Verdana"/>
                <w:sz w:val="20"/>
                <w:szCs w:val="20"/>
                <w:lang w:eastAsia="bg-BG"/>
              </w:rPr>
            </w:pPr>
          </w:p>
        </w:tc>
        <w:tc>
          <w:tcPr>
            <w:tcW w:w="851" w:type="dxa"/>
            <w:noWrap/>
            <w:vAlign w:val="center"/>
          </w:tcPr>
          <w:p w:rsidR="005B53DF" w:rsidRPr="00C427ED" w:rsidRDefault="005B53DF" w:rsidP="00B617CE">
            <w:pPr>
              <w:jc w:val="center"/>
              <w:rPr>
                <w:rFonts w:ascii="Verdana" w:hAnsi="Verdana" w:cs="Verdana"/>
                <w:b/>
                <w:bCs/>
                <w:sz w:val="20"/>
                <w:szCs w:val="20"/>
                <w:lang w:val="en-US" w:eastAsia="bg-BG"/>
              </w:rPr>
            </w:pPr>
            <w:r>
              <w:rPr>
                <w:rFonts w:ascii="Verdana" w:hAnsi="Verdana" w:cs="Verdana"/>
                <w:b/>
                <w:bCs/>
                <w:sz w:val="20"/>
                <w:szCs w:val="20"/>
                <w:lang w:val="en-US" w:eastAsia="bg-BG"/>
              </w:rPr>
              <w:t>1 602</w:t>
            </w:r>
          </w:p>
        </w:tc>
      </w:tr>
      <w:tr w:rsidR="005B53DF" w:rsidRPr="000E54EB">
        <w:trPr>
          <w:trHeight w:val="765"/>
        </w:trPr>
        <w:tc>
          <w:tcPr>
            <w:tcW w:w="1848" w:type="dxa"/>
            <w:vAlign w:val="center"/>
          </w:tcPr>
          <w:p w:rsidR="005B53DF" w:rsidRPr="009A3CAA" w:rsidRDefault="005B53DF" w:rsidP="00A13023">
            <w:pPr>
              <w:jc w:val="left"/>
              <w:rPr>
                <w:rFonts w:ascii="Verdana" w:hAnsi="Verdana" w:cs="Verdana"/>
                <w:sz w:val="18"/>
                <w:szCs w:val="18"/>
                <w:lang w:eastAsia="bg-BG"/>
              </w:rPr>
            </w:pPr>
            <w:r w:rsidRPr="009A3CAA">
              <w:rPr>
                <w:rFonts w:ascii="Verdana" w:hAnsi="Verdana" w:cs="Verdana"/>
                <w:sz w:val="18"/>
                <w:szCs w:val="18"/>
                <w:lang w:eastAsia="bg-BG"/>
              </w:rPr>
              <w:t>Общо увеличения/</w:t>
            </w:r>
          </w:p>
          <w:p w:rsidR="005B53DF" w:rsidRPr="009A3CAA" w:rsidRDefault="005B53DF" w:rsidP="00A13023">
            <w:pPr>
              <w:jc w:val="left"/>
              <w:rPr>
                <w:rFonts w:ascii="Verdana" w:hAnsi="Verdana" w:cs="Verdana"/>
                <w:sz w:val="18"/>
                <w:szCs w:val="18"/>
                <w:lang w:eastAsia="bg-BG"/>
              </w:rPr>
            </w:pPr>
            <w:r w:rsidRPr="009A3CAA">
              <w:rPr>
                <w:rFonts w:ascii="Verdana" w:hAnsi="Verdana" w:cs="Verdana"/>
                <w:sz w:val="18"/>
                <w:szCs w:val="18"/>
                <w:lang w:eastAsia="bg-BG"/>
              </w:rPr>
              <w:t>(намаления) за периода</w:t>
            </w:r>
          </w:p>
        </w:tc>
        <w:tc>
          <w:tcPr>
            <w:tcW w:w="851" w:type="dxa"/>
            <w:noWrap/>
            <w:vAlign w:val="center"/>
          </w:tcPr>
          <w:p w:rsidR="005B53DF" w:rsidRPr="000E54EB" w:rsidRDefault="005B53DF" w:rsidP="00B617CE">
            <w:pPr>
              <w:jc w:val="center"/>
              <w:rPr>
                <w:rFonts w:ascii="Verdana" w:hAnsi="Verdana" w:cs="Verdana"/>
                <w:sz w:val="20"/>
                <w:szCs w:val="20"/>
                <w:lang w:eastAsia="bg-BG"/>
              </w:rPr>
            </w:pPr>
            <w:r>
              <w:rPr>
                <w:rFonts w:ascii="Verdana" w:hAnsi="Verdana" w:cs="Verdana"/>
                <w:sz w:val="20"/>
                <w:szCs w:val="20"/>
                <w:lang w:eastAsia="bg-BG"/>
              </w:rPr>
              <w:t>1 600</w:t>
            </w:r>
          </w:p>
        </w:tc>
        <w:tc>
          <w:tcPr>
            <w:tcW w:w="685" w:type="dxa"/>
            <w:noWrap/>
            <w:vAlign w:val="center"/>
          </w:tcPr>
          <w:p w:rsidR="005B53DF" w:rsidRPr="000E54EB" w:rsidRDefault="005B53DF" w:rsidP="00B617CE">
            <w:pPr>
              <w:jc w:val="center"/>
              <w:rPr>
                <w:rFonts w:ascii="Verdana" w:hAnsi="Verdana" w:cs="Verdana"/>
                <w:sz w:val="20"/>
                <w:szCs w:val="20"/>
                <w:lang w:eastAsia="bg-BG"/>
              </w:rPr>
            </w:pPr>
          </w:p>
        </w:tc>
        <w:tc>
          <w:tcPr>
            <w:tcW w:w="992" w:type="dxa"/>
            <w:gridSpan w:val="2"/>
            <w:noWrap/>
            <w:vAlign w:val="center"/>
          </w:tcPr>
          <w:p w:rsidR="005B53DF" w:rsidRPr="00DC02A4" w:rsidRDefault="005B53DF" w:rsidP="00B617CE">
            <w:pPr>
              <w:jc w:val="center"/>
              <w:rPr>
                <w:rFonts w:ascii="Verdana" w:hAnsi="Verdana" w:cs="Verdana"/>
                <w:sz w:val="20"/>
                <w:szCs w:val="20"/>
                <w:lang w:val="en-US" w:eastAsia="bg-BG"/>
              </w:rPr>
            </w:pPr>
            <w:r>
              <w:rPr>
                <w:rFonts w:ascii="Verdana" w:hAnsi="Verdana" w:cs="Verdana"/>
                <w:sz w:val="20"/>
                <w:szCs w:val="20"/>
                <w:lang w:val="en-US" w:eastAsia="bg-BG"/>
              </w:rPr>
              <w:t>224</w:t>
            </w:r>
          </w:p>
        </w:tc>
        <w:tc>
          <w:tcPr>
            <w:tcW w:w="1134" w:type="dxa"/>
            <w:noWrap/>
            <w:vAlign w:val="center"/>
          </w:tcPr>
          <w:p w:rsidR="005B53DF" w:rsidRPr="00DC02A4" w:rsidRDefault="005B53DF" w:rsidP="00B617CE">
            <w:pPr>
              <w:jc w:val="center"/>
              <w:rPr>
                <w:rFonts w:ascii="Verdana" w:hAnsi="Verdana" w:cs="Verdana"/>
                <w:sz w:val="20"/>
                <w:szCs w:val="20"/>
                <w:lang w:val="en-US" w:eastAsia="bg-BG"/>
              </w:rPr>
            </w:pPr>
            <w:r>
              <w:rPr>
                <w:rFonts w:ascii="Verdana" w:hAnsi="Verdana" w:cs="Verdana"/>
                <w:sz w:val="20"/>
                <w:szCs w:val="20"/>
                <w:lang w:val="en-US" w:eastAsia="bg-BG"/>
              </w:rPr>
              <w:t>6</w:t>
            </w:r>
          </w:p>
        </w:tc>
        <w:tc>
          <w:tcPr>
            <w:tcW w:w="1134" w:type="dxa"/>
            <w:noWrap/>
            <w:vAlign w:val="center"/>
          </w:tcPr>
          <w:p w:rsidR="005B53DF" w:rsidRPr="000E54EB" w:rsidRDefault="005B53DF" w:rsidP="00B617CE">
            <w:pPr>
              <w:jc w:val="center"/>
              <w:rPr>
                <w:rFonts w:ascii="Verdana" w:hAnsi="Verdana" w:cs="Verdana"/>
                <w:sz w:val="20"/>
                <w:szCs w:val="20"/>
                <w:lang w:eastAsia="bg-BG"/>
              </w:rPr>
            </w:pPr>
          </w:p>
        </w:tc>
        <w:tc>
          <w:tcPr>
            <w:tcW w:w="1127" w:type="dxa"/>
            <w:noWrap/>
            <w:vAlign w:val="center"/>
          </w:tcPr>
          <w:p w:rsidR="005B53DF" w:rsidRPr="00DC02A4" w:rsidRDefault="005B53DF" w:rsidP="00B617CE">
            <w:pPr>
              <w:jc w:val="center"/>
              <w:rPr>
                <w:rFonts w:ascii="Verdana" w:hAnsi="Verdana" w:cs="Verdana"/>
                <w:sz w:val="20"/>
                <w:szCs w:val="20"/>
                <w:lang w:val="en-US" w:eastAsia="bg-BG"/>
              </w:rPr>
            </w:pPr>
            <w:r>
              <w:rPr>
                <w:rFonts w:ascii="Verdana" w:hAnsi="Verdana" w:cs="Verdana"/>
                <w:sz w:val="20"/>
                <w:szCs w:val="20"/>
                <w:lang w:val="en-US" w:eastAsia="bg-BG"/>
              </w:rPr>
              <w:t>180</w:t>
            </w:r>
          </w:p>
        </w:tc>
        <w:tc>
          <w:tcPr>
            <w:tcW w:w="858" w:type="dxa"/>
          </w:tcPr>
          <w:p w:rsidR="005B53DF" w:rsidRDefault="005B53DF" w:rsidP="00B617CE">
            <w:pPr>
              <w:jc w:val="center"/>
              <w:rPr>
                <w:rFonts w:ascii="Verdana" w:hAnsi="Verdana" w:cs="Verdana"/>
                <w:sz w:val="20"/>
                <w:szCs w:val="20"/>
                <w:lang w:val="en-US" w:eastAsia="bg-BG"/>
              </w:rPr>
            </w:pPr>
          </w:p>
          <w:p w:rsidR="005B53DF" w:rsidRPr="000E54EB" w:rsidRDefault="005B53DF" w:rsidP="00B617CE">
            <w:pPr>
              <w:jc w:val="center"/>
              <w:rPr>
                <w:rFonts w:ascii="Verdana" w:hAnsi="Verdana" w:cs="Verdana"/>
                <w:sz w:val="20"/>
                <w:szCs w:val="20"/>
                <w:lang w:eastAsia="bg-BG"/>
              </w:rPr>
            </w:pPr>
            <w:r>
              <w:rPr>
                <w:rFonts w:ascii="Verdana" w:hAnsi="Verdana" w:cs="Verdana"/>
                <w:sz w:val="20"/>
                <w:szCs w:val="20"/>
                <w:lang w:eastAsia="bg-BG"/>
              </w:rPr>
              <w:t>10</w:t>
            </w:r>
          </w:p>
        </w:tc>
        <w:tc>
          <w:tcPr>
            <w:tcW w:w="858" w:type="dxa"/>
            <w:noWrap/>
            <w:vAlign w:val="center"/>
          </w:tcPr>
          <w:p w:rsidR="005B53DF" w:rsidRPr="00C427ED" w:rsidRDefault="005B53DF" w:rsidP="00B617CE">
            <w:pPr>
              <w:jc w:val="center"/>
              <w:rPr>
                <w:rFonts w:ascii="Verdana" w:hAnsi="Verdana" w:cs="Verdana"/>
                <w:sz w:val="20"/>
                <w:szCs w:val="20"/>
                <w:lang w:val="en-US" w:eastAsia="bg-BG"/>
              </w:rPr>
            </w:pPr>
            <w:r>
              <w:rPr>
                <w:rFonts w:ascii="Verdana" w:hAnsi="Verdana" w:cs="Verdana"/>
                <w:sz w:val="20"/>
                <w:szCs w:val="20"/>
                <w:lang w:val="en-US" w:eastAsia="bg-BG"/>
              </w:rPr>
              <w:t>1</w:t>
            </w:r>
          </w:p>
        </w:tc>
        <w:tc>
          <w:tcPr>
            <w:tcW w:w="851" w:type="dxa"/>
            <w:noWrap/>
            <w:vAlign w:val="center"/>
          </w:tcPr>
          <w:p w:rsidR="005B53DF" w:rsidRPr="00C427ED" w:rsidRDefault="005B53DF" w:rsidP="00B617CE">
            <w:pPr>
              <w:jc w:val="center"/>
              <w:rPr>
                <w:rFonts w:ascii="Verdana" w:hAnsi="Verdana" w:cs="Verdana"/>
                <w:b/>
                <w:bCs/>
                <w:sz w:val="20"/>
                <w:szCs w:val="20"/>
                <w:lang w:val="en-US" w:eastAsia="bg-BG"/>
              </w:rPr>
            </w:pPr>
            <w:r>
              <w:rPr>
                <w:rFonts w:ascii="Verdana" w:hAnsi="Verdana" w:cs="Verdana"/>
                <w:b/>
                <w:bCs/>
                <w:sz w:val="20"/>
                <w:szCs w:val="20"/>
                <w:lang w:val="en-US" w:eastAsia="bg-BG"/>
              </w:rPr>
              <w:t>2 021</w:t>
            </w:r>
          </w:p>
        </w:tc>
      </w:tr>
      <w:tr w:rsidR="005B53DF" w:rsidRPr="000E54EB">
        <w:trPr>
          <w:trHeight w:val="300"/>
        </w:trPr>
        <w:tc>
          <w:tcPr>
            <w:tcW w:w="1848" w:type="dxa"/>
            <w:vAlign w:val="center"/>
          </w:tcPr>
          <w:p w:rsidR="005B53DF" w:rsidRPr="000E54EB" w:rsidRDefault="005B53DF" w:rsidP="00537B3C">
            <w:pPr>
              <w:jc w:val="left"/>
              <w:rPr>
                <w:rFonts w:ascii="Verdana" w:hAnsi="Verdana" w:cs="Verdana"/>
                <w:b/>
                <w:bCs/>
                <w:sz w:val="20"/>
                <w:szCs w:val="20"/>
                <w:lang w:eastAsia="bg-BG"/>
              </w:rPr>
            </w:pPr>
            <w:r w:rsidRPr="000E54EB">
              <w:rPr>
                <w:rFonts w:ascii="Verdana" w:hAnsi="Verdana" w:cs="Verdana"/>
                <w:b/>
                <w:bCs/>
                <w:sz w:val="20"/>
                <w:szCs w:val="20"/>
                <w:lang w:eastAsia="bg-BG"/>
              </w:rPr>
              <w:t>Салдо към 31.12.201</w:t>
            </w:r>
            <w:r>
              <w:rPr>
                <w:rFonts w:ascii="Verdana" w:hAnsi="Verdana" w:cs="Verdana"/>
                <w:b/>
                <w:bCs/>
                <w:sz w:val="20"/>
                <w:szCs w:val="20"/>
                <w:lang w:eastAsia="bg-BG"/>
              </w:rPr>
              <w:t>9</w:t>
            </w:r>
          </w:p>
        </w:tc>
        <w:tc>
          <w:tcPr>
            <w:tcW w:w="851" w:type="dxa"/>
            <w:noWrap/>
            <w:vAlign w:val="center"/>
          </w:tcPr>
          <w:p w:rsidR="005B53DF" w:rsidRPr="000E54EB" w:rsidRDefault="005B53DF" w:rsidP="00B617CE">
            <w:pPr>
              <w:jc w:val="center"/>
              <w:rPr>
                <w:rFonts w:ascii="Verdana" w:hAnsi="Verdana" w:cs="Verdana"/>
                <w:b/>
                <w:bCs/>
                <w:sz w:val="20"/>
                <w:szCs w:val="20"/>
                <w:lang w:eastAsia="bg-BG"/>
              </w:rPr>
            </w:pPr>
            <w:r>
              <w:rPr>
                <w:rFonts w:ascii="Verdana" w:hAnsi="Verdana" w:cs="Verdana"/>
                <w:b/>
                <w:bCs/>
                <w:sz w:val="20"/>
                <w:szCs w:val="20"/>
                <w:lang w:eastAsia="bg-BG"/>
              </w:rPr>
              <w:t>1 662</w:t>
            </w:r>
          </w:p>
        </w:tc>
        <w:tc>
          <w:tcPr>
            <w:tcW w:w="685" w:type="dxa"/>
            <w:noWrap/>
            <w:vAlign w:val="center"/>
          </w:tcPr>
          <w:p w:rsidR="005B53DF" w:rsidRPr="000E54EB" w:rsidRDefault="005B53DF" w:rsidP="00B617CE">
            <w:pPr>
              <w:jc w:val="center"/>
              <w:rPr>
                <w:rFonts w:ascii="Verdana" w:hAnsi="Verdana" w:cs="Verdana"/>
                <w:b/>
                <w:bCs/>
                <w:sz w:val="20"/>
                <w:szCs w:val="20"/>
                <w:lang w:eastAsia="bg-BG"/>
              </w:rPr>
            </w:pPr>
            <w:r>
              <w:rPr>
                <w:rFonts w:ascii="Verdana" w:hAnsi="Verdana" w:cs="Verdana"/>
                <w:b/>
                <w:bCs/>
                <w:sz w:val="20"/>
                <w:szCs w:val="20"/>
                <w:lang w:eastAsia="bg-BG"/>
              </w:rPr>
              <w:t>358</w:t>
            </w:r>
          </w:p>
        </w:tc>
        <w:tc>
          <w:tcPr>
            <w:tcW w:w="992" w:type="dxa"/>
            <w:gridSpan w:val="2"/>
            <w:noWrap/>
            <w:vAlign w:val="center"/>
          </w:tcPr>
          <w:p w:rsidR="005B53DF" w:rsidRPr="00DC02A4" w:rsidRDefault="005B53DF" w:rsidP="00B617CE">
            <w:pPr>
              <w:jc w:val="center"/>
              <w:rPr>
                <w:rFonts w:ascii="Verdana" w:hAnsi="Verdana" w:cs="Verdana"/>
                <w:b/>
                <w:bCs/>
                <w:sz w:val="20"/>
                <w:szCs w:val="20"/>
                <w:lang w:val="en-US" w:eastAsia="bg-BG"/>
              </w:rPr>
            </w:pPr>
            <w:r>
              <w:rPr>
                <w:rFonts w:ascii="Verdana" w:hAnsi="Verdana" w:cs="Verdana"/>
                <w:b/>
                <w:bCs/>
                <w:sz w:val="20"/>
                <w:szCs w:val="20"/>
                <w:lang w:val="en-US" w:eastAsia="bg-BG"/>
              </w:rPr>
              <w:t>5 176</w:t>
            </w:r>
          </w:p>
        </w:tc>
        <w:tc>
          <w:tcPr>
            <w:tcW w:w="1134" w:type="dxa"/>
            <w:noWrap/>
            <w:vAlign w:val="center"/>
          </w:tcPr>
          <w:p w:rsidR="005B53DF" w:rsidRPr="00DC02A4" w:rsidRDefault="005B53DF" w:rsidP="00B617CE">
            <w:pPr>
              <w:jc w:val="center"/>
              <w:rPr>
                <w:rFonts w:ascii="Verdana" w:hAnsi="Verdana" w:cs="Verdana"/>
                <w:b/>
                <w:bCs/>
                <w:sz w:val="20"/>
                <w:szCs w:val="20"/>
                <w:lang w:val="en-US" w:eastAsia="bg-BG"/>
              </w:rPr>
            </w:pPr>
            <w:r>
              <w:rPr>
                <w:rFonts w:ascii="Verdana" w:hAnsi="Verdana" w:cs="Verdana"/>
                <w:b/>
                <w:bCs/>
                <w:sz w:val="20"/>
                <w:szCs w:val="20"/>
                <w:lang w:val="en-US" w:eastAsia="bg-BG"/>
              </w:rPr>
              <w:t>1 017</w:t>
            </w:r>
          </w:p>
        </w:tc>
        <w:tc>
          <w:tcPr>
            <w:tcW w:w="1134" w:type="dxa"/>
            <w:noWrap/>
            <w:vAlign w:val="center"/>
          </w:tcPr>
          <w:p w:rsidR="005B53DF" w:rsidRPr="00DC02A4" w:rsidRDefault="005B53DF" w:rsidP="00B617CE">
            <w:pPr>
              <w:jc w:val="center"/>
              <w:rPr>
                <w:rFonts w:ascii="Verdana" w:hAnsi="Verdana" w:cs="Verdana"/>
                <w:b/>
                <w:bCs/>
                <w:sz w:val="20"/>
                <w:szCs w:val="20"/>
                <w:lang w:val="en-US" w:eastAsia="bg-BG"/>
              </w:rPr>
            </w:pPr>
            <w:r>
              <w:rPr>
                <w:rFonts w:ascii="Verdana" w:hAnsi="Verdana" w:cs="Verdana"/>
                <w:b/>
                <w:bCs/>
                <w:sz w:val="20"/>
                <w:szCs w:val="20"/>
                <w:lang w:val="en-US" w:eastAsia="bg-BG"/>
              </w:rPr>
              <w:t>32</w:t>
            </w:r>
          </w:p>
        </w:tc>
        <w:tc>
          <w:tcPr>
            <w:tcW w:w="1127" w:type="dxa"/>
            <w:noWrap/>
            <w:vAlign w:val="center"/>
          </w:tcPr>
          <w:p w:rsidR="005B53DF" w:rsidRPr="00DC02A4" w:rsidRDefault="005B53DF" w:rsidP="00B617CE">
            <w:pPr>
              <w:jc w:val="center"/>
              <w:rPr>
                <w:rFonts w:ascii="Verdana" w:hAnsi="Verdana" w:cs="Verdana"/>
                <w:b/>
                <w:bCs/>
                <w:sz w:val="20"/>
                <w:szCs w:val="20"/>
                <w:lang w:val="en-US" w:eastAsia="bg-BG"/>
              </w:rPr>
            </w:pPr>
            <w:r>
              <w:rPr>
                <w:rFonts w:ascii="Verdana" w:hAnsi="Verdana" w:cs="Verdana"/>
                <w:b/>
                <w:bCs/>
                <w:sz w:val="20"/>
                <w:szCs w:val="20"/>
                <w:lang w:val="en-US" w:eastAsia="bg-BG"/>
              </w:rPr>
              <w:t>274</w:t>
            </w:r>
          </w:p>
        </w:tc>
        <w:tc>
          <w:tcPr>
            <w:tcW w:w="858" w:type="dxa"/>
          </w:tcPr>
          <w:p w:rsidR="005B53DF" w:rsidRDefault="005B53DF" w:rsidP="00B617CE">
            <w:pPr>
              <w:jc w:val="center"/>
              <w:rPr>
                <w:rFonts w:ascii="Verdana" w:hAnsi="Verdana" w:cs="Verdana"/>
                <w:b/>
                <w:bCs/>
                <w:sz w:val="20"/>
                <w:szCs w:val="20"/>
                <w:lang w:val="en-US" w:eastAsia="bg-BG"/>
              </w:rPr>
            </w:pPr>
          </w:p>
          <w:p w:rsidR="005B53DF" w:rsidRPr="00C427ED" w:rsidRDefault="005B53DF" w:rsidP="00B617CE">
            <w:pPr>
              <w:jc w:val="center"/>
              <w:rPr>
                <w:rFonts w:ascii="Verdana" w:hAnsi="Verdana" w:cs="Verdana"/>
                <w:b/>
                <w:bCs/>
                <w:sz w:val="20"/>
                <w:szCs w:val="20"/>
                <w:lang w:eastAsia="bg-BG"/>
              </w:rPr>
            </w:pPr>
            <w:r w:rsidRPr="00C427ED">
              <w:rPr>
                <w:rFonts w:ascii="Verdana" w:hAnsi="Verdana" w:cs="Verdana"/>
                <w:b/>
                <w:bCs/>
                <w:sz w:val="20"/>
                <w:szCs w:val="20"/>
                <w:lang w:eastAsia="bg-BG"/>
              </w:rPr>
              <w:t>10</w:t>
            </w:r>
          </w:p>
        </w:tc>
        <w:tc>
          <w:tcPr>
            <w:tcW w:w="858" w:type="dxa"/>
            <w:noWrap/>
            <w:vAlign w:val="center"/>
          </w:tcPr>
          <w:p w:rsidR="005B53DF" w:rsidRPr="00C427ED" w:rsidRDefault="005B53DF" w:rsidP="00B617CE">
            <w:pPr>
              <w:jc w:val="center"/>
              <w:rPr>
                <w:rFonts w:ascii="Verdana" w:hAnsi="Verdana" w:cs="Verdana"/>
                <w:b/>
                <w:bCs/>
                <w:sz w:val="20"/>
                <w:szCs w:val="20"/>
                <w:lang w:val="en-US" w:eastAsia="bg-BG"/>
              </w:rPr>
            </w:pPr>
            <w:r>
              <w:rPr>
                <w:rFonts w:ascii="Verdana" w:hAnsi="Verdana" w:cs="Verdana"/>
                <w:b/>
                <w:bCs/>
                <w:sz w:val="20"/>
                <w:szCs w:val="20"/>
                <w:lang w:val="en-US" w:eastAsia="bg-BG"/>
              </w:rPr>
              <w:t>41</w:t>
            </w:r>
          </w:p>
        </w:tc>
        <w:tc>
          <w:tcPr>
            <w:tcW w:w="851" w:type="dxa"/>
            <w:noWrap/>
            <w:vAlign w:val="center"/>
          </w:tcPr>
          <w:p w:rsidR="005B53DF" w:rsidRPr="00C427ED" w:rsidRDefault="005B53DF" w:rsidP="00B617CE">
            <w:pPr>
              <w:jc w:val="center"/>
              <w:rPr>
                <w:rFonts w:ascii="Verdana" w:hAnsi="Verdana" w:cs="Verdana"/>
                <w:b/>
                <w:bCs/>
                <w:sz w:val="20"/>
                <w:szCs w:val="20"/>
                <w:lang w:val="en-US" w:eastAsia="bg-BG"/>
              </w:rPr>
            </w:pPr>
            <w:r>
              <w:rPr>
                <w:rFonts w:ascii="Verdana" w:hAnsi="Verdana" w:cs="Verdana"/>
                <w:b/>
                <w:bCs/>
                <w:sz w:val="20"/>
                <w:szCs w:val="20"/>
                <w:lang w:val="en-US" w:eastAsia="bg-BG"/>
              </w:rPr>
              <w:t>8 570</w:t>
            </w:r>
          </w:p>
        </w:tc>
      </w:tr>
      <w:tr w:rsidR="005B53DF" w:rsidRPr="000E54EB">
        <w:trPr>
          <w:trHeight w:val="395"/>
        </w:trPr>
        <w:tc>
          <w:tcPr>
            <w:tcW w:w="1848" w:type="dxa"/>
            <w:vAlign w:val="center"/>
          </w:tcPr>
          <w:p w:rsidR="005B53DF" w:rsidRPr="009A3CAA" w:rsidRDefault="005B53DF" w:rsidP="00A13023">
            <w:pPr>
              <w:jc w:val="left"/>
              <w:rPr>
                <w:rFonts w:ascii="Verdana" w:hAnsi="Verdana" w:cs="Verdana"/>
                <w:sz w:val="18"/>
                <w:szCs w:val="18"/>
                <w:lang w:eastAsia="bg-BG"/>
              </w:rPr>
            </w:pPr>
            <w:r w:rsidRPr="009A3CAA">
              <w:rPr>
                <w:rFonts w:ascii="Verdana" w:hAnsi="Verdana" w:cs="Verdana"/>
                <w:sz w:val="18"/>
                <w:szCs w:val="18"/>
                <w:lang w:eastAsia="bg-BG"/>
              </w:rPr>
              <w:t>Постъпили</w:t>
            </w:r>
          </w:p>
        </w:tc>
        <w:tc>
          <w:tcPr>
            <w:tcW w:w="851" w:type="dxa"/>
            <w:noWrap/>
            <w:vAlign w:val="center"/>
          </w:tcPr>
          <w:p w:rsidR="005B53DF" w:rsidRPr="000E54EB" w:rsidRDefault="005B53DF" w:rsidP="00A13023">
            <w:pPr>
              <w:jc w:val="center"/>
              <w:rPr>
                <w:rFonts w:ascii="Verdana" w:hAnsi="Verdana" w:cs="Verdana"/>
                <w:sz w:val="20"/>
                <w:szCs w:val="20"/>
                <w:lang w:eastAsia="bg-BG"/>
              </w:rPr>
            </w:pPr>
          </w:p>
        </w:tc>
        <w:tc>
          <w:tcPr>
            <w:tcW w:w="685" w:type="dxa"/>
            <w:noWrap/>
            <w:vAlign w:val="center"/>
          </w:tcPr>
          <w:p w:rsidR="005B53DF" w:rsidRPr="000E54EB" w:rsidRDefault="005B53DF" w:rsidP="00A13023">
            <w:pPr>
              <w:jc w:val="center"/>
              <w:rPr>
                <w:rFonts w:ascii="Verdana" w:hAnsi="Verdana" w:cs="Verdana"/>
                <w:sz w:val="20"/>
                <w:szCs w:val="20"/>
                <w:lang w:eastAsia="bg-BG"/>
              </w:rPr>
            </w:pPr>
          </w:p>
        </w:tc>
        <w:tc>
          <w:tcPr>
            <w:tcW w:w="992" w:type="dxa"/>
            <w:gridSpan w:val="2"/>
            <w:noWrap/>
            <w:vAlign w:val="center"/>
          </w:tcPr>
          <w:p w:rsidR="005B53DF" w:rsidRPr="000E54EB" w:rsidRDefault="005B53DF" w:rsidP="00A13023">
            <w:pPr>
              <w:jc w:val="center"/>
              <w:rPr>
                <w:rFonts w:ascii="Verdana" w:hAnsi="Verdana" w:cs="Verdana"/>
                <w:sz w:val="20"/>
                <w:szCs w:val="20"/>
                <w:lang w:eastAsia="bg-BG"/>
              </w:rPr>
            </w:pPr>
          </w:p>
        </w:tc>
        <w:tc>
          <w:tcPr>
            <w:tcW w:w="1134" w:type="dxa"/>
            <w:noWrap/>
            <w:vAlign w:val="center"/>
          </w:tcPr>
          <w:p w:rsidR="005B53DF" w:rsidRPr="00DC02A4" w:rsidRDefault="005B53DF" w:rsidP="00A13023">
            <w:pPr>
              <w:jc w:val="center"/>
              <w:rPr>
                <w:rFonts w:ascii="Verdana" w:hAnsi="Verdana" w:cs="Verdana"/>
                <w:sz w:val="20"/>
                <w:szCs w:val="20"/>
                <w:lang w:val="en-US" w:eastAsia="bg-BG"/>
              </w:rPr>
            </w:pPr>
          </w:p>
        </w:tc>
        <w:tc>
          <w:tcPr>
            <w:tcW w:w="1134" w:type="dxa"/>
            <w:noWrap/>
            <w:vAlign w:val="center"/>
          </w:tcPr>
          <w:p w:rsidR="005B53DF" w:rsidRPr="000E54EB" w:rsidRDefault="005B53DF" w:rsidP="00A13023">
            <w:pPr>
              <w:jc w:val="center"/>
              <w:rPr>
                <w:rFonts w:ascii="Verdana" w:hAnsi="Verdana" w:cs="Verdana"/>
                <w:sz w:val="20"/>
                <w:szCs w:val="20"/>
                <w:lang w:eastAsia="bg-BG"/>
              </w:rPr>
            </w:pPr>
          </w:p>
        </w:tc>
        <w:tc>
          <w:tcPr>
            <w:tcW w:w="1127" w:type="dxa"/>
            <w:noWrap/>
            <w:vAlign w:val="center"/>
          </w:tcPr>
          <w:p w:rsidR="005B53DF" w:rsidRPr="003E0522" w:rsidRDefault="003E0522" w:rsidP="00A13023">
            <w:pPr>
              <w:jc w:val="center"/>
              <w:rPr>
                <w:rFonts w:ascii="Verdana" w:hAnsi="Verdana" w:cs="Verdana"/>
                <w:sz w:val="20"/>
                <w:szCs w:val="20"/>
                <w:lang w:eastAsia="bg-BG"/>
              </w:rPr>
            </w:pPr>
            <w:r>
              <w:rPr>
                <w:rFonts w:ascii="Verdana" w:hAnsi="Verdana" w:cs="Verdana"/>
                <w:sz w:val="20"/>
                <w:szCs w:val="20"/>
                <w:lang w:eastAsia="bg-BG"/>
              </w:rPr>
              <w:t>5</w:t>
            </w:r>
          </w:p>
        </w:tc>
        <w:tc>
          <w:tcPr>
            <w:tcW w:w="858" w:type="dxa"/>
          </w:tcPr>
          <w:p w:rsidR="005B53DF" w:rsidRPr="00C427ED" w:rsidRDefault="005B53DF" w:rsidP="00A13023">
            <w:pPr>
              <w:jc w:val="center"/>
              <w:rPr>
                <w:rFonts w:ascii="Verdana" w:hAnsi="Verdana" w:cs="Verdana"/>
                <w:sz w:val="20"/>
                <w:szCs w:val="20"/>
                <w:lang w:val="en-US" w:eastAsia="bg-BG"/>
              </w:rPr>
            </w:pPr>
          </w:p>
        </w:tc>
        <w:tc>
          <w:tcPr>
            <w:tcW w:w="858" w:type="dxa"/>
            <w:noWrap/>
            <w:vAlign w:val="center"/>
          </w:tcPr>
          <w:p w:rsidR="005B53DF" w:rsidRPr="000E54EB" w:rsidRDefault="005B53DF" w:rsidP="00A13023">
            <w:pPr>
              <w:jc w:val="center"/>
              <w:rPr>
                <w:rFonts w:ascii="Verdana" w:hAnsi="Verdana" w:cs="Verdana"/>
                <w:sz w:val="20"/>
                <w:szCs w:val="20"/>
                <w:lang w:eastAsia="bg-BG"/>
              </w:rPr>
            </w:pPr>
          </w:p>
        </w:tc>
        <w:tc>
          <w:tcPr>
            <w:tcW w:w="851" w:type="dxa"/>
            <w:noWrap/>
            <w:vAlign w:val="center"/>
          </w:tcPr>
          <w:p w:rsidR="005B53DF" w:rsidRPr="000E54EB" w:rsidRDefault="005B53DF" w:rsidP="00A13023">
            <w:pPr>
              <w:jc w:val="center"/>
              <w:rPr>
                <w:rFonts w:ascii="Verdana" w:hAnsi="Verdana" w:cs="Verdana"/>
                <w:b/>
                <w:bCs/>
                <w:sz w:val="20"/>
                <w:szCs w:val="20"/>
                <w:lang w:eastAsia="bg-BG"/>
              </w:rPr>
            </w:pPr>
          </w:p>
        </w:tc>
      </w:tr>
      <w:tr w:rsidR="005B53DF" w:rsidRPr="000E54EB">
        <w:trPr>
          <w:trHeight w:val="300"/>
        </w:trPr>
        <w:tc>
          <w:tcPr>
            <w:tcW w:w="1848" w:type="dxa"/>
            <w:shd w:val="clear" w:color="000000" w:fill="C5D9F1"/>
            <w:vAlign w:val="center"/>
          </w:tcPr>
          <w:p w:rsidR="005B53DF" w:rsidRPr="000E54EB" w:rsidRDefault="005B53DF" w:rsidP="00537B3C">
            <w:pPr>
              <w:jc w:val="left"/>
              <w:rPr>
                <w:rFonts w:ascii="Verdana" w:hAnsi="Verdana" w:cs="Verdana"/>
                <w:b/>
                <w:bCs/>
                <w:sz w:val="20"/>
                <w:szCs w:val="20"/>
                <w:lang w:eastAsia="bg-BG"/>
              </w:rPr>
            </w:pPr>
            <w:r>
              <w:rPr>
                <w:rFonts w:ascii="Verdana" w:hAnsi="Verdana" w:cs="Verdana"/>
                <w:b/>
                <w:bCs/>
                <w:sz w:val="20"/>
                <w:szCs w:val="20"/>
                <w:lang w:eastAsia="bg-BG"/>
              </w:rPr>
              <w:t>Салдо към 30.06.2020</w:t>
            </w:r>
          </w:p>
        </w:tc>
        <w:tc>
          <w:tcPr>
            <w:tcW w:w="851" w:type="dxa"/>
            <w:shd w:val="clear" w:color="000000" w:fill="C5D9F1"/>
            <w:noWrap/>
            <w:vAlign w:val="center"/>
          </w:tcPr>
          <w:p w:rsidR="005B53DF" w:rsidRPr="000E54EB" w:rsidRDefault="001603DE" w:rsidP="00A13023">
            <w:pPr>
              <w:jc w:val="center"/>
              <w:rPr>
                <w:rFonts w:ascii="Verdana" w:hAnsi="Verdana" w:cs="Verdana"/>
                <w:b/>
                <w:bCs/>
                <w:sz w:val="20"/>
                <w:szCs w:val="20"/>
                <w:lang w:eastAsia="bg-BG"/>
              </w:rPr>
            </w:pPr>
            <w:r>
              <w:rPr>
                <w:rFonts w:ascii="Verdana" w:hAnsi="Verdana" w:cs="Verdana"/>
                <w:b/>
                <w:bCs/>
                <w:sz w:val="20"/>
                <w:szCs w:val="20"/>
                <w:lang w:eastAsia="bg-BG"/>
              </w:rPr>
              <w:t>1 662</w:t>
            </w:r>
          </w:p>
        </w:tc>
        <w:tc>
          <w:tcPr>
            <w:tcW w:w="685" w:type="dxa"/>
            <w:shd w:val="clear" w:color="000000" w:fill="C5D9F1"/>
            <w:noWrap/>
            <w:vAlign w:val="center"/>
          </w:tcPr>
          <w:p w:rsidR="005B53DF" w:rsidRPr="000E54EB" w:rsidRDefault="003E0522" w:rsidP="00A13023">
            <w:pPr>
              <w:jc w:val="center"/>
              <w:rPr>
                <w:rFonts w:ascii="Verdana" w:hAnsi="Verdana" w:cs="Verdana"/>
                <w:b/>
                <w:bCs/>
                <w:sz w:val="20"/>
                <w:szCs w:val="20"/>
                <w:lang w:eastAsia="bg-BG"/>
              </w:rPr>
            </w:pPr>
            <w:r>
              <w:rPr>
                <w:rFonts w:ascii="Verdana" w:hAnsi="Verdana" w:cs="Verdana"/>
                <w:b/>
                <w:bCs/>
                <w:sz w:val="20"/>
                <w:szCs w:val="20"/>
                <w:lang w:eastAsia="bg-BG"/>
              </w:rPr>
              <w:t>358</w:t>
            </w:r>
          </w:p>
        </w:tc>
        <w:tc>
          <w:tcPr>
            <w:tcW w:w="992" w:type="dxa"/>
            <w:gridSpan w:val="2"/>
            <w:shd w:val="clear" w:color="000000" w:fill="C5D9F1"/>
            <w:noWrap/>
            <w:vAlign w:val="center"/>
          </w:tcPr>
          <w:p w:rsidR="005B53DF" w:rsidRPr="003E0522" w:rsidRDefault="003E0522" w:rsidP="00A13023">
            <w:pPr>
              <w:jc w:val="center"/>
              <w:rPr>
                <w:rFonts w:ascii="Verdana" w:hAnsi="Verdana" w:cs="Verdana"/>
                <w:b/>
                <w:bCs/>
                <w:sz w:val="20"/>
                <w:szCs w:val="20"/>
                <w:lang w:eastAsia="bg-BG"/>
              </w:rPr>
            </w:pPr>
            <w:r>
              <w:rPr>
                <w:rFonts w:ascii="Verdana" w:hAnsi="Verdana" w:cs="Verdana"/>
                <w:b/>
                <w:bCs/>
                <w:sz w:val="20"/>
                <w:szCs w:val="20"/>
                <w:lang w:eastAsia="bg-BG"/>
              </w:rPr>
              <w:t>5 176</w:t>
            </w:r>
          </w:p>
        </w:tc>
        <w:tc>
          <w:tcPr>
            <w:tcW w:w="1134" w:type="dxa"/>
            <w:shd w:val="clear" w:color="000000" w:fill="C5D9F1"/>
            <w:noWrap/>
            <w:vAlign w:val="center"/>
          </w:tcPr>
          <w:p w:rsidR="005B53DF" w:rsidRPr="003E0522" w:rsidRDefault="003E0522" w:rsidP="00A13023">
            <w:pPr>
              <w:jc w:val="center"/>
              <w:rPr>
                <w:rFonts w:ascii="Verdana" w:hAnsi="Verdana" w:cs="Verdana"/>
                <w:b/>
                <w:bCs/>
                <w:sz w:val="20"/>
                <w:szCs w:val="20"/>
                <w:lang w:eastAsia="bg-BG"/>
              </w:rPr>
            </w:pPr>
            <w:r>
              <w:rPr>
                <w:rFonts w:ascii="Verdana" w:hAnsi="Verdana" w:cs="Verdana"/>
                <w:b/>
                <w:bCs/>
                <w:sz w:val="20"/>
                <w:szCs w:val="20"/>
                <w:lang w:eastAsia="bg-BG"/>
              </w:rPr>
              <w:t>1 017</w:t>
            </w:r>
          </w:p>
        </w:tc>
        <w:tc>
          <w:tcPr>
            <w:tcW w:w="1134" w:type="dxa"/>
            <w:shd w:val="clear" w:color="000000" w:fill="C5D9F1"/>
            <w:noWrap/>
            <w:vAlign w:val="center"/>
          </w:tcPr>
          <w:p w:rsidR="005B53DF" w:rsidRPr="003E0522" w:rsidRDefault="003E0522" w:rsidP="00A13023">
            <w:pPr>
              <w:jc w:val="center"/>
              <w:rPr>
                <w:rFonts w:ascii="Verdana" w:hAnsi="Verdana" w:cs="Verdana"/>
                <w:b/>
                <w:bCs/>
                <w:sz w:val="20"/>
                <w:szCs w:val="20"/>
                <w:lang w:eastAsia="bg-BG"/>
              </w:rPr>
            </w:pPr>
            <w:r>
              <w:rPr>
                <w:rFonts w:ascii="Verdana" w:hAnsi="Verdana" w:cs="Verdana"/>
                <w:b/>
                <w:bCs/>
                <w:sz w:val="20"/>
                <w:szCs w:val="20"/>
                <w:lang w:eastAsia="bg-BG"/>
              </w:rPr>
              <w:t>32</w:t>
            </w:r>
          </w:p>
        </w:tc>
        <w:tc>
          <w:tcPr>
            <w:tcW w:w="1127" w:type="dxa"/>
            <w:shd w:val="clear" w:color="000000" w:fill="C5D9F1"/>
            <w:noWrap/>
            <w:vAlign w:val="center"/>
          </w:tcPr>
          <w:p w:rsidR="005B53DF" w:rsidRPr="003E0522" w:rsidRDefault="003E0522" w:rsidP="00A13023">
            <w:pPr>
              <w:jc w:val="center"/>
              <w:rPr>
                <w:rFonts w:ascii="Verdana" w:hAnsi="Verdana" w:cs="Verdana"/>
                <w:b/>
                <w:bCs/>
                <w:sz w:val="20"/>
                <w:szCs w:val="20"/>
                <w:lang w:eastAsia="bg-BG"/>
              </w:rPr>
            </w:pPr>
            <w:r>
              <w:rPr>
                <w:rFonts w:ascii="Verdana" w:hAnsi="Verdana" w:cs="Verdana"/>
                <w:b/>
                <w:bCs/>
                <w:sz w:val="20"/>
                <w:szCs w:val="20"/>
                <w:lang w:eastAsia="bg-BG"/>
              </w:rPr>
              <w:t>279</w:t>
            </w:r>
          </w:p>
        </w:tc>
        <w:tc>
          <w:tcPr>
            <w:tcW w:w="858" w:type="dxa"/>
            <w:shd w:val="clear" w:color="000000" w:fill="C5D9F1"/>
          </w:tcPr>
          <w:p w:rsidR="005B53DF" w:rsidRPr="00C427ED" w:rsidRDefault="003E0522" w:rsidP="00A13023">
            <w:pPr>
              <w:jc w:val="center"/>
              <w:rPr>
                <w:rFonts w:ascii="Verdana" w:hAnsi="Verdana" w:cs="Verdana"/>
                <w:b/>
                <w:bCs/>
                <w:sz w:val="20"/>
                <w:szCs w:val="20"/>
                <w:lang w:eastAsia="bg-BG"/>
              </w:rPr>
            </w:pPr>
            <w:r>
              <w:rPr>
                <w:rFonts w:ascii="Verdana" w:hAnsi="Verdana" w:cs="Verdana"/>
                <w:b/>
                <w:bCs/>
                <w:sz w:val="20"/>
                <w:szCs w:val="20"/>
                <w:lang w:eastAsia="bg-BG"/>
              </w:rPr>
              <w:t>10</w:t>
            </w:r>
          </w:p>
        </w:tc>
        <w:tc>
          <w:tcPr>
            <w:tcW w:w="858" w:type="dxa"/>
            <w:shd w:val="clear" w:color="000000" w:fill="C5D9F1"/>
            <w:noWrap/>
            <w:vAlign w:val="center"/>
          </w:tcPr>
          <w:p w:rsidR="005B53DF" w:rsidRPr="003E0522" w:rsidRDefault="003E0522" w:rsidP="00A13023">
            <w:pPr>
              <w:jc w:val="center"/>
              <w:rPr>
                <w:rFonts w:ascii="Verdana" w:hAnsi="Verdana" w:cs="Verdana"/>
                <w:b/>
                <w:bCs/>
                <w:sz w:val="20"/>
                <w:szCs w:val="20"/>
                <w:lang w:eastAsia="bg-BG"/>
              </w:rPr>
            </w:pPr>
            <w:r>
              <w:rPr>
                <w:rFonts w:ascii="Verdana" w:hAnsi="Verdana" w:cs="Verdana"/>
                <w:b/>
                <w:bCs/>
                <w:sz w:val="20"/>
                <w:szCs w:val="20"/>
                <w:lang w:eastAsia="bg-BG"/>
              </w:rPr>
              <w:t>41</w:t>
            </w:r>
          </w:p>
        </w:tc>
        <w:tc>
          <w:tcPr>
            <w:tcW w:w="851" w:type="dxa"/>
            <w:shd w:val="clear" w:color="000000" w:fill="C5D9F1"/>
            <w:noWrap/>
            <w:vAlign w:val="center"/>
          </w:tcPr>
          <w:p w:rsidR="005B53DF" w:rsidRPr="003E0522" w:rsidRDefault="003E0522" w:rsidP="00A13023">
            <w:pPr>
              <w:jc w:val="center"/>
              <w:rPr>
                <w:rFonts w:ascii="Verdana" w:hAnsi="Verdana" w:cs="Verdana"/>
                <w:b/>
                <w:bCs/>
                <w:sz w:val="20"/>
                <w:szCs w:val="20"/>
                <w:lang w:eastAsia="bg-BG"/>
              </w:rPr>
            </w:pPr>
            <w:r>
              <w:rPr>
                <w:rFonts w:ascii="Verdana" w:hAnsi="Verdana" w:cs="Verdana"/>
                <w:b/>
                <w:bCs/>
                <w:sz w:val="20"/>
                <w:szCs w:val="20"/>
                <w:lang w:eastAsia="bg-BG"/>
              </w:rPr>
              <w:t>8 575</w:t>
            </w:r>
          </w:p>
        </w:tc>
      </w:tr>
      <w:tr w:rsidR="005B53DF" w:rsidRPr="000E54EB">
        <w:trPr>
          <w:trHeight w:val="300"/>
        </w:trPr>
        <w:tc>
          <w:tcPr>
            <w:tcW w:w="7771" w:type="dxa"/>
            <w:gridSpan w:val="8"/>
            <w:shd w:val="clear" w:color="000000" w:fill="FFFFFF"/>
            <w:vAlign w:val="center"/>
          </w:tcPr>
          <w:p w:rsidR="005B53DF" w:rsidRPr="000E54EB" w:rsidRDefault="005B53DF" w:rsidP="00A13023">
            <w:pPr>
              <w:jc w:val="left"/>
              <w:rPr>
                <w:rFonts w:ascii="Verdana" w:hAnsi="Verdana" w:cs="Verdana"/>
                <w:sz w:val="20"/>
                <w:szCs w:val="20"/>
                <w:lang w:eastAsia="bg-BG"/>
              </w:rPr>
            </w:pPr>
            <w:r w:rsidRPr="000E54EB">
              <w:rPr>
                <w:rFonts w:ascii="Verdana" w:hAnsi="Verdana" w:cs="Verdana"/>
                <w:b/>
                <w:bCs/>
                <w:sz w:val="20"/>
                <w:szCs w:val="20"/>
                <w:lang w:eastAsia="bg-BG"/>
              </w:rPr>
              <w:t xml:space="preserve">Амортизация и обезценка </w:t>
            </w:r>
          </w:p>
        </w:tc>
        <w:tc>
          <w:tcPr>
            <w:tcW w:w="858" w:type="dxa"/>
            <w:shd w:val="clear" w:color="000000" w:fill="FFFFFF"/>
          </w:tcPr>
          <w:p w:rsidR="005B53DF" w:rsidRPr="000E54EB" w:rsidRDefault="005B53DF" w:rsidP="00A13023">
            <w:pPr>
              <w:jc w:val="center"/>
              <w:rPr>
                <w:rFonts w:ascii="Verdana" w:hAnsi="Verdana" w:cs="Verdana"/>
                <w:sz w:val="20"/>
                <w:szCs w:val="20"/>
                <w:lang w:eastAsia="bg-BG"/>
              </w:rPr>
            </w:pPr>
          </w:p>
        </w:tc>
        <w:tc>
          <w:tcPr>
            <w:tcW w:w="858" w:type="dxa"/>
            <w:shd w:val="clear" w:color="000000" w:fill="FFFFFF"/>
            <w:noWrap/>
            <w:vAlign w:val="center"/>
          </w:tcPr>
          <w:p w:rsidR="005B53DF" w:rsidRPr="000E54EB" w:rsidRDefault="005B53DF" w:rsidP="00A13023">
            <w:pPr>
              <w:jc w:val="center"/>
              <w:rPr>
                <w:rFonts w:ascii="Verdana" w:hAnsi="Verdana" w:cs="Verdana"/>
                <w:sz w:val="20"/>
                <w:szCs w:val="20"/>
                <w:lang w:eastAsia="bg-BG"/>
              </w:rPr>
            </w:pPr>
          </w:p>
        </w:tc>
        <w:tc>
          <w:tcPr>
            <w:tcW w:w="851" w:type="dxa"/>
            <w:shd w:val="clear" w:color="000000" w:fill="FFFFFF"/>
            <w:noWrap/>
            <w:vAlign w:val="center"/>
          </w:tcPr>
          <w:p w:rsidR="005B53DF" w:rsidRPr="000E54EB" w:rsidRDefault="005B53DF" w:rsidP="00A13023">
            <w:pPr>
              <w:jc w:val="center"/>
              <w:rPr>
                <w:rFonts w:ascii="Verdana" w:hAnsi="Verdana" w:cs="Verdana"/>
                <w:sz w:val="20"/>
                <w:szCs w:val="20"/>
                <w:lang w:eastAsia="bg-BG"/>
              </w:rPr>
            </w:pPr>
          </w:p>
        </w:tc>
      </w:tr>
      <w:tr w:rsidR="00EA48AE" w:rsidRPr="000E54EB">
        <w:trPr>
          <w:trHeight w:val="300"/>
        </w:trPr>
        <w:tc>
          <w:tcPr>
            <w:tcW w:w="1848" w:type="dxa"/>
            <w:vAlign w:val="center"/>
          </w:tcPr>
          <w:p w:rsidR="00EA48AE" w:rsidRPr="000E54EB" w:rsidRDefault="00EA48AE" w:rsidP="00E9504D">
            <w:pPr>
              <w:jc w:val="left"/>
              <w:rPr>
                <w:rFonts w:ascii="Verdana" w:hAnsi="Verdana" w:cs="Verdana"/>
                <w:b/>
                <w:bCs/>
                <w:sz w:val="20"/>
                <w:szCs w:val="20"/>
                <w:lang w:eastAsia="bg-BG"/>
              </w:rPr>
            </w:pPr>
            <w:r w:rsidRPr="000E54EB">
              <w:rPr>
                <w:rFonts w:ascii="Verdana" w:hAnsi="Verdana" w:cs="Verdana"/>
                <w:b/>
                <w:bCs/>
                <w:sz w:val="20"/>
                <w:szCs w:val="20"/>
                <w:lang w:eastAsia="bg-BG"/>
              </w:rPr>
              <w:t>Салдо към 31.12.201</w:t>
            </w:r>
            <w:r>
              <w:rPr>
                <w:rFonts w:ascii="Verdana" w:hAnsi="Verdana" w:cs="Verdana"/>
                <w:b/>
                <w:bCs/>
                <w:sz w:val="20"/>
                <w:szCs w:val="20"/>
                <w:lang w:eastAsia="bg-BG"/>
              </w:rPr>
              <w:t>8</w:t>
            </w:r>
          </w:p>
        </w:tc>
        <w:tc>
          <w:tcPr>
            <w:tcW w:w="851" w:type="dxa"/>
            <w:noWrap/>
            <w:vAlign w:val="center"/>
          </w:tcPr>
          <w:p w:rsidR="00EA48AE" w:rsidRPr="000E54EB" w:rsidRDefault="00EA48AE" w:rsidP="00A13023">
            <w:pPr>
              <w:jc w:val="center"/>
              <w:rPr>
                <w:rFonts w:ascii="Verdana" w:hAnsi="Verdana" w:cs="Verdana"/>
                <w:b/>
                <w:bCs/>
                <w:sz w:val="20"/>
                <w:szCs w:val="20"/>
                <w:lang w:eastAsia="bg-BG"/>
              </w:rPr>
            </w:pPr>
          </w:p>
        </w:tc>
        <w:tc>
          <w:tcPr>
            <w:tcW w:w="708" w:type="dxa"/>
            <w:gridSpan w:val="2"/>
            <w:shd w:val="clear" w:color="000000" w:fill="FFFFFF"/>
            <w:noWrap/>
            <w:vAlign w:val="center"/>
          </w:tcPr>
          <w:p w:rsidR="00EA48AE" w:rsidRPr="000E54EB" w:rsidRDefault="00EA48AE" w:rsidP="00B617CE">
            <w:pPr>
              <w:jc w:val="center"/>
              <w:rPr>
                <w:rFonts w:ascii="Verdana" w:hAnsi="Verdana" w:cs="Verdana"/>
                <w:b/>
                <w:bCs/>
                <w:sz w:val="20"/>
                <w:szCs w:val="20"/>
                <w:lang w:eastAsia="bg-BG"/>
              </w:rPr>
            </w:pPr>
            <w:r w:rsidRPr="000E54EB">
              <w:rPr>
                <w:rFonts w:ascii="Verdana" w:hAnsi="Verdana" w:cs="Verdana"/>
                <w:b/>
                <w:bCs/>
                <w:sz w:val="20"/>
                <w:szCs w:val="20"/>
                <w:lang w:eastAsia="bg-BG"/>
              </w:rPr>
              <w:t>222</w:t>
            </w:r>
          </w:p>
        </w:tc>
        <w:tc>
          <w:tcPr>
            <w:tcW w:w="969" w:type="dxa"/>
            <w:noWrap/>
            <w:vAlign w:val="center"/>
          </w:tcPr>
          <w:p w:rsidR="00EA48AE" w:rsidRPr="000E54EB" w:rsidRDefault="00EA48AE" w:rsidP="00B617CE">
            <w:pPr>
              <w:jc w:val="center"/>
              <w:rPr>
                <w:rFonts w:ascii="Verdana" w:hAnsi="Verdana" w:cs="Verdana"/>
                <w:b/>
                <w:bCs/>
                <w:sz w:val="20"/>
                <w:szCs w:val="20"/>
                <w:lang w:eastAsia="bg-BG"/>
              </w:rPr>
            </w:pPr>
            <w:r w:rsidRPr="000E54EB">
              <w:rPr>
                <w:rFonts w:ascii="Verdana" w:hAnsi="Verdana" w:cs="Verdana"/>
                <w:b/>
                <w:bCs/>
                <w:sz w:val="20"/>
                <w:szCs w:val="20"/>
                <w:lang w:eastAsia="bg-BG"/>
              </w:rPr>
              <w:t>3 496</w:t>
            </w:r>
          </w:p>
        </w:tc>
        <w:tc>
          <w:tcPr>
            <w:tcW w:w="1134" w:type="dxa"/>
            <w:noWrap/>
            <w:vAlign w:val="center"/>
          </w:tcPr>
          <w:p w:rsidR="00EA48AE" w:rsidRPr="000E54EB" w:rsidRDefault="00EA48AE" w:rsidP="00B617CE">
            <w:pPr>
              <w:jc w:val="center"/>
              <w:rPr>
                <w:rFonts w:ascii="Verdana" w:hAnsi="Verdana" w:cs="Verdana"/>
                <w:b/>
                <w:bCs/>
                <w:sz w:val="20"/>
                <w:szCs w:val="20"/>
                <w:lang w:eastAsia="bg-BG"/>
              </w:rPr>
            </w:pPr>
            <w:r w:rsidRPr="000E54EB">
              <w:rPr>
                <w:rFonts w:ascii="Verdana" w:hAnsi="Verdana" w:cs="Verdana"/>
                <w:b/>
                <w:bCs/>
                <w:sz w:val="20"/>
                <w:szCs w:val="20"/>
                <w:lang w:eastAsia="bg-BG"/>
              </w:rPr>
              <w:t>524</w:t>
            </w:r>
          </w:p>
        </w:tc>
        <w:tc>
          <w:tcPr>
            <w:tcW w:w="1134" w:type="dxa"/>
            <w:noWrap/>
            <w:vAlign w:val="center"/>
          </w:tcPr>
          <w:p w:rsidR="00EA48AE" w:rsidRPr="000E54EB" w:rsidRDefault="00EA48AE" w:rsidP="00B617CE">
            <w:pPr>
              <w:jc w:val="center"/>
              <w:rPr>
                <w:rFonts w:ascii="Verdana" w:hAnsi="Verdana" w:cs="Verdana"/>
                <w:b/>
                <w:bCs/>
                <w:sz w:val="20"/>
                <w:szCs w:val="20"/>
                <w:lang w:eastAsia="bg-BG"/>
              </w:rPr>
            </w:pPr>
            <w:r w:rsidRPr="000E54EB">
              <w:rPr>
                <w:rFonts w:ascii="Verdana" w:hAnsi="Verdana" w:cs="Verdana"/>
                <w:b/>
                <w:bCs/>
                <w:sz w:val="20"/>
                <w:szCs w:val="20"/>
                <w:lang w:eastAsia="bg-BG"/>
              </w:rPr>
              <w:t>32</w:t>
            </w:r>
          </w:p>
        </w:tc>
        <w:tc>
          <w:tcPr>
            <w:tcW w:w="1127" w:type="dxa"/>
            <w:noWrap/>
            <w:vAlign w:val="center"/>
          </w:tcPr>
          <w:p w:rsidR="00EA48AE" w:rsidRPr="000E54EB" w:rsidRDefault="00EA48AE" w:rsidP="00B617CE">
            <w:pPr>
              <w:jc w:val="center"/>
              <w:rPr>
                <w:rFonts w:ascii="Verdana" w:hAnsi="Verdana" w:cs="Verdana"/>
                <w:b/>
                <w:bCs/>
                <w:sz w:val="20"/>
                <w:szCs w:val="20"/>
                <w:lang w:eastAsia="bg-BG"/>
              </w:rPr>
            </w:pPr>
            <w:r w:rsidRPr="000E54EB">
              <w:rPr>
                <w:rFonts w:ascii="Verdana" w:hAnsi="Verdana" w:cs="Verdana"/>
                <w:b/>
                <w:bCs/>
                <w:sz w:val="20"/>
                <w:szCs w:val="20"/>
                <w:lang w:eastAsia="bg-BG"/>
              </w:rPr>
              <w:t>-</w:t>
            </w:r>
          </w:p>
        </w:tc>
        <w:tc>
          <w:tcPr>
            <w:tcW w:w="858" w:type="dxa"/>
          </w:tcPr>
          <w:p w:rsidR="00EA48AE" w:rsidRPr="000E54EB" w:rsidRDefault="00EA48AE" w:rsidP="00B617CE">
            <w:pPr>
              <w:jc w:val="center"/>
              <w:rPr>
                <w:rFonts w:ascii="Verdana" w:hAnsi="Verdana" w:cs="Verdana"/>
                <w:b/>
                <w:bCs/>
                <w:sz w:val="20"/>
                <w:szCs w:val="20"/>
                <w:lang w:eastAsia="bg-BG"/>
              </w:rPr>
            </w:pPr>
          </w:p>
        </w:tc>
        <w:tc>
          <w:tcPr>
            <w:tcW w:w="858" w:type="dxa"/>
            <w:noWrap/>
            <w:vAlign w:val="center"/>
          </w:tcPr>
          <w:p w:rsidR="00EA48AE" w:rsidRPr="000E54EB" w:rsidRDefault="00EA48AE" w:rsidP="00B617CE">
            <w:pPr>
              <w:jc w:val="center"/>
              <w:rPr>
                <w:rFonts w:ascii="Verdana" w:hAnsi="Verdana" w:cs="Verdana"/>
                <w:b/>
                <w:bCs/>
                <w:sz w:val="20"/>
                <w:szCs w:val="20"/>
                <w:lang w:eastAsia="bg-BG"/>
              </w:rPr>
            </w:pPr>
            <w:r w:rsidRPr="000E54EB">
              <w:rPr>
                <w:rFonts w:ascii="Verdana" w:hAnsi="Verdana" w:cs="Verdana"/>
                <w:b/>
                <w:bCs/>
                <w:sz w:val="20"/>
                <w:szCs w:val="20"/>
                <w:lang w:eastAsia="bg-BG"/>
              </w:rPr>
              <w:t>39</w:t>
            </w:r>
          </w:p>
        </w:tc>
        <w:tc>
          <w:tcPr>
            <w:tcW w:w="851" w:type="dxa"/>
            <w:noWrap/>
            <w:vAlign w:val="center"/>
          </w:tcPr>
          <w:p w:rsidR="00EA48AE" w:rsidRPr="000E54EB" w:rsidRDefault="00EA48AE" w:rsidP="00B617CE">
            <w:pPr>
              <w:jc w:val="center"/>
              <w:rPr>
                <w:rFonts w:ascii="Verdana" w:hAnsi="Verdana" w:cs="Verdana"/>
                <w:b/>
                <w:bCs/>
                <w:sz w:val="20"/>
                <w:szCs w:val="20"/>
                <w:lang w:eastAsia="bg-BG"/>
              </w:rPr>
            </w:pPr>
            <w:r w:rsidRPr="000E54EB">
              <w:rPr>
                <w:rFonts w:ascii="Verdana" w:hAnsi="Verdana" w:cs="Verdana"/>
                <w:b/>
                <w:bCs/>
                <w:sz w:val="20"/>
                <w:szCs w:val="20"/>
                <w:lang w:eastAsia="bg-BG"/>
              </w:rPr>
              <w:t>4 313</w:t>
            </w:r>
          </w:p>
        </w:tc>
      </w:tr>
      <w:tr w:rsidR="00EA48AE" w:rsidRPr="000E54EB">
        <w:trPr>
          <w:trHeight w:val="300"/>
        </w:trPr>
        <w:tc>
          <w:tcPr>
            <w:tcW w:w="1848" w:type="dxa"/>
            <w:vAlign w:val="center"/>
          </w:tcPr>
          <w:p w:rsidR="00EA48AE" w:rsidRPr="009A3CAA" w:rsidRDefault="00EA48AE" w:rsidP="00B617CE">
            <w:pPr>
              <w:jc w:val="left"/>
              <w:rPr>
                <w:rFonts w:ascii="Verdana" w:hAnsi="Verdana" w:cs="Verdana"/>
                <w:sz w:val="18"/>
                <w:szCs w:val="18"/>
                <w:lang w:eastAsia="bg-BG"/>
              </w:rPr>
            </w:pPr>
            <w:r w:rsidRPr="009A3CAA">
              <w:rPr>
                <w:rFonts w:ascii="Verdana" w:hAnsi="Verdana" w:cs="Verdana"/>
                <w:sz w:val="18"/>
                <w:szCs w:val="18"/>
                <w:lang w:eastAsia="bg-BG"/>
              </w:rPr>
              <w:t>Амортизация за годината</w:t>
            </w:r>
          </w:p>
        </w:tc>
        <w:tc>
          <w:tcPr>
            <w:tcW w:w="851" w:type="dxa"/>
            <w:noWrap/>
            <w:vAlign w:val="center"/>
          </w:tcPr>
          <w:p w:rsidR="00EA48AE" w:rsidRPr="000E54EB" w:rsidRDefault="00EA48AE" w:rsidP="00A13023">
            <w:pPr>
              <w:jc w:val="center"/>
              <w:rPr>
                <w:rFonts w:ascii="Verdana" w:hAnsi="Verdana" w:cs="Verdana"/>
                <w:sz w:val="20"/>
                <w:szCs w:val="20"/>
                <w:lang w:eastAsia="bg-BG"/>
              </w:rPr>
            </w:pPr>
          </w:p>
        </w:tc>
        <w:tc>
          <w:tcPr>
            <w:tcW w:w="708" w:type="dxa"/>
            <w:gridSpan w:val="2"/>
            <w:noWrap/>
            <w:vAlign w:val="center"/>
          </w:tcPr>
          <w:p w:rsidR="00EA48AE" w:rsidRPr="0079730E" w:rsidRDefault="00EA48AE" w:rsidP="00B617CE">
            <w:pPr>
              <w:jc w:val="center"/>
              <w:rPr>
                <w:rFonts w:ascii="Verdana" w:hAnsi="Verdana" w:cs="Verdana"/>
                <w:sz w:val="20"/>
                <w:szCs w:val="20"/>
                <w:lang w:val="en-US" w:eastAsia="bg-BG"/>
              </w:rPr>
            </w:pPr>
            <w:r>
              <w:rPr>
                <w:rFonts w:ascii="Verdana" w:hAnsi="Verdana" w:cs="Verdana"/>
                <w:sz w:val="20"/>
                <w:szCs w:val="20"/>
                <w:lang w:val="en-US" w:eastAsia="bg-BG"/>
              </w:rPr>
              <w:t>14</w:t>
            </w:r>
          </w:p>
        </w:tc>
        <w:tc>
          <w:tcPr>
            <w:tcW w:w="969" w:type="dxa"/>
            <w:noWrap/>
            <w:vAlign w:val="center"/>
          </w:tcPr>
          <w:p w:rsidR="00EA48AE" w:rsidRPr="0079730E" w:rsidRDefault="00EA48AE" w:rsidP="00B617CE">
            <w:pPr>
              <w:jc w:val="center"/>
              <w:rPr>
                <w:rFonts w:ascii="Verdana" w:hAnsi="Verdana" w:cs="Verdana"/>
                <w:sz w:val="20"/>
                <w:szCs w:val="20"/>
                <w:lang w:val="en-US" w:eastAsia="bg-BG"/>
              </w:rPr>
            </w:pPr>
            <w:r>
              <w:rPr>
                <w:rFonts w:ascii="Verdana" w:hAnsi="Verdana" w:cs="Verdana"/>
                <w:sz w:val="20"/>
                <w:szCs w:val="20"/>
                <w:lang w:val="en-US" w:eastAsia="bg-BG"/>
              </w:rPr>
              <w:t>362</w:t>
            </w:r>
          </w:p>
        </w:tc>
        <w:tc>
          <w:tcPr>
            <w:tcW w:w="1134" w:type="dxa"/>
            <w:noWrap/>
            <w:vAlign w:val="center"/>
          </w:tcPr>
          <w:p w:rsidR="00EA48AE" w:rsidRPr="005963A7" w:rsidRDefault="00EA48AE" w:rsidP="00B617CE">
            <w:pPr>
              <w:jc w:val="center"/>
              <w:rPr>
                <w:rFonts w:ascii="Verdana" w:hAnsi="Verdana" w:cs="Verdana"/>
                <w:sz w:val="20"/>
                <w:szCs w:val="20"/>
                <w:lang w:val="en-US" w:eastAsia="bg-BG"/>
              </w:rPr>
            </w:pPr>
            <w:r>
              <w:rPr>
                <w:rFonts w:ascii="Verdana" w:hAnsi="Verdana" w:cs="Verdana"/>
                <w:sz w:val="20"/>
                <w:szCs w:val="20"/>
                <w:lang w:val="en-US" w:eastAsia="bg-BG"/>
              </w:rPr>
              <w:t>41</w:t>
            </w:r>
          </w:p>
        </w:tc>
        <w:tc>
          <w:tcPr>
            <w:tcW w:w="1134" w:type="dxa"/>
            <w:noWrap/>
            <w:vAlign w:val="center"/>
          </w:tcPr>
          <w:p w:rsidR="00EA48AE" w:rsidRPr="00DD36D0" w:rsidRDefault="00EA48AE" w:rsidP="00B617CE">
            <w:pPr>
              <w:jc w:val="center"/>
              <w:rPr>
                <w:rFonts w:ascii="Verdana" w:hAnsi="Verdana" w:cs="Verdana"/>
                <w:sz w:val="20"/>
                <w:szCs w:val="20"/>
                <w:lang w:val="en-US" w:eastAsia="bg-BG"/>
              </w:rPr>
            </w:pPr>
            <w:r>
              <w:rPr>
                <w:rFonts w:ascii="Verdana" w:hAnsi="Verdana" w:cs="Verdana"/>
                <w:sz w:val="20"/>
                <w:szCs w:val="20"/>
                <w:lang w:val="en-US" w:eastAsia="bg-BG"/>
              </w:rPr>
              <w:t>3</w:t>
            </w:r>
          </w:p>
        </w:tc>
        <w:tc>
          <w:tcPr>
            <w:tcW w:w="1127" w:type="dxa"/>
            <w:noWrap/>
            <w:vAlign w:val="center"/>
          </w:tcPr>
          <w:p w:rsidR="00EA48AE" w:rsidRPr="000E54EB" w:rsidRDefault="00EA48AE" w:rsidP="00B617CE">
            <w:pPr>
              <w:jc w:val="center"/>
              <w:rPr>
                <w:rFonts w:ascii="Verdana" w:hAnsi="Verdana" w:cs="Verdana"/>
                <w:sz w:val="20"/>
                <w:szCs w:val="20"/>
                <w:lang w:eastAsia="bg-BG"/>
              </w:rPr>
            </w:pPr>
          </w:p>
        </w:tc>
        <w:tc>
          <w:tcPr>
            <w:tcW w:w="858" w:type="dxa"/>
          </w:tcPr>
          <w:p w:rsidR="00EA48AE" w:rsidRDefault="00EA48AE" w:rsidP="00B617CE">
            <w:pPr>
              <w:jc w:val="center"/>
              <w:rPr>
                <w:rFonts w:ascii="Verdana" w:hAnsi="Verdana" w:cs="Verdana"/>
                <w:sz w:val="20"/>
                <w:szCs w:val="20"/>
                <w:lang w:val="en-US" w:eastAsia="bg-BG"/>
              </w:rPr>
            </w:pPr>
          </w:p>
          <w:p w:rsidR="00EA48AE" w:rsidRPr="00DD36D0" w:rsidRDefault="00EA48AE" w:rsidP="00B617CE">
            <w:pPr>
              <w:jc w:val="center"/>
              <w:rPr>
                <w:rFonts w:ascii="Verdana" w:hAnsi="Verdana" w:cs="Verdana"/>
                <w:sz w:val="20"/>
                <w:szCs w:val="20"/>
                <w:lang w:val="en-US" w:eastAsia="bg-BG"/>
              </w:rPr>
            </w:pPr>
            <w:r>
              <w:rPr>
                <w:rFonts w:ascii="Verdana" w:hAnsi="Verdana" w:cs="Verdana"/>
                <w:sz w:val="20"/>
                <w:szCs w:val="20"/>
                <w:lang w:val="en-US" w:eastAsia="bg-BG"/>
              </w:rPr>
              <w:t>1</w:t>
            </w:r>
          </w:p>
        </w:tc>
        <w:tc>
          <w:tcPr>
            <w:tcW w:w="858" w:type="dxa"/>
            <w:noWrap/>
            <w:vAlign w:val="center"/>
          </w:tcPr>
          <w:p w:rsidR="00EA48AE" w:rsidRPr="00DD36D0" w:rsidRDefault="00EA48AE" w:rsidP="00B617CE">
            <w:pPr>
              <w:jc w:val="center"/>
              <w:rPr>
                <w:rFonts w:ascii="Verdana" w:hAnsi="Verdana" w:cs="Verdana"/>
                <w:sz w:val="20"/>
                <w:szCs w:val="20"/>
                <w:lang w:val="en-US" w:eastAsia="bg-BG"/>
              </w:rPr>
            </w:pPr>
            <w:r>
              <w:rPr>
                <w:rFonts w:ascii="Verdana" w:hAnsi="Verdana" w:cs="Verdana"/>
                <w:sz w:val="20"/>
                <w:szCs w:val="20"/>
                <w:lang w:val="en-US" w:eastAsia="bg-BG"/>
              </w:rPr>
              <w:t>1</w:t>
            </w:r>
          </w:p>
        </w:tc>
        <w:tc>
          <w:tcPr>
            <w:tcW w:w="851" w:type="dxa"/>
            <w:noWrap/>
            <w:vAlign w:val="center"/>
          </w:tcPr>
          <w:p w:rsidR="00EA48AE" w:rsidRPr="00DD36D0" w:rsidRDefault="00EA48AE" w:rsidP="00B617CE">
            <w:pPr>
              <w:jc w:val="center"/>
              <w:rPr>
                <w:rFonts w:ascii="Verdana" w:hAnsi="Verdana" w:cs="Verdana"/>
                <w:b/>
                <w:bCs/>
                <w:sz w:val="20"/>
                <w:szCs w:val="20"/>
                <w:lang w:val="en-US" w:eastAsia="bg-BG"/>
              </w:rPr>
            </w:pPr>
            <w:r>
              <w:rPr>
                <w:rFonts w:ascii="Verdana" w:hAnsi="Verdana" w:cs="Verdana"/>
                <w:b/>
                <w:bCs/>
                <w:sz w:val="20"/>
                <w:szCs w:val="20"/>
                <w:lang w:val="en-US" w:eastAsia="bg-BG"/>
              </w:rPr>
              <w:t>422</w:t>
            </w:r>
          </w:p>
        </w:tc>
      </w:tr>
      <w:tr w:rsidR="00EA48AE" w:rsidRPr="000E54EB">
        <w:trPr>
          <w:trHeight w:val="300"/>
        </w:trPr>
        <w:tc>
          <w:tcPr>
            <w:tcW w:w="1848" w:type="dxa"/>
            <w:vAlign w:val="center"/>
          </w:tcPr>
          <w:p w:rsidR="00EA48AE" w:rsidRPr="009A3CAA" w:rsidRDefault="00EA48AE" w:rsidP="00B617CE">
            <w:pPr>
              <w:jc w:val="left"/>
              <w:rPr>
                <w:rFonts w:ascii="Verdana" w:hAnsi="Verdana" w:cs="Verdana"/>
                <w:sz w:val="18"/>
                <w:szCs w:val="18"/>
                <w:lang w:eastAsia="bg-BG"/>
              </w:rPr>
            </w:pPr>
            <w:r w:rsidRPr="009A3CAA">
              <w:rPr>
                <w:rFonts w:ascii="Verdana" w:hAnsi="Verdana" w:cs="Verdana"/>
                <w:sz w:val="18"/>
                <w:szCs w:val="18"/>
                <w:lang w:eastAsia="bg-BG"/>
              </w:rPr>
              <w:t>Амортизация на излезли от употреба</w:t>
            </w:r>
          </w:p>
        </w:tc>
        <w:tc>
          <w:tcPr>
            <w:tcW w:w="851" w:type="dxa"/>
            <w:noWrap/>
            <w:vAlign w:val="center"/>
          </w:tcPr>
          <w:p w:rsidR="00EA48AE" w:rsidRPr="000E54EB" w:rsidRDefault="00EA48AE" w:rsidP="00A13023">
            <w:pPr>
              <w:jc w:val="center"/>
              <w:rPr>
                <w:rFonts w:ascii="Verdana" w:hAnsi="Verdana" w:cs="Verdana"/>
                <w:sz w:val="20"/>
                <w:szCs w:val="20"/>
                <w:lang w:eastAsia="bg-BG"/>
              </w:rPr>
            </w:pPr>
          </w:p>
        </w:tc>
        <w:tc>
          <w:tcPr>
            <w:tcW w:w="708" w:type="dxa"/>
            <w:gridSpan w:val="2"/>
            <w:noWrap/>
            <w:vAlign w:val="center"/>
          </w:tcPr>
          <w:p w:rsidR="00EA48AE" w:rsidRPr="000E54EB" w:rsidRDefault="00EA48AE" w:rsidP="00B617CE">
            <w:pPr>
              <w:jc w:val="center"/>
              <w:rPr>
                <w:rFonts w:ascii="Verdana" w:hAnsi="Verdana" w:cs="Verdana"/>
                <w:sz w:val="20"/>
                <w:szCs w:val="20"/>
                <w:lang w:eastAsia="bg-BG"/>
              </w:rPr>
            </w:pPr>
          </w:p>
        </w:tc>
        <w:tc>
          <w:tcPr>
            <w:tcW w:w="969" w:type="dxa"/>
            <w:noWrap/>
            <w:vAlign w:val="center"/>
          </w:tcPr>
          <w:p w:rsidR="00EA48AE" w:rsidRPr="0079730E" w:rsidRDefault="00EA48AE" w:rsidP="00B617CE">
            <w:pPr>
              <w:jc w:val="center"/>
              <w:rPr>
                <w:rFonts w:ascii="Verdana" w:hAnsi="Verdana" w:cs="Verdana"/>
                <w:sz w:val="20"/>
                <w:szCs w:val="20"/>
                <w:lang w:val="en-US" w:eastAsia="bg-BG"/>
              </w:rPr>
            </w:pPr>
            <w:r>
              <w:rPr>
                <w:rFonts w:ascii="Verdana" w:hAnsi="Verdana" w:cs="Verdana"/>
                <w:sz w:val="20"/>
                <w:szCs w:val="20"/>
                <w:lang w:val="en-US" w:eastAsia="bg-BG"/>
              </w:rPr>
              <w:t>(12)</w:t>
            </w:r>
          </w:p>
        </w:tc>
        <w:tc>
          <w:tcPr>
            <w:tcW w:w="1134" w:type="dxa"/>
            <w:noWrap/>
            <w:vAlign w:val="center"/>
          </w:tcPr>
          <w:p w:rsidR="00EA48AE" w:rsidRPr="000E54EB" w:rsidRDefault="00EA48AE" w:rsidP="00B617CE">
            <w:pPr>
              <w:jc w:val="center"/>
              <w:rPr>
                <w:rFonts w:ascii="Verdana" w:hAnsi="Verdana" w:cs="Verdana"/>
                <w:sz w:val="20"/>
                <w:szCs w:val="20"/>
                <w:lang w:eastAsia="bg-BG"/>
              </w:rPr>
            </w:pPr>
          </w:p>
        </w:tc>
        <w:tc>
          <w:tcPr>
            <w:tcW w:w="1134" w:type="dxa"/>
            <w:noWrap/>
            <w:vAlign w:val="center"/>
          </w:tcPr>
          <w:p w:rsidR="00EA48AE" w:rsidRPr="000E54EB" w:rsidRDefault="00EA48AE" w:rsidP="00B617CE">
            <w:pPr>
              <w:jc w:val="center"/>
              <w:rPr>
                <w:rFonts w:ascii="Verdana" w:hAnsi="Verdana" w:cs="Verdana"/>
                <w:sz w:val="20"/>
                <w:szCs w:val="20"/>
                <w:lang w:eastAsia="bg-BG"/>
              </w:rPr>
            </w:pPr>
          </w:p>
        </w:tc>
        <w:tc>
          <w:tcPr>
            <w:tcW w:w="1127" w:type="dxa"/>
            <w:noWrap/>
            <w:vAlign w:val="center"/>
          </w:tcPr>
          <w:p w:rsidR="00EA48AE" w:rsidRPr="000E54EB" w:rsidRDefault="00EA48AE" w:rsidP="00B617CE">
            <w:pPr>
              <w:jc w:val="center"/>
              <w:rPr>
                <w:rFonts w:ascii="Verdana" w:hAnsi="Verdana" w:cs="Verdana"/>
                <w:sz w:val="20"/>
                <w:szCs w:val="20"/>
                <w:lang w:eastAsia="bg-BG"/>
              </w:rPr>
            </w:pPr>
          </w:p>
        </w:tc>
        <w:tc>
          <w:tcPr>
            <w:tcW w:w="858" w:type="dxa"/>
          </w:tcPr>
          <w:p w:rsidR="00EA48AE" w:rsidRPr="000E54EB" w:rsidRDefault="00EA48AE" w:rsidP="00B617CE">
            <w:pPr>
              <w:jc w:val="center"/>
              <w:rPr>
                <w:rFonts w:ascii="Verdana" w:hAnsi="Verdana" w:cs="Verdana"/>
                <w:sz w:val="20"/>
                <w:szCs w:val="20"/>
                <w:lang w:eastAsia="bg-BG"/>
              </w:rPr>
            </w:pPr>
          </w:p>
        </w:tc>
        <w:tc>
          <w:tcPr>
            <w:tcW w:w="858" w:type="dxa"/>
            <w:noWrap/>
            <w:vAlign w:val="center"/>
          </w:tcPr>
          <w:p w:rsidR="00EA48AE" w:rsidRPr="000E54EB" w:rsidRDefault="00EA48AE" w:rsidP="00B617CE">
            <w:pPr>
              <w:jc w:val="center"/>
              <w:rPr>
                <w:rFonts w:ascii="Verdana" w:hAnsi="Verdana" w:cs="Verdana"/>
                <w:sz w:val="20"/>
                <w:szCs w:val="20"/>
                <w:lang w:eastAsia="bg-BG"/>
              </w:rPr>
            </w:pPr>
          </w:p>
        </w:tc>
        <w:tc>
          <w:tcPr>
            <w:tcW w:w="851" w:type="dxa"/>
            <w:noWrap/>
            <w:vAlign w:val="center"/>
          </w:tcPr>
          <w:p w:rsidR="00EA48AE" w:rsidRPr="00DD36D0" w:rsidRDefault="00EA48AE" w:rsidP="00B617CE">
            <w:pPr>
              <w:jc w:val="center"/>
              <w:rPr>
                <w:rFonts w:ascii="Verdana" w:hAnsi="Verdana" w:cs="Verdana"/>
                <w:b/>
                <w:bCs/>
                <w:sz w:val="20"/>
                <w:szCs w:val="20"/>
                <w:lang w:val="en-US" w:eastAsia="bg-BG"/>
              </w:rPr>
            </w:pPr>
            <w:r>
              <w:rPr>
                <w:rFonts w:ascii="Verdana" w:hAnsi="Verdana" w:cs="Verdana"/>
                <w:b/>
                <w:bCs/>
                <w:sz w:val="20"/>
                <w:szCs w:val="20"/>
                <w:lang w:val="en-US" w:eastAsia="bg-BG"/>
              </w:rPr>
              <w:t>(12)</w:t>
            </w:r>
          </w:p>
        </w:tc>
      </w:tr>
      <w:tr w:rsidR="00EA48AE" w:rsidRPr="000E54EB">
        <w:trPr>
          <w:trHeight w:val="765"/>
        </w:trPr>
        <w:tc>
          <w:tcPr>
            <w:tcW w:w="1848" w:type="dxa"/>
            <w:vAlign w:val="center"/>
          </w:tcPr>
          <w:p w:rsidR="00EA48AE" w:rsidRPr="00A52D1E" w:rsidRDefault="00EA48AE" w:rsidP="00B617CE">
            <w:pPr>
              <w:jc w:val="left"/>
              <w:rPr>
                <w:rFonts w:ascii="Verdana" w:hAnsi="Verdana" w:cs="Verdana"/>
                <w:sz w:val="18"/>
                <w:szCs w:val="18"/>
                <w:lang w:val="ru-RU" w:eastAsia="bg-BG"/>
              </w:rPr>
            </w:pPr>
            <w:r w:rsidRPr="00DC02A4">
              <w:rPr>
                <w:rFonts w:ascii="Verdana" w:hAnsi="Verdana" w:cs="Verdana"/>
                <w:sz w:val="18"/>
                <w:szCs w:val="18"/>
                <w:lang w:eastAsia="bg-BG"/>
              </w:rPr>
              <w:t>Увеличения в резултат от преоценка, които са признати в друг всеобхватен доход</w:t>
            </w:r>
          </w:p>
        </w:tc>
        <w:tc>
          <w:tcPr>
            <w:tcW w:w="851" w:type="dxa"/>
            <w:noWrap/>
            <w:vAlign w:val="center"/>
          </w:tcPr>
          <w:p w:rsidR="00EA48AE" w:rsidRPr="000E54EB" w:rsidRDefault="00EA48AE" w:rsidP="00A13023">
            <w:pPr>
              <w:jc w:val="center"/>
              <w:rPr>
                <w:rFonts w:ascii="Verdana" w:hAnsi="Verdana" w:cs="Verdana"/>
                <w:sz w:val="20"/>
                <w:szCs w:val="20"/>
                <w:lang w:eastAsia="bg-BG"/>
              </w:rPr>
            </w:pPr>
          </w:p>
        </w:tc>
        <w:tc>
          <w:tcPr>
            <w:tcW w:w="708" w:type="dxa"/>
            <w:gridSpan w:val="2"/>
            <w:noWrap/>
            <w:vAlign w:val="center"/>
          </w:tcPr>
          <w:p w:rsidR="00EA48AE" w:rsidRPr="0079730E" w:rsidRDefault="00EA48AE" w:rsidP="00B617CE">
            <w:pPr>
              <w:jc w:val="center"/>
              <w:rPr>
                <w:rFonts w:ascii="Verdana" w:hAnsi="Verdana" w:cs="Verdana"/>
                <w:sz w:val="20"/>
                <w:szCs w:val="20"/>
                <w:lang w:val="en-US" w:eastAsia="bg-BG"/>
              </w:rPr>
            </w:pPr>
            <w:r>
              <w:rPr>
                <w:rFonts w:ascii="Verdana" w:hAnsi="Verdana" w:cs="Verdana"/>
                <w:sz w:val="20"/>
                <w:szCs w:val="20"/>
                <w:lang w:val="en-US" w:eastAsia="bg-BG"/>
              </w:rPr>
              <w:t>3</w:t>
            </w:r>
          </w:p>
        </w:tc>
        <w:tc>
          <w:tcPr>
            <w:tcW w:w="969" w:type="dxa"/>
            <w:noWrap/>
            <w:vAlign w:val="center"/>
          </w:tcPr>
          <w:p w:rsidR="00EA48AE" w:rsidRPr="000E54EB" w:rsidRDefault="00EA48AE" w:rsidP="00B617CE">
            <w:pPr>
              <w:jc w:val="center"/>
              <w:rPr>
                <w:rFonts w:ascii="Verdana" w:hAnsi="Verdana" w:cs="Verdana"/>
                <w:sz w:val="20"/>
                <w:szCs w:val="20"/>
                <w:lang w:eastAsia="bg-BG"/>
              </w:rPr>
            </w:pPr>
          </w:p>
        </w:tc>
        <w:tc>
          <w:tcPr>
            <w:tcW w:w="1134" w:type="dxa"/>
            <w:noWrap/>
            <w:vAlign w:val="center"/>
          </w:tcPr>
          <w:p w:rsidR="00EA48AE" w:rsidRPr="000E54EB" w:rsidRDefault="00EA48AE" w:rsidP="00B617CE">
            <w:pPr>
              <w:jc w:val="center"/>
              <w:rPr>
                <w:rFonts w:ascii="Verdana" w:hAnsi="Verdana" w:cs="Verdana"/>
                <w:sz w:val="20"/>
                <w:szCs w:val="20"/>
                <w:lang w:eastAsia="bg-BG"/>
              </w:rPr>
            </w:pPr>
          </w:p>
        </w:tc>
        <w:tc>
          <w:tcPr>
            <w:tcW w:w="1134" w:type="dxa"/>
            <w:noWrap/>
            <w:vAlign w:val="center"/>
          </w:tcPr>
          <w:p w:rsidR="00EA48AE" w:rsidRPr="000E54EB" w:rsidRDefault="00EA48AE" w:rsidP="00B617CE">
            <w:pPr>
              <w:jc w:val="center"/>
              <w:rPr>
                <w:rFonts w:ascii="Verdana" w:hAnsi="Verdana" w:cs="Verdana"/>
                <w:sz w:val="20"/>
                <w:szCs w:val="20"/>
                <w:lang w:eastAsia="bg-BG"/>
              </w:rPr>
            </w:pPr>
          </w:p>
        </w:tc>
        <w:tc>
          <w:tcPr>
            <w:tcW w:w="1127" w:type="dxa"/>
            <w:noWrap/>
            <w:vAlign w:val="center"/>
          </w:tcPr>
          <w:p w:rsidR="00EA48AE" w:rsidRPr="000E54EB" w:rsidRDefault="00EA48AE" w:rsidP="00B617CE">
            <w:pPr>
              <w:jc w:val="center"/>
              <w:rPr>
                <w:rFonts w:ascii="Verdana" w:hAnsi="Verdana" w:cs="Verdana"/>
                <w:sz w:val="20"/>
                <w:szCs w:val="20"/>
                <w:lang w:eastAsia="bg-BG"/>
              </w:rPr>
            </w:pPr>
          </w:p>
        </w:tc>
        <w:tc>
          <w:tcPr>
            <w:tcW w:w="858" w:type="dxa"/>
          </w:tcPr>
          <w:p w:rsidR="00EA48AE" w:rsidRPr="000E54EB" w:rsidRDefault="00EA48AE" w:rsidP="00B617CE">
            <w:pPr>
              <w:jc w:val="center"/>
              <w:rPr>
                <w:rFonts w:ascii="Verdana" w:hAnsi="Verdana" w:cs="Verdana"/>
                <w:sz w:val="20"/>
                <w:szCs w:val="20"/>
                <w:lang w:eastAsia="bg-BG"/>
              </w:rPr>
            </w:pPr>
          </w:p>
        </w:tc>
        <w:tc>
          <w:tcPr>
            <w:tcW w:w="858" w:type="dxa"/>
            <w:noWrap/>
            <w:vAlign w:val="center"/>
          </w:tcPr>
          <w:p w:rsidR="00EA48AE" w:rsidRPr="000E54EB" w:rsidRDefault="00EA48AE" w:rsidP="00B617CE">
            <w:pPr>
              <w:jc w:val="center"/>
              <w:rPr>
                <w:rFonts w:ascii="Verdana" w:hAnsi="Verdana" w:cs="Verdana"/>
                <w:sz w:val="20"/>
                <w:szCs w:val="20"/>
                <w:lang w:eastAsia="bg-BG"/>
              </w:rPr>
            </w:pPr>
          </w:p>
        </w:tc>
        <w:tc>
          <w:tcPr>
            <w:tcW w:w="851" w:type="dxa"/>
            <w:noWrap/>
            <w:vAlign w:val="center"/>
          </w:tcPr>
          <w:p w:rsidR="00EA48AE" w:rsidRPr="00DD36D0" w:rsidRDefault="00EA48AE" w:rsidP="00B617CE">
            <w:pPr>
              <w:jc w:val="center"/>
              <w:rPr>
                <w:rFonts w:ascii="Verdana" w:hAnsi="Verdana" w:cs="Verdana"/>
                <w:b/>
                <w:bCs/>
                <w:sz w:val="20"/>
                <w:szCs w:val="20"/>
                <w:lang w:val="en-US" w:eastAsia="bg-BG"/>
              </w:rPr>
            </w:pPr>
            <w:r>
              <w:rPr>
                <w:rFonts w:ascii="Verdana" w:hAnsi="Verdana" w:cs="Verdana"/>
                <w:b/>
                <w:bCs/>
                <w:sz w:val="20"/>
                <w:szCs w:val="20"/>
                <w:lang w:val="en-US" w:eastAsia="bg-BG"/>
              </w:rPr>
              <w:t>3</w:t>
            </w:r>
          </w:p>
        </w:tc>
      </w:tr>
      <w:tr w:rsidR="00EA48AE" w:rsidRPr="000E54EB">
        <w:trPr>
          <w:trHeight w:val="765"/>
        </w:trPr>
        <w:tc>
          <w:tcPr>
            <w:tcW w:w="1848" w:type="dxa"/>
            <w:vAlign w:val="center"/>
          </w:tcPr>
          <w:p w:rsidR="00EA48AE" w:rsidRPr="00DC02A4" w:rsidRDefault="00EA48AE" w:rsidP="00B617CE">
            <w:pPr>
              <w:jc w:val="left"/>
              <w:rPr>
                <w:rFonts w:ascii="Verdana" w:hAnsi="Verdana" w:cs="Verdana"/>
                <w:sz w:val="18"/>
                <w:szCs w:val="18"/>
                <w:lang w:eastAsia="bg-BG"/>
              </w:rPr>
            </w:pPr>
            <w:r w:rsidRPr="00A52D1E">
              <w:rPr>
                <w:rFonts w:ascii="Verdana" w:hAnsi="Verdana" w:cs="Verdana"/>
                <w:sz w:val="18"/>
                <w:szCs w:val="18"/>
                <w:lang w:val="ru-RU" w:eastAsia="bg-BG"/>
              </w:rPr>
              <w:t>Намаление</w:t>
            </w:r>
            <w:r w:rsidRPr="00DC02A4">
              <w:rPr>
                <w:rFonts w:ascii="Verdana" w:hAnsi="Verdana" w:cs="Verdana"/>
                <w:sz w:val="18"/>
                <w:szCs w:val="18"/>
                <w:lang w:eastAsia="bg-BG"/>
              </w:rPr>
              <w:t xml:space="preserve"> в резултат от преоценка, които са признати в друг всеобхватен доход</w:t>
            </w:r>
          </w:p>
        </w:tc>
        <w:tc>
          <w:tcPr>
            <w:tcW w:w="851" w:type="dxa"/>
            <w:noWrap/>
            <w:vAlign w:val="center"/>
          </w:tcPr>
          <w:p w:rsidR="00EA48AE" w:rsidRPr="000E54EB" w:rsidRDefault="00EA48AE" w:rsidP="00A13023">
            <w:pPr>
              <w:jc w:val="center"/>
              <w:rPr>
                <w:rFonts w:ascii="Verdana" w:hAnsi="Verdana" w:cs="Verdana"/>
                <w:sz w:val="20"/>
                <w:szCs w:val="20"/>
                <w:lang w:eastAsia="bg-BG"/>
              </w:rPr>
            </w:pPr>
          </w:p>
        </w:tc>
        <w:tc>
          <w:tcPr>
            <w:tcW w:w="708" w:type="dxa"/>
            <w:gridSpan w:val="2"/>
            <w:noWrap/>
            <w:vAlign w:val="center"/>
          </w:tcPr>
          <w:p w:rsidR="00EA48AE" w:rsidRDefault="00EA48AE" w:rsidP="00B617CE">
            <w:pPr>
              <w:jc w:val="center"/>
              <w:rPr>
                <w:rFonts w:ascii="Verdana" w:hAnsi="Verdana" w:cs="Verdana"/>
                <w:sz w:val="20"/>
                <w:szCs w:val="20"/>
                <w:lang w:val="en-US" w:eastAsia="bg-BG"/>
              </w:rPr>
            </w:pPr>
            <w:r>
              <w:rPr>
                <w:rFonts w:ascii="Verdana" w:hAnsi="Verdana" w:cs="Verdana"/>
                <w:sz w:val="20"/>
                <w:szCs w:val="20"/>
                <w:lang w:val="en-US" w:eastAsia="bg-BG"/>
              </w:rPr>
              <w:t>(83)</w:t>
            </w:r>
          </w:p>
        </w:tc>
        <w:tc>
          <w:tcPr>
            <w:tcW w:w="969" w:type="dxa"/>
            <w:noWrap/>
            <w:vAlign w:val="center"/>
          </w:tcPr>
          <w:p w:rsidR="00EA48AE" w:rsidRPr="00061D55" w:rsidRDefault="00EA48AE" w:rsidP="00B617CE">
            <w:pPr>
              <w:jc w:val="center"/>
              <w:rPr>
                <w:rFonts w:ascii="Verdana" w:hAnsi="Verdana" w:cs="Verdana"/>
                <w:sz w:val="20"/>
                <w:szCs w:val="20"/>
                <w:lang w:val="en-US" w:eastAsia="bg-BG"/>
              </w:rPr>
            </w:pPr>
            <w:r>
              <w:rPr>
                <w:rFonts w:ascii="Verdana" w:hAnsi="Verdana" w:cs="Verdana"/>
                <w:sz w:val="20"/>
                <w:szCs w:val="20"/>
                <w:lang w:val="en-US" w:eastAsia="bg-BG"/>
              </w:rPr>
              <w:t>(498)</w:t>
            </w:r>
          </w:p>
        </w:tc>
        <w:tc>
          <w:tcPr>
            <w:tcW w:w="1134" w:type="dxa"/>
            <w:noWrap/>
            <w:vAlign w:val="center"/>
          </w:tcPr>
          <w:p w:rsidR="00EA48AE" w:rsidRPr="005963A7" w:rsidRDefault="00EA48AE" w:rsidP="00B617CE">
            <w:pPr>
              <w:jc w:val="center"/>
              <w:rPr>
                <w:rFonts w:ascii="Verdana" w:hAnsi="Verdana" w:cs="Verdana"/>
                <w:sz w:val="20"/>
                <w:szCs w:val="20"/>
                <w:lang w:val="en-US" w:eastAsia="bg-BG"/>
              </w:rPr>
            </w:pPr>
            <w:r>
              <w:rPr>
                <w:rFonts w:ascii="Verdana" w:hAnsi="Verdana" w:cs="Verdana"/>
                <w:sz w:val="20"/>
                <w:szCs w:val="20"/>
                <w:lang w:val="en-US" w:eastAsia="bg-BG"/>
              </w:rPr>
              <w:t>(124)</w:t>
            </w:r>
          </w:p>
        </w:tc>
        <w:tc>
          <w:tcPr>
            <w:tcW w:w="1134" w:type="dxa"/>
            <w:noWrap/>
            <w:vAlign w:val="center"/>
          </w:tcPr>
          <w:p w:rsidR="00EA48AE" w:rsidRPr="00DD36D0" w:rsidRDefault="00EA48AE" w:rsidP="00B617CE">
            <w:pPr>
              <w:jc w:val="center"/>
              <w:rPr>
                <w:rFonts w:ascii="Verdana" w:hAnsi="Verdana" w:cs="Verdana"/>
                <w:sz w:val="20"/>
                <w:szCs w:val="20"/>
                <w:lang w:val="en-US" w:eastAsia="bg-BG"/>
              </w:rPr>
            </w:pPr>
            <w:r>
              <w:rPr>
                <w:rFonts w:ascii="Verdana" w:hAnsi="Verdana" w:cs="Verdana"/>
                <w:sz w:val="20"/>
                <w:szCs w:val="20"/>
                <w:lang w:val="en-US" w:eastAsia="bg-BG"/>
              </w:rPr>
              <w:t>(4)</w:t>
            </w:r>
          </w:p>
        </w:tc>
        <w:tc>
          <w:tcPr>
            <w:tcW w:w="1127" w:type="dxa"/>
            <w:noWrap/>
            <w:vAlign w:val="center"/>
          </w:tcPr>
          <w:p w:rsidR="00EA48AE" w:rsidRPr="000E54EB" w:rsidRDefault="00EA48AE" w:rsidP="00B617CE">
            <w:pPr>
              <w:jc w:val="center"/>
              <w:rPr>
                <w:rFonts w:ascii="Verdana" w:hAnsi="Verdana" w:cs="Verdana"/>
                <w:sz w:val="20"/>
                <w:szCs w:val="20"/>
                <w:lang w:eastAsia="bg-BG"/>
              </w:rPr>
            </w:pPr>
          </w:p>
        </w:tc>
        <w:tc>
          <w:tcPr>
            <w:tcW w:w="858" w:type="dxa"/>
          </w:tcPr>
          <w:p w:rsidR="00EA48AE" w:rsidRPr="000E54EB" w:rsidRDefault="00EA48AE" w:rsidP="00B617CE">
            <w:pPr>
              <w:jc w:val="center"/>
              <w:rPr>
                <w:rFonts w:ascii="Verdana" w:hAnsi="Verdana" w:cs="Verdana"/>
                <w:sz w:val="20"/>
                <w:szCs w:val="20"/>
                <w:lang w:eastAsia="bg-BG"/>
              </w:rPr>
            </w:pPr>
          </w:p>
        </w:tc>
        <w:tc>
          <w:tcPr>
            <w:tcW w:w="858" w:type="dxa"/>
            <w:noWrap/>
            <w:vAlign w:val="center"/>
          </w:tcPr>
          <w:p w:rsidR="00EA48AE" w:rsidRPr="000E54EB" w:rsidRDefault="00EA48AE" w:rsidP="00B617CE">
            <w:pPr>
              <w:jc w:val="center"/>
              <w:rPr>
                <w:rFonts w:ascii="Verdana" w:hAnsi="Verdana" w:cs="Verdana"/>
                <w:sz w:val="20"/>
                <w:szCs w:val="20"/>
                <w:lang w:eastAsia="bg-BG"/>
              </w:rPr>
            </w:pPr>
          </w:p>
        </w:tc>
        <w:tc>
          <w:tcPr>
            <w:tcW w:w="851" w:type="dxa"/>
            <w:noWrap/>
            <w:vAlign w:val="center"/>
          </w:tcPr>
          <w:p w:rsidR="00EA48AE" w:rsidRPr="00DD36D0" w:rsidRDefault="00EA48AE" w:rsidP="00B617CE">
            <w:pPr>
              <w:jc w:val="center"/>
              <w:rPr>
                <w:rFonts w:ascii="Verdana" w:hAnsi="Verdana" w:cs="Verdana"/>
                <w:b/>
                <w:bCs/>
                <w:sz w:val="20"/>
                <w:szCs w:val="20"/>
                <w:lang w:val="en-US" w:eastAsia="bg-BG"/>
              </w:rPr>
            </w:pPr>
            <w:r>
              <w:rPr>
                <w:rFonts w:ascii="Verdana" w:hAnsi="Verdana" w:cs="Verdana"/>
                <w:b/>
                <w:bCs/>
                <w:sz w:val="20"/>
                <w:szCs w:val="20"/>
                <w:lang w:val="en-US" w:eastAsia="bg-BG"/>
              </w:rPr>
              <w:t>(709)</w:t>
            </w:r>
          </w:p>
        </w:tc>
      </w:tr>
      <w:tr w:rsidR="00EA48AE" w:rsidRPr="000E54EB">
        <w:trPr>
          <w:trHeight w:val="765"/>
        </w:trPr>
        <w:tc>
          <w:tcPr>
            <w:tcW w:w="1848" w:type="dxa"/>
            <w:vAlign w:val="center"/>
          </w:tcPr>
          <w:p w:rsidR="00EA48AE" w:rsidRPr="009A3CAA" w:rsidRDefault="00EA48AE" w:rsidP="00B617CE">
            <w:pPr>
              <w:jc w:val="left"/>
              <w:rPr>
                <w:rFonts w:ascii="Verdana" w:hAnsi="Verdana" w:cs="Verdana"/>
                <w:sz w:val="18"/>
                <w:szCs w:val="18"/>
                <w:lang w:eastAsia="bg-BG"/>
              </w:rPr>
            </w:pPr>
            <w:r w:rsidRPr="009A3CAA">
              <w:rPr>
                <w:rFonts w:ascii="Verdana" w:hAnsi="Verdana" w:cs="Verdana"/>
                <w:sz w:val="18"/>
                <w:szCs w:val="18"/>
                <w:lang w:eastAsia="bg-BG"/>
              </w:rPr>
              <w:lastRenderedPageBreak/>
              <w:t>Общо увеличения</w:t>
            </w:r>
          </w:p>
          <w:p w:rsidR="00EA48AE" w:rsidRPr="009A3CAA" w:rsidRDefault="00EA48AE" w:rsidP="00B617CE">
            <w:pPr>
              <w:jc w:val="left"/>
              <w:rPr>
                <w:rFonts w:ascii="Verdana" w:hAnsi="Verdana" w:cs="Verdana"/>
                <w:sz w:val="18"/>
                <w:szCs w:val="18"/>
                <w:lang w:eastAsia="bg-BG"/>
              </w:rPr>
            </w:pPr>
            <w:r w:rsidRPr="009A3CAA">
              <w:rPr>
                <w:rFonts w:ascii="Verdana" w:hAnsi="Verdana" w:cs="Verdana"/>
                <w:sz w:val="18"/>
                <w:szCs w:val="18"/>
                <w:lang w:eastAsia="bg-BG"/>
              </w:rPr>
              <w:t xml:space="preserve"> за периода</w:t>
            </w:r>
          </w:p>
        </w:tc>
        <w:tc>
          <w:tcPr>
            <w:tcW w:w="851" w:type="dxa"/>
            <w:noWrap/>
            <w:vAlign w:val="center"/>
          </w:tcPr>
          <w:p w:rsidR="00EA48AE" w:rsidRPr="000E54EB" w:rsidRDefault="00EA48AE" w:rsidP="00A13023">
            <w:pPr>
              <w:jc w:val="center"/>
              <w:rPr>
                <w:rFonts w:ascii="Verdana" w:hAnsi="Verdana" w:cs="Verdana"/>
                <w:sz w:val="20"/>
                <w:szCs w:val="20"/>
                <w:lang w:eastAsia="bg-BG"/>
              </w:rPr>
            </w:pPr>
          </w:p>
        </w:tc>
        <w:tc>
          <w:tcPr>
            <w:tcW w:w="708" w:type="dxa"/>
            <w:gridSpan w:val="2"/>
            <w:noWrap/>
            <w:vAlign w:val="center"/>
          </w:tcPr>
          <w:p w:rsidR="00EA48AE" w:rsidRPr="0079730E" w:rsidRDefault="00EA48AE" w:rsidP="00B617CE">
            <w:pPr>
              <w:jc w:val="center"/>
              <w:rPr>
                <w:rFonts w:ascii="Verdana" w:hAnsi="Verdana" w:cs="Verdana"/>
                <w:sz w:val="20"/>
                <w:szCs w:val="20"/>
                <w:lang w:val="en-US" w:eastAsia="bg-BG"/>
              </w:rPr>
            </w:pPr>
            <w:r>
              <w:rPr>
                <w:rFonts w:ascii="Verdana" w:hAnsi="Verdana" w:cs="Verdana"/>
                <w:sz w:val="20"/>
                <w:szCs w:val="20"/>
                <w:lang w:val="en-US" w:eastAsia="bg-BG"/>
              </w:rPr>
              <w:t>(66)</w:t>
            </w:r>
          </w:p>
        </w:tc>
        <w:tc>
          <w:tcPr>
            <w:tcW w:w="969" w:type="dxa"/>
            <w:noWrap/>
            <w:vAlign w:val="center"/>
          </w:tcPr>
          <w:p w:rsidR="00EA48AE" w:rsidRPr="00061D55" w:rsidRDefault="00EA48AE" w:rsidP="00B617CE">
            <w:pPr>
              <w:jc w:val="center"/>
              <w:rPr>
                <w:rFonts w:ascii="Verdana" w:hAnsi="Verdana" w:cs="Verdana"/>
                <w:sz w:val="20"/>
                <w:szCs w:val="20"/>
                <w:lang w:val="en-US" w:eastAsia="bg-BG"/>
              </w:rPr>
            </w:pPr>
            <w:r>
              <w:rPr>
                <w:rFonts w:ascii="Verdana" w:hAnsi="Verdana" w:cs="Verdana"/>
                <w:sz w:val="20"/>
                <w:szCs w:val="20"/>
                <w:lang w:val="en-US" w:eastAsia="bg-BG"/>
              </w:rPr>
              <w:t>(148)</w:t>
            </w:r>
          </w:p>
        </w:tc>
        <w:tc>
          <w:tcPr>
            <w:tcW w:w="1134" w:type="dxa"/>
            <w:noWrap/>
            <w:vAlign w:val="center"/>
          </w:tcPr>
          <w:p w:rsidR="00EA48AE" w:rsidRPr="005963A7" w:rsidRDefault="00EA48AE" w:rsidP="00B617CE">
            <w:pPr>
              <w:jc w:val="center"/>
              <w:rPr>
                <w:rFonts w:ascii="Verdana" w:hAnsi="Verdana" w:cs="Verdana"/>
                <w:sz w:val="20"/>
                <w:szCs w:val="20"/>
                <w:lang w:val="en-US" w:eastAsia="bg-BG"/>
              </w:rPr>
            </w:pPr>
            <w:r>
              <w:rPr>
                <w:rFonts w:ascii="Verdana" w:hAnsi="Verdana" w:cs="Verdana"/>
                <w:sz w:val="20"/>
                <w:szCs w:val="20"/>
                <w:lang w:val="en-US" w:eastAsia="bg-BG"/>
              </w:rPr>
              <w:t>(83)</w:t>
            </w:r>
          </w:p>
        </w:tc>
        <w:tc>
          <w:tcPr>
            <w:tcW w:w="1134" w:type="dxa"/>
            <w:noWrap/>
            <w:vAlign w:val="center"/>
          </w:tcPr>
          <w:p w:rsidR="00EA48AE" w:rsidRPr="00DD36D0" w:rsidRDefault="00EA48AE" w:rsidP="00B617CE">
            <w:pPr>
              <w:jc w:val="center"/>
              <w:rPr>
                <w:rFonts w:ascii="Verdana" w:hAnsi="Verdana" w:cs="Verdana"/>
                <w:sz w:val="20"/>
                <w:szCs w:val="20"/>
                <w:lang w:val="en-US" w:eastAsia="bg-BG"/>
              </w:rPr>
            </w:pPr>
            <w:r>
              <w:rPr>
                <w:rFonts w:ascii="Verdana" w:hAnsi="Verdana" w:cs="Verdana"/>
                <w:sz w:val="20"/>
                <w:szCs w:val="20"/>
                <w:lang w:val="en-US" w:eastAsia="bg-BG"/>
              </w:rPr>
              <w:t>(1)</w:t>
            </w:r>
          </w:p>
        </w:tc>
        <w:tc>
          <w:tcPr>
            <w:tcW w:w="1127" w:type="dxa"/>
            <w:noWrap/>
            <w:vAlign w:val="center"/>
          </w:tcPr>
          <w:p w:rsidR="00EA48AE" w:rsidRPr="000E54EB" w:rsidRDefault="00EA48AE" w:rsidP="00B617CE">
            <w:pPr>
              <w:jc w:val="center"/>
              <w:rPr>
                <w:rFonts w:ascii="Verdana" w:hAnsi="Verdana" w:cs="Verdana"/>
                <w:sz w:val="20"/>
                <w:szCs w:val="20"/>
                <w:lang w:eastAsia="bg-BG"/>
              </w:rPr>
            </w:pPr>
          </w:p>
        </w:tc>
        <w:tc>
          <w:tcPr>
            <w:tcW w:w="858" w:type="dxa"/>
          </w:tcPr>
          <w:p w:rsidR="00EA48AE" w:rsidRDefault="00EA48AE" w:rsidP="00B617CE">
            <w:pPr>
              <w:jc w:val="center"/>
              <w:rPr>
                <w:rFonts w:ascii="Verdana" w:hAnsi="Verdana" w:cs="Verdana"/>
                <w:sz w:val="20"/>
                <w:szCs w:val="20"/>
                <w:lang w:val="en-US" w:eastAsia="bg-BG"/>
              </w:rPr>
            </w:pPr>
          </w:p>
          <w:p w:rsidR="00EA48AE" w:rsidRPr="00DD36D0" w:rsidRDefault="00EA48AE" w:rsidP="00B617CE">
            <w:pPr>
              <w:jc w:val="center"/>
              <w:rPr>
                <w:rFonts w:ascii="Verdana" w:hAnsi="Verdana" w:cs="Verdana"/>
                <w:sz w:val="20"/>
                <w:szCs w:val="20"/>
                <w:lang w:val="en-US" w:eastAsia="bg-BG"/>
              </w:rPr>
            </w:pPr>
            <w:r>
              <w:rPr>
                <w:rFonts w:ascii="Verdana" w:hAnsi="Verdana" w:cs="Verdana"/>
                <w:sz w:val="20"/>
                <w:szCs w:val="20"/>
                <w:lang w:val="en-US" w:eastAsia="bg-BG"/>
              </w:rPr>
              <w:t>1</w:t>
            </w:r>
          </w:p>
        </w:tc>
        <w:tc>
          <w:tcPr>
            <w:tcW w:w="858" w:type="dxa"/>
            <w:noWrap/>
            <w:vAlign w:val="center"/>
          </w:tcPr>
          <w:p w:rsidR="00EA48AE" w:rsidRPr="00DD36D0" w:rsidRDefault="00EA48AE" w:rsidP="00B617CE">
            <w:pPr>
              <w:jc w:val="center"/>
              <w:rPr>
                <w:rFonts w:ascii="Verdana" w:hAnsi="Verdana" w:cs="Verdana"/>
                <w:sz w:val="20"/>
                <w:szCs w:val="20"/>
                <w:lang w:val="en-US" w:eastAsia="bg-BG"/>
              </w:rPr>
            </w:pPr>
            <w:r>
              <w:rPr>
                <w:rFonts w:ascii="Verdana" w:hAnsi="Verdana" w:cs="Verdana"/>
                <w:sz w:val="20"/>
                <w:szCs w:val="20"/>
                <w:lang w:val="en-US" w:eastAsia="bg-BG"/>
              </w:rPr>
              <w:t>1</w:t>
            </w:r>
          </w:p>
        </w:tc>
        <w:tc>
          <w:tcPr>
            <w:tcW w:w="851" w:type="dxa"/>
            <w:noWrap/>
            <w:vAlign w:val="center"/>
          </w:tcPr>
          <w:p w:rsidR="00EA48AE" w:rsidRPr="00DD36D0" w:rsidRDefault="00EA48AE" w:rsidP="00B617CE">
            <w:pPr>
              <w:jc w:val="center"/>
              <w:rPr>
                <w:rFonts w:ascii="Verdana" w:hAnsi="Verdana" w:cs="Verdana"/>
                <w:b/>
                <w:bCs/>
                <w:sz w:val="20"/>
                <w:szCs w:val="20"/>
                <w:lang w:val="en-US" w:eastAsia="bg-BG"/>
              </w:rPr>
            </w:pPr>
            <w:r>
              <w:rPr>
                <w:rFonts w:ascii="Verdana" w:hAnsi="Verdana" w:cs="Verdana"/>
                <w:b/>
                <w:bCs/>
                <w:sz w:val="20"/>
                <w:szCs w:val="20"/>
                <w:lang w:val="en-US" w:eastAsia="bg-BG"/>
              </w:rPr>
              <w:t>(296)</w:t>
            </w:r>
          </w:p>
        </w:tc>
      </w:tr>
      <w:tr w:rsidR="00EA48AE" w:rsidRPr="000E54EB">
        <w:trPr>
          <w:trHeight w:val="300"/>
        </w:trPr>
        <w:tc>
          <w:tcPr>
            <w:tcW w:w="1848" w:type="dxa"/>
            <w:vAlign w:val="center"/>
          </w:tcPr>
          <w:p w:rsidR="00EA48AE" w:rsidRPr="000E54EB" w:rsidRDefault="00EA48AE" w:rsidP="00E9504D">
            <w:pPr>
              <w:jc w:val="left"/>
              <w:rPr>
                <w:rFonts w:ascii="Verdana" w:hAnsi="Verdana" w:cs="Verdana"/>
                <w:b/>
                <w:bCs/>
                <w:sz w:val="20"/>
                <w:szCs w:val="20"/>
                <w:lang w:eastAsia="bg-BG"/>
              </w:rPr>
            </w:pPr>
            <w:r w:rsidRPr="000E54EB">
              <w:rPr>
                <w:rFonts w:ascii="Verdana" w:hAnsi="Verdana" w:cs="Verdana"/>
                <w:b/>
                <w:bCs/>
                <w:sz w:val="20"/>
                <w:szCs w:val="20"/>
                <w:lang w:eastAsia="bg-BG"/>
              </w:rPr>
              <w:t>Салдо към 31.12.201</w:t>
            </w:r>
            <w:r>
              <w:rPr>
                <w:rFonts w:ascii="Verdana" w:hAnsi="Verdana" w:cs="Verdana"/>
                <w:b/>
                <w:bCs/>
                <w:sz w:val="20"/>
                <w:szCs w:val="20"/>
                <w:lang w:eastAsia="bg-BG"/>
              </w:rPr>
              <w:t>9</w:t>
            </w:r>
          </w:p>
        </w:tc>
        <w:tc>
          <w:tcPr>
            <w:tcW w:w="851" w:type="dxa"/>
            <w:noWrap/>
            <w:vAlign w:val="center"/>
          </w:tcPr>
          <w:p w:rsidR="00EA48AE" w:rsidRPr="000E54EB" w:rsidRDefault="00EA48AE" w:rsidP="00A13023">
            <w:pPr>
              <w:jc w:val="center"/>
              <w:rPr>
                <w:rFonts w:ascii="Verdana" w:hAnsi="Verdana" w:cs="Verdana"/>
                <w:b/>
                <w:bCs/>
                <w:sz w:val="20"/>
                <w:szCs w:val="20"/>
                <w:lang w:eastAsia="bg-BG"/>
              </w:rPr>
            </w:pPr>
          </w:p>
        </w:tc>
        <w:tc>
          <w:tcPr>
            <w:tcW w:w="708" w:type="dxa"/>
            <w:gridSpan w:val="2"/>
            <w:noWrap/>
            <w:vAlign w:val="center"/>
          </w:tcPr>
          <w:p w:rsidR="00EA48AE" w:rsidRPr="0079730E" w:rsidRDefault="00EA48AE" w:rsidP="00B617CE">
            <w:pPr>
              <w:jc w:val="center"/>
              <w:rPr>
                <w:rFonts w:ascii="Verdana" w:hAnsi="Verdana" w:cs="Verdana"/>
                <w:b/>
                <w:bCs/>
                <w:sz w:val="20"/>
                <w:szCs w:val="20"/>
                <w:lang w:val="en-US" w:eastAsia="bg-BG"/>
              </w:rPr>
            </w:pPr>
            <w:r>
              <w:rPr>
                <w:rFonts w:ascii="Verdana" w:hAnsi="Verdana" w:cs="Verdana"/>
                <w:b/>
                <w:bCs/>
                <w:sz w:val="20"/>
                <w:szCs w:val="20"/>
                <w:lang w:val="en-US" w:eastAsia="bg-BG"/>
              </w:rPr>
              <w:t>156</w:t>
            </w:r>
          </w:p>
        </w:tc>
        <w:tc>
          <w:tcPr>
            <w:tcW w:w="969" w:type="dxa"/>
            <w:noWrap/>
            <w:vAlign w:val="center"/>
          </w:tcPr>
          <w:p w:rsidR="00EA48AE" w:rsidRPr="00061D55" w:rsidRDefault="00EA48AE" w:rsidP="00B617CE">
            <w:pPr>
              <w:jc w:val="center"/>
              <w:rPr>
                <w:rFonts w:ascii="Verdana" w:hAnsi="Verdana" w:cs="Verdana"/>
                <w:b/>
                <w:bCs/>
                <w:sz w:val="20"/>
                <w:szCs w:val="20"/>
                <w:lang w:val="en-US" w:eastAsia="bg-BG"/>
              </w:rPr>
            </w:pPr>
            <w:r>
              <w:rPr>
                <w:rFonts w:ascii="Verdana" w:hAnsi="Verdana" w:cs="Verdana"/>
                <w:b/>
                <w:bCs/>
                <w:sz w:val="20"/>
                <w:szCs w:val="20"/>
                <w:lang w:val="en-US" w:eastAsia="bg-BG"/>
              </w:rPr>
              <w:t>3 348</w:t>
            </w:r>
          </w:p>
        </w:tc>
        <w:tc>
          <w:tcPr>
            <w:tcW w:w="1134" w:type="dxa"/>
            <w:noWrap/>
            <w:vAlign w:val="center"/>
          </w:tcPr>
          <w:p w:rsidR="00EA48AE" w:rsidRPr="00DD36D0" w:rsidRDefault="00EA48AE" w:rsidP="00B617CE">
            <w:pPr>
              <w:jc w:val="center"/>
              <w:rPr>
                <w:rFonts w:ascii="Verdana" w:hAnsi="Verdana" w:cs="Verdana"/>
                <w:b/>
                <w:bCs/>
                <w:sz w:val="20"/>
                <w:szCs w:val="20"/>
                <w:lang w:val="en-US" w:eastAsia="bg-BG"/>
              </w:rPr>
            </w:pPr>
            <w:r>
              <w:rPr>
                <w:rFonts w:ascii="Verdana" w:hAnsi="Verdana" w:cs="Verdana"/>
                <w:b/>
                <w:bCs/>
                <w:sz w:val="20"/>
                <w:szCs w:val="20"/>
                <w:lang w:val="en-US" w:eastAsia="bg-BG"/>
              </w:rPr>
              <w:t>441</w:t>
            </w:r>
          </w:p>
        </w:tc>
        <w:tc>
          <w:tcPr>
            <w:tcW w:w="1134" w:type="dxa"/>
            <w:noWrap/>
            <w:vAlign w:val="center"/>
          </w:tcPr>
          <w:p w:rsidR="00EA48AE" w:rsidRPr="00DD36D0" w:rsidRDefault="00EA48AE" w:rsidP="00B617CE">
            <w:pPr>
              <w:jc w:val="center"/>
              <w:rPr>
                <w:rFonts w:ascii="Verdana" w:hAnsi="Verdana" w:cs="Verdana"/>
                <w:b/>
                <w:bCs/>
                <w:sz w:val="20"/>
                <w:szCs w:val="20"/>
                <w:lang w:val="en-US" w:eastAsia="bg-BG"/>
              </w:rPr>
            </w:pPr>
            <w:r>
              <w:rPr>
                <w:rFonts w:ascii="Verdana" w:hAnsi="Verdana" w:cs="Verdana"/>
                <w:b/>
                <w:bCs/>
                <w:sz w:val="20"/>
                <w:szCs w:val="20"/>
                <w:lang w:val="en-US" w:eastAsia="bg-BG"/>
              </w:rPr>
              <w:t>31</w:t>
            </w:r>
          </w:p>
        </w:tc>
        <w:tc>
          <w:tcPr>
            <w:tcW w:w="1127" w:type="dxa"/>
            <w:noWrap/>
            <w:vAlign w:val="center"/>
          </w:tcPr>
          <w:p w:rsidR="00EA48AE" w:rsidRPr="00DD36D0" w:rsidRDefault="00EA48AE" w:rsidP="00B617CE">
            <w:pPr>
              <w:jc w:val="center"/>
              <w:rPr>
                <w:rFonts w:ascii="Verdana" w:hAnsi="Verdana" w:cs="Verdana"/>
                <w:b/>
                <w:bCs/>
                <w:sz w:val="20"/>
                <w:szCs w:val="20"/>
                <w:lang w:val="en-US" w:eastAsia="bg-BG"/>
              </w:rPr>
            </w:pPr>
            <w:r>
              <w:rPr>
                <w:rFonts w:ascii="Verdana" w:hAnsi="Verdana" w:cs="Verdana"/>
                <w:b/>
                <w:bCs/>
                <w:sz w:val="20"/>
                <w:szCs w:val="20"/>
                <w:lang w:val="en-US" w:eastAsia="bg-BG"/>
              </w:rPr>
              <w:t>-</w:t>
            </w:r>
          </w:p>
        </w:tc>
        <w:tc>
          <w:tcPr>
            <w:tcW w:w="858" w:type="dxa"/>
          </w:tcPr>
          <w:p w:rsidR="00EA48AE" w:rsidRDefault="00EA48AE" w:rsidP="00B617CE">
            <w:pPr>
              <w:jc w:val="center"/>
              <w:rPr>
                <w:rFonts w:ascii="Verdana" w:hAnsi="Verdana" w:cs="Verdana"/>
                <w:b/>
                <w:bCs/>
                <w:sz w:val="20"/>
                <w:szCs w:val="20"/>
                <w:lang w:val="en-US" w:eastAsia="bg-BG"/>
              </w:rPr>
            </w:pPr>
          </w:p>
          <w:p w:rsidR="00EA48AE" w:rsidRPr="00DD36D0" w:rsidRDefault="00EA48AE" w:rsidP="00B617CE">
            <w:pPr>
              <w:jc w:val="center"/>
              <w:rPr>
                <w:rFonts w:ascii="Verdana" w:hAnsi="Verdana" w:cs="Verdana"/>
                <w:b/>
                <w:bCs/>
                <w:sz w:val="20"/>
                <w:szCs w:val="20"/>
                <w:lang w:val="en-US" w:eastAsia="bg-BG"/>
              </w:rPr>
            </w:pPr>
            <w:r>
              <w:rPr>
                <w:rFonts w:ascii="Verdana" w:hAnsi="Verdana" w:cs="Verdana"/>
                <w:b/>
                <w:bCs/>
                <w:sz w:val="20"/>
                <w:szCs w:val="20"/>
                <w:lang w:val="en-US" w:eastAsia="bg-BG"/>
              </w:rPr>
              <w:t>1</w:t>
            </w:r>
          </w:p>
        </w:tc>
        <w:tc>
          <w:tcPr>
            <w:tcW w:w="858" w:type="dxa"/>
            <w:noWrap/>
            <w:vAlign w:val="center"/>
          </w:tcPr>
          <w:p w:rsidR="00EA48AE" w:rsidRPr="00DD36D0" w:rsidRDefault="00EA48AE" w:rsidP="00B617CE">
            <w:pPr>
              <w:jc w:val="center"/>
              <w:rPr>
                <w:rFonts w:ascii="Verdana" w:hAnsi="Verdana" w:cs="Verdana"/>
                <w:b/>
                <w:bCs/>
                <w:sz w:val="20"/>
                <w:szCs w:val="20"/>
                <w:lang w:val="en-US" w:eastAsia="bg-BG"/>
              </w:rPr>
            </w:pPr>
            <w:r>
              <w:rPr>
                <w:rFonts w:ascii="Verdana" w:hAnsi="Verdana" w:cs="Verdana"/>
                <w:b/>
                <w:bCs/>
                <w:sz w:val="20"/>
                <w:szCs w:val="20"/>
                <w:lang w:val="en-US" w:eastAsia="bg-BG"/>
              </w:rPr>
              <w:t>40</w:t>
            </w:r>
          </w:p>
        </w:tc>
        <w:tc>
          <w:tcPr>
            <w:tcW w:w="851" w:type="dxa"/>
            <w:noWrap/>
            <w:vAlign w:val="center"/>
          </w:tcPr>
          <w:p w:rsidR="00EA48AE" w:rsidRPr="00DD36D0" w:rsidRDefault="00EA48AE" w:rsidP="00B617CE">
            <w:pPr>
              <w:jc w:val="center"/>
              <w:rPr>
                <w:rFonts w:ascii="Verdana" w:hAnsi="Verdana" w:cs="Verdana"/>
                <w:b/>
                <w:bCs/>
                <w:sz w:val="20"/>
                <w:szCs w:val="20"/>
                <w:lang w:val="en-US" w:eastAsia="bg-BG"/>
              </w:rPr>
            </w:pPr>
            <w:r>
              <w:rPr>
                <w:rFonts w:ascii="Verdana" w:hAnsi="Verdana" w:cs="Verdana"/>
                <w:b/>
                <w:bCs/>
                <w:sz w:val="20"/>
                <w:szCs w:val="20"/>
                <w:lang w:val="en-US" w:eastAsia="bg-BG"/>
              </w:rPr>
              <w:t>4 017</w:t>
            </w:r>
          </w:p>
        </w:tc>
      </w:tr>
      <w:tr w:rsidR="00EA48AE" w:rsidRPr="000E54EB">
        <w:trPr>
          <w:trHeight w:val="300"/>
        </w:trPr>
        <w:tc>
          <w:tcPr>
            <w:tcW w:w="1848" w:type="dxa"/>
            <w:vAlign w:val="center"/>
          </w:tcPr>
          <w:p w:rsidR="00EA48AE" w:rsidRPr="009A3CAA" w:rsidRDefault="00EA48AE" w:rsidP="00A11464">
            <w:pPr>
              <w:jc w:val="left"/>
              <w:rPr>
                <w:rFonts w:ascii="Verdana" w:hAnsi="Verdana" w:cs="Verdana"/>
                <w:sz w:val="18"/>
                <w:szCs w:val="18"/>
                <w:lang w:eastAsia="bg-BG"/>
              </w:rPr>
            </w:pPr>
            <w:r w:rsidRPr="009A3CAA">
              <w:rPr>
                <w:rFonts w:ascii="Verdana" w:hAnsi="Verdana" w:cs="Verdana"/>
                <w:sz w:val="18"/>
                <w:szCs w:val="18"/>
                <w:lang w:eastAsia="bg-BG"/>
              </w:rPr>
              <w:t>Амортизация за годината</w:t>
            </w:r>
          </w:p>
        </w:tc>
        <w:tc>
          <w:tcPr>
            <w:tcW w:w="851" w:type="dxa"/>
            <w:noWrap/>
            <w:vAlign w:val="center"/>
          </w:tcPr>
          <w:p w:rsidR="00EA48AE" w:rsidRPr="000E54EB" w:rsidRDefault="00EA48AE" w:rsidP="00A13023">
            <w:pPr>
              <w:jc w:val="center"/>
              <w:rPr>
                <w:rFonts w:ascii="Verdana" w:hAnsi="Verdana" w:cs="Verdana"/>
                <w:sz w:val="20"/>
                <w:szCs w:val="20"/>
                <w:lang w:eastAsia="bg-BG"/>
              </w:rPr>
            </w:pPr>
          </w:p>
        </w:tc>
        <w:tc>
          <w:tcPr>
            <w:tcW w:w="708" w:type="dxa"/>
            <w:gridSpan w:val="2"/>
            <w:shd w:val="clear" w:color="000000" w:fill="FFFFFF"/>
            <w:noWrap/>
            <w:vAlign w:val="center"/>
          </w:tcPr>
          <w:p w:rsidR="00EA48AE" w:rsidRPr="00600BB3" w:rsidRDefault="00600BB3" w:rsidP="00A13023">
            <w:pPr>
              <w:jc w:val="center"/>
              <w:rPr>
                <w:rFonts w:ascii="Verdana" w:hAnsi="Verdana" w:cs="Verdana"/>
                <w:sz w:val="20"/>
                <w:szCs w:val="20"/>
                <w:lang w:eastAsia="bg-BG"/>
              </w:rPr>
            </w:pPr>
            <w:r>
              <w:rPr>
                <w:rFonts w:ascii="Verdana" w:hAnsi="Verdana" w:cs="Verdana"/>
                <w:sz w:val="20"/>
                <w:szCs w:val="20"/>
                <w:lang w:eastAsia="bg-BG"/>
              </w:rPr>
              <w:t>7</w:t>
            </w:r>
          </w:p>
        </w:tc>
        <w:tc>
          <w:tcPr>
            <w:tcW w:w="969" w:type="dxa"/>
            <w:noWrap/>
            <w:vAlign w:val="center"/>
          </w:tcPr>
          <w:p w:rsidR="00EA48AE" w:rsidRPr="00B617CE" w:rsidRDefault="00B617CE" w:rsidP="00A13023">
            <w:pPr>
              <w:jc w:val="center"/>
              <w:rPr>
                <w:rFonts w:ascii="Verdana" w:hAnsi="Verdana" w:cs="Verdana"/>
                <w:sz w:val="20"/>
                <w:szCs w:val="20"/>
                <w:lang w:eastAsia="bg-BG"/>
              </w:rPr>
            </w:pPr>
            <w:r>
              <w:rPr>
                <w:rFonts w:ascii="Verdana" w:hAnsi="Verdana" w:cs="Verdana"/>
                <w:sz w:val="20"/>
                <w:szCs w:val="20"/>
                <w:lang w:eastAsia="bg-BG"/>
              </w:rPr>
              <w:t>177</w:t>
            </w:r>
          </w:p>
        </w:tc>
        <w:tc>
          <w:tcPr>
            <w:tcW w:w="1134" w:type="dxa"/>
            <w:noWrap/>
            <w:vAlign w:val="center"/>
          </w:tcPr>
          <w:p w:rsidR="00EA48AE" w:rsidRPr="00B617CE" w:rsidRDefault="00B617CE" w:rsidP="00A13023">
            <w:pPr>
              <w:jc w:val="center"/>
              <w:rPr>
                <w:rFonts w:ascii="Verdana" w:hAnsi="Verdana" w:cs="Verdana"/>
                <w:sz w:val="20"/>
                <w:szCs w:val="20"/>
                <w:lang w:eastAsia="bg-BG"/>
              </w:rPr>
            </w:pPr>
            <w:r>
              <w:rPr>
                <w:rFonts w:ascii="Verdana" w:hAnsi="Verdana" w:cs="Verdana"/>
                <w:sz w:val="20"/>
                <w:szCs w:val="20"/>
                <w:lang w:eastAsia="bg-BG"/>
              </w:rPr>
              <w:t>20</w:t>
            </w:r>
          </w:p>
        </w:tc>
        <w:tc>
          <w:tcPr>
            <w:tcW w:w="1134" w:type="dxa"/>
            <w:noWrap/>
            <w:vAlign w:val="center"/>
          </w:tcPr>
          <w:p w:rsidR="00EA48AE" w:rsidRPr="00B617CE" w:rsidRDefault="000B6D2A" w:rsidP="00A13023">
            <w:pPr>
              <w:jc w:val="center"/>
              <w:rPr>
                <w:rFonts w:ascii="Verdana" w:hAnsi="Verdana" w:cs="Verdana"/>
                <w:sz w:val="20"/>
                <w:szCs w:val="20"/>
                <w:lang w:eastAsia="bg-BG"/>
              </w:rPr>
            </w:pPr>
            <w:r>
              <w:rPr>
                <w:rFonts w:ascii="Verdana" w:hAnsi="Verdana" w:cs="Verdana"/>
                <w:sz w:val="20"/>
                <w:szCs w:val="20"/>
                <w:lang w:eastAsia="bg-BG"/>
              </w:rPr>
              <w:t>-</w:t>
            </w:r>
          </w:p>
        </w:tc>
        <w:tc>
          <w:tcPr>
            <w:tcW w:w="1127" w:type="dxa"/>
            <w:noWrap/>
            <w:vAlign w:val="center"/>
          </w:tcPr>
          <w:p w:rsidR="00EA48AE" w:rsidRPr="000E54EB" w:rsidRDefault="00EA48AE" w:rsidP="00A13023">
            <w:pPr>
              <w:jc w:val="center"/>
              <w:rPr>
                <w:rFonts w:ascii="Verdana" w:hAnsi="Verdana" w:cs="Verdana"/>
                <w:sz w:val="20"/>
                <w:szCs w:val="20"/>
                <w:lang w:eastAsia="bg-BG"/>
              </w:rPr>
            </w:pPr>
          </w:p>
        </w:tc>
        <w:tc>
          <w:tcPr>
            <w:tcW w:w="858" w:type="dxa"/>
          </w:tcPr>
          <w:p w:rsidR="00EA48AE" w:rsidRPr="00B617CE" w:rsidRDefault="00B617CE" w:rsidP="00A13023">
            <w:pPr>
              <w:jc w:val="center"/>
              <w:rPr>
                <w:rFonts w:ascii="Verdana" w:hAnsi="Verdana" w:cs="Verdana"/>
                <w:sz w:val="20"/>
                <w:szCs w:val="20"/>
                <w:lang w:eastAsia="bg-BG"/>
              </w:rPr>
            </w:pPr>
            <w:r>
              <w:rPr>
                <w:rFonts w:ascii="Verdana" w:hAnsi="Verdana" w:cs="Verdana"/>
                <w:sz w:val="20"/>
                <w:szCs w:val="20"/>
                <w:lang w:eastAsia="bg-BG"/>
              </w:rPr>
              <w:t>2</w:t>
            </w:r>
          </w:p>
        </w:tc>
        <w:tc>
          <w:tcPr>
            <w:tcW w:w="858" w:type="dxa"/>
            <w:noWrap/>
            <w:vAlign w:val="center"/>
          </w:tcPr>
          <w:p w:rsidR="00EA48AE" w:rsidRPr="00B617CE" w:rsidRDefault="000B6D2A" w:rsidP="00A13023">
            <w:pPr>
              <w:jc w:val="center"/>
              <w:rPr>
                <w:rFonts w:ascii="Verdana" w:hAnsi="Verdana" w:cs="Verdana"/>
                <w:sz w:val="20"/>
                <w:szCs w:val="20"/>
                <w:lang w:eastAsia="bg-BG"/>
              </w:rPr>
            </w:pPr>
            <w:r>
              <w:rPr>
                <w:rFonts w:ascii="Verdana" w:hAnsi="Verdana" w:cs="Verdana"/>
                <w:sz w:val="20"/>
                <w:szCs w:val="20"/>
                <w:lang w:eastAsia="bg-BG"/>
              </w:rPr>
              <w:t>-</w:t>
            </w:r>
          </w:p>
        </w:tc>
        <w:tc>
          <w:tcPr>
            <w:tcW w:w="851" w:type="dxa"/>
            <w:shd w:val="clear" w:color="000000" w:fill="FFFFFF"/>
            <w:noWrap/>
            <w:vAlign w:val="center"/>
          </w:tcPr>
          <w:p w:rsidR="00EA48AE" w:rsidRPr="00B617CE" w:rsidRDefault="00B617CE" w:rsidP="00A13023">
            <w:pPr>
              <w:jc w:val="center"/>
              <w:rPr>
                <w:rFonts w:ascii="Verdana" w:hAnsi="Verdana" w:cs="Verdana"/>
                <w:b/>
                <w:bCs/>
                <w:sz w:val="20"/>
                <w:szCs w:val="20"/>
                <w:lang w:eastAsia="bg-BG"/>
              </w:rPr>
            </w:pPr>
            <w:r>
              <w:rPr>
                <w:rFonts w:ascii="Verdana" w:hAnsi="Verdana" w:cs="Verdana"/>
                <w:b/>
                <w:bCs/>
                <w:sz w:val="20"/>
                <w:szCs w:val="20"/>
                <w:lang w:eastAsia="bg-BG"/>
              </w:rPr>
              <w:t>208</w:t>
            </w:r>
          </w:p>
        </w:tc>
      </w:tr>
      <w:tr w:rsidR="00EA48AE" w:rsidRPr="000E54EB">
        <w:trPr>
          <w:trHeight w:val="599"/>
        </w:trPr>
        <w:tc>
          <w:tcPr>
            <w:tcW w:w="1848" w:type="dxa"/>
            <w:vAlign w:val="center"/>
          </w:tcPr>
          <w:p w:rsidR="00EA48AE" w:rsidRPr="009A3CAA" w:rsidRDefault="00EA48AE" w:rsidP="00A11464">
            <w:pPr>
              <w:jc w:val="left"/>
              <w:rPr>
                <w:rFonts w:ascii="Verdana" w:hAnsi="Verdana" w:cs="Verdana"/>
                <w:sz w:val="18"/>
                <w:szCs w:val="18"/>
                <w:lang w:eastAsia="bg-BG"/>
              </w:rPr>
            </w:pPr>
            <w:r w:rsidRPr="009A3CAA">
              <w:rPr>
                <w:rFonts w:ascii="Verdana" w:hAnsi="Verdana" w:cs="Verdana"/>
                <w:sz w:val="18"/>
                <w:szCs w:val="18"/>
                <w:lang w:eastAsia="bg-BG"/>
              </w:rPr>
              <w:t>Общо увеличения</w:t>
            </w:r>
          </w:p>
          <w:p w:rsidR="00EA48AE" w:rsidRPr="009A3CAA" w:rsidRDefault="00EA48AE" w:rsidP="00A11464">
            <w:pPr>
              <w:jc w:val="left"/>
              <w:rPr>
                <w:rFonts w:ascii="Verdana" w:hAnsi="Verdana" w:cs="Verdana"/>
                <w:sz w:val="18"/>
                <w:szCs w:val="18"/>
                <w:lang w:eastAsia="bg-BG"/>
              </w:rPr>
            </w:pPr>
            <w:r w:rsidRPr="009A3CAA">
              <w:rPr>
                <w:rFonts w:ascii="Verdana" w:hAnsi="Verdana" w:cs="Verdana"/>
                <w:sz w:val="18"/>
                <w:szCs w:val="18"/>
                <w:lang w:eastAsia="bg-BG"/>
              </w:rPr>
              <w:t xml:space="preserve"> за периода</w:t>
            </w:r>
          </w:p>
        </w:tc>
        <w:tc>
          <w:tcPr>
            <w:tcW w:w="851" w:type="dxa"/>
            <w:noWrap/>
            <w:vAlign w:val="center"/>
          </w:tcPr>
          <w:p w:rsidR="00EA48AE" w:rsidRPr="000E54EB" w:rsidRDefault="00EA48AE" w:rsidP="00A13023">
            <w:pPr>
              <w:jc w:val="center"/>
              <w:rPr>
                <w:rFonts w:ascii="Verdana" w:hAnsi="Verdana" w:cs="Verdana"/>
                <w:sz w:val="20"/>
                <w:szCs w:val="20"/>
                <w:lang w:eastAsia="bg-BG"/>
              </w:rPr>
            </w:pPr>
          </w:p>
        </w:tc>
        <w:tc>
          <w:tcPr>
            <w:tcW w:w="708" w:type="dxa"/>
            <w:gridSpan w:val="2"/>
            <w:noWrap/>
            <w:vAlign w:val="center"/>
          </w:tcPr>
          <w:p w:rsidR="00EA48AE" w:rsidRPr="00600BB3" w:rsidRDefault="00600BB3" w:rsidP="00A13023">
            <w:pPr>
              <w:jc w:val="center"/>
              <w:rPr>
                <w:rFonts w:ascii="Verdana" w:hAnsi="Verdana" w:cs="Verdana"/>
                <w:sz w:val="20"/>
                <w:szCs w:val="20"/>
                <w:lang w:eastAsia="bg-BG"/>
              </w:rPr>
            </w:pPr>
            <w:r>
              <w:rPr>
                <w:rFonts w:ascii="Verdana" w:hAnsi="Verdana" w:cs="Verdana"/>
                <w:sz w:val="20"/>
                <w:szCs w:val="20"/>
                <w:lang w:eastAsia="bg-BG"/>
              </w:rPr>
              <w:t>7</w:t>
            </w:r>
          </w:p>
        </w:tc>
        <w:tc>
          <w:tcPr>
            <w:tcW w:w="969" w:type="dxa"/>
            <w:noWrap/>
            <w:vAlign w:val="center"/>
          </w:tcPr>
          <w:p w:rsidR="00EA48AE" w:rsidRPr="00B617CE" w:rsidRDefault="00B617CE" w:rsidP="00A13023">
            <w:pPr>
              <w:jc w:val="center"/>
              <w:rPr>
                <w:rFonts w:ascii="Verdana" w:hAnsi="Verdana" w:cs="Verdana"/>
                <w:sz w:val="20"/>
                <w:szCs w:val="20"/>
                <w:lang w:eastAsia="bg-BG"/>
              </w:rPr>
            </w:pPr>
            <w:r>
              <w:rPr>
                <w:rFonts w:ascii="Verdana" w:hAnsi="Verdana" w:cs="Verdana"/>
                <w:sz w:val="20"/>
                <w:szCs w:val="20"/>
                <w:lang w:eastAsia="bg-BG"/>
              </w:rPr>
              <w:t>177</w:t>
            </w:r>
          </w:p>
        </w:tc>
        <w:tc>
          <w:tcPr>
            <w:tcW w:w="1134" w:type="dxa"/>
            <w:noWrap/>
            <w:vAlign w:val="center"/>
          </w:tcPr>
          <w:p w:rsidR="00EA48AE" w:rsidRPr="00B617CE" w:rsidRDefault="00B617CE" w:rsidP="00A13023">
            <w:pPr>
              <w:jc w:val="center"/>
              <w:rPr>
                <w:rFonts w:ascii="Verdana" w:hAnsi="Verdana" w:cs="Verdana"/>
                <w:sz w:val="20"/>
                <w:szCs w:val="20"/>
                <w:lang w:eastAsia="bg-BG"/>
              </w:rPr>
            </w:pPr>
            <w:r>
              <w:rPr>
                <w:rFonts w:ascii="Verdana" w:hAnsi="Verdana" w:cs="Verdana"/>
                <w:sz w:val="20"/>
                <w:szCs w:val="20"/>
                <w:lang w:eastAsia="bg-BG"/>
              </w:rPr>
              <w:t>20</w:t>
            </w:r>
          </w:p>
        </w:tc>
        <w:tc>
          <w:tcPr>
            <w:tcW w:w="1134" w:type="dxa"/>
            <w:noWrap/>
            <w:vAlign w:val="center"/>
          </w:tcPr>
          <w:p w:rsidR="00EA48AE" w:rsidRPr="00B617CE" w:rsidRDefault="000B6D2A" w:rsidP="00A13023">
            <w:pPr>
              <w:jc w:val="center"/>
              <w:rPr>
                <w:rFonts w:ascii="Verdana" w:hAnsi="Verdana" w:cs="Verdana"/>
                <w:sz w:val="20"/>
                <w:szCs w:val="20"/>
                <w:lang w:eastAsia="bg-BG"/>
              </w:rPr>
            </w:pPr>
            <w:r>
              <w:rPr>
                <w:rFonts w:ascii="Verdana" w:hAnsi="Verdana" w:cs="Verdana"/>
                <w:sz w:val="20"/>
                <w:szCs w:val="20"/>
                <w:lang w:eastAsia="bg-BG"/>
              </w:rPr>
              <w:t>-</w:t>
            </w:r>
          </w:p>
        </w:tc>
        <w:tc>
          <w:tcPr>
            <w:tcW w:w="1127" w:type="dxa"/>
            <w:noWrap/>
            <w:vAlign w:val="center"/>
          </w:tcPr>
          <w:p w:rsidR="00EA48AE" w:rsidRPr="000E54EB" w:rsidRDefault="00EA48AE" w:rsidP="00A13023">
            <w:pPr>
              <w:jc w:val="center"/>
              <w:rPr>
                <w:rFonts w:ascii="Verdana" w:hAnsi="Verdana" w:cs="Verdana"/>
                <w:sz w:val="20"/>
                <w:szCs w:val="20"/>
                <w:lang w:eastAsia="bg-BG"/>
              </w:rPr>
            </w:pPr>
          </w:p>
        </w:tc>
        <w:tc>
          <w:tcPr>
            <w:tcW w:w="858" w:type="dxa"/>
          </w:tcPr>
          <w:p w:rsidR="00EA48AE" w:rsidRPr="00B617CE" w:rsidRDefault="00B617CE" w:rsidP="00A13023">
            <w:pPr>
              <w:jc w:val="center"/>
              <w:rPr>
                <w:rFonts w:ascii="Verdana" w:hAnsi="Verdana" w:cs="Verdana"/>
                <w:sz w:val="20"/>
                <w:szCs w:val="20"/>
                <w:lang w:eastAsia="bg-BG"/>
              </w:rPr>
            </w:pPr>
            <w:r>
              <w:rPr>
                <w:rFonts w:ascii="Verdana" w:hAnsi="Verdana" w:cs="Verdana"/>
                <w:sz w:val="20"/>
                <w:szCs w:val="20"/>
                <w:lang w:eastAsia="bg-BG"/>
              </w:rPr>
              <w:t>2</w:t>
            </w:r>
          </w:p>
        </w:tc>
        <w:tc>
          <w:tcPr>
            <w:tcW w:w="858" w:type="dxa"/>
            <w:noWrap/>
            <w:vAlign w:val="center"/>
          </w:tcPr>
          <w:p w:rsidR="00EA48AE" w:rsidRPr="00B617CE" w:rsidRDefault="000B6D2A" w:rsidP="00A13023">
            <w:pPr>
              <w:jc w:val="center"/>
              <w:rPr>
                <w:rFonts w:ascii="Verdana" w:hAnsi="Verdana" w:cs="Verdana"/>
                <w:sz w:val="20"/>
                <w:szCs w:val="20"/>
                <w:lang w:eastAsia="bg-BG"/>
              </w:rPr>
            </w:pPr>
            <w:r>
              <w:rPr>
                <w:rFonts w:ascii="Verdana" w:hAnsi="Verdana" w:cs="Verdana"/>
                <w:sz w:val="20"/>
                <w:szCs w:val="20"/>
                <w:lang w:eastAsia="bg-BG"/>
              </w:rPr>
              <w:t>-</w:t>
            </w:r>
          </w:p>
        </w:tc>
        <w:tc>
          <w:tcPr>
            <w:tcW w:w="851" w:type="dxa"/>
            <w:noWrap/>
            <w:vAlign w:val="center"/>
          </w:tcPr>
          <w:p w:rsidR="00EA48AE" w:rsidRPr="00B617CE" w:rsidRDefault="00B617CE" w:rsidP="00A13023">
            <w:pPr>
              <w:jc w:val="center"/>
              <w:rPr>
                <w:rFonts w:ascii="Verdana" w:hAnsi="Verdana" w:cs="Verdana"/>
                <w:b/>
                <w:bCs/>
                <w:sz w:val="20"/>
                <w:szCs w:val="20"/>
                <w:lang w:eastAsia="bg-BG"/>
              </w:rPr>
            </w:pPr>
            <w:r>
              <w:rPr>
                <w:rFonts w:ascii="Verdana" w:hAnsi="Verdana" w:cs="Verdana"/>
                <w:b/>
                <w:bCs/>
                <w:sz w:val="20"/>
                <w:szCs w:val="20"/>
                <w:lang w:eastAsia="bg-BG"/>
              </w:rPr>
              <w:t>208</w:t>
            </w:r>
          </w:p>
        </w:tc>
      </w:tr>
      <w:tr w:rsidR="00EA48AE" w:rsidRPr="000E54EB">
        <w:trPr>
          <w:trHeight w:val="300"/>
        </w:trPr>
        <w:tc>
          <w:tcPr>
            <w:tcW w:w="1848" w:type="dxa"/>
            <w:shd w:val="clear" w:color="000000" w:fill="C5D9F1"/>
            <w:vAlign w:val="center"/>
          </w:tcPr>
          <w:p w:rsidR="00EA48AE" w:rsidRPr="000E54EB" w:rsidRDefault="00EA48AE" w:rsidP="00E9504D">
            <w:pPr>
              <w:jc w:val="left"/>
              <w:rPr>
                <w:rFonts w:ascii="Verdana" w:hAnsi="Verdana" w:cs="Verdana"/>
                <w:b/>
                <w:bCs/>
                <w:sz w:val="20"/>
                <w:szCs w:val="20"/>
                <w:lang w:eastAsia="bg-BG"/>
              </w:rPr>
            </w:pPr>
            <w:r>
              <w:rPr>
                <w:rFonts w:ascii="Verdana" w:hAnsi="Verdana" w:cs="Verdana"/>
                <w:b/>
                <w:bCs/>
                <w:sz w:val="20"/>
                <w:szCs w:val="20"/>
                <w:lang w:eastAsia="bg-BG"/>
              </w:rPr>
              <w:t>Салдо към 30.06.2020</w:t>
            </w:r>
          </w:p>
        </w:tc>
        <w:tc>
          <w:tcPr>
            <w:tcW w:w="851" w:type="dxa"/>
            <w:shd w:val="clear" w:color="000000" w:fill="C5D9F1"/>
            <w:noWrap/>
            <w:vAlign w:val="center"/>
          </w:tcPr>
          <w:p w:rsidR="00EA48AE" w:rsidRPr="000E54EB" w:rsidRDefault="00EA48AE" w:rsidP="00A13023">
            <w:pPr>
              <w:jc w:val="center"/>
              <w:rPr>
                <w:rFonts w:ascii="Verdana" w:hAnsi="Verdana" w:cs="Verdana"/>
                <w:b/>
                <w:bCs/>
                <w:sz w:val="20"/>
                <w:szCs w:val="20"/>
                <w:lang w:eastAsia="bg-BG"/>
              </w:rPr>
            </w:pPr>
          </w:p>
        </w:tc>
        <w:tc>
          <w:tcPr>
            <w:tcW w:w="708" w:type="dxa"/>
            <w:gridSpan w:val="2"/>
            <w:shd w:val="clear" w:color="000000" w:fill="C5D9F1"/>
            <w:noWrap/>
            <w:vAlign w:val="center"/>
          </w:tcPr>
          <w:p w:rsidR="00EA48AE" w:rsidRPr="00600BB3" w:rsidRDefault="00600BB3" w:rsidP="00A13023">
            <w:pPr>
              <w:jc w:val="center"/>
              <w:rPr>
                <w:rFonts w:ascii="Verdana" w:hAnsi="Verdana" w:cs="Verdana"/>
                <w:b/>
                <w:bCs/>
                <w:sz w:val="20"/>
                <w:szCs w:val="20"/>
                <w:lang w:eastAsia="bg-BG"/>
              </w:rPr>
            </w:pPr>
            <w:r>
              <w:rPr>
                <w:rFonts w:ascii="Verdana" w:hAnsi="Verdana" w:cs="Verdana"/>
                <w:b/>
                <w:bCs/>
                <w:sz w:val="20"/>
                <w:szCs w:val="20"/>
                <w:lang w:eastAsia="bg-BG"/>
              </w:rPr>
              <w:t>163</w:t>
            </w:r>
          </w:p>
        </w:tc>
        <w:tc>
          <w:tcPr>
            <w:tcW w:w="969" w:type="dxa"/>
            <w:shd w:val="clear" w:color="000000" w:fill="C5D9F1"/>
            <w:noWrap/>
            <w:vAlign w:val="center"/>
          </w:tcPr>
          <w:p w:rsidR="00EA48AE" w:rsidRPr="00B617CE" w:rsidRDefault="00B617CE" w:rsidP="00A13023">
            <w:pPr>
              <w:jc w:val="center"/>
              <w:rPr>
                <w:rFonts w:ascii="Verdana" w:hAnsi="Verdana" w:cs="Verdana"/>
                <w:b/>
                <w:bCs/>
                <w:sz w:val="20"/>
                <w:szCs w:val="20"/>
                <w:lang w:eastAsia="bg-BG"/>
              </w:rPr>
            </w:pPr>
            <w:r>
              <w:rPr>
                <w:rFonts w:ascii="Verdana" w:hAnsi="Verdana" w:cs="Verdana"/>
                <w:b/>
                <w:bCs/>
                <w:sz w:val="20"/>
                <w:szCs w:val="20"/>
                <w:lang w:eastAsia="bg-BG"/>
              </w:rPr>
              <w:t>3 525</w:t>
            </w:r>
          </w:p>
        </w:tc>
        <w:tc>
          <w:tcPr>
            <w:tcW w:w="1134" w:type="dxa"/>
            <w:shd w:val="clear" w:color="000000" w:fill="C5D9F1"/>
            <w:noWrap/>
            <w:vAlign w:val="center"/>
          </w:tcPr>
          <w:p w:rsidR="00EA48AE" w:rsidRPr="00B617CE" w:rsidRDefault="00B617CE" w:rsidP="00A13023">
            <w:pPr>
              <w:jc w:val="center"/>
              <w:rPr>
                <w:rFonts w:ascii="Verdana" w:hAnsi="Verdana" w:cs="Verdana"/>
                <w:b/>
                <w:bCs/>
                <w:sz w:val="20"/>
                <w:szCs w:val="20"/>
                <w:lang w:eastAsia="bg-BG"/>
              </w:rPr>
            </w:pPr>
            <w:r>
              <w:rPr>
                <w:rFonts w:ascii="Verdana" w:hAnsi="Verdana" w:cs="Verdana"/>
                <w:b/>
                <w:bCs/>
                <w:sz w:val="20"/>
                <w:szCs w:val="20"/>
                <w:lang w:eastAsia="bg-BG"/>
              </w:rPr>
              <w:t>461</w:t>
            </w:r>
          </w:p>
        </w:tc>
        <w:tc>
          <w:tcPr>
            <w:tcW w:w="1134" w:type="dxa"/>
            <w:shd w:val="clear" w:color="000000" w:fill="C5D9F1"/>
            <w:noWrap/>
            <w:vAlign w:val="center"/>
          </w:tcPr>
          <w:p w:rsidR="00EA48AE" w:rsidRPr="00B617CE" w:rsidRDefault="00B617CE" w:rsidP="00A13023">
            <w:pPr>
              <w:jc w:val="center"/>
              <w:rPr>
                <w:rFonts w:ascii="Verdana" w:hAnsi="Verdana" w:cs="Verdana"/>
                <w:b/>
                <w:bCs/>
                <w:sz w:val="20"/>
                <w:szCs w:val="20"/>
                <w:lang w:eastAsia="bg-BG"/>
              </w:rPr>
            </w:pPr>
            <w:r>
              <w:rPr>
                <w:rFonts w:ascii="Verdana" w:hAnsi="Verdana" w:cs="Verdana"/>
                <w:b/>
                <w:bCs/>
                <w:sz w:val="20"/>
                <w:szCs w:val="20"/>
                <w:lang w:eastAsia="bg-BG"/>
              </w:rPr>
              <w:t>3</w:t>
            </w:r>
            <w:r w:rsidR="000B6D2A">
              <w:rPr>
                <w:rFonts w:ascii="Verdana" w:hAnsi="Verdana" w:cs="Verdana"/>
                <w:b/>
                <w:bCs/>
                <w:sz w:val="20"/>
                <w:szCs w:val="20"/>
                <w:lang w:eastAsia="bg-BG"/>
              </w:rPr>
              <w:t>1</w:t>
            </w:r>
          </w:p>
        </w:tc>
        <w:tc>
          <w:tcPr>
            <w:tcW w:w="1127" w:type="dxa"/>
            <w:shd w:val="clear" w:color="000000" w:fill="C5D9F1"/>
            <w:noWrap/>
            <w:vAlign w:val="center"/>
          </w:tcPr>
          <w:p w:rsidR="00EA48AE" w:rsidRPr="00DD36D0" w:rsidRDefault="00EA48AE" w:rsidP="00A13023">
            <w:pPr>
              <w:jc w:val="center"/>
              <w:rPr>
                <w:rFonts w:ascii="Verdana" w:hAnsi="Verdana" w:cs="Verdana"/>
                <w:b/>
                <w:bCs/>
                <w:sz w:val="20"/>
                <w:szCs w:val="20"/>
                <w:lang w:val="en-US" w:eastAsia="bg-BG"/>
              </w:rPr>
            </w:pPr>
          </w:p>
        </w:tc>
        <w:tc>
          <w:tcPr>
            <w:tcW w:w="858" w:type="dxa"/>
            <w:shd w:val="clear" w:color="000000" w:fill="C5D9F1"/>
          </w:tcPr>
          <w:p w:rsidR="00EA48AE" w:rsidRPr="00B617CE" w:rsidRDefault="00B617CE" w:rsidP="00A13023">
            <w:pPr>
              <w:jc w:val="center"/>
              <w:rPr>
                <w:rFonts w:ascii="Verdana" w:hAnsi="Verdana" w:cs="Verdana"/>
                <w:b/>
                <w:bCs/>
                <w:sz w:val="20"/>
                <w:szCs w:val="20"/>
                <w:lang w:eastAsia="bg-BG"/>
              </w:rPr>
            </w:pPr>
            <w:r>
              <w:rPr>
                <w:rFonts w:ascii="Verdana" w:hAnsi="Verdana" w:cs="Verdana"/>
                <w:b/>
                <w:bCs/>
                <w:sz w:val="20"/>
                <w:szCs w:val="20"/>
                <w:lang w:eastAsia="bg-BG"/>
              </w:rPr>
              <w:t>3</w:t>
            </w:r>
          </w:p>
        </w:tc>
        <w:tc>
          <w:tcPr>
            <w:tcW w:w="858" w:type="dxa"/>
            <w:shd w:val="clear" w:color="000000" w:fill="C5D9F1"/>
            <w:noWrap/>
            <w:vAlign w:val="center"/>
          </w:tcPr>
          <w:p w:rsidR="00EA48AE" w:rsidRPr="00B617CE" w:rsidRDefault="00B617CE" w:rsidP="000B6D2A">
            <w:pPr>
              <w:jc w:val="center"/>
              <w:rPr>
                <w:rFonts w:ascii="Verdana" w:hAnsi="Verdana" w:cs="Verdana"/>
                <w:b/>
                <w:bCs/>
                <w:sz w:val="20"/>
                <w:szCs w:val="20"/>
                <w:lang w:eastAsia="bg-BG"/>
              </w:rPr>
            </w:pPr>
            <w:r>
              <w:rPr>
                <w:rFonts w:ascii="Verdana" w:hAnsi="Verdana" w:cs="Verdana"/>
                <w:b/>
                <w:bCs/>
                <w:sz w:val="20"/>
                <w:szCs w:val="20"/>
                <w:lang w:eastAsia="bg-BG"/>
              </w:rPr>
              <w:t>4</w:t>
            </w:r>
            <w:r w:rsidR="000B6D2A">
              <w:rPr>
                <w:rFonts w:ascii="Verdana" w:hAnsi="Verdana" w:cs="Verdana"/>
                <w:b/>
                <w:bCs/>
                <w:sz w:val="20"/>
                <w:szCs w:val="20"/>
                <w:lang w:eastAsia="bg-BG"/>
              </w:rPr>
              <w:t>0</w:t>
            </w:r>
          </w:p>
        </w:tc>
        <w:tc>
          <w:tcPr>
            <w:tcW w:w="851" w:type="dxa"/>
            <w:shd w:val="clear" w:color="000000" w:fill="C5D9F1"/>
            <w:noWrap/>
            <w:vAlign w:val="center"/>
          </w:tcPr>
          <w:p w:rsidR="00EA48AE" w:rsidRPr="00B617CE" w:rsidRDefault="00B617CE" w:rsidP="00A13023">
            <w:pPr>
              <w:jc w:val="center"/>
              <w:rPr>
                <w:rFonts w:ascii="Verdana" w:hAnsi="Verdana" w:cs="Verdana"/>
                <w:b/>
                <w:bCs/>
                <w:sz w:val="20"/>
                <w:szCs w:val="20"/>
                <w:lang w:eastAsia="bg-BG"/>
              </w:rPr>
            </w:pPr>
            <w:r>
              <w:rPr>
                <w:rFonts w:ascii="Verdana" w:hAnsi="Verdana" w:cs="Verdana"/>
                <w:b/>
                <w:bCs/>
                <w:sz w:val="20"/>
                <w:szCs w:val="20"/>
                <w:lang w:eastAsia="bg-BG"/>
              </w:rPr>
              <w:t>4 22</w:t>
            </w:r>
            <w:r w:rsidR="000B6D2A">
              <w:rPr>
                <w:rFonts w:ascii="Verdana" w:hAnsi="Verdana" w:cs="Verdana"/>
                <w:b/>
                <w:bCs/>
                <w:sz w:val="20"/>
                <w:szCs w:val="20"/>
                <w:lang w:eastAsia="bg-BG"/>
              </w:rPr>
              <w:t>3</w:t>
            </w:r>
          </w:p>
        </w:tc>
      </w:tr>
      <w:tr w:rsidR="00EA48AE" w:rsidRPr="000E54EB">
        <w:trPr>
          <w:trHeight w:val="323"/>
        </w:trPr>
        <w:tc>
          <w:tcPr>
            <w:tcW w:w="1848" w:type="dxa"/>
            <w:shd w:val="clear" w:color="000000" w:fill="FFFFFF"/>
            <w:vAlign w:val="center"/>
          </w:tcPr>
          <w:p w:rsidR="00EA48AE" w:rsidRPr="000E54EB" w:rsidRDefault="00EA48AE" w:rsidP="00A13023">
            <w:pPr>
              <w:jc w:val="left"/>
              <w:rPr>
                <w:rFonts w:ascii="Verdana" w:hAnsi="Verdana" w:cs="Verdana"/>
                <w:b/>
                <w:bCs/>
                <w:sz w:val="20"/>
                <w:szCs w:val="20"/>
                <w:lang w:eastAsia="bg-BG"/>
              </w:rPr>
            </w:pPr>
            <w:r w:rsidRPr="000E54EB">
              <w:rPr>
                <w:rFonts w:ascii="Verdana" w:hAnsi="Verdana" w:cs="Verdana"/>
                <w:b/>
                <w:bCs/>
                <w:sz w:val="20"/>
                <w:szCs w:val="20"/>
                <w:lang w:eastAsia="bg-BG"/>
              </w:rPr>
              <w:t>Балансова стойност</w:t>
            </w:r>
          </w:p>
        </w:tc>
        <w:tc>
          <w:tcPr>
            <w:tcW w:w="851" w:type="dxa"/>
            <w:shd w:val="clear" w:color="000000" w:fill="FFFFFF"/>
            <w:noWrap/>
            <w:vAlign w:val="center"/>
          </w:tcPr>
          <w:p w:rsidR="00EA48AE" w:rsidRPr="000E54EB" w:rsidRDefault="00EA48AE" w:rsidP="00A13023">
            <w:pPr>
              <w:jc w:val="center"/>
              <w:rPr>
                <w:rFonts w:ascii="Verdana" w:hAnsi="Verdana" w:cs="Verdana"/>
                <w:b/>
                <w:bCs/>
                <w:sz w:val="20"/>
                <w:szCs w:val="20"/>
                <w:lang w:eastAsia="bg-BG"/>
              </w:rPr>
            </w:pPr>
          </w:p>
        </w:tc>
        <w:tc>
          <w:tcPr>
            <w:tcW w:w="708" w:type="dxa"/>
            <w:gridSpan w:val="2"/>
            <w:shd w:val="clear" w:color="000000" w:fill="FFFFFF"/>
            <w:noWrap/>
            <w:vAlign w:val="center"/>
          </w:tcPr>
          <w:p w:rsidR="00EA48AE" w:rsidRPr="000E54EB" w:rsidRDefault="00EA48AE" w:rsidP="00A13023">
            <w:pPr>
              <w:jc w:val="center"/>
              <w:rPr>
                <w:rFonts w:ascii="Verdana" w:hAnsi="Verdana" w:cs="Verdana"/>
                <w:sz w:val="20"/>
                <w:szCs w:val="20"/>
                <w:lang w:eastAsia="bg-BG"/>
              </w:rPr>
            </w:pPr>
          </w:p>
        </w:tc>
        <w:tc>
          <w:tcPr>
            <w:tcW w:w="969" w:type="dxa"/>
            <w:shd w:val="clear" w:color="000000" w:fill="FFFFFF"/>
            <w:noWrap/>
            <w:vAlign w:val="center"/>
          </w:tcPr>
          <w:p w:rsidR="00EA48AE" w:rsidRPr="000E54EB" w:rsidRDefault="00EA48AE" w:rsidP="00A13023">
            <w:pPr>
              <w:jc w:val="center"/>
              <w:rPr>
                <w:rFonts w:ascii="Verdana" w:hAnsi="Verdana" w:cs="Verdana"/>
                <w:b/>
                <w:bCs/>
                <w:sz w:val="20"/>
                <w:szCs w:val="20"/>
                <w:lang w:eastAsia="bg-BG"/>
              </w:rPr>
            </w:pPr>
          </w:p>
        </w:tc>
        <w:tc>
          <w:tcPr>
            <w:tcW w:w="1134" w:type="dxa"/>
            <w:shd w:val="clear" w:color="000000" w:fill="FFFFFF"/>
            <w:noWrap/>
            <w:vAlign w:val="center"/>
          </w:tcPr>
          <w:p w:rsidR="00EA48AE" w:rsidRPr="000E54EB" w:rsidRDefault="00EA48AE" w:rsidP="00A13023">
            <w:pPr>
              <w:jc w:val="center"/>
              <w:rPr>
                <w:rFonts w:ascii="Verdana" w:hAnsi="Verdana" w:cs="Verdana"/>
                <w:b/>
                <w:bCs/>
                <w:sz w:val="20"/>
                <w:szCs w:val="20"/>
                <w:lang w:eastAsia="bg-BG"/>
              </w:rPr>
            </w:pPr>
          </w:p>
        </w:tc>
        <w:tc>
          <w:tcPr>
            <w:tcW w:w="1134" w:type="dxa"/>
            <w:shd w:val="clear" w:color="000000" w:fill="FFFFFF"/>
            <w:noWrap/>
            <w:vAlign w:val="center"/>
          </w:tcPr>
          <w:p w:rsidR="00EA48AE" w:rsidRPr="000E54EB" w:rsidRDefault="00EA48AE" w:rsidP="00A13023">
            <w:pPr>
              <w:jc w:val="center"/>
              <w:rPr>
                <w:rFonts w:ascii="Verdana" w:hAnsi="Verdana" w:cs="Verdana"/>
                <w:b/>
                <w:bCs/>
                <w:sz w:val="20"/>
                <w:szCs w:val="20"/>
                <w:lang w:eastAsia="bg-BG"/>
              </w:rPr>
            </w:pPr>
          </w:p>
        </w:tc>
        <w:tc>
          <w:tcPr>
            <w:tcW w:w="1127" w:type="dxa"/>
            <w:shd w:val="clear" w:color="000000" w:fill="FFFFFF"/>
            <w:noWrap/>
            <w:vAlign w:val="center"/>
          </w:tcPr>
          <w:p w:rsidR="00EA48AE" w:rsidRPr="000E54EB" w:rsidRDefault="00EA48AE" w:rsidP="00A13023">
            <w:pPr>
              <w:jc w:val="center"/>
              <w:rPr>
                <w:rFonts w:ascii="Verdana" w:hAnsi="Verdana" w:cs="Verdana"/>
                <w:b/>
                <w:bCs/>
                <w:sz w:val="20"/>
                <w:szCs w:val="20"/>
                <w:lang w:eastAsia="bg-BG"/>
              </w:rPr>
            </w:pPr>
          </w:p>
        </w:tc>
        <w:tc>
          <w:tcPr>
            <w:tcW w:w="858" w:type="dxa"/>
            <w:shd w:val="clear" w:color="000000" w:fill="FFFFFF"/>
          </w:tcPr>
          <w:p w:rsidR="00EA48AE" w:rsidRPr="000E54EB" w:rsidRDefault="00EA48AE" w:rsidP="00A13023">
            <w:pPr>
              <w:jc w:val="center"/>
              <w:rPr>
                <w:rFonts w:ascii="Verdana" w:hAnsi="Verdana" w:cs="Verdana"/>
                <w:b/>
                <w:bCs/>
                <w:sz w:val="20"/>
                <w:szCs w:val="20"/>
                <w:lang w:eastAsia="bg-BG"/>
              </w:rPr>
            </w:pPr>
          </w:p>
        </w:tc>
        <w:tc>
          <w:tcPr>
            <w:tcW w:w="858" w:type="dxa"/>
            <w:shd w:val="clear" w:color="000000" w:fill="FFFFFF"/>
            <w:noWrap/>
            <w:vAlign w:val="center"/>
          </w:tcPr>
          <w:p w:rsidR="00EA48AE" w:rsidRPr="000E54EB" w:rsidRDefault="00EA48AE" w:rsidP="00A13023">
            <w:pPr>
              <w:jc w:val="center"/>
              <w:rPr>
                <w:rFonts w:ascii="Verdana" w:hAnsi="Verdana" w:cs="Verdana"/>
                <w:b/>
                <w:bCs/>
                <w:sz w:val="20"/>
                <w:szCs w:val="20"/>
                <w:lang w:eastAsia="bg-BG"/>
              </w:rPr>
            </w:pPr>
          </w:p>
        </w:tc>
        <w:tc>
          <w:tcPr>
            <w:tcW w:w="851" w:type="dxa"/>
            <w:shd w:val="clear" w:color="000000" w:fill="FFFFFF"/>
            <w:noWrap/>
            <w:vAlign w:val="center"/>
          </w:tcPr>
          <w:p w:rsidR="00EA48AE" w:rsidRPr="000E54EB" w:rsidRDefault="00EA48AE" w:rsidP="00A13023">
            <w:pPr>
              <w:jc w:val="center"/>
              <w:rPr>
                <w:rFonts w:ascii="Verdana" w:hAnsi="Verdana" w:cs="Verdana"/>
                <w:b/>
                <w:bCs/>
                <w:sz w:val="20"/>
                <w:szCs w:val="20"/>
                <w:lang w:eastAsia="bg-BG"/>
              </w:rPr>
            </w:pPr>
          </w:p>
        </w:tc>
      </w:tr>
      <w:tr w:rsidR="00EA48AE" w:rsidRPr="000E54EB">
        <w:trPr>
          <w:trHeight w:val="510"/>
        </w:trPr>
        <w:tc>
          <w:tcPr>
            <w:tcW w:w="1848" w:type="dxa"/>
            <w:vAlign w:val="center"/>
          </w:tcPr>
          <w:p w:rsidR="00EA48AE" w:rsidRPr="000E54EB" w:rsidRDefault="00EA48AE" w:rsidP="005F694A">
            <w:pPr>
              <w:jc w:val="left"/>
              <w:rPr>
                <w:rFonts w:ascii="Verdana" w:hAnsi="Verdana" w:cs="Verdana"/>
                <w:b/>
                <w:bCs/>
                <w:sz w:val="20"/>
                <w:szCs w:val="20"/>
                <w:lang w:eastAsia="bg-BG"/>
              </w:rPr>
            </w:pPr>
            <w:r w:rsidRPr="000E54EB">
              <w:rPr>
                <w:rFonts w:ascii="Verdana" w:hAnsi="Verdana" w:cs="Verdana"/>
                <w:b/>
                <w:bCs/>
                <w:sz w:val="20"/>
                <w:szCs w:val="20"/>
                <w:lang w:eastAsia="bg-BG"/>
              </w:rPr>
              <w:t>Балансова стойност към 31.12.201</w:t>
            </w:r>
            <w:r>
              <w:rPr>
                <w:rFonts w:ascii="Verdana" w:hAnsi="Verdana" w:cs="Verdana"/>
                <w:b/>
                <w:bCs/>
                <w:sz w:val="20"/>
                <w:szCs w:val="20"/>
                <w:lang w:eastAsia="bg-BG"/>
              </w:rPr>
              <w:t>9</w:t>
            </w:r>
          </w:p>
        </w:tc>
        <w:tc>
          <w:tcPr>
            <w:tcW w:w="851" w:type="dxa"/>
            <w:noWrap/>
            <w:vAlign w:val="center"/>
          </w:tcPr>
          <w:p w:rsidR="00EA48AE" w:rsidRPr="0079730E" w:rsidRDefault="00EA48AE" w:rsidP="00B617CE">
            <w:pPr>
              <w:jc w:val="center"/>
              <w:rPr>
                <w:rFonts w:ascii="Verdana" w:hAnsi="Verdana" w:cs="Verdana"/>
                <w:b/>
                <w:bCs/>
                <w:sz w:val="20"/>
                <w:szCs w:val="20"/>
                <w:lang w:val="en-US" w:eastAsia="bg-BG"/>
              </w:rPr>
            </w:pPr>
            <w:r>
              <w:rPr>
                <w:rFonts w:ascii="Verdana" w:hAnsi="Verdana" w:cs="Verdana"/>
                <w:b/>
                <w:bCs/>
                <w:sz w:val="20"/>
                <w:szCs w:val="20"/>
                <w:lang w:val="en-US" w:eastAsia="bg-BG"/>
              </w:rPr>
              <w:t>1 662</w:t>
            </w:r>
          </w:p>
        </w:tc>
        <w:tc>
          <w:tcPr>
            <w:tcW w:w="708" w:type="dxa"/>
            <w:gridSpan w:val="2"/>
            <w:noWrap/>
            <w:vAlign w:val="center"/>
          </w:tcPr>
          <w:p w:rsidR="00EA48AE" w:rsidRPr="0079730E" w:rsidRDefault="00EA48AE" w:rsidP="00B617CE">
            <w:pPr>
              <w:jc w:val="center"/>
              <w:rPr>
                <w:rFonts w:ascii="Verdana" w:hAnsi="Verdana" w:cs="Verdana"/>
                <w:b/>
                <w:bCs/>
                <w:sz w:val="20"/>
                <w:szCs w:val="20"/>
                <w:lang w:val="en-US" w:eastAsia="bg-BG"/>
              </w:rPr>
            </w:pPr>
            <w:r>
              <w:rPr>
                <w:rFonts w:ascii="Verdana" w:hAnsi="Verdana" w:cs="Verdana"/>
                <w:b/>
                <w:bCs/>
                <w:sz w:val="20"/>
                <w:szCs w:val="20"/>
                <w:lang w:val="en-US" w:eastAsia="bg-BG"/>
              </w:rPr>
              <w:t>202</w:t>
            </w:r>
          </w:p>
        </w:tc>
        <w:tc>
          <w:tcPr>
            <w:tcW w:w="969" w:type="dxa"/>
            <w:noWrap/>
            <w:vAlign w:val="center"/>
          </w:tcPr>
          <w:p w:rsidR="00EA48AE" w:rsidRPr="00061D55" w:rsidRDefault="00EA48AE" w:rsidP="00B617CE">
            <w:pPr>
              <w:jc w:val="center"/>
              <w:rPr>
                <w:rFonts w:ascii="Verdana" w:hAnsi="Verdana" w:cs="Verdana"/>
                <w:b/>
                <w:bCs/>
                <w:sz w:val="20"/>
                <w:szCs w:val="20"/>
                <w:lang w:val="en-US" w:eastAsia="bg-BG"/>
              </w:rPr>
            </w:pPr>
            <w:r>
              <w:rPr>
                <w:rFonts w:ascii="Verdana" w:hAnsi="Verdana" w:cs="Verdana"/>
                <w:b/>
                <w:bCs/>
                <w:sz w:val="20"/>
                <w:szCs w:val="20"/>
                <w:lang w:val="en-US" w:eastAsia="bg-BG"/>
              </w:rPr>
              <w:t>1 828</w:t>
            </w:r>
          </w:p>
        </w:tc>
        <w:tc>
          <w:tcPr>
            <w:tcW w:w="1134" w:type="dxa"/>
            <w:noWrap/>
            <w:vAlign w:val="center"/>
          </w:tcPr>
          <w:p w:rsidR="00EA48AE" w:rsidRPr="00DD36D0" w:rsidRDefault="00EA48AE" w:rsidP="00B617CE">
            <w:pPr>
              <w:jc w:val="center"/>
              <w:rPr>
                <w:rFonts w:ascii="Verdana" w:hAnsi="Verdana" w:cs="Verdana"/>
                <w:b/>
                <w:bCs/>
                <w:sz w:val="20"/>
                <w:szCs w:val="20"/>
                <w:lang w:val="en-US" w:eastAsia="bg-BG"/>
              </w:rPr>
            </w:pPr>
            <w:r>
              <w:rPr>
                <w:rFonts w:ascii="Verdana" w:hAnsi="Verdana" w:cs="Verdana"/>
                <w:b/>
                <w:bCs/>
                <w:sz w:val="20"/>
                <w:szCs w:val="20"/>
                <w:lang w:val="en-US" w:eastAsia="bg-BG"/>
              </w:rPr>
              <w:t>576</w:t>
            </w:r>
          </w:p>
        </w:tc>
        <w:tc>
          <w:tcPr>
            <w:tcW w:w="1134" w:type="dxa"/>
            <w:noWrap/>
            <w:vAlign w:val="center"/>
          </w:tcPr>
          <w:p w:rsidR="00EA48AE" w:rsidRPr="00DD36D0" w:rsidRDefault="00EA48AE" w:rsidP="00B617CE">
            <w:pPr>
              <w:jc w:val="center"/>
              <w:rPr>
                <w:rFonts w:ascii="Verdana" w:hAnsi="Verdana" w:cs="Verdana"/>
                <w:b/>
                <w:bCs/>
                <w:sz w:val="20"/>
                <w:szCs w:val="20"/>
                <w:lang w:val="en-US" w:eastAsia="bg-BG"/>
              </w:rPr>
            </w:pPr>
            <w:r>
              <w:rPr>
                <w:rFonts w:ascii="Verdana" w:hAnsi="Verdana" w:cs="Verdana"/>
                <w:b/>
                <w:bCs/>
                <w:sz w:val="20"/>
                <w:szCs w:val="20"/>
                <w:lang w:val="en-US" w:eastAsia="bg-BG"/>
              </w:rPr>
              <w:t>1</w:t>
            </w:r>
          </w:p>
        </w:tc>
        <w:tc>
          <w:tcPr>
            <w:tcW w:w="1127" w:type="dxa"/>
            <w:noWrap/>
            <w:vAlign w:val="center"/>
          </w:tcPr>
          <w:p w:rsidR="00EA48AE" w:rsidRPr="00DD36D0" w:rsidRDefault="00EA48AE" w:rsidP="00B617CE">
            <w:pPr>
              <w:jc w:val="center"/>
              <w:rPr>
                <w:rFonts w:ascii="Verdana" w:hAnsi="Verdana" w:cs="Verdana"/>
                <w:b/>
                <w:bCs/>
                <w:sz w:val="20"/>
                <w:szCs w:val="20"/>
                <w:lang w:val="en-US" w:eastAsia="bg-BG"/>
              </w:rPr>
            </w:pPr>
            <w:r>
              <w:rPr>
                <w:rFonts w:ascii="Verdana" w:hAnsi="Verdana" w:cs="Verdana"/>
                <w:b/>
                <w:bCs/>
                <w:sz w:val="20"/>
                <w:szCs w:val="20"/>
                <w:lang w:val="en-US" w:eastAsia="bg-BG"/>
              </w:rPr>
              <w:t>274</w:t>
            </w:r>
          </w:p>
        </w:tc>
        <w:tc>
          <w:tcPr>
            <w:tcW w:w="858" w:type="dxa"/>
          </w:tcPr>
          <w:p w:rsidR="00EA48AE" w:rsidRDefault="00EA48AE" w:rsidP="00B617CE">
            <w:pPr>
              <w:jc w:val="center"/>
              <w:rPr>
                <w:rFonts w:ascii="Verdana" w:hAnsi="Verdana" w:cs="Verdana"/>
                <w:b/>
                <w:bCs/>
                <w:sz w:val="20"/>
                <w:szCs w:val="20"/>
                <w:lang w:val="en-US" w:eastAsia="bg-BG"/>
              </w:rPr>
            </w:pPr>
          </w:p>
          <w:p w:rsidR="00EA48AE" w:rsidRPr="00DD36D0" w:rsidRDefault="00EA48AE" w:rsidP="00B617CE">
            <w:pPr>
              <w:jc w:val="center"/>
              <w:rPr>
                <w:rFonts w:ascii="Verdana" w:hAnsi="Verdana" w:cs="Verdana"/>
                <w:b/>
                <w:bCs/>
                <w:sz w:val="20"/>
                <w:szCs w:val="20"/>
                <w:lang w:val="en-US" w:eastAsia="bg-BG"/>
              </w:rPr>
            </w:pPr>
            <w:r>
              <w:rPr>
                <w:rFonts w:ascii="Verdana" w:hAnsi="Verdana" w:cs="Verdana"/>
                <w:b/>
                <w:bCs/>
                <w:sz w:val="20"/>
                <w:szCs w:val="20"/>
                <w:lang w:val="en-US" w:eastAsia="bg-BG"/>
              </w:rPr>
              <w:t>9</w:t>
            </w:r>
          </w:p>
        </w:tc>
        <w:tc>
          <w:tcPr>
            <w:tcW w:w="858" w:type="dxa"/>
            <w:noWrap/>
            <w:vAlign w:val="center"/>
          </w:tcPr>
          <w:p w:rsidR="00EA48AE" w:rsidRPr="00DD36D0" w:rsidRDefault="00EA48AE" w:rsidP="00B617CE">
            <w:pPr>
              <w:jc w:val="center"/>
              <w:rPr>
                <w:rFonts w:ascii="Verdana" w:hAnsi="Verdana" w:cs="Verdana"/>
                <w:b/>
                <w:bCs/>
                <w:sz w:val="20"/>
                <w:szCs w:val="20"/>
                <w:lang w:val="en-US" w:eastAsia="bg-BG"/>
              </w:rPr>
            </w:pPr>
            <w:r>
              <w:rPr>
                <w:rFonts w:ascii="Verdana" w:hAnsi="Verdana" w:cs="Verdana"/>
                <w:b/>
                <w:bCs/>
                <w:sz w:val="20"/>
                <w:szCs w:val="20"/>
                <w:lang w:val="en-US" w:eastAsia="bg-BG"/>
              </w:rPr>
              <w:t>1</w:t>
            </w:r>
          </w:p>
        </w:tc>
        <w:tc>
          <w:tcPr>
            <w:tcW w:w="851" w:type="dxa"/>
            <w:noWrap/>
            <w:vAlign w:val="center"/>
          </w:tcPr>
          <w:p w:rsidR="00EA48AE" w:rsidRPr="00DD36D0" w:rsidRDefault="00EA48AE" w:rsidP="00B617CE">
            <w:pPr>
              <w:jc w:val="center"/>
              <w:rPr>
                <w:rFonts w:ascii="Verdana" w:hAnsi="Verdana" w:cs="Verdana"/>
                <w:b/>
                <w:bCs/>
                <w:sz w:val="20"/>
                <w:szCs w:val="20"/>
                <w:lang w:val="en-US" w:eastAsia="bg-BG"/>
              </w:rPr>
            </w:pPr>
            <w:r>
              <w:rPr>
                <w:rFonts w:ascii="Verdana" w:hAnsi="Verdana" w:cs="Verdana"/>
                <w:b/>
                <w:bCs/>
                <w:sz w:val="20"/>
                <w:szCs w:val="20"/>
                <w:lang w:val="en-US" w:eastAsia="bg-BG"/>
              </w:rPr>
              <w:t>4 553</w:t>
            </w:r>
          </w:p>
        </w:tc>
      </w:tr>
      <w:tr w:rsidR="00EA48AE" w:rsidRPr="000E54EB">
        <w:trPr>
          <w:trHeight w:val="510"/>
        </w:trPr>
        <w:tc>
          <w:tcPr>
            <w:tcW w:w="1848" w:type="dxa"/>
            <w:shd w:val="clear" w:color="000000" w:fill="C5D9F1"/>
            <w:vAlign w:val="center"/>
          </w:tcPr>
          <w:p w:rsidR="00EA48AE" w:rsidRPr="000E54EB" w:rsidRDefault="00EA48AE" w:rsidP="005F694A">
            <w:pPr>
              <w:jc w:val="left"/>
              <w:rPr>
                <w:rFonts w:ascii="Verdana" w:hAnsi="Verdana" w:cs="Verdana"/>
                <w:b/>
                <w:bCs/>
                <w:sz w:val="20"/>
                <w:szCs w:val="20"/>
                <w:lang w:eastAsia="bg-BG"/>
              </w:rPr>
            </w:pPr>
            <w:r>
              <w:rPr>
                <w:rFonts w:ascii="Verdana" w:hAnsi="Verdana" w:cs="Verdana"/>
                <w:b/>
                <w:bCs/>
                <w:sz w:val="20"/>
                <w:szCs w:val="20"/>
                <w:lang w:eastAsia="bg-BG"/>
              </w:rPr>
              <w:t>Балансова стойност към 30.06.2020</w:t>
            </w:r>
          </w:p>
        </w:tc>
        <w:tc>
          <w:tcPr>
            <w:tcW w:w="851" w:type="dxa"/>
            <w:shd w:val="clear" w:color="000000" w:fill="C5D9F1"/>
            <w:noWrap/>
            <w:vAlign w:val="center"/>
          </w:tcPr>
          <w:p w:rsidR="00EA48AE" w:rsidRPr="000B6D2A" w:rsidRDefault="000B6D2A" w:rsidP="00A13023">
            <w:pPr>
              <w:jc w:val="center"/>
              <w:rPr>
                <w:rFonts w:ascii="Verdana" w:hAnsi="Verdana" w:cs="Verdana"/>
                <w:b/>
                <w:bCs/>
                <w:sz w:val="20"/>
                <w:szCs w:val="20"/>
                <w:lang w:eastAsia="bg-BG"/>
              </w:rPr>
            </w:pPr>
            <w:r>
              <w:rPr>
                <w:rFonts w:ascii="Verdana" w:hAnsi="Verdana" w:cs="Verdana"/>
                <w:b/>
                <w:bCs/>
                <w:sz w:val="20"/>
                <w:szCs w:val="20"/>
                <w:lang w:eastAsia="bg-BG"/>
              </w:rPr>
              <w:t xml:space="preserve">1 </w:t>
            </w:r>
            <w:r w:rsidR="0081227F">
              <w:rPr>
                <w:rFonts w:ascii="Verdana" w:hAnsi="Verdana" w:cs="Verdana"/>
                <w:b/>
                <w:bCs/>
                <w:sz w:val="20"/>
                <w:szCs w:val="20"/>
                <w:lang w:eastAsia="bg-BG"/>
              </w:rPr>
              <w:t>6</w:t>
            </w:r>
            <w:r>
              <w:rPr>
                <w:rFonts w:ascii="Verdana" w:hAnsi="Verdana" w:cs="Verdana"/>
                <w:b/>
                <w:bCs/>
                <w:sz w:val="20"/>
                <w:szCs w:val="20"/>
                <w:lang w:eastAsia="bg-BG"/>
              </w:rPr>
              <w:t>62</w:t>
            </w:r>
          </w:p>
        </w:tc>
        <w:tc>
          <w:tcPr>
            <w:tcW w:w="708" w:type="dxa"/>
            <w:gridSpan w:val="2"/>
            <w:shd w:val="clear" w:color="000000" w:fill="C5D9F1"/>
            <w:noWrap/>
            <w:vAlign w:val="center"/>
          </w:tcPr>
          <w:p w:rsidR="00EA48AE" w:rsidRPr="000B6D2A" w:rsidRDefault="000B6D2A" w:rsidP="00A13023">
            <w:pPr>
              <w:jc w:val="center"/>
              <w:rPr>
                <w:rFonts w:ascii="Verdana" w:hAnsi="Verdana" w:cs="Verdana"/>
                <w:b/>
                <w:bCs/>
                <w:sz w:val="20"/>
                <w:szCs w:val="20"/>
                <w:lang w:eastAsia="bg-BG"/>
              </w:rPr>
            </w:pPr>
            <w:r>
              <w:rPr>
                <w:rFonts w:ascii="Verdana" w:hAnsi="Verdana" w:cs="Verdana"/>
                <w:b/>
                <w:bCs/>
                <w:sz w:val="20"/>
                <w:szCs w:val="20"/>
                <w:lang w:eastAsia="bg-BG"/>
              </w:rPr>
              <w:t>195</w:t>
            </w:r>
          </w:p>
        </w:tc>
        <w:tc>
          <w:tcPr>
            <w:tcW w:w="969" w:type="dxa"/>
            <w:shd w:val="clear" w:color="000000" w:fill="C5D9F1"/>
            <w:noWrap/>
            <w:vAlign w:val="center"/>
          </w:tcPr>
          <w:p w:rsidR="00EA48AE" w:rsidRPr="00BF562A" w:rsidRDefault="00BF562A" w:rsidP="00A13023">
            <w:pPr>
              <w:jc w:val="center"/>
              <w:rPr>
                <w:rFonts w:ascii="Verdana" w:hAnsi="Verdana" w:cs="Verdana"/>
                <w:b/>
                <w:bCs/>
                <w:sz w:val="20"/>
                <w:szCs w:val="20"/>
                <w:lang w:eastAsia="bg-BG"/>
              </w:rPr>
            </w:pPr>
            <w:r>
              <w:rPr>
                <w:rFonts w:ascii="Verdana" w:hAnsi="Verdana" w:cs="Verdana"/>
                <w:b/>
                <w:bCs/>
                <w:sz w:val="20"/>
                <w:szCs w:val="20"/>
                <w:lang w:eastAsia="bg-BG"/>
              </w:rPr>
              <w:t>1 651</w:t>
            </w:r>
          </w:p>
        </w:tc>
        <w:tc>
          <w:tcPr>
            <w:tcW w:w="1134" w:type="dxa"/>
            <w:shd w:val="clear" w:color="000000" w:fill="C5D9F1"/>
            <w:noWrap/>
            <w:vAlign w:val="center"/>
          </w:tcPr>
          <w:p w:rsidR="00EA48AE" w:rsidRPr="00BF562A" w:rsidRDefault="00BF562A" w:rsidP="00A13023">
            <w:pPr>
              <w:jc w:val="center"/>
              <w:rPr>
                <w:rFonts w:ascii="Verdana" w:hAnsi="Verdana" w:cs="Verdana"/>
                <w:b/>
                <w:bCs/>
                <w:sz w:val="20"/>
                <w:szCs w:val="20"/>
                <w:lang w:eastAsia="bg-BG"/>
              </w:rPr>
            </w:pPr>
            <w:r>
              <w:rPr>
                <w:rFonts w:ascii="Verdana" w:hAnsi="Verdana" w:cs="Verdana"/>
                <w:b/>
                <w:bCs/>
                <w:sz w:val="20"/>
                <w:szCs w:val="20"/>
                <w:lang w:eastAsia="bg-BG"/>
              </w:rPr>
              <w:t>556</w:t>
            </w:r>
          </w:p>
        </w:tc>
        <w:tc>
          <w:tcPr>
            <w:tcW w:w="1134" w:type="dxa"/>
            <w:shd w:val="clear" w:color="000000" w:fill="C5D9F1"/>
            <w:noWrap/>
            <w:vAlign w:val="center"/>
          </w:tcPr>
          <w:p w:rsidR="00EA48AE" w:rsidRPr="00BF562A" w:rsidRDefault="00BF562A" w:rsidP="00A13023">
            <w:pPr>
              <w:jc w:val="center"/>
              <w:rPr>
                <w:rFonts w:ascii="Verdana" w:hAnsi="Verdana" w:cs="Verdana"/>
                <w:b/>
                <w:bCs/>
                <w:sz w:val="20"/>
                <w:szCs w:val="20"/>
                <w:lang w:eastAsia="bg-BG"/>
              </w:rPr>
            </w:pPr>
            <w:r>
              <w:rPr>
                <w:rFonts w:ascii="Verdana" w:hAnsi="Verdana" w:cs="Verdana"/>
                <w:b/>
                <w:bCs/>
                <w:sz w:val="20"/>
                <w:szCs w:val="20"/>
                <w:lang w:eastAsia="bg-BG"/>
              </w:rPr>
              <w:t>1</w:t>
            </w:r>
          </w:p>
        </w:tc>
        <w:tc>
          <w:tcPr>
            <w:tcW w:w="1127" w:type="dxa"/>
            <w:shd w:val="clear" w:color="000000" w:fill="C5D9F1"/>
            <w:noWrap/>
            <w:vAlign w:val="center"/>
          </w:tcPr>
          <w:p w:rsidR="00EA48AE" w:rsidRPr="00BF562A" w:rsidRDefault="00BF562A" w:rsidP="00A13023">
            <w:pPr>
              <w:jc w:val="center"/>
              <w:rPr>
                <w:rFonts w:ascii="Verdana" w:hAnsi="Verdana" w:cs="Verdana"/>
                <w:b/>
                <w:bCs/>
                <w:sz w:val="20"/>
                <w:szCs w:val="20"/>
                <w:lang w:eastAsia="bg-BG"/>
              </w:rPr>
            </w:pPr>
            <w:r>
              <w:rPr>
                <w:rFonts w:ascii="Verdana" w:hAnsi="Verdana" w:cs="Verdana"/>
                <w:b/>
                <w:bCs/>
                <w:sz w:val="20"/>
                <w:szCs w:val="20"/>
                <w:lang w:eastAsia="bg-BG"/>
              </w:rPr>
              <w:t>279</w:t>
            </w:r>
          </w:p>
        </w:tc>
        <w:tc>
          <w:tcPr>
            <w:tcW w:w="858" w:type="dxa"/>
            <w:shd w:val="clear" w:color="000000" w:fill="C5D9F1"/>
          </w:tcPr>
          <w:p w:rsidR="00EA48AE" w:rsidRPr="00BF562A" w:rsidRDefault="00BF562A" w:rsidP="00A13023">
            <w:pPr>
              <w:jc w:val="center"/>
              <w:rPr>
                <w:rFonts w:ascii="Verdana" w:hAnsi="Verdana" w:cs="Verdana"/>
                <w:b/>
                <w:bCs/>
                <w:sz w:val="20"/>
                <w:szCs w:val="20"/>
                <w:lang w:eastAsia="bg-BG"/>
              </w:rPr>
            </w:pPr>
            <w:r>
              <w:rPr>
                <w:rFonts w:ascii="Verdana" w:hAnsi="Verdana" w:cs="Verdana"/>
                <w:b/>
                <w:bCs/>
                <w:sz w:val="20"/>
                <w:szCs w:val="20"/>
                <w:lang w:eastAsia="bg-BG"/>
              </w:rPr>
              <w:t>7</w:t>
            </w:r>
          </w:p>
        </w:tc>
        <w:tc>
          <w:tcPr>
            <w:tcW w:w="858" w:type="dxa"/>
            <w:shd w:val="clear" w:color="000000" w:fill="C5D9F1"/>
            <w:noWrap/>
            <w:vAlign w:val="center"/>
          </w:tcPr>
          <w:p w:rsidR="00EA48AE" w:rsidRPr="00BF562A" w:rsidRDefault="00BF562A" w:rsidP="00A13023">
            <w:pPr>
              <w:jc w:val="center"/>
              <w:rPr>
                <w:rFonts w:ascii="Verdana" w:hAnsi="Verdana" w:cs="Verdana"/>
                <w:b/>
                <w:bCs/>
                <w:sz w:val="20"/>
                <w:szCs w:val="20"/>
                <w:lang w:eastAsia="bg-BG"/>
              </w:rPr>
            </w:pPr>
            <w:r>
              <w:rPr>
                <w:rFonts w:ascii="Verdana" w:hAnsi="Verdana" w:cs="Verdana"/>
                <w:b/>
                <w:bCs/>
                <w:sz w:val="20"/>
                <w:szCs w:val="20"/>
                <w:lang w:eastAsia="bg-BG"/>
              </w:rPr>
              <w:t>1</w:t>
            </w:r>
          </w:p>
        </w:tc>
        <w:tc>
          <w:tcPr>
            <w:tcW w:w="851" w:type="dxa"/>
            <w:shd w:val="clear" w:color="000000" w:fill="C5D9F1"/>
            <w:noWrap/>
            <w:vAlign w:val="center"/>
          </w:tcPr>
          <w:p w:rsidR="00EA48AE" w:rsidRPr="00A83D3B" w:rsidRDefault="00A83D3B" w:rsidP="00A13023">
            <w:pPr>
              <w:jc w:val="center"/>
              <w:rPr>
                <w:rFonts w:ascii="Verdana" w:hAnsi="Verdana" w:cs="Verdana"/>
                <w:b/>
                <w:bCs/>
                <w:sz w:val="20"/>
                <w:szCs w:val="20"/>
                <w:lang w:eastAsia="bg-BG"/>
              </w:rPr>
            </w:pPr>
            <w:r>
              <w:rPr>
                <w:rFonts w:ascii="Verdana" w:hAnsi="Verdana" w:cs="Verdana"/>
                <w:b/>
                <w:bCs/>
                <w:sz w:val="20"/>
                <w:szCs w:val="20"/>
                <w:lang w:eastAsia="bg-BG"/>
              </w:rPr>
              <w:t>4 352</w:t>
            </w:r>
          </w:p>
        </w:tc>
      </w:tr>
    </w:tbl>
    <w:p w:rsidR="00863C99" w:rsidRPr="000E54EB" w:rsidRDefault="00863C99" w:rsidP="00D81268">
      <w:pPr>
        <w:rPr>
          <w:rFonts w:ascii="Verdana" w:hAnsi="Verdana" w:cs="Verdana"/>
          <w:sz w:val="20"/>
          <w:szCs w:val="20"/>
        </w:rPr>
      </w:pPr>
    </w:p>
    <w:p w:rsidR="00863C99" w:rsidRPr="000E54EB" w:rsidRDefault="00EA48AE" w:rsidP="00D81268">
      <w:pPr>
        <w:rPr>
          <w:rFonts w:ascii="Verdana" w:hAnsi="Verdana" w:cs="Verdana"/>
          <w:sz w:val="20"/>
          <w:szCs w:val="20"/>
        </w:rPr>
      </w:pPr>
      <w:r w:rsidRPr="00EA48AE">
        <w:rPr>
          <w:rFonts w:ascii="Verdana" w:hAnsi="Verdana" w:cs="Verdana"/>
          <w:sz w:val="20"/>
          <w:szCs w:val="20"/>
        </w:rPr>
        <w:t>Към 30.06.2020</w:t>
      </w:r>
      <w:r w:rsidR="00863C99" w:rsidRPr="00EA48AE">
        <w:rPr>
          <w:rFonts w:ascii="Verdana" w:hAnsi="Verdana" w:cs="Verdana"/>
          <w:sz w:val="20"/>
          <w:szCs w:val="20"/>
        </w:rPr>
        <w:t>г.</w:t>
      </w:r>
      <w:r w:rsidR="00863C99" w:rsidRPr="000E54EB">
        <w:rPr>
          <w:rFonts w:ascii="Verdana" w:hAnsi="Verdana" w:cs="Verdana"/>
          <w:sz w:val="20"/>
          <w:szCs w:val="20"/>
        </w:rPr>
        <w:t xml:space="preserve"> няма ограничения в правото на собственост на активи включени в имоти, машини и съоръжения.</w:t>
      </w:r>
    </w:p>
    <w:p w:rsidR="00863C99" w:rsidRPr="000E54EB" w:rsidRDefault="00863C99" w:rsidP="00B66DF8">
      <w:pPr>
        <w:pStyle w:val="Heading4"/>
        <w:rPr>
          <w:rFonts w:ascii="Verdana" w:hAnsi="Verdana" w:cs="Verdana"/>
          <w:i w:val="0"/>
          <w:iCs w:val="0"/>
          <w:lang w:val="bg-BG"/>
        </w:rPr>
      </w:pPr>
      <w:bookmarkStart w:id="146" w:name="_Toc247959178"/>
      <w:bookmarkStart w:id="147" w:name="_Toc4328844"/>
      <w:r w:rsidRPr="000E54EB">
        <w:rPr>
          <w:rFonts w:ascii="Verdana" w:hAnsi="Verdana" w:cs="Verdana"/>
          <w:i w:val="0"/>
          <w:iCs w:val="0"/>
          <w:lang w:val="bg-BG"/>
        </w:rPr>
        <w:t>2.2. Нематериални активи</w:t>
      </w:r>
      <w:bookmarkEnd w:id="146"/>
      <w:r w:rsidRPr="000E54EB">
        <w:rPr>
          <w:rFonts w:ascii="Verdana" w:hAnsi="Verdana" w:cs="Verdana"/>
          <w:i w:val="0"/>
          <w:iCs w:val="0"/>
          <w:lang w:val="bg-BG"/>
        </w:rPr>
        <w:t>, различни от репутация</w:t>
      </w:r>
      <w:bookmarkEnd w:id="147"/>
    </w:p>
    <w:tbl>
      <w:tblPr>
        <w:tblW w:w="950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25"/>
        <w:gridCol w:w="2410"/>
        <w:gridCol w:w="2268"/>
      </w:tblGrid>
      <w:tr w:rsidR="00863C99" w:rsidRPr="000E54EB">
        <w:trPr>
          <w:trHeight w:val="375"/>
        </w:trPr>
        <w:tc>
          <w:tcPr>
            <w:tcW w:w="4825" w:type="dxa"/>
            <w:vMerge w:val="restart"/>
            <w:noWrap/>
            <w:vAlign w:val="center"/>
          </w:tcPr>
          <w:p w:rsidR="00863C99" w:rsidRPr="000E54EB" w:rsidRDefault="00863C99" w:rsidP="00DB0ACF">
            <w:pPr>
              <w:jc w:val="center"/>
              <w:rPr>
                <w:rFonts w:ascii="Verdana" w:hAnsi="Verdana" w:cs="Verdana"/>
                <w:sz w:val="20"/>
                <w:szCs w:val="20"/>
                <w:lang w:eastAsia="bg-BG"/>
              </w:rPr>
            </w:pPr>
            <w:r w:rsidRPr="000E54EB">
              <w:rPr>
                <w:rFonts w:ascii="Verdana" w:hAnsi="Verdana" w:cs="Verdana"/>
                <w:sz w:val="20"/>
                <w:szCs w:val="20"/>
                <w:lang w:eastAsia="bg-BG"/>
              </w:rPr>
              <w:t> </w:t>
            </w:r>
          </w:p>
        </w:tc>
        <w:tc>
          <w:tcPr>
            <w:tcW w:w="2410" w:type="dxa"/>
            <w:vMerge w:val="restart"/>
            <w:vAlign w:val="center"/>
          </w:tcPr>
          <w:p w:rsidR="00863C99" w:rsidRPr="000E54EB" w:rsidRDefault="00863C99" w:rsidP="00DB0ACF">
            <w:pPr>
              <w:jc w:val="center"/>
              <w:rPr>
                <w:rFonts w:ascii="Verdana" w:hAnsi="Verdana" w:cs="Verdana"/>
                <w:b/>
                <w:bCs/>
                <w:sz w:val="20"/>
                <w:szCs w:val="20"/>
                <w:lang w:eastAsia="bg-BG"/>
              </w:rPr>
            </w:pPr>
            <w:r w:rsidRPr="000E54EB">
              <w:rPr>
                <w:rFonts w:ascii="Verdana" w:hAnsi="Verdana" w:cs="Verdana"/>
                <w:b/>
                <w:bCs/>
                <w:sz w:val="20"/>
                <w:szCs w:val="20"/>
                <w:lang w:eastAsia="bg-BG"/>
              </w:rPr>
              <w:t>Компютърен софтуер</w:t>
            </w:r>
          </w:p>
        </w:tc>
        <w:tc>
          <w:tcPr>
            <w:tcW w:w="2268" w:type="dxa"/>
            <w:vMerge w:val="restart"/>
            <w:noWrap/>
            <w:vAlign w:val="center"/>
          </w:tcPr>
          <w:p w:rsidR="00863C99" w:rsidRPr="000E54EB" w:rsidRDefault="00863C99" w:rsidP="00DB0ACF">
            <w:pPr>
              <w:jc w:val="center"/>
              <w:rPr>
                <w:rFonts w:ascii="Verdana" w:hAnsi="Verdana" w:cs="Verdana"/>
                <w:b/>
                <w:bCs/>
                <w:sz w:val="20"/>
                <w:szCs w:val="20"/>
                <w:lang w:eastAsia="bg-BG"/>
              </w:rPr>
            </w:pPr>
            <w:r w:rsidRPr="000E54EB">
              <w:rPr>
                <w:rFonts w:ascii="Verdana" w:hAnsi="Verdana" w:cs="Verdana"/>
                <w:b/>
                <w:bCs/>
                <w:sz w:val="20"/>
                <w:szCs w:val="20"/>
                <w:lang w:eastAsia="bg-BG"/>
              </w:rPr>
              <w:t>Общо</w:t>
            </w:r>
          </w:p>
        </w:tc>
      </w:tr>
      <w:tr w:rsidR="00863C99" w:rsidRPr="000E54EB">
        <w:trPr>
          <w:trHeight w:val="309"/>
        </w:trPr>
        <w:tc>
          <w:tcPr>
            <w:tcW w:w="4825" w:type="dxa"/>
            <w:vMerge/>
            <w:vAlign w:val="center"/>
          </w:tcPr>
          <w:p w:rsidR="00863C99" w:rsidRPr="000E54EB" w:rsidRDefault="00863C99" w:rsidP="00DB0ACF">
            <w:pPr>
              <w:jc w:val="left"/>
              <w:rPr>
                <w:rFonts w:ascii="Verdana" w:hAnsi="Verdana" w:cs="Verdana"/>
                <w:sz w:val="20"/>
                <w:szCs w:val="20"/>
                <w:lang w:eastAsia="bg-BG"/>
              </w:rPr>
            </w:pPr>
          </w:p>
        </w:tc>
        <w:tc>
          <w:tcPr>
            <w:tcW w:w="2410" w:type="dxa"/>
            <w:vMerge/>
            <w:vAlign w:val="center"/>
          </w:tcPr>
          <w:p w:rsidR="00863C99" w:rsidRPr="000E54EB" w:rsidRDefault="00863C99" w:rsidP="00DB0ACF">
            <w:pPr>
              <w:jc w:val="center"/>
              <w:rPr>
                <w:rFonts w:ascii="Verdana" w:hAnsi="Verdana" w:cs="Verdana"/>
                <w:b/>
                <w:bCs/>
                <w:sz w:val="20"/>
                <w:szCs w:val="20"/>
                <w:lang w:eastAsia="bg-BG"/>
              </w:rPr>
            </w:pPr>
          </w:p>
        </w:tc>
        <w:tc>
          <w:tcPr>
            <w:tcW w:w="2268" w:type="dxa"/>
            <w:vMerge/>
            <w:vAlign w:val="center"/>
          </w:tcPr>
          <w:p w:rsidR="00863C99" w:rsidRPr="000E54EB" w:rsidRDefault="00863C99" w:rsidP="00DB0ACF">
            <w:pPr>
              <w:jc w:val="center"/>
              <w:rPr>
                <w:rFonts w:ascii="Verdana" w:hAnsi="Verdana" w:cs="Verdana"/>
                <w:b/>
                <w:bCs/>
                <w:sz w:val="20"/>
                <w:szCs w:val="20"/>
                <w:lang w:eastAsia="bg-BG"/>
              </w:rPr>
            </w:pPr>
          </w:p>
        </w:tc>
      </w:tr>
      <w:tr w:rsidR="00863C99" w:rsidRPr="000E54EB">
        <w:trPr>
          <w:trHeight w:val="300"/>
        </w:trPr>
        <w:tc>
          <w:tcPr>
            <w:tcW w:w="4825" w:type="dxa"/>
            <w:shd w:val="clear" w:color="000000" w:fill="FFFFFF"/>
            <w:noWrap/>
            <w:vAlign w:val="center"/>
          </w:tcPr>
          <w:p w:rsidR="00863C99" w:rsidRPr="000E54EB" w:rsidRDefault="00863C99" w:rsidP="00DB0ACF">
            <w:pPr>
              <w:jc w:val="left"/>
              <w:rPr>
                <w:rFonts w:ascii="Verdana" w:hAnsi="Verdana" w:cs="Verdana"/>
                <w:b/>
                <w:bCs/>
                <w:sz w:val="20"/>
                <w:szCs w:val="20"/>
                <w:lang w:eastAsia="bg-BG"/>
              </w:rPr>
            </w:pPr>
            <w:r w:rsidRPr="000E54EB">
              <w:rPr>
                <w:rFonts w:ascii="Verdana" w:hAnsi="Verdana" w:cs="Verdana"/>
                <w:b/>
                <w:bCs/>
                <w:sz w:val="20"/>
                <w:szCs w:val="20"/>
                <w:lang w:eastAsia="bg-BG"/>
              </w:rPr>
              <w:t>Отчетна стойност</w:t>
            </w:r>
          </w:p>
        </w:tc>
        <w:tc>
          <w:tcPr>
            <w:tcW w:w="2410" w:type="dxa"/>
            <w:shd w:val="clear" w:color="000000" w:fill="FFFFFF"/>
            <w:noWrap/>
            <w:vAlign w:val="center"/>
          </w:tcPr>
          <w:p w:rsidR="00863C99" w:rsidRPr="000E54EB" w:rsidRDefault="00863C99" w:rsidP="00DB0ACF">
            <w:pPr>
              <w:jc w:val="center"/>
              <w:rPr>
                <w:rFonts w:ascii="Verdana" w:hAnsi="Verdana" w:cs="Verdana"/>
                <w:b/>
                <w:bCs/>
                <w:sz w:val="20"/>
                <w:szCs w:val="20"/>
                <w:lang w:eastAsia="bg-BG"/>
              </w:rPr>
            </w:pPr>
          </w:p>
        </w:tc>
        <w:tc>
          <w:tcPr>
            <w:tcW w:w="2268" w:type="dxa"/>
            <w:shd w:val="clear" w:color="000000" w:fill="FFFFFF"/>
            <w:noWrap/>
            <w:vAlign w:val="center"/>
          </w:tcPr>
          <w:p w:rsidR="00863C99" w:rsidRPr="000E54EB" w:rsidRDefault="00863C99" w:rsidP="00DB0ACF">
            <w:pPr>
              <w:jc w:val="center"/>
              <w:rPr>
                <w:rFonts w:ascii="Verdana" w:hAnsi="Verdana" w:cs="Verdana"/>
                <w:sz w:val="20"/>
                <w:szCs w:val="20"/>
                <w:lang w:eastAsia="bg-BG"/>
              </w:rPr>
            </w:pPr>
          </w:p>
        </w:tc>
      </w:tr>
      <w:tr w:rsidR="00AE5C75" w:rsidRPr="000E54EB">
        <w:trPr>
          <w:trHeight w:val="300"/>
        </w:trPr>
        <w:tc>
          <w:tcPr>
            <w:tcW w:w="4825" w:type="dxa"/>
            <w:noWrap/>
            <w:vAlign w:val="center"/>
          </w:tcPr>
          <w:p w:rsidR="00AE5C75" w:rsidRPr="000E54EB" w:rsidRDefault="00AE5C75" w:rsidP="00250342">
            <w:pPr>
              <w:jc w:val="left"/>
              <w:rPr>
                <w:rFonts w:ascii="Verdana" w:hAnsi="Verdana" w:cs="Verdana"/>
                <w:b/>
                <w:bCs/>
                <w:sz w:val="20"/>
                <w:szCs w:val="20"/>
                <w:lang w:eastAsia="bg-BG"/>
              </w:rPr>
            </w:pPr>
            <w:r w:rsidRPr="000E54EB">
              <w:rPr>
                <w:rFonts w:ascii="Verdana" w:hAnsi="Verdana" w:cs="Verdana"/>
                <w:b/>
                <w:bCs/>
                <w:sz w:val="20"/>
                <w:szCs w:val="20"/>
                <w:lang w:eastAsia="bg-BG"/>
              </w:rPr>
              <w:t>Салдо към 31.12.201</w:t>
            </w:r>
            <w:r>
              <w:rPr>
                <w:rFonts w:ascii="Verdana" w:hAnsi="Verdana" w:cs="Verdana"/>
                <w:b/>
                <w:bCs/>
                <w:sz w:val="20"/>
                <w:szCs w:val="20"/>
                <w:lang w:eastAsia="bg-BG"/>
              </w:rPr>
              <w:t>8</w:t>
            </w:r>
          </w:p>
        </w:tc>
        <w:tc>
          <w:tcPr>
            <w:tcW w:w="2410" w:type="dxa"/>
            <w:noWrap/>
            <w:vAlign w:val="center"/>
          </w:tcPr>
          <w:p w:rsidR="00AE5C75" w:rsidRPr="000E54EB" w:rsidRDefault="00AE5C75" w:rsidP="00BA0F26">
            <w:pPr>
              <w:jc w:val="center"/>
              <w:rPr>
                <w:rFonts w:ascii="Verdana" w:hAnsi="Verdana" w:cs="Verdana"/>
                <w:b/>
                <w:bCs/>
                <w:sz w:val="20"/>
                <w:szCs w:val="20"/>
                <w:lang w:eastAsia="bg-BG"/>
              </w:rPr>
            </w:pPr>
            <w:r w:rsidRPr="000E54EB">
              <w:rPr>
                <w:rFonts w:ascii="Verdana" w:hAnsi="Verdana" w:cs="Verdana"/>
                <w:b/>
                <w:bCs/>
                <w:sz w:val="20"/>
                <w:szCs w:val="20"/>
                <w:lang w:eastAsia="bg-BG"/>
              </w:rPr>
              <w:t>145</w:t>
            </w:r>
          </w:p>
        </w:tc>
        <w:tc>
          <w:tcPr>
            <w:tcW w:w="2268" w:type="dxa"/>
            <w:noWrap/>
            <w:vAlign w:val="center"/>
          </w:tcPr>
          <w:p w:rsidR="00AE5C75" w:rsidRPr="000E54EB" w:rsidRDefault="00AE5C75" w:rsidP="00BA0F26">
            <w:pPr>
              <w:jc w:val="center"/>
              <w:rPr>
                <w:rFonts w:ascii="Verdana" w:hAnsi="Verdana" w:cs="Verdana"/>
                <w:b/>
                <w:bCs/>
                <w:sz w:val="20"/>
                <w:szCs w:val="20"/>
                <w:lang w:eastAsia="bg-BG"/>
              </w:rPr>
            </w:pPr>
            <w:r w:rsidRPr="000E54EB">
              <w:rPr>
                <w:rFonts w:ascii="Verdana" w:hAnsi="Verdana" w:cs="Verdana"/>
                <w:b/>
                <w:bCs/>
                <w:sz w:val="20"/>
                <w:szCs w:val="20"/>
                <w:lang w:eastAsia="bg-BG"/>
              </w:rPr>
              <w:t>145</w:t>
            </w:r>
          </w:p>
        </w:tc>
      </w:tr>
      <w:tr w:rsidR="00AE5C75" w:rsidRPr="000E54EB">
        <w:trPr>
          <w:trHeight w:val="255"/>
        </w:trPr>
        <w:tc>
          <w:tcPr>
            <w:tcW w:w="4825" w:type="dxa"/>
            <w:noWrap/>
            <w:vAlign w:val="center"/>
          </w:tcPr>
          <w:p w:rsidR="00AE5C75" w:rsidRPr="000E54EB" w:rsidRDefault="00AE5C75" w:rsidP="00DB0ACF">
            <w:pPr>
              <w:jc w:val="left"/>
              <w:rPr>
                <w:rFonts w:ascii="Verdana" w:hAnsi="Verdana" w:cs="Verdana"/>
                <w:sz w:val="20"/>
                <w:szCs w:val="20"/>
                <w:lang w:eastAsia="bg-BG"/>
              </w:rPr>
            </w:pPr>
            <w:r w:rsidRPr="000E54EB">
              <w:rPr>
                <w:rFonts w:ascii="Verdana" w:hAnsi="Verdana" w:cs="Verdana"/>
                <w:sz w:val="20"/>
                <w:szCs w:val="20"/>
                <w:lang w:eastAsia="bg-BG"/>
              </w:rPr>
              <w:t>Излезли от употреба</w:t>
            </w:r>
          </w:p>
        </w:tc>
        <w:tc>
          <w:tcPr>
            <w:tcW w:w="2410" w:type="dxa"/>
            <w:noWrap/>
            <w:vAlign w:val="center"/>
          </w:tcPr>
          <w:p w:rsidR="00AE5C75" w:rsidRPr="00566815" w:rsidRDefault="00AE5C75" w:rsidP="00BA0F26">
            <w:pPr>
              <w:jc w:val="center"/>
              <w:rPr>
                <w:rFonts w:ascii="Verdana" w:hAnsi="Verdana" w:cs="Verdana"/>
                <w:sz w:val="20"/>
                <w:szCs w:val="20"/>
                <w:lang w:val="en-US" w:eastAsia="bg-BG"/>
              </w:rPr>
            </w:pPr>
            <w:r>
              <w:rPr>
                <w:rFonts w:ascii="Verdana" w:hAnsi="Verdana" w:cs="Verdana"/>
                <w:sz w:val="20"/>
                <w:szCs w:val="20"/>
                <w:lang w:val="en-US" w:eastAsia="bg-BG"/>
              </w:rPr>
              <w:t>-</w:t>
            </w:r>
          </w:p>
        </w:tc>
        <w:tc>
          <w:tcPr>
            <w:tcW w:w="2268" w:type="dxa"/>
            <w:noWrap/>
            <w:vAlign w:val="center"/>
          </w:tcPr>
          <w:p w:rsidR="00AE5C75" w:rsidRPr="00566815" w:rsidRDefault="00AE5C75" w:rsidP="00BA0F26">
            <w:pPr>
              <w:jc w:val="center"/>
              <w:rPr>
                <w:rFonts w:ascii="Verdana" w:hAnsi="Verdana" w:cs="Verdana"/>
                <w:b/>
                <w:bCs/>
                <w:sz w:val="20"/>
                <w:szCs w:val="20"/>
                <w:lang w:val="en-US" w:eastAsia="bg-BG"/>
              </w:rPr>
            </w:pPr>
            <w:r>
              <w:rPr>
                <w:rFonts w:ascii="Verdana" w:hAnsi="Verdana" w:cs="Verdana"/>
                <w:b/>
                <w:bCs/>
                <w:sz w:val="20"/>
                <w:szCs w:val="20"/>
                <w:lang w:val="en-US" w:eastAsia="bg-BG"/>
              </w:rPr>
              <w:t>-</w:t>
            </w:r>
          </w:p>
        </w:tc>
      </w:tr>
      <w:tr w:rsidR="00AE5C75" w:rsidRPr="000E54EB">
        <w:trPr>
          <w:trHeight w:val="255"/>
        </w:trPr>
        <w:tc>
          <w:tcPr>
            <w:tcW w:w="4825" w:type="dxa"/>
            <w:vAlign w:val="center"/>
          </w:tcPr>
          <w:p w:rsidR="00AE5C75" w:rsidRPr="000E54EB" w:rsidRDefault="00AE5C75" w:rsidP="00DB0ACF">
            <w:pPr>
              <w:jc w:val="left"/>
              <w:rPr>
                <w:rFonts w:ascii="Verdana" w:hAnsi="Verdana" w:cs="Verdana"/>
                <w:sz w:val="20"/>
                <w:szCs w:val="20"/>
                <w:lang w:eastAsia="bg-BG"/>
              </w:rPr>
            </w:pPr>
            <w:r w:rsidRPr="000E54EB">
              <w:rPr>
                <w:rFonts w:ascii="Verdana" w:hAnsi="Verdana" w:cs="Verdana"/>
                <w:sz w:val="20"/>
                <w:szCs w:val="20"/>
                <w:lang w:eastAsia="bg-BG"/>
              </w:rPr>
              <w:t>Общо увеличения/(намаления) за периода</w:t>
            </w:r>
          </w:p>
        </w:tc>
        <w:tc>
          <w:tcPr>
            <w:tcW w:w="2410" w:type="dxa"/>
            <w:noWrap/>
            <w:vAlign w:val="center"/>
          </w:tcPr>
          <w:p w:rsidR="00AE5C75" w:rsidRPr="00566815" w:rsidRDefault="00AE5C75" w:rsidP="00BA0F26">
            <w:pPr>
              <w:jc w:val="center"/>
              <w:rPr>
                <w:rFonts w:ascii="Verdana" w:hAnsi="Verdana" w:cs="Verdana"/>
                <w:sz w:val="20"/>
                <w:szCs w:val="20"/>
                <w:lang w:val="en-US" w:eastAsia="bg-BG"/>
              </w:rPr>
            </w:pPr>
            <w:r>
              <w:rPr>
                <w:rFonts w:ascii="Verdana" w:hAnsi="Verdana" w:cs="Verdana"/>
                <w:sz w:val="20"/>
                <w:szCs w:val="20"/>
                <w:lang w:val="en-US" w:eastAsia="bg-BG"/>
              </w:rPr>
              <w:t>-</w:t>
            </w:r>
          </w:p>
        </w:tc>
        <w:tc>
          <w:tcPr>
            <w:tcW w:w="2268" w:type="dxa"/>
            <w:noWrap/>
            <w:vAlign w:val="center"/>
          </w:tcPr>
          <w:p w:rsidR="00AE5C75" w:rsidRPr="00566815" w:rsidRDefault="00AE5C75" w:rsidP="00BA0F26">
            <w:pPr>
              <w:jc w:val="center"/>
              <w:rPr>
                <w:rFonts w:ascii="Verdana" w:hAnsi="Verdana" w:cs="Verdana"/>
                <w:b/>
                <w:bCs/>
                <w:sz w:val="20"/>
                <w:szCs w:val="20"/>
                <w:lang w:val="en-US" w:eastAsia="bg-BG"/>
              </w:rPr>
            </w:pPr>
            <w:r>
              <w:rPr>
                <w:rFonts w:ascii="Verdana" w:hAnsi="Verdana" w:cs="Verdana"/>
                <w:b/>
                <w:bCs/>
                <w:sz w:val="20"/>
                <w:szCs w:val="20"/>
                <w:lang w:val="en-US" w:eastAsia="bg-BG"/>
              </w:rPr>
              <w:t>-</w:t>
            </w:r>
          </w:p>
        </w:tc>
      </w:tr>
      <w:tr w:rsidR="00AE5C75" w:rsidRPr="000E54EB">
        <w:trPr>
          <w:trHeight w:val="300"/>
        </w:trPr>
        <w:tc>
          <w:tcPr>
            <w:tcW w:w="4825" w:type="dxa"/>
            <w:noWrap/>
            <w:vAlign w:val="center"/>
          </w:tcPr>
          <w:p w:rsidR="00AE5C75" w:rsidRPr="000E54EB" w:rsidRDefault="00AE5C75" w:rsidP="00250342">
            <w:pPr>
              <w:jc w:val="left"/>
              <w:rPr>
                <w:rFonts w:ascii="Verdana" w:hAnsi="Verdana" w:cs="Verdana"/>
                <w:b/>
                <w:bCs/>
                <w:sz w:val="20"/>
                <w:szCs w:val="20"/>
                <w:lang w:eastAsia="bg-BG"/>
              </w:rPr>
            </w:pPr>
            <w:r w:rsidRPr="000E54EB">
              <w:rPr>
                <w:rFonts w:ascii="Verdana" w:hAnsi="Verdana" w:cs="Verdana"/>
                <w:b/>
                <w:bCs/>
                <w:sz w:val="20"/>
                <w:szCs w:val="20"/>
                <w:lang w:eastAsia="bg-BG"/>
              </w:rPr>
              <w:t>Салдо към 31.12.201</w:t>
            </w:r>
            <w:r>
              <w:rPr>
                <w:rFonts w:ascii="Verdana" w:hAnsi="Verdana" w:cs="Verdana"/>
                <w:b/>
                <w:bCs/>
                <w:sz w:val="20"/>
                <w:szCs w:val="20"/>
                <w:lang w:eastAsia="bg-BG"/>
              </w:rPr>
              <w:t>9</w:t>
            </w:r>
          </w:p>
        </w:tc>
        <w:tc>
          <w:tcPr>
            <w:tcW w:w="2410" w:type="dxa"/>
            <w:noWrap/>
            <w:vAlign w:val="center"/>
          </w:tcPr>
          <w:p w:rsidR="00AE5C75" w:rsidRPr="00566815" w:rsidRDefault="00AE5C75" w:rsidP="00BA0F26">
            <w:pPr>
              <w:jc w:val="center"/>
              <w:rPr>
                <w:rFonts w:ascii="Verdana" w:hAnsi="Verdana" w:cs="Verdana"/>
                <w:b/>
                <w:bCs/>
                <w:sz w:val="20"/>
                <w:szCs w:val="20"/>
                <w:lang w:val="en-US" w:eastAsia="bg-BG"/>
              </w:rPr>
            </w:pPr>
            <w:r>
              <w:rPr>
                <w:rFonts w:ascii="Verdana" w:hAnsi="Verdana" w:cs="Verdana"/>
                <w:b/>
                <w:bCs/>
                <w:sz w:val="20"/>
                <w:szCs w:val="20"/>
                <w:lang w:val="en-US" w:eastAsia="bg-BG"/>
              </w:rPr>
              <w:t>145</w:t>
            </w:r>
          </w:p>
        </w:tc>
        <w:tc>
          <w:tcPr>
            <w:tcW w:w="2268" w:type="dxa"/>
            <w:noWrap/>
            <w:vAlign w:val="center"/>
          </w:tcPr>
          <w:p w:rsidR="00AE5C75" w:rsidRPr="00566815" w:rsidRDefault="00AE5C75" w:rsidP="00BA0F26">
            <w:pPr>
              <w:jc w:val="center"/>
              <w:rPr>
                <w:rFonts w:ascii="Verdana" w:hAnsi="Verdana" w:cs="Verdana"/>
                <w:b/>
                <w:bCs/>
                <w:sz w:val="20"/>
                <w:szCs w:val="20"/>
                <w:lang w:val="en-US" w:eastAsia="bg-BG"/>
              </w:rPr>
            </w:pPr>
            <w:r>
              <w:rPr>
                <w:rFonts w:ascii="Verdana" w:hAnsi="Verdana" w:cs="Verdana"/>
                <w:b/>
                <w:bCs/>
                <w:sz w:val="20"/>
                <w:szCs w:val="20"/>
                <w:lang w:val="en-US" w:eastAsia="bg-BG"/>
              </w:rPr>
              <w:t>145</w:t>
            </w:r>
          </w:p>
        </w:tc>
      </w:tr>
      <w:tr w:rsidR="00AE5C75" w:rsidRPr="000E54EB">
        <w:trPr>
          <w:trHeight w:val="240"/>
        </w:trPr>
        <w:tc>
          <w:tcPr>
            <w:tcW w:w="4825" w:type="dxa"/>
            <w:vAlign w:val="center"/>
          </w:tcPr>
          <w:p w:rsidR="00AE5C75" w:rsidRPr="000E54EB" w:rsidRDefault="00AE5C75" w:rsidP="00DB0ACF">
            <w:pPr>
              <w:jc w:val="left"/>
              <w:rPr>
                <w:rFonts w:ascii="Verdana" w:hAnsi="Verdana" w:cs="Verdana"/>
                <w:sz w:val="20"/>
                <w:szCs w:val="20"/>
                <w:lang w:eastAsia="bg-BG"/>
              </w:rPr>
            </w:pPr>
            <w:r w:rsidRPr="000E54EB">
              <w:rPr>
                <w:rFonts w:ascii="Verdana" w:hAnsi="Verdana" w:cs="Verdana"/>
                <w:sz w:val="20"/>
                <w:szCs w:val="20"/>
                <w:lang w:eastAsia="bg-BG"/>
              </w:rPr>
              <w:t>Постъпили</w:t>
            </w:r>
          </w:p>
        </w:tc>
        <w:tc>
          <w:tcPr>
            <w:tcW w:w="2410" w:type="dxa"/>
            <w:noWrap/>
            <w:vAlign w:val="center"/>
          </w:tcPr>
          <w:p w:rsidR="00AE5C75" w:rsidRPr="00566815" w:rsidRDefault="00AE5C75" w:rsidP="00DB0ACF">
            <w:pPr>
              <w:jc w:val="center"/>
              <w:rPr>
                <w:rFonts w:ascii="Verdana" w:hAnsi="Verdana" w:cs="Verdana"/>
                <w:sz w:val="20"/>
                <w:szCs w:val="20"/>
                <w:lang w:val="en-US" w:eastAsia="bg-BG"/>
              </w:rPr>
            </w:pPr>
            <w:r>
              <w:rPr>
                <w:rFonts w:ascii="Verdana" w:hAnsi="Verdana" w:cs="Verdana"/>
                <w:sz w:val="20"/>
                <w:szCs w:val="20"/>
                <w:lang w:val="en-US" w:eastAsia="bg-BG"/>
              </w:rPr>
              <w:t>-</w:t>
            </w:r>
          </w:p>
        </w:tc>
        <w:tc>
          <w:tcPr>
            <w:tcW w:w="2268" w:type="dxa"/>
            <w:noWrap/>
            <w:vAlign w:val="center"/>
          </w:tcPr>
          <w:p w:rsidR="00AE5C75" w:rsidRPr="00566815" w:rsidRDefault="00AE5C75" w:rsidP="00DB0ACF">
            <w:pPr>
              <w:jc w:val="center"/>
              <w:rPr>
                <w:rFonts w:ascii="Verdana" w:hAnsi="Verdana" w:cs="Verdana"/>
                <w:b/>
                <w:bCs/>
                <w:sz w:val="20"/>
                <w:szCs w:val="20"/>
                <w:lang w:val="en-US" w:eastAsia="bg-BG"/>
              </w:rPr>
            </w:pPr>
            <w:r>
              <w:rPr>
                <w:rFonts w:ascii="Verdana" w:hAnsi="Verdana" w:cs="Verdana"/>
                <w:b/>
                <w:bCs/>
                <w:sz w:val="20"/>
                <w:szCs w:val="20"/>
                <w:lang w:val="en-US" w:eastAsia="bg-BG"/>
              </w:rPr>
              <w:t>-</w:t>
            </w:r>
          </w:p>
        </w:tc>
      </w:tr>
      <w:tr w:rsidR="00AE5C75" w:rsidRPr="000E54EB">
        <w:trPr>
          <w:trHeight w:val="255"/>
        </w:trPr>
        <w:tc>
          <w:tcPr>
            <w:tcW w:w="4825" w:type="dxa"/>
            <w:vAlign w:val="center"/>
          </w:tcPr>
          <w:p w:rsidR="00AE5C75" w:rsidRPr="000E54EB" w:rsidRDefault="00AE5C75" w:rsidP="00DB0ACF">
            <w:pPr>
              <w:jc w:val="left"/>
              <w:rPr>
                <w:rFonts w:ascii="Verdana" w:hAnsi="Verdana" w:cs="Verdana"/>
                <w:sz w:val="20"/>
                <w:szCs w:val="20"/>
                <w:lang w:eastAsia="bg-BG"/>
              </w:rPr>
            </w:pPr>
            <w:r w:rsidRPr="000E54EB">
              <w:rPr>
                <w:rFonts w:ascii="Verdana" w:hAnsi="Verdana" w:cs="Verdana"/>
                <w:sz w:val="20"/>
                <w:szCs w:val="20"/>
                <w:lang w:eastAsia="bg-BG"/>
              </w:rPr>
              <w:t>Общо увеличения/(намаления) за периода</w:t>
            </w:r>
          </w:p>
        </w:tc>
        <w:tc>
          <w:tcPr>
            <w:tcW w:w="2410" w:type="dxa"/>
            <w:noWrap/>
            <w:vAlign w:val="center"/>
          </w:tcPr>
          <w:p w:rsidR="00AE5C75" w:rsidRPr="00566815" w:rsidRDefault="00AE5C75" w:rsidP="00DB0ACF">
            <w:pPr>
              <w:jc w:val="center"/>
              <w:rPr>
                <w:rFonts w:ascii="Verdana" w:hAnsi="Verdana" w:cs="Verdana"/>
                <w:sz w:val="20"/>
                <w:szCs w:val="20"/>
                <w:lang w:val="en-US" w:eastAsia="bg-BG"/>
              </w:rPr>
            </w:pPr>
            <w:r>
              <w:rPr>
                <w:rFonts w:ascii="Verdana" w:hAnsi="Verdana" w:cs="Verdana"/>
                <w:sz w:val="20"/>
                <w:szCs w:val="20"/>
                <w:lang w:val="en-US" w:eastAsia="bg-BG"/>
              </w:rPr>
              <w:t>-</w:t>
            </w:r>
          </w:p>
        </w:tc>
        <w:tc>
          <w:tcPr>
            <w:tcW w:w="2268" w:type="dxa"/>
            <w:noWrap/>
            <w:vAlign w:val="center"/>
          </w:tcPr>
          <w:p w:rsidR="00AE5C75" w:rsidRPr="00566815" w:rsidRDefault="00AE5C75" w:rsidP="00DB0ACF">
            <w:pPr>
              <w:jc w:val="center"/>
              <w:rPr>
                <w:rFonts w:ascii="Verdana" w:hAnsi="Verdana" w:cs="Verdana"/>
                <w:b/>
                <w:bCs/>
                <w:sz w:val="20"/>
                <w:szCs w:val="20"/>
                <w:lang w:val="en-US" w:eastAsia="bg-BG"/>
              </w:rPr>
            </w:pPr>
            <w:r>
              <w:rPr>
                <w:rFonts w:ascii="Verdana" w:hAnsi="Verdana" w:cs="Verdana"/>
                <w:b/>
                <w:bCs/>
                <w:sz w:val="20"/>
                <w:szCs w:val="20"/>
                <w:lang w:val="en-US" w:eastAsia="bg-BG"/>
              </w:rPr>
              <w:t>-</w:t>
            </w:r>
          </w:p>
        </w:tc>
      </w:tr>
      <w:tr w:rsidR="00AE5C75" w:rsidRPr="000E54EB">
        <w:trPr>
          <w:trHeight w:val="443"/>
        </w:trPr>
        <w:tc>
          <w:tcPr>
            <w:tcW w:w="4825" w:type="dxa"/>
            <w:shd w:val="clear" w:color="000000" w:fill="C5D9F1"/>
            <w:noWrap/>
            <w:vAlign w:val="center"/>
          </w:tcPr>
          <w:p w:rsidR="00AE5C75" w:rsidRPr="000E54EB" w:rsidRDefault="00AE5C75" w:rsidP="00250342">
            <w:pPr>
              <w:jc w:val="left"/>
              <w:rPr>
                <w:rFonts w:ascii="Verdana" w:hAnsi="Verdana" w:cs="Verdana"/>
                <w:b/>
                <w:bCs/>
                <w:sz w:val="20"/>
                <w:szCs w:val="20"/>
                <w:lang w:eastAsia="bg-BG"/>
              </w:rPr>
            </w:pPr>
            <w:r>
              <w:rPr>
                <w:rFonts w:ascii="Verdana" w:hAnsi="Verdana" w:cs="Verdana"/>
                <w:b/>
                <w:bCs/>
                <w:sz w:val="20"/>
                <w:szCs w:val="20"/>
                <w:lang w:eastAsia="bg-BG"/>
              </w:rPr>
              <w:t xml:space="preserve"> Салдо към 30.06.2020</w:t>
            </w:r>
            <w:r w:rsidRPr="000E54EB">
              <w:rPr>
                <w:rFonts w:ascii="Verdana" w:hAnsi="Verdana" w:cs="Verdana"/>
                <w:b/>
                <w:bCs/>
                <w:sz w:val="20"/>
                <w:szCs w:val="20"/>
                <w:lang w:eastAsia="bg-BG"/>
              </w:rPr>
              <w:t xml:space="preserve"> </w:t>
            </w:r>
          </w:p>
        </w:tc>
        <w:tc>
          <w:tcPr>
            <w:tcW w:w="2410" w:type="dxa"/>
            <w:shd w:val="clear" w:color="000000" w:fill="C5D9F1"/>
            <w:noWrap/>
            <w:vAlign w:val="center"/>
          </w:tcPr>
          <w:p w:rsidR="00AE5C75" w:rsidRPr="008E0CDC" w:rsidRDefault="008E0CDC" w:rsidP="00DB0ACF">
            <w:pPr>
              <w:jc w:val="center"/>
              <w:rPr>
                <w:rFonts w:ascii="Verdana" w:hAnsi="Verdana" w:cs="Verdana"/>
                <w:b/>
                <w:bCs/>
                <w:sz w:val="20"/>
                <w:szCs w:val="20"/>
                <w:lang w:eastAsia="bg-BG"/>
              </w:rPr>
            </w:pPr>
            <w:r>
              <w:rPr>
                <w:rFonts w:ascii="Verdana" w:hAnsi="Verdana" w:cs="Verdana"/>
                <w:b/>
                <w:bCs/>
                <w:sz w:val="20"/>
                <w:szCs w:val="20"/>
                <w:lang w:eastAsia="bg-BG"/>
              </w:rPr>
              <w:t>145</w:t>
            </w:r>
          </w:p>
        </w:tc>
        <w:tc>
          <w:tcPr>
            <w:tcW w:w="2268" w:type="dxa"/>
            <w:shd w:val="clear" w:color="000000" w:fill="C5D9F1"/>
            <w:noWrap/>
            <w:vAlign w:val="center"/>
          </w:tcPr>
          <w:p w:rsidR="00AE5C75" w:rsidRPr="008E0CDC" w:rsidRDefault="008E0CDC" w:rsidP="00DB0ACF">
            <w:pPr>
              <w:jc w:val="center"/>
              <w:rPr>
                <w:rFonts w:ascii="Verdana" w:hAnsi="Verdana" w:cs="Verdana"/>
                <w:b/>
                <w:bCs/>
                <w:sz w:val="20"/>
                <w:szCs w:val="20"/>
                <w:lang w:eastAsia="bg-BG"/>
              </w:rPr>
            </w:pPr>
            <w:r>
              <w:rPr>
                <w:rFonts w:ascii="Verdana" w:hAnsi="Verdana" w:cs="Verdana"/>
                <w:b/>
                <w:bCs/>
                <w:sz w:val="20"/>
                <w:szCs w:val="20"/>
                <w:lang w:eastAsia="bg-BG"/>
              </w:rPr>
              <w:t>145</w:t>
            </w:r>
          </w:p>
        </w:tc>
      </w:tr>
      <w:tr w:rsidR="00AE5C75" w:rsidRPr="000E54EB">
        <w:trPr>
          <w:trHeight w:val="300"/>
        </w:trPr>
        <w:tc>
          <w:tcPr>
            <w:tcW w:w="4825" w:type="dxa"/>
            <w:shd w:val="clear" w:color="000000" w:fill="FFFFFF"/>
            <w:noWrap/>
            <w:vAlign w:val="center"/>
          </w:tcPr>
          <w:p w:rsidR="00AE5C75" w:rsidRPr="000E54EB" w:rsidRDefault="00AE5C75" w:rsidP="00DB0ACF">
            <w:pPr>
              <w:jc w:val="left"/>
              <w:rPr>
                <w:rFonts w:ascii="Verdana" w:hAnsi="Verdana" w:cs="Verdana"/>
                <w:b/>
                <w:bCs/>
                <w:sz w:val="20"/>
                <w:szCs w:val="20"/>
                <w:lang w:eastAsia="bg-BG"/>
              </w:rPr>
            </w:pPr>
            <w:r w:rsidRPr="000E54EB">
              <w:rPr>
                <w:rFonts w:ascii="Verdana" w:hAnsi="Verdana" w:cs="Verdana"/>
                <w:b/>
                <w:bCs/>
                <w:sz w:val="20"/>
                <w:szCs w:val="20"/>
                <w:lang w:eastAsia="bg-BG"/>
              </w:rPr>
              <w:t xml:space="preserve">Амортизация и обезценка </w:t>
            </w:r>
          </w:p>
        </w:tc>
        <w:tc>
          <w:tcPr>
            <w:tcW w:w="2410" w:type="dxa"/>
            <w:shd w:val="clear" w:color="000000" w:fill="FFFFFF"/>
            <w:noWrap/>
            <w:vAlign w:val="center"/>
          </w:tcPr>
          <w:p w:rsidR="00AE5C75" w:rsidRPr="000E54EB" w:rsidRDefault="00AE5C75" w:rsidP="00DB0ACF">
            <w:pPr>
              <w:jc w:val="center"/>
              <w:rPr>
                <w:rFonts w:ascii="Verdana" w:hAnsi="Verdana" w:cs="Verdana"/>
                <w:sz w:val="20"/>
                <w:szCs w:val="20"/>
                <w:lang w:eastAsia="bg-BG"/>
              </w:rPr>
            </w:pPr>
          </w:p>
        </w:tc>
        <w:tc>
          <w:tcPr>
            <w:tcW w:w="2268" w:type="dxa"/>
            <w:shd w:val="clear" w:color="000000" w:fill="FFFFFF"/>
            <w:noWrap/>
            <w:vAlign w:val="center"/>
          </w:tcPr>
          <w:p w:rsidR="00AE5C75" w:rsidRPr="000E54EB" w:rsidRDefault="00AE5C75" w:rsidP="00DB0ACF">
            <w:pPr>
              <w:jc w:val="center"/>
              <w:rPr>
                <w:rFonts w:ascii="Verdana" w:hAnsi="Verdana" w:cs="Verdana"/>
                <w:sz w:val="20"/>
                <w:szCs w:val="20"/>
                <w:lang w:eastAsia="bg-BG"/>
              </w:rPr>
            </w:pPr>
          </w:p>
        </w:tc>
      </w:tr>
      <w:tr w:rsidR="00AE5C75" w:rsidRPr="000E54EB">
        <w:trPr>
          <w:trHeight w:val="300"/>
        </w:trPr>
        <w:tc>
          <w:tcPr>
            <w:tcW w:w="4825" w:type="dxa"/>
            <w:noWrap/>
            <w:vAlign w:val="center"/>
          </w:tcPr>
          <w:p w:rsidR="00AE5C75" w:rsidRPr="000E54EB" w:rsidRDefault="00AE5C75" w:rsidP="00250342">
            <w:pPr>
              <w:jc w:val="left"/>
              <w:rPr>
                <w:rFonts w:ascii="Verdana" w:hAnsi="Verdana" w:cs="Verdana"/>
                <w:b/>
                <w:bCs/>
                <w:sz w:val="20"/>
                <w:szCs w:val="20"/>
                <w:lang w:eastAsia="bg-BG"/>
              </w:rPr>
            </w:pPr>
            <w:r w:rsidRPr="000E54EB">
              <w:rPr>
                <w:rFonts w:ascii="Verdana" w:hAnsi="Verdana" w:cs="Verdana"/>
                <w:b/>
                <w:bCs/>
                <w:sz w:val="20"/>
                <w:szCs w:val="20"/>
                <w:lang w:eastAsia="bg-BG"/>
              </w:rPr>
              <w:t>Салдо към 31.12.201</w:t>
            </w:r>
            <w:r>
              <w:rPr>
                <w:rFonts w:ascii="Verdana" w:hAnsi="Verdana" w:cs="Verdana"/>
                <w:b/>
                <w:bCs/>
                <w:sz w:val="20"/>
                <w:szCs w:val="20"/>
                <w:lang w:eastAsia="bg-BG"/>
              </w:rPr>
              <w:t>8</w:t>
            </w:r>
          </w:p>
        </w:tc>
        <w:tc>
          <w:tcPr>
            <w:tcW w:w="2410" w:type="dxa"/>
            <w:noWrap/>
            <w:vAlign w:val="center"/>
          </w:tcPr>
          <w:p w:rsidR="00AE5C75" w:rsidRPr="000E54EB" w:rsidRDefault="00AE5C75" w:rsidP="00BA0F26">
            <w:pPr>
              <w:jc w:val="center"/>
              <w:rPr>
                <w:rFonts w:ascii="Verdana" w:hAnsi="Verdana" w:cs="Verdana"/>
                <w:b/>
                <w:bCs/>
                <w:sz w:val="20"/>
                <w:szCs w:val="20"/>
                <w:lang w:eastAsia="bg-BG"/>
              </w:rPr>
            </w:pPr>
            <w:r>
              <w:rPr>
                <w:rFonts w:ascii="Verdana" w:hAnsi="Verdana" w:cs="Verdana"/>
                <w:b/>
                <w:bCs/>
                <w:sz w:val="20"/>
                <w:szCs w:val="20"/>
                <w:lang w:eastAsia="bg-BG"/>
              </w:rPr>
              <w:t>85</w:t>
            </w:r>
          </w:p>
        </w:tc>
        <w:tc>
          <w:tcPr>
            <w:tcW w:w="2268" w:type="dxa"/>
            <w:noWrap/>
            <w:vAlign w:val="center"/>
          </w:tcPr>
          <w:p w:rsidR="00AE5C75" w:rsidRPr="000E54EB" w:rsidRDefault="00AE5C75" w:rsidP="00BA0F26">
            <w:pPr>
              <w:jc w:val="center"/>
              <w:rPr>
                <w:rFonts w:ascii="Verdana" w:hAnsi="Verdana" w:cs="Verdana"/>
                <w:b/>
                <w:bCs/>
                <w:sz w:val="20"/>
                <w:szCs w:val="20"/>
                <w:lang w:eastAsia="bg-BG"/>
              </w:rPr>
            </w:pPr>
            <w:r>
              <w:rPr>
                <w:rFonts w:ascii="Verdana" w:hAnsi="Verdana" w:cs="Verdana"/>
                <w:b/>
                <w:bCs/>
                <w:sz w:val="20"/>
                <w:szCs w:val="20"/>
                <w:lang w:eastAsia="bg-BG"/>
              </w:rPr>
              <w:t>85</w:t>
            </w:r>
          </w:p>
        </w:tc>
      </w:tr>
      <w:tr w:rsidR="00AE5C75" w:rsidRPr="000E54EB">
        <w:trPr>
          <w:trHeight w:val="300"/>
        </w:trPr>
        <w:tc>
          <w:tcPr>
            <w:tcW w:w="4825" w:type="dxa"/>
            <w:noWrap/>
            <w:vAlign w:val="center"/>
          </w:tcPr>
          <w:p w:rsidR="00AE5C75" w:rsidRPr="000E54EB" w:rsidRDefault="00AE5C75" w:rsidP="00DB0ACF">
            <w:pPr>
              <w:jc w:val="left"/>
              <w:rPr>
                <w:rFonts w:ascii="Verdana" w:hAnsi="Verdana" w:cs="Verdana"/>
                <w:sz w:val="20"/>
                <w:szCs w:val="20"/>
                <w:lang w:eastAsia="bg-BG"/>
              </w:rPr>
            </w:pPr>
            <w:r w:rsidRPr="000E54EB">
              <w:rPr>
                <w:rFonts w:ascii="Verdana" w:hAnsi="Verdana" w:cs="Verdana"/>
                <w:sz w:val="20"/>
                <w:szCs w:val="20"/>
                <w:lang w:eastAsia="bg-BG"/>
              </w:rPr>
              <w:t>Амортизация за годината</w:t>
            </w:r>
          </w:p>
        </w:tc>
        <w:tc>
          <w:tcPr>
            <w:tcW w:w="2410" w:type="dxa"/>
            <w:noWrap/>
            <w:vAlign w:val="center"/>
          </w:tcPr>
          <w:p w:rsidR="00AE5C75" w:rsidRPr="00566815" w:rsidRDefault="00AE5C75" w:rsidP="00BA0F26">
            <w:pPr>
              <w:jc w:val="center"/>
              <w:rPr>
                <w:rFonts w:ascii="Verdana" w:hAnsi="Verdana" w:cs="Verdana"/>
                <w:sz w:val="20"/>
                <w:szCs w:val="20"/>
                <w:lang w:val="en-US" w:eastAsia="bg-BG"/>
              </w:rPr>
            </w:pPr>
            <w:r>
              <w:rPr>
                <w:rFonts w:ascii="Verdana" w:hAnsi="Verdana" w:cs="Verdana"/>
                <w:sz w:val="20"/>
                <w:szCs w:val="20"/>
                <w:lang w:val="en-US" w:eastAsia="bg-BG"/>
              </w:rPr>
              <w:t>15</w:t>
            </w:r>
          </w:p>
        </w:tc>
        <w:tc>
          <w:tcPr>
            <w:tcW w:w="2268" w:type="dxa"/>
            <w:noWrap/>
            <w:vAlign w:val="center"/>
          </w:tcPr>
          <w:p w:rsidR="00AE5C75" w:rsidRPr="00566815" w:rsidRDefault="00AE5C75" w:rsidP="00BA0F26">
            <w:pPr>
              <w:jc w:val="center"/>
              <w:rPr>
                <w:rFonts w:ascii="Verdana" w:hAnsi="Verdana" w:cs="Verdana"/>
                <w:b/>
                <w:bCs/>
                <w:sz w:val="20"/>
                <w:szCs w:val="20"/>
                <w:lang w:val="en-US" w:eastAsia="bg-BG"/>
              </w:rPr>
            </w:pPr>
            <w:r>
              <w:rPr>
                <w:rFonts w:ascii="Verdana" w:hAnsi="Verdana" w:cs="Verdana"/>
                <w:b/>
                <w:bCs/>
                <w:sz w:val="20"/>
                <w:szCs w:val="20"/>
                <w:lang w:val="en-US" w:eastAsia="bg-BG"/>
              </w:rPr>
              <w:t>15</w:t>
            </w:r>
          </w:p>
        </w:tc>
      </w:tr>
      <w:tr w:rsidR="00AE5C75" w:rsidRPr="000E54EB">
        <w:trPr>
          <w:trHeight w:val="300"/>
        </w:trPr>
        <w:tc>
          <w:tcPr>
            <w:tcW w:w="4825" w:type="dxa"/>
            <w:noWrap/>
            <w:vAlign w:val="center"/>
          </w:tcPr>
          <w:p w:rsidR="00AE5C75" w:rsidRPr="000E54EB" w:rsidRDefault="00AE5C75" w:rsidP="00DB0ACF">
            <w:pPr>
              <w:jc w:val="left"/>
              <w:rPr>
                <w:rFonts w:ascii="Verdana" w:hAnsi="Verdana" w:cs="Verdana"/>
                <w:sz w:val="20"/>
                <w:szCs w:val="20"/>
                <w:lang w:eastAsia="bg-BG"/>
              </w:rPr>
            </w:pPr>
            <w:r w:rsidRPr="000E54EB">
              <w:rPr>
                <w:rFonts w:ascii="Verdana" w:hAnsi="Verdana" w:cs="Verdana"/>
                <w:sz w:val="20"/>
                <w:szCs w:val="20"/>
                <w:lang w:eastAsia="bg-BG"/>
              </w:rPr>
              <w:t>Амортизация на излезли от употреба</w:t>
            </w:r>
          </w:p>
        </w:tc>
        <w:tc>
          <w:tcPr>
            <w:tcW w:w="2410" w:type="dxa"/>
            <w:noWrap/>
            <w:vAlign w:val="center"/>
          </w:tcPr>
          <w:p w:rsidR="00AE5C75" w:rsidRPr="000E54EB" w:rsidRDefault="00AE5C75" w:rsidP="00DB0ACF">
            <w:pPr>
              <w:jc w:val="center"/>
              <w:rPr>
                <w:rFonts w:ascii="Verdana" w:hAnsi="Verdana" w:cs="Verdana"/>
                <w:sz w:val="20"/>
                <w:szCs w:val="20"/>
                <w:lang w:eastAsia="bg-BG"/>
              </w:rPr>
            </w:pPr>
          </w:p>
        </w:tc>
        <w:tc>
          <w:tcPr>
            <w:tcW w:w="2268" w:type="dxa"/>
            <w:noWrap/>
            <w:vAlign w:val="center"/>
          </w:tcPr>
          <w:p w:rsidR="00AE5C75" w:rsidRPr="000E54EB" w:rsidRDefault="00AE5C75" w:rsidP="00DB0ACF">
            <w:pPr>
              <w:jc w:val="center"/>
              <w:rPr>
                <w:rFonts w:ascii="Verdana" w:hAnsi="Verdana" w:cs="Verdana"/>
                <w:b/>
                <w:bCs/>
                <w:sz w:val="20"/>
                <w:szCs w:val="20"/>
                <w:lang w:eastAsia="bg-BG"/>
              </w:rPr>
            </w:pPr>
          </w:p>
        </w:tc>
      </w:tr>
      <w:tr w:rsidR="00AE5C75" w:rsidRPr="000E54EB">
        <w:trPr>
          <w:trHeight w:val="255"/>
        </w:trPr>
        <w:tc>
          <w:tcPr>
            <w:tcW w:w="4825" w:type="dxa"/>
            <w:vAlign w:val="center"/>
          </w:tcPr>
          <w:p w:rsidR="00AE5C75" w:rsidRPr="000E54EB" w:rsidRDefault="00AE5C75" w:rsidP="00DB0ACF">
            <w:pPr>
              <w:jc w:val="left"/>
              <w:rPr>
                <w:rFonts w:ascii="Verdana" w:hAnsi="Verdana" w:cs="Verdana"/>
                <w:sz w:val="20"/>
                <w:szCs w:val="20"/>
                <w:lang w:eastAsia="bg-BG"/>
              </w:rPr>
            </w:pPr>
            <w:r w:rsidRPr="000E54EB">
              <w:rPr>
                <w:rFonts w:ascii="Verdana" w:hAnsi="Verdana" w:cs="Verdana"/>
                <w:sz w:val="20"/>
                <w:szCs w:val="20"/>
                <w:lang w:eastAsia="bg-BG"/>
              </w:rPr>
              <w:t>Общо увеличения/(намаления) за периода</w:t>
            </w:r>
          </w:p>
        </w:tc>
        <w:tc>
          <w:tcPr>
            <w:tcW w:w="2410" w:type="dxa"/>
            <w:noWrap/>
            <w:vAlign w:val="center"/>
          </w:tcPr>
          <w:p w:rsidR="00AE5C75" w:rsidRPr="000E54EB" w:rsidRDefault="00AE5C75" w:rsidP="00DB0ACF">
            <w:pPr>
              <w:jc w:val="center"/>
              <w:rPr>
                <w:rFonts w:ascii="Verdana" w:hAnsi="Verdana" w:cs="Verdana"/>
                <w:sz w:val="20"/>
                <w:szCs w:val="20"/>
                <w:lang w:eastAsia="bg-BG"/>
              </w:rPr>
            </w:pPr>
            <w:r>
              <w:rPr>
                <w:rFonts w:ascii="Verdana" w:hAnsi="Verdana" w:cs="Verdana"/>
                <w:sz w:val="20"/>
                <w:szCs w:val="20"/>
                <w:lang w:eastAsia="bg-BG"/>
              </w:rPr>
              <w:t>15</w:t>
            </w:r>
          </w:p>
        </w:tc>
        <w:tc>
          <w:tcPr>
            <w:tcW w:w="2268" w:type="dxa"/>
            <w:noWrap/>
            <w:vAlign w:val="center"/>
          </w:tcPr>
          <w:p w:rsidR="00AE5C75" w:rsidRPr="000E54EB" w:rsidRDefault="00AE5C75" w:rsidP="00DB0ACF">
            <w:pPr>
              <w:jc w:val="center"/>
              <w:rPr>
                <w:rFonts w:ascii="Verdana" w:hAnsi="Verdana" w:cs="Verdana"/>
                <w:sz w:val="20"/>
                <w:szCs w:val="20"/>
                <w:lang w:eastAsia="bg-BG"/>
              </w:rPr>
            </w:pPr>
            <w:r>
              <w:rPr>
                <w:rFonts w:ascii="Verdana" w:hAnsi="Verdana" w:cs="Verdana"/>
                <w:sz w:val="20"/>
                <w:szCs w:val="20"/>
                <w:lang w:eastAsia="bg-BG"/>
              </w:rPr>
              <w:t>15</w:t>
            </w:r>
          </w:p>
        </w:tc>
      </w:tr>
      <w:tr w:rsidR="00AE5C75" w:rsidRPr="000E54EB">
        <w:trPr>
          <w:trHeight w:val="300"/>
        </w:trPr>
        <w:tc>
          <w:tcPr>
            <w:tcW w:w="4825" w:type="dxa"/>
            <w:noWrap/>
            <w:vAlign w:val="center"/>
          </w:tcPr>
          <w:p w:rsidR="00AE5C75" w:rsidRPr="000E54EB" w:rsidRDefault="00AE5C75" w:rsidP="00250342">
            <w:pPr>
              <w:jc w:val="left"/>
              <w:rPr>
                <w:rFonts w:ascii="Verdana" w:hAnsi="Verdana" w:cs="Verdana"/>
                <w:b/>
                <w:bCs/>
                <w:sz w:val="20"/>
                <w:szCs w:val="20"/>
                <w:lang w:eastAsia="bg-BG"/>
              </w:rPr>
            </w:pPr>
            <w:r w:rsidRPr="000E54EB">
              <w:rPr>
                <w:rFonts w:ascii="Verdana" w:hAnsi="Verdana" w:cs="Verdana"/>
                <w:b/>
                <w:bCs/>
                <w:sz w:val="20"/>
                <w:szCs w:val="20"/>
                <w:lang w:eastAsia="bg-BG"/>
              </w:rPr>
              <w:t>Салдо към 31.12.201</w:t>
            </w:r>
            <w:r>
              <w:rPr>
                <w:rFonts w:ascii="Verdana" w:hAnsi="Verdana" w:cs="Verdana"/>
                <w:b/>
                <w:bCs/>
                <w:sz w:val="20"/>
                <w:szCs w:val="20"/>
                <w:lang w:eastAsia="bg-BG"/>
              </w:rPr>
              <w:t>9</w:t>
            </w:r>
          </w:p>
        </w:tc>
        <w:tc>
          <w:tcPr>
            <w:tcW w:w="2410" w:type="dxa"/>
            <w:noWrap/>
            <w:vAlign w:val="center"/>
          </w:tcPr>
          <w:p w:rsidR="00AE5C75" w:rsidRPr="000E54EB" w:rsidRDefault="00AE5C75" w:rsidP="00DB0ACF">
            <w:pPr>
              <w:jc w:val="center"/>
              <w:rPr>
                <w:rFonts w:ascii="Verdana" w:hAnsi="Verdana" w:cs="Verdana"/>
                <w:b/>
                <w:bCs/>
                <w:sz w:val="20"/>
                <w:szCs w:val="20"/>
                <w:lang w:eastAsia="bg-BG"/>
              </w:rPr>
            </w:pPr>
            <w:r>
              <w:rPr>
                <w:rFonts w:ascii="Verdana" w:hAnsi="Verdana" w:cs="Verdana"/>
                <w:b/>
                <w:bCs/>
                <w:sz w:val="20"/>
                <w:szCs w:val="20"/>
                <w:lang w:eastAsia="bg-BG"/>
              </w:rPr>
              <w:t>100</w:t>
            </w:r>
          </w:p>
        </w:tc>
        <w:tc>
          <w:tcPr>
            <w:tcW w:w="2268" w:type="dxa"/>
            <w:noWrap/>
            <w:vAlign w:val="center"/>
          </w:tcPr>
          <w:p w:rsidR="00AE5C75" w:rsidRPr="000E54EB" w:rsidRDefault="00AE5C75" w:rsidP="00DB0ACF">
            <w:pPr>
              <w:jc w:val="center"/>
              <w:rPr>
                <w:rFonts w:ascii="Verdana" w:hAnsi="Verdana" w:cs="Verdana"/>
                <w:b/>
                <w:bCs/>
                <w:sz w:val="20"/>
                <w:szCs w:val="20"/>
                <w:lang w:eastAsia="bg-BG"/>
              </w:rPr>
            </w:pPr>
            <w:r>
              <w:rPr>
                <w:rFonts w:ascii="Verdana" w:hAnsi="Verdana" w:cs="Verdana"/>
                <w:b/>
                <w:bCs/>
                <w:sz w:val="20"/>
                <w:szCs w:val="20"/>
                <w:lang w:eastAsia="bg-BG"/>
              </w:rPr>
              <w:t>100</w:t>
            </w:r>
          </w:p>
        </w:tc>
      </w:tr>
      <w:tr w:rsidR="00AE5C75" w:rsidRPr="000E54EB">
        <w:trPr>
          <w:trHeight w:val="300"/>
        </w:trPr>
        <w:tc>
          <w:tcPr>
            <w:tcW w:w="4825" w:type="dxa"/>
            <w:noWrap/>
            <w:vAlign w:val="center"/>
          </w:tcPr>
          <w:p w:rsidR="00AE5C75" w:rsidRPr="000E54EB" w:rsidRDefault="00AE5C75" w:rsidP="00DB0ACF">
            <w:pPr>
              <w:jc w:val="left"/>
              <w:rPr>
                <w:rFonts w:ascii="Verdana" w:hAnsi="Verdana" w:cs="Verdana"/>
                <w:sz w:val="20"/>
                <w:szCs w:val="20"/>
                <w:lang w:eastAsia="bg-BG"/>
              </w:rPr>
            </w:pPr>
            <w:r w:rsidRPr="000E54EB">
              <w:rPr>
                <w:rFonts w:ascii="Verdana" w:hAnsi="Verdana" w:cs="Verdana"/>
                <w:sz w:val="20"/>
                <w:szCs w:val="20"/>
                <w:lang w:eastAsia="bg-BG"/>
              </w:rPr>
              <w:t>Амортизация за годината</w:t>
            </w:r>
          </w:p>
        </w:tc>
        <w:tc>
          <w:tcPr>
            <w:tcW w:w="2410" w:type="dxa"/>
            <w:noWrap/>
            <w:vAlign w:val="center"/>
          </w:tcPr>
          <w:p w:rsidR="00AE5C75" w:rsidRPr="008E0CDC" w:rsidRDefault="008E0CDC" w:rsidP="00DB0ACF">
            <w:pPr>
              <w:jc w:val="center"/>
              <w:rPr>
                <w:rFonts w:ascii="Verdana" w:hAnsi="Verdana" w:cs="Verdana"/>
                <w:sz w:val="20"/>
                <w:szCs w:val="20"/>
                <w:lang w:eastAsia="bg-BG"/>
              </w:rPr>
            </w:pPr>
            <w:r>
              <w:rPr>
                <w:rFonts w:ascii="Verdana" w:hAnsi="Verdana" w:cs="Verdana"/>
                <w:sz w:val="20"/>
                <w:szCs w:val="20"/>
                <w:lang w:eastAsia="bg-BG"/>
              </w:rPr>
              <w:t>8</w:t>
            </w:r>
          </w:p>
        </w:tc>
        <w:tc>
          <w:tcPr>
            <w:tcW w:w="2268" w:type="dxa"/>
            <w:noWrap/>
            <w:vAlign w:val="center"/>
          </w:tcPr>
          <w:p w:rsidR="00AE5C75" w:rsidRPr="008E0CDC" w:rsidRDefault="008E0CDC" w:rsidP="00DB0ACF">
            <w:pPr>
              <w:jc w:val="center"/>
              <w:rPr>
                <w:rFonts w:ascii="Verdana" w:hAnsi="Verdana" w:cs="Verdana"/>
                <w:b/>
                <w:bCs/>
                <w:sz w:val="20"/>
                <w:szCs w:val="20"/>
                <w:lang w:eastAsia="bg-BG"/>
              </w:rPr>
            </w:pPr>
            <w:r>
              <w:rPr>
                <w:rFonts w:ascii="Verdana" w:hAnsi="Verdana" w:cs="Verdana"/>
                <w:b/>
                <w:bCs/>
                <w:sz w:val="20"/>
                <w:szCs w:val="20"/>
                <w:lang w:eastAsia="bg-BG"/>
              </w:rPr>
              <w:t>8</w:t>
            </w:r>
          </w:p>
        </w:tc>
      </w:tr>
      <w:tr w:rsidR="00AE5C75" w:rsidRPr="000E54EB">
        <w:trPr>
          <w:trHeight w:val="315"/>
        </w:trPr>
        <w:tc>
          <w:tcPr>
            <w:tcW w:w="4825" w:type="dxa"/>
            <w:vAlign w:val="center"/>
          </w:tcPr>
          <w:p w:rsidR="00AE5C75" w:rsidRPr="000E54EB" w:rsidRDefault="00AE5C75" w:rsidP="00DB0ACF">
            <w:pPr>
              <w:jc w:val="left"/>
              <w:rPr>
                <w:rFonts w:ascii="Verdana" w:hAnsi="Verdana" w:cs="Verdana"/>
                <w:sz w:val="20"/>
                <w:szCs w:val="20"/>
                <w:lang w:eastAsia="bg-BG"/>
              </w:rPr>
            </w:pPr>
            <w:r w:rsidRPr="000E54EB">
              <w:rPr>
                <w:rFonts w:ascii="Verdana" w:hAnsi="Verdana" w:cs="Verdana"/>
                <w:sz w:val="20"/>
                <w:szCs w:val="20"/>
                <w:lang w:eastAsia="bg-BG"/>
              </w:rPr>
              <w:t>Общо увеличения/(намаления) за периода</w:t>
            </w:r>
          </w:p>
        </w:tc>
        <w:tc>
          <w:tcPr>
            <w:tcW w:w="2410" w:type="dxa"/>
            <w:noWrap/>
            <w:vAlign w:val="center"/>
          </w:tcPr>
          <w:p w:rsidR="00AE5C75" w:rsidRPr="008E0CDC" w:rsidRDefault="008E0CDC" w:rsidP="00DB0ACF">
            <w:pPr>
              <w:jc w:val="center"/>
              <w:rPr>
                <w:rFonts w:ascii="Verdana" w:hAnsi="Verdana" w:cs="Verdana"/>
                <w:sz w:val="20"/>
                <w:szCs w:val="20"/>
                <w:lang w:eastAsia="bg-BG"/>
              </w:rPr>
            </w:pPr>
            <w:r>
              <w:rPr>
                <w:rFonts w:ascii="Verdana" w:hAnsi="Verdana" w:cs="Verdana"/>
                <w:sz w:val="20"/>
                <w:szCs w:val="20"/>
                <w:lang w:eastAsia="bg-BG"/>
              </w:rPr>
              <w:t>8</w:t>
            </w:r>
          </w:p>
        </w:tc>
        <w:tc>
          <w:tcPr>
            <w:tcW w:w="2268" w:type="dxa"/>
            <w:noWrap/>
            <w:vAlign w:val="center"/>
          </w:tcPr>
          <w:p w:rsidR="00AE5C75" w:rsidRPr="008E0CDC" w:rsidRDefault="008E0CDC" w:rsidP="00DB0ACF">
            <w:pPr>
              <w:jc w:val="center"/>
              <w:rPr>
                <w:rFonts w:ascii="Verdana" w:hAnsi="Verdana" w:cs="Verdana"/>
                <w:sz w:val="20"/>
                <w:szCs w:val="20"/>
                <w:lang w:eastAsia="bg-BG"/>
              </w:rPr>
            </w:pPr>
            <w:r>
              <w:rPr>
                <w:rFonts w:ascii="Verdana" w:hAnsi="Verdana" w:cs="Verdana"/>
                <w:sz w:val="20"/>
                <w:szCs w:val="20"/>
                <w:lang w:eastAsia="bg-BG"/>
              </w:rPr>
              <w:t>8</w:t>
            </w:r>
          </w:p>
        </w:tc>
      </w:tr>
      <w:tr w:rsidR="00AE5C75" w:rsidRPr="000E54EB">
        <w:trPr>
          <w:trHeight w:val="425"/>
        </w:trPr>
        <w:tc>
          <w:tcPr>
            <w:tcW w:w="4825" w:type="dxa"/>
            <w:shd w:val="clear" w:color="000000" w:fill="C5D9F1"/>
            <w:noWrap/>
            <w:vAlign w:val="center"/>
          </w:tcPr>
          <w:p w:rsidR="00AE5C75" w:rsidRPr="000E54EB" w:rsidRDefault="00AE5C75" w:rsidP="00250342">
            <w:pPr>
              <w:jc w:val="left"/>
              <w:rPr>
                <w:rFonts w:ascii="Verdana" w:hAnsi="Verdana" w:cs="Verdana"/>
                <w:b/>
                <w:bCs/>
                <w:sz w:val="20"/>
                <w:szCs w:val="20"/>
                <w:lang w:eastAsia="bg-BG"/>
              </w:rPr>
            </w:pPr>
            <w:r>
              <w:rPr>
                <w:rFonts w:ascii="Verdana" w:hAnsi="Verdana" w:cs="Verdana"/>
                <w:b/>
                <w:bCs/>
                <w:sz w:val="20"/>
                <w:szCs w:val="20"/>
                <w:lang w:eastAsia="bg-BG"/>
              </w:rPr>
              <w:t>Салдо към 30.06.2020</w:t>
            </w:r>
          </w:p>
        </w:tc>
        <w:tc>
          <w:tcPr>
            <w:tcW w:w="2410" w:type="dxa"/>
            <w:shd w:val="clear" w:color="000000" w:fill="C5D9F1"/>
            <w:noWrap/>
            <w:vAlign w:val="center"/>
          </w:tcPr>
          <w:p w:rsidR="00AE5C75" w:rsidRPr="008E0CDC" w:rsidRDefault="008E0CDC" w:rsidP="00DB0ACF">
            <w:pPr>
              <w:jc w:val="center"/>
              <w:rPr>
                <w:rFonts w:ascii="Verdana" w:hAnsi="Verdana" w:cs="Verdana"/>
                <w:b/>
                <w:bCs/>
                <w:sz w:val="20"/>
                <w:szCs w:val="20"/>
                <w:lang w:eastAsia="bg-BG"/>
              </w:rPr>
            </w:pPr>
            <w:r>
              <w:rPr>
                <w:rFonts w:ascii="Verdana" w:hAnsi="Verdana" w:cs="Verdana"/>
                <w:b/>
                <w:bCs/>
                <w:sz w:val="20"/>
                <w:szCs w:val="20"/>
                <w:lang w:eastAsia="bg-BG"/>
              </w:rPr>
              <w:t>108</w:t>
            </w:r>
          </w:p>
        </w:tc>
        <w:tc>
          <w:tcPr>
            <w:tcW w:w="2268" w:type="dxa"/>
            <w:shd w:val="clear" w:color="000000" w:fill="C5D9F1"/>
            <w:noWrap/>
            <w:vAlign w:val="center"/>
          </w:tcPr>
          <w:p w:rsidR="00AE5C75" w:rsidRPr="008E0CDC" w:rsidRDefault="008E0CDC" w:rsidP="00DB0ACF">
            <w:pPr>
              <w:jc w:val="center"/>
              <w:rPr>
                <w:rFonts w:ascii="Verdana" w:hAnsi="Verdana" w:cs="Verdana"/>
                <w:b/>
                <w:bCs/>
                <w:sz w:val="20"/>
                <w:szCs w:val="20"/>
                <w:lang w:eastAsia="bg-BG"/>
              </w:rPr>
            </w:pPr>
            <w:r>
              <w:rPr>
                <w:rFonts w:ascii="Verdana" w:hAnsi="Verdana" w:cs="Verdana"/>
                <w:b/>
                <w:bCs/>
                <w:sz w:val="20"/>
                <w:szCs w:val="20"/>
                <w:lang w:eastAsia="bg-BG"/>
              </w:rPr>
              <w:t>108</w:t>
            </w:r>
          </w:p>
        </w:tc>
      </w:tr>
      <w:tr w:rsidR="00AE5C75" w:rsidRPr="000E54EB">
        <w:trPr>
          <w:trHeight w:val="323"/>
        </w:trPr>
        <w:tc>
          <w:tcPr>
            <w:tcW w:w="4825" w:type="dxa"/>
            <w:shd w:val="clear" w:color="000000" w:fill="FFFFFF"/>
            <w:noWrap/>
            <w:vAlign w:val="center"/>
          </w:tcPr>
          <w:p w:rsidR="00AE5C75" w:rsidRPr="000E54EB" w:rsidRDefault="00AE5C75" w:rsidP="00DB0ACF">
            <w:pPr>
              <w:jc w:val="left"/>
              <w:rPr>
                <w:rFonts w:ascii="Verdana" w:hAnsi="Verdana" w:cs="Verdana"/>
                <w:b/>
                <w:bCs/>
                <w:sz w:val="20"/>
                <w:szCs w:val="20"/>
                <w:lang w:eastAsia="bg-BG"/>
              </w:rPr>
            </w:pPr>
            <w:r w:rsidRPr="000E54EB">
              <w:rPr>
                <w:rFonts w:ascii="Verdana" w:hAnsi="Verdana" w:cs="Verdana"/>
                <w:b/>
                <w:bCs/>
                <w:sz w:val="20"/>
                <w:szCs w:val="20"/>
                <w:lang w:eastAsia="bg-BG"/>
              </w:rPr>
              <w:t>Балансова стойност</w:t>
            </w:r>
          </w:p>
        </w:tc>
        <w:tc>
          <w:tcPr>
            <w:tcW w:w="2410" w:type="dxa"/>
            <w:shd w:val="clear" w:color="000000" w:fill="FFFFFF"/>
            <w:noWrap/>
            <w:vAlign w:val="center"/>
          </w:tcPr>
          <w:p w:rsidR="00AE5C75" w:rsidRPr="000E54EB" w:rsidRDefault="00AE5C75" w:rsidP="00DB0ACF">
            <w:pPr>
              <w:jc w:val="center"/>
              <w:rPr>
                <w:rFonts w:ascii="Verdana" w:hAnsi="Verdana" w:cs="Verdana"/>
                <w:b/>
                <w:bCs/>
                <w:sz w:val="20"/>
                <w:szCs w:val="20"/>
                <w:lang w:eastAsia="bg-BG"/>
              </w:rPr>
            </w:pPr>
          </w:p>
        </w:tc>
        <w:tc>
          <w:tcPr>
            <w:tcW w:w="2268" w:type="dxa"/>
            <w:shd w:val="clear" w:color="000000" w:fill="FFFFFF"/>
            <w:noWrap/>
            <w:vAlign w:val="center"/>
          </w:tcPr>
          <w:p w:rsidR="00AE5C75" w:rsidRPr="000E54EB" w:rsidRDefault="00AE5C75" w:rsidP="00DB0ACF">
            <w:pPr>
              <w:jc w:val="center"/>
              <w:rPr>
                <w:rFonts w:ascii="Verdana" w:hAnsi="Verdana" w:cs="Verdana"/>
                <w:b/>
                <w:bCs/>
                <w:sz w:val="20"/>
                <w:szCs w:val="20"/>
                <w:lang w:eastAsia="bg-BG"/>
              </w:rPr>
            </w:pPr>
          </w:p>
        </w:tc>
      </w:tr>
      <w:tr w:rsidR="00AE5C75" w:rsidRPr="000E54EB">
        <w:trPr>
          <w:trHeight w:val="491"/>
        </w:trPr>
        <w:tc>
          <w:tcPr>
            <w:tcW w:w="4825" w:type="dxa"/>
            <w:noWrap/>
            <w:vAlign w:val="center"/>
          </w:tcPr>
          <w:p w:rsidR="00AE5C75" w:rsidRPr="000E54EB" w:rsidRDefault="008E0CDC" w:rsidP="00250342">
            <w:pPr>
              <w:jc w:val="left"/>
              <w:rPr>
                <w:rFonts w:ascii="Verdana" w:hAnsi="Verdana" w:cs="Verdana"/>
                <w:b/>
                <w:bCs/>
                <w:sz w:val="20"/>
                <w:szCs w:val="20"/>
                <w:lang w:eastAsia="bg-BG"/>
              </w:rPr>
            </w:pPr>
            <w:r>
              <w:rPr>
                <w:rFonts w:ascii="Verdana" w:hAnsi="Verdana" w:cs="Verdana"/>
                <w:b/>
                <w:bCs/>
                <w:sz w:val="20"/>
                <w:szCs w:val="20"/>
                <w:lang w:eastAsia="bg-BG"/>
              </w:rPr>
              <w:t>Балансова стойност към 31.12.2019</w:t>
            </w:r>
          </w:p>
        </w:tc>
        <w:tc>
          <w:tcPr>
            <w:tcW w:w="2410" w:type="dxa"/>
            <w:noWrap/>
            <w:vAlign w:val="center"/>
          </w:tcPr>
          <w:p w:rsidR="00AE5C75" w:rsidRPr="000E54EB" w:rsidRDefault="00AE5C75" w:rsidP="00250342">
            <w:pPr>
              <w:jc w:val="center"/>
              <w:rPr>
                <w:rFonts w:ascii="Verdana" w:hAnsi="Verdana" w:cs="Verdana"/>
                <w:b/>
                <w:bCs/>
                <w:sz w:val="20"/>
                <w:szCs w:val="20"/>
                <w:lang w:eastAsia="bg-BG"/>
              </w:rPr>
            </w:pPr>
            <w:r>
              <w:rPr>
                <w:rFonts w:ascii="Verdana" w:hAnsi="Verdana" w:cs="Verdana"/>
                <w:b/>
                <w:bCs/>
                <w:sz w:val="20"/>
                <w:szCs w:val="20"/>
                <w:lang w:eastAsia="bg-BG"/>
              </w:rPr>
              <w:t>45</w:t>
            </w:r>
          </w:p>
        </w:tc>
        <w:tc>
          <w:tcPr>
            <w:tcW w:w="2268" w:type="dxa"/>
            <w:noWrap/>
            <w:vAlign w:val="center"/>
          </w:tcPr>
          <w:p w:rsidR="00AE5C75" w:rsidRPr="000E54EB" w:rsidRDefault="00AE5C75" w:rsidP="00250342">
            <w:pPr>
              <w:jc w:val="center"/>
              <w:rPr>
                <w:rFonts w:ascii="Verdana" w:hAnsi="Verdana" w:cs="Verdana"/>
                <w:b/>
                <w:bCs/>
                <w:sz w:val="20"/>
                <w:szCs w:val="20"/>
                <w:lang w:eastAsia="bg-BG"/>
              </w:rPr>
            </w:pPr>
            <w:r>
              <w:rPr>
                <w:rFonts w:ascii="Verdana" w:hAnsi="Verdana" w:cs="Verdana"/>
                <w:b/>
                <w:bCs/>
                <w:sz w:val="20"/>
                <w:szCs w:val="20"/>
                <w:lang w:eastAsia="bg-BG"/>
              </w:rPr>
              <w:t>45</w:t>
            </w:r>
          </w:p>
        </w:tc>
      </w:tr>
      <w:tr w:rsidR="00AE5C75" w:rsidRPr="000E54EB">
        <w:trPr>
          <w:trHeight w:val="494"/>
        </w:trPr>
        <w:tc>
          <w:tcPr>
            <w:tcW w:w="4825" w:type="dxa"/>
            <w:shd w:val="clear" w:color="000000" w:fill="C5D9F1"/>
            <w:noWrap/>
            <w:vAlign w:val="center"/>
          </w:tcPr>
          <w:p w:rsidR="00AE5C75" w:rsidRPr="000E54EB" w:rsidRDefault="008E0CDC" w:rsidP="00250342">
            <w:pPr>
              <w:jc w:val="left"/>
              <w:rPr>
                <w:rFonts w:ascii="Verdana" w:hAnsi="Verdana" w:cs="Verdana"/>
                <w:b/>
                <w:bCs/>
                <w:sz w:val="20"/>
                <w:szCs w:val="20"/>
                <w:lang w:eastAsia="bg-BG"/>
              </w:rPr>
            </w:pPr>
            <w:r>
              <w:rPr>
                <w:rFonts w:ascii="Verdana" w:hAnsi="Verdana" w:cs="Verdana"/>
                <w:b/>
                <w:bCs/>
                <w:sz w:val="20"/>
                <w:szCs w:val="20"/>
                <w:lang w:eastAsia="bg-BG"/>
              </w:rPr>
              <w:t>Балансова стойност към 30.06.2020</w:t>
            </w:r>
          </w:p>
        </w:tc>
        <w:tc>
          <w:tcPr>
            <w:tcW w:w="2410" w:type="dxa"/>
            <w:shd w:val="clear" w:color="000000" w:fill="C5D9F1"/>
            <w:noWrap/>
            <w:vAlign w:val="center"/>
          </w:tcPr>
          <w:p w:rsidR="00AE5C75" w:rsidRPr="008E0CDC" w:rsidRDefault="008E0CDC" w:rsidP="00DB0ACF">
            <w:pPr>
              <w:jc w:val="center"/>
              <w:rPr>
                <w:rFonts w:ascii="Verdana" w:hAnsi="Verdana" w:cs="Verdana"/>
                <w:b/>
                <w:bCs/>
                <w:sz w:val="20"/>
                <w:szCs w:val="20"/>
                <w:lang w:eastAsia="bg-BG"/>
              </w:rPr>
            </w:pPr>
            <w:r>
              <w:rPr>
                <w:rFonts w:ascii="Verdana" w:hAnsi="Verdana" w:cs="Verdana"/>
                <w:b/>
                <w:bCs/>
                <w:sz w:val="20"/>
                <w:szCs w:val="20"/>
                <w:lang w:eastAsia="bg-BG"/>
              </w:rPr>
              <w:t>37</w:t>
            </w:r>
          </w:p>
        </w:tc>
        <w:tc>
          <w:tcPr>
            <w:tcW w:w="2268" w:type="dxa"/>
            <w:shd w:val="clear" w:color="000000" w:fill="C5D9F1"/>
            <w:noWrap/>
            <w:vAlign w:val="center"/>
          </w:tcPr>
          <w:p w:rsidR="00AE5C75" w:rsidRPr="008E0CDC" w:rsidRDefault="008E0CDC" w:rsidP="00DB0ACF">
            <w:pPr>
              <w:jc w:val="center"/>
              <w:rPr>
                <w:rFonts w:ascii="Verdana" w:hAnsi="Verdana" w:cs="Verdana"/>
                <w:b/>
                <w:bCs/>
                <w:sz w:val="20"/>
                <w:szCs w:val="20"/>
                <w:lang w:eastAsia="bg-BG"/>
              </w:rPr>
            </w:pPr>
            <w:r>
              <w:rPr>
                <w:rFonts w:ascii="Verdana" w:hAnsi="Verdana" w:cs="Verdana"/>
                <w:b/>
                <w:bCs/>
                <w:sz w:val="20"/>
                <w:szCs w:val="20"/>
                <w:lang w:eastAsia="bg-BG"/>
              </w:rPr>
              <w:t>37</w:t>
            </w:r>
          </w:p>
        </w:tc>
      </w:tr>
    </w:tbl>
    <w:p w:rsidR="00863C99" w:rsidRPr="000E54EB" w:rsidRDefault="00863C99" w:rsidP="00DB0ACF">
      <w:pPr>
        <w:rPr>
          <w:rFonts w:ascii="Verdana" w:hAnsi="Verdana" w:cs="Verdana"/>
          <w:sz w:val="20"/>
          <w:szCs w:val="20"/>
        </w:rPr>
      </w:pPr>
    </w:p>
    <w:p w:rsidR="00863C99" w:rsidRPr="00776014" w:rsidRDefault="00863C99" w:rsidP="00D81268">
      <w:pPr>
        <w:rPr>
          <w:rFonts w:ascii="Verdana" w:hAnsi="Verdana" w:cs="Verdana"/>
          <w:sz w:val="20"/>
          <w:szCs w:val="20"/>
        </w:rPr>
      </w:pPr>
      <w:r w:rsidRPr="000E54EB">
        <w:rPr>
          <w:rFonts w:ascii="Verdana" w:hAnsi="Verdana" w:cs="Verdana"/>
          <w:sz w:val="20"/>
          <w:szCs w:val="20"/>
        </w:rPr>
        <w:lastRenderedPageBreak/>
        <w:t xml:space="preserve">Нематериалните активи, които са напълно амортизирани и продължават да се ползват в дейността на Дружеството са  с отчетна стойност в размер на </w:t>
      </w:r>
      <w:r w:rsidRPr="00776014">
        <w:rPr>
          <w:rFonts w:ascii="Verdana" w:hAnsi="Verdana" w:cs="Verdana"/>
          <w:sz w:val="20"/>
          <w:szCs w:val="20"/>
        </w:rPr>
        <w:t>13  хил. лв.,</w:t>
      </w:r>
    </w:p>
    <w:p w:rsidR="00863C99" w:rsidRPr="000E54EB" w:rsidRDefault="00863C99" w:rsidP="004C2FEC">
      <w:pPr>
        <w:pStyle w:val="Heading4"/>
        <w:rPr>
          <w:rFonts w:ascii="Verdana" w:hAnsi="Verdana" w:cs="Verdana"/>
          <w:i w:val="0"/>
          <w:iCs w:val="0"/>
          <w:lang w:val="bg-BG"/>
        </w:rPr>
      </w:pPr>
      <w:bookmarkStart w:id="148" w:name="_Toc4328845"/>
      <w:r w:rsidRPr="000E54EB">
        <w:rPr>
          <w:rFonts w:ascii="Verdana" w:hAnsi="Verdana" w:cs="Verdana"/>
          <w:i w:val="0"/>
          <w:iCs w:val="0"/>
          <w:lang w:val="bg-BG"/>
        </w:rPr>
        <w:t xml:space="preserve">2.3. </w:t>
      </w:r>
      <w:proofErr w:type="spellStart"/>
      <w:r w:rsidRPr="000E54EB">
        <w:rPr>
          <w:rFonts w:ascii="Verdana" w:hAnsi="Verdana" w:cs="Verdana"/>
          <w:i w:val="0"/>
          <w:iCs w:val="0"/>
        </w:rPr>
        <w:t>Активи</w:t>
      </w:r>
      <w:proofErr w:type="spellEnd"/>
      <w:r w:rsidRPr="000E54EB">
        <w:rPr>
          <w:rFonts w:ascii="Verdana" w:hAnsi="Verdana" w:cs="Verdana"/>
          <w:i w:val="0"/>
          <w:iCs w:val="0"/>
        </w:rPr>
        <w:t xml:space="preserve"> </w:t>
      </w:r>
      <w:r w:rsidRPr="000E54EB">
        <w:rPr>
          <w:rFonts w:ascii="Verdana" w:hAnsi="Verdana" w:cs="Verdana"/>
          <w:i w:val="0"/>
          <w:iCs w:val="0"/>
          <w:lang w:val="bg-BG"/>
        </w:rPr>
        <w:t>по отсрочени данъци</w:t>
      </w:r>
      <w:bookmarkEnd w:id="148"/>
    </w:p>
    <w:tbl>
      <w:tblPr>
        <w:tblW w:w="967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706"/>
        <w:gridCol w:w="992"/>
        <w:gridCol w:w="992"/>
        <w:gridCol w:w="992"/>
        <w:gridCol w:w="993"/>
        <w:gridCol w:w="960"/>
        <w:gridCol w:w="1056"/>
        <w:gridCol w:w="992"/>
        <w:gridCol w:w="992"/>
      </w:tblGrid>
      <w:tr w:rsidR="00863C99" w:rsidRPr="000E54EB">
        <w:trPr>
          <w:trHeight w:val="255"/>
        </w:trPr>
        <w:tc>
          <w:tcPr>
            <w:tcW w:w="1706" w:type="dxa"/>
            <w:vMerge w:val="restart"/>
            <w:vAlign w:val="center"/>
          </w:tcPr>
          <w:p w:rsidR="00863C99" w:rsidRPr="000E54EB" w:rsidRDefault="00863C99" w:rsidP="00217E55">
            <w:pPr>
              <w:jc w:val="left"/>
              <w:rPr>
                <w:rFonts w:ascii="Verdana" w:hAnsi="Verdana" w:cs="Verdana"/>
                <w:b/>
                <w:bCs/>
                <w:sz w:val="20"/>
                <w:szCs w:val="20"/>
                <w:lang w:eastAsia="bg-BG"/>
              </w:rPr>
            </w:pPr>
            <w:r w:rsidRPr="000E54EB">
              <w:rPr>
                <w:rFonts w:ascii="Verdana" w:hAnsi="Verdana" w:cs="Verdana"/>
                <w:b/>
                <w:bCs/>
                <w:sz w:val="20"/>
                <w:szCs w:val="20"/>
                <w:lang w:eastAsia="bg-BG"/>
              </w:rPr>
              <w:t>Временна разлика, неизползвани данъчни загуби, неизполвани данъчни кредити</w:t>
            </w:r>
          </w:p>
        </w:tc>
        <w:tc>
          <w:tcPr>
            <w:tcW w:w="1984" w:type="dxa"/>
            <w:gridSpan w:val="2"/>
            <w:vMerge w:val="restart"/>
            <w:noWrap/>
            <w:vAlign w:val="center"/>
          </w:tcPr>
          <w:p w:rsidR="00863C99" w:rsidRPr="000E54EB" w:rsidRDefault="00863C99" w:rsidP="001E711A">
            <w:pPr>
              <w:jc w:val="center"/>
              <w:rPr>
                <w:rFonts w:ascii="Verdana" w:hAnsi="Verdana" w:cs="Verdana"/>
                <w:b/>
                <w:bCs/>
                <w:sz w:val="20"/>
                <w:szCs w:val="20"/>
                <w:lang w:eastAsia="bg-BG"/>
              </w:rPr>
            </w:pPr>
            <w:r w:rsidRPr="000E54EB">
              <w:rPr>
                <w:rFonts w:ascii="Verdana" w:hAnsi="Verdana" w:cs="Verdana"/>
                <w:b/>
                <w:bCs/>
                <w:sz w:val="20"/>
                <w:szCs w:val="20"/>
                <w:lang w:eastAsia="bg-BG"/>
              </w:rPr>
              <w:t>31 декември 201</w:t>
            </w:r>
            <w:r w:rsidR="0072102B">
              <w:rPr>
                <w:rFonts w:ascii="Verdana" w:hAnsi="Verdana" w:cs="Verdana"/>
                <w:b/>
                <w:bCs/>
                <w:sz w:val="20"/>
                <w:szCs w:val="20"/>
                <w:lang w:eastAsia="bg-BG"/>
              </w:rPr>
              <w:t>9</w:t>
            </w:r>
          </w:p>
        </w:tc>
        <w:tc>
          <w:tcPr>
            <w:tcW w:w="4001" w:type="dxa"/>
            <w:gridSpan w:val="4"/>
            <w:noWrap/>
            <w:vAlign w:val="center"/>
          </w:tcPr>
          <w:p w:rsidR="00863C99" w:rsidRPr="000E54EB" w:rsidRDefault="00863C99" w:rsidP="001E711A">
            <w:pPr>
              <w:jc w:val="center"/>
              <w:rPr>
                <w:rFonts w:ascii="Verdana" w:hAnsi="Verdana" w:cs="Verdana"/>
                <w:b/>
                <w:bCs/>
                <w:sz w:val="20"/>
                <w:szCs w:val="20"/>
                <w:lang w:eastAsia="bg-BG"/>
              </w:rPr>
            </w:pPr>
            <w:r w:rsidRPr="000E54EB">
              <w:rPr>
                <w:rFonts w:ascii="Verdana" w:hAnsi="Verdana" w:cs="Verdana"/>
                <w:b/>
                <w:bCs/>
                <w:sz w:val="20"/>
                <w:szCs w:val="20"/>
                <w:lang w:eastAsia="bg-BG"/>
              </w:rPr>
              <w:t>Движение на отсрочените данъци за 20</w:t>
            </w:r>
            <w:r w:rsidR="0072102B">
              <w:rPr>
                <w:rFonts w:ascii="Verdana" w:hAnsi="Verdana" w:cs="Verdana"/>
                <w:b/>
                <w:bCs/>
                <w:sz w:val="20"/>
                <w:szCs w:val="20"/>
                <w:lang w:eastAsia="bg-BG"/>
              </w:rPr>
              <w:t>20</w:t>
            </w:r>
          </w:p>
        </w:tc>
        <w:tc>
          <w:tcPr>
            <w:tcW w:w="1984" w:type="dxa"/>
            <w:gridSpan w:val="2"/>
            <w:vMerge w:val="restart"/>
            <w:noWrap/>
            <w:vAlign w:val="center"/>
          </w:tcPr>
          <w:p w:rsidR="00863C99" w:rsidRPr="000E54EB" w:rsidRDefault="0072102B" w:rsidP="001E711A">
            <w:pPr>
              <w:jc w:val="center"/>
              <w:rPr>
                <w:rFonts w:ascii="Verdana" w:hAnsi="Verdana" w:cs="Verdana"/>
                <w:b/>
                <w:bCs/>
                <w:sz w:val="20"/>
                <w:szCs w:val="20"/>
                <w:lang w:eastAsia="bg-BG"/>
              </w:rPr>
            </w:pPr>
            <w:r>
              <w:rPr>
                <w:rFonts w:ascii="Verdana" w:hAnsi="Verdana" w:cs="Verdana"/>
                <w:b/>
                <w:bCs/>
                <w:sz w:val="20"/>
                <w:szCs w:val="20"/>
                <w:lang w:eastAsia="bg-BG"/>
              </w:rPr>
              <w:t>30 юни</w:t>
            </w:r>
            <w:r w:rsidR="00863C99" w:rsidRPr="000E54EB">
              <w:rPr>
                <w:rFonts w:ascii="Verdana" w:hAnsi="Verdana" w:cs="Verdana"/>
                <w:b/>
                <w:bCs/>
                <w:sz w:val="20"/>
                <w:szCs w:val="20"/>
                <w:lang w:eastAsia="bg-BG"/>
              </w:rPr>
              <w:t xml:space="preserve"> 201</w:t>
            </w:r>
            <w:r w:rsidR="00863C99">
              <w:rPr>
                <w:rFonts w:ascii="Verdana" w:hAnsi="Verdana" w:cs="Verdana"/>
                <w:b/>
                <w:bCs/>
                <w:sz w:val="20"/>
                <w:szCs w:val="20"/>
                <w:lang w:eastAsia="bg-BG"/>
              </w:rPr>
              <w:t>9</w:t>
            </w:r>
          </w:p>
        </w:tc>
      </w:tr>
      <w:tr w:rsidR="00863C99" w:rsidRPr="000E54EB">
        <w:trPr>
          <w:trHeight w:val="255"/>
        </w:trPr>
        <w:tc>
          <w:tcPr>
            <w:tcW w:w="1706" w:type="dxa"/>
            <w:vMerge/>
            <w:vAlign w:val="center"/>
          </w:tcPr>
          <w:p w:rsidR="00863C99" w:rsidRPr="000E54EB" w:rsidRDefault="00863C99" w:rsidP="00DB0ACF">
            <w:pPr>
              <w:jc w:val="left"/>
              <w:rPr>
                <w:rFonts w:ascii="Verdana" w:hAnsi="Verdana" w:cs="Verdana"/>
                <w:b/>
                <w:bCs/>
                <w:sz w:val="20"/>
                <w:szCs w:val="20"/>
                <w:lang w:eastAsia="bg-BG"/>
              </w:rPr>
            </w:pPr>
          </w:p>
        </w:tc>
        <w:tc>
          <w:tcPr>
            <w:tcW w:w="1984" w:type="dxa"/>
            <w:gridSpan w:val="2"/>
            <w:vMerge/>
            <w:vAlign w:val="center"/>
          </w:tcPr>
          <w:p w:rsidR="00863C99" w:rsidRPr="000E54EB" w:rsidRDefault="00863C99" w:rsidP="00DB0ACF">
            <w:pPr>
              <w:jc w:val="center"/>
              <w:rPr>
                <w:rFonts w:ascii="Verdana" w:hAnsi="Verdana" w:cs="Verdana"/>
                <w:b/>
                <w:bCs/>
                <w:sz w:val="20"/>
                <w:szCs w:val="20"/>
                <w:lang w:eastAsia="bg-BG"/>
              </w:rPr>
            </w:pPr>
          </w:p>
        </w:tc>
        <w:tc>
          <w:tcPr>
            <w:tcW w:w="1985" w:type="dxa"/>
            <w:gridSpan w:val="2"/>
            <w:noWrap/>
            <w:vAlign w:val="center"/>
          </w:tcPr>
          <w:p w:rsidR="00863C99" w:rsidRPr="000E54EB" w:rsidRDefault="00863C99" w:rsidP="00DB0ACF">
            <w:pPr>
              <w:jc w:val="center"/>
              <w:rPr>
                <w:rFonts w:ascii="Verdana" w:hAnsi="Verdana" w:cs="Verdana"/>
                <w:b/>
                <w:bCs/>
                <w:sz w:val="20"/>
                <w:szCs w:val="20"/>
                <w:lang w:eastAsia="bg-BG"/>
              </w:rPr>
            </w:pPr>
            <w:r w:rsidRPr="000E54EB">
              <w:rPr>
                <w:rFonts w:ascii="Verdana" w:hAnsi="Verdana" w:cs="Verdana"/>
                <w:b/>
                <w:bCs/>
                <w:sz w:val="20"/>
                <w:szCs w:val="20"/>
                <w:lang w:eastAsia="bg-BG"/>
              </w:rPr>
              <w:t>увеличение</w:t>
            </w:r>
          </w:p>
        </w:tc>
        <w:tc>
          <w:tcPr>
            <w:tcW w:w="2016" w:type="dxa"/>
            <w:gridSpan w:val="2"/>
            <w:noWrap/>
            <w:vAlign w:val="center"/>
          </w:tcPr>
          <w:p w:rsidR="00863C99" w:rsidRPr="000E54EB" w:rsidRDefault="00863C99" w:rsidP="00DB0ACF">
            <w:pPr>
              <w:jc w:val="center"/>
              <w:rPr>
                <w:rFonts w:ascii="Verdana" w:hAnsi="Verdana" w:cs="Verdana"/>
                <w:b/>
                <w:bCs/>
                <w:sz w:val="20"/>
                <w:szCs w:val="20"/>
                <w:lang w:eastAsia="bg-BG"/>
              </w:rPr>
            </w:pPr>
            <w:r w:rsidRPr="000E54EB">
              <w:rPr>
                <w:rFonts w:ascii="Verdana" w:hAnsi="Verdana" w:cs="Verdana"/>
                <w:b/>
                <w:bCs/>
                <w:sz w:val="20"/>
                <w:szCs w:val="20"/>
                <w:lang w:eastAsia="bg-BG"/>
              </w:rPr>
              <w:t>намаление</w:t>
            </w:r>
          </w:p>
        </w:tc>
        <w:tc>
          <w:tcPr>
            <w:tcW w:w="1984" w:type="dxa"/>
            <w:gridSpan w:val="2"/>
            <w:vMerge/>
            <w:vAlign w:val="center"/>
          </w:tcPr>
          <w:p w:rsidR="00863C99" w:rsidRPr="000E54EB" w:rsidRDefault="00863C99" w:rsidP="00DB0ACF">
            <w:pPr>
              <w:jc w:val="center"/>
              <w:rPr>
                <w:rFonts w:ascii="Verdana" w:hAnsi="Verdana" w:cs="Verdana"/>
                <w:b/>
                <w:bCs/>
                <w:sz w:val="20"/>
                <w:szCs w:val="20"/>
                <w:lang w:eastAsia="bg-BG"/>
              </w:rPr>
            </w:pPr>
          </w:p>
        </w:tc>
      </w:tr>
      <w:tr w:rsidR="00863C99" w:rsidRPr="000E54EB">
        <w:trPr>
          <w:trHeight w:val="750"/>
        </w:trPr>
        <w:tc>
          <w:tcPr>
            <w:tcW w:w="1706" w:type="dxa"/>
            <w:vMerge/>
            <w:vAlign w:val="center"/>
          </w:tcPr>
          <w:p w:rsidR="00863C99" w:rsidRPr="000E54EB" w:rsidRDefault="00863C99" w:rsidP="00DB0ACF">
            <w:pPr>
              <w:jc w:val="left"/>
              <w:rPr>
                <w:rFonts w:ascii="Verdana" w:hAnsi="Verdana" w:cs="Verdana"/>
                <w:b/>
                <w:bCs/>
                <w:sz w:val="20"/>
                <w:szCs w:val="20"/>
                <w:lang w:eastAsia="bg-BG"/>
              </w:rPr>
            </w:pPr>
          </w:p>
        </w:tc>
        <w:tc>
          <w:tcPr>
            <w:tcW w:w="992" w:type="dxa"/>
            <w:vAlign w:val="center"/>
          </w:tcPr>
          <w:p w:rsidR="00863C99" w:rsidRPr="00217E55" w:rsidRDefault="00863C99" w:rsidP="00217E55">
            <w:pPr>
              <w:ind w:left="-70" w:right="-81"/>
              <w:jc w:val="center"/>
              <w:rPr>
                <w:rFonts w:ascii="Verdana" w:hAnsi="Verdana" w:cs="Verdana"/>
                <w:sz w:val="16"/>
                <w:szCs w:val="16"/>
                <w:lang w:eastAsia="bg-BG"/>
              </w:rPr>
            </w:pPr>
            <w:r w:rsidRPr="00217E55">
              <w:rPr>
                <w:rFonts w:ascii="Verdana" w:hAnsi="Verdana" w:cs="Verdana"/>
                <w:sz w:val="16"/>
                <w:szCs w:val="16"/>
                <w:lang w:eastAsia="bg-BG"/>
              </w:rPr>
              <w:t>Данъчна временна разлика</w:t>
            </w:r>
          </w:p>
        </w:tc>
        <w:tc>
          <w:tcPr>
            <w:tcW w:w="992" w:type="dxa"/>
            <w:vAlign w:val="center"/>
          </w:tcPr>
          <w:p w:rsidR="00863C99" w:rsidRPr="00217E55" w:rsidRDefault="00863C99" w:rsidP="00217E55">
            <w:pPr>
              <w:ind w:left="-59" w:right="-111"/>
              <w:jc w:val="center"/>
              <w:rPr>
                <w:rFonts w:ascii="Verdana" w:hAnsi="Verdana" w:cs="Verdana"/>
                <w:sz w:val="16"/>
                <w:szCs w:val="16"/>
                <w:lang w:eastAsia="bg-BG"/>
              </w:rPr>
            </w:pPr>
            <w:r w:rsidRPr="00217E55">
              <w:rPr>
                <w:rFonts w:ascii="Verdana" w:hAnsi="Verdana" w:cs="Verdana"/>
                <w:sz w:val="16"/>
                <w:szCs w:val="16"/>
                <w:lang w:eastAsia="bg-BG"/>
              </w:rPr>
              <w:t>Отсрочен данък</w:t>
            </w:r>
          </w:p>
        </w:tc>
        <w:tc>
          <w:tcPr>
            <w:tcW w:w="992" w:type="dxa"/>
            <w:vAlign w:val="center"/>
          </w:tcPr>
          <w:p w:rsidR="00863C99" w:rsidRPr="00217E55" w:rsidRDefault="00863C99" w:rsidP="00217E55">
            <w:pPr>
              <w:ind w:left="-171" w:right="-128" w:firstLine="142"/>
              <w:jc w:val="center"/>
              <w:rPr>
                <w:rFonts w:ascii="Verdana" w:hAnsi="Verdana" w:cs="Verdana"/>
                <w:sz w:val="16"/>
                <w:szCs w:val="16"/>
                <w:lang w:eastAsia="bg-BG"/>
              </w:rPr>
            </w:pPr>
            <w:r w:rsidRPr="00217E55">
              <w:rPr>
                <w:rFonts w:ascii="Verdana" w:hAnsi="Verdana" w:cs="Verdana"/>
                <w:sz w:val="16"/>
                <w:szCs w:val="16"/>
                <w:lang w:eastAsia="bg-BG"/>
              </w:rPr>
              <w:t>Данъчна временна разлика</w:t>
            </w:r>
          </w:p>
        </w:tc>
        <w:tc>
          <w:tcPr>
            <w:tcW w:w="993" w:type="dxa"/>
            <w:vAlign w:val="center"/>
          </w:tcPr>
          <w:p w:rsidR="00863C99" w:rsidRPr="00217E55" w:rsidRDefault="00863C99" w:rsidP="00DB0ACF">
            <w:pPr>
              <w:jc w:val="center"/>
              <w:rPr>
                <w:rFonts w:ascii="Verdana" w:hAnsi="Verdana" w:cs="Verdana"/>
                <w:sz w:val="16"/>
                <w:szCs w:val="16"/>
                <w:lang w:eastAsia="bg-BG"/>
              </w:rPr>
            </w:pPr>
            <w:r w:rsidRPr="00217E55">
              <w:rPr>
                <w:rFonts w:ascii="Verdana" w:hAnsi="Verdana" w:cs="Verdana"/>
                <w:sz w:val="16"/>
                <w:szCs w:val="16"/>
                <w:lang w:eastAsia="bg-BG"/>
              </w:rPr>
              <w:t>Отсрочен данък</w:t>
            </w:r>
          </w:p>
        </w:tc>
        <w:tc>
          <w:tcPr>
            <w:tcW w:w="960" w:type="dxa"/>
            <w:vAlign w:val="center"/>
          </w:tcPr>
          <w:p w:rsidR="00863C99" w:rsidRPr="00217E55" w:rsidRDefault="00863C99" w:rsidP="00DB0ACF">
            <w:pPr>
              <w:jc w:val="center"/>
              <w:rPr>
                <w:rFonts w:ascii="Verdana" w:hAnsi="Verdana" w:cs="Verdana"/>
                <w:sz w:val="16"/>
                <w:szCs w:val="16"/>
                <w:lang w:eastAsia="bg-BG"/>
              </w:rPr>
            </w:pPr>
            <w:r w:rsidRPr="00217E55">
              <w:rPr>
                <w:rFonts w:ascii="Verdana" w:hAnsi="Verdana" w:cs="Verdana"/>
                <w:sz w:val="16"/>
                <w:szCs w:val="16"/>
                <w:lang w:eastAsia="bg-BG"/>
              </w:rPr>
              <w:t>Данъчна временна разлика</w:t>
            </w:r>
          </w:p>
        </w:tc>
        <w:tc>
          <w:tcPr>
            <w:tcW w:w="1056" w:type="dxa"/>
            <w:vAlign w:val="center"/>
          </w:tcPr>
          <w:p w:rsidR="00863C99" w:rsidRPr="00217E55" w:rsidRDefault="00863C99" w:rsidP="00DB0ACF">
            <w:pPr>
              <w:jc w:val="center"/>
              <w:rPr>
                <w:rFonts w:ascii="Verdana" w:hAnsi="Verdana" w:cs="Verdana"/>
                <w:sz w:val="16"/>
                <w:szCs w:val="16"/>
                <w:lang w:eastAsia="bg-BG"/>
              </w:rPr>
            </w:pPr>
            <w:r w:rsidRPr="00217E55">
              <w:rPr>
                <w:rFonts w:ascii="Verdana" w:hAnsi="Verdana" w:cs="Verdana"/>
                <w:sz w:val="16"/>
                <w:szCs w:val="16"/>
                <w:lang w:eastAsia="bg-BG"/>
              </w:rPr>
              <w:t>Отсрочен данък</w:t>
            </w:r>
          </w:p>
        </w:tc>
        <w:tc>
          <w:tcPr>
            <w:tcW w:w="992" w:type="dxa"/>
            <w:vAlign w:val="center"/>
          </w:tcPr>
          <w:p w:rsidR="00863C99" w:rsidRPr="00217E55" w:rsidRDefault="00863C99" w:rsidP="00DB0ACF">
            <w:pPr>
              <w:jc w:val="center"/>
              <w:rPr>
                <w:rFonts w:ascii="Verdana" w:hAnsi="Verdana" w:cs="Verdana"/>
                <w:sz w:val="16"/>
                <w:szCs w:val="16"/>
                <w:lang w:eastAsia="bg-BG"/>
              </w:rPr>
            </w:pPr>
            <w:r w:rsidRPr="00217E55">
              <w:rPr>
                <w:rFonts w:ascii="Verdana" w:hAnsi="Verdana" w:cs="Verdana"/>
                <w:sz w:val="16"/>
                <w:szCs w:val="16"/>
                <w:lang w:eastAsia="bg-BG"/>
              </w:rPr>
              <w:t>Данъчна временна разлика</w:t>
            </w:r>
          </w:p>
        </w:tc>
        <w:tc>
          <w:tcPr>
            <w:tcW w:w="992" w:type="dxa"/>
            <w:vAlign w:val="center"/>
          </w:tcPr>
          <w:p w:rsidR="00863C99" w:rsidRPr="00217E55" w:rsidRDefault="00863C99" w:rsidP="00DB0ACF">
            <w:pPr>
              <w:jc w:val="center"/>
              <w:rPr>
                <w:rFonts w:ascii="Verdana" w:hAnsi="Verdana" w:cs="Verdana"/>
                <w:sz w:val="16"/>
                <w:szCs w:val="16"/>
                <w:lang w:eastAsia="bg-BG"/>
              </w:rPr>
            </w:pPr>
            <w:r w:rsidRPr="00217E55">
              <w:rPr>
                <w:rFonts w:ascii="Verdana" w:hAnsi="Verdana" w:cs="Verdana"/>
                <w:sz w:val="16"/>
                <w:szCs w:val="16"/>
                <w:lang w:eastAsia="bg-BG"/>
              </w:rPr>
              <w:t>Отсрочен данък</w:t>
            </w:r>
          </w:p>
        </w:tc>
      </w:tr>
      <w:tr w:rsidR="00863C99" w:rsidRPr="000E54EB">
        <w:trPr>
          <w:trHeight w:val="240"/>
        </w:trPr>
        <w:tc>
          <w:tcPr>
            <w:tcW w:w="9675" w:type="dxa"/>
            <w:gridSpan w:val="9"/>
            <w:noWrap/>
            <w:vAlign w:val="center"/>
          </w:tcPr>
          <w:p w:rsidR="00863C99" w:rsidRPr="000E54EB" w:rsidRDefault="00863C99" w:rsidP="00DB0ACF">
            <w:pPr>
              <w:jc w:val="left"/>
              <w:rPr>
                <w:rFonts w:ascii="Verdana" w:hAnsi="Verdana" w:cs="Verdana"/>
                <w:b/>
                <w:bCs/>
                <w:sz w:val="20"/>
                <w:szCs w:val="20"/>
                <w:lang w:eastAsia="bg-BG"/>
              </w:rPr>
            </w:pPr>
            <w:r w:rsidRPr="000E54EB">
              <w:rPr>
                <w:rFonts w:ascii="Verdana" w:hAnsi="Verdana" w:cs="Verdana"/>
                <w:b/>
                <w:bCs/>
                <w:sz w:val="20"/>
                <w:szCs w:val="20"/>
                <w:lang w:eastAsia="bg-BG"/>
              </w:rPr>
              <w:t>Активи по отсрочени данъци</w:t>
            </w:r>
          </w:p>
        </w:tc>
      </w:tr>
      <w:tr w:rsidR="0072102B" w:rsidRPr="000E54EB">
        <w:trPr>
          <w:trHeight w:val="255"/>
        </w:trPr>
        <w:tc>
          <w:tcPr>
            <w:tcW w:w="1706" w:type="dxa"/>
            <w:vAlign w:val="center"/>
          </w:tcPr>
          <w:p w:rsidR="0072102B" w:rsidRPr="008F202B" w:rsidRDefault="0072102B" w:rsidP="00DB0ACF">
            <w:pPr>
              <w:jc w:val="left"/>
              <w:rPr>
                <w:rFonts w:ascii="Verdana" w:hAnsi="Verdana" w:cs="Verdana"/>
                <w:sz w:val="20"/>
                <w:szCs w:val="20"/>
                <w:lang w:eastAsia="bg-BG"/>
              </w:rPr>
            </w:pPr>
            <w:r>
              <w:rPr>
                <w:rFonts w:ascii="Verdana" w:hAnsi="Verdana" w:cs="Verdana"/>
                <w:sz w:val="20"/>
                <w:szCs w:val="20"/>
                <w:lang w:eastAsia="bg-BG"/>
              </w:rPr>
              <w:t>Амортизации</w:t>
            </w:r>
          </w:p>
        </w:tc>
        <w:tc>
          <w:tcPr>
            <w:tcW w:w="992" w:type="dxa"/>
            <w:noWrap/>
            <w:vAlign w:val="center"/>
          </w:tcPr>
          <w:p w:rsidR="0072102B" w:rsidRPr="000E54EB" w:rsidRDefault="0072102B" w:rsidP="00BA0F26">
            <w:pPr>
              <w:jc w:val="center"/>
              <w:rPr>
                <w:rFonts w:ascii="Verdana" w:hAnsi="Verdana" w:cs="Verdana"/>
                <w:sz w:val="20"/>
                <w:szCs w:val="20"/>
                <w:lang w:eastAsia="bg-BG"/>
              </w:rPr>
            </w:pPr>
            <w:r>
              <w:rPr>
                <w:rFonts w:ascii="Verdana" w:hAnsi="Verdana" w:cs="Verdana"/>
                <w:sz w:val="20"/>
                <w:szCs w:val="20"/>
                <w:lang w:eastAsia="bg-BG"/>
              </w:rPr>
              <w:t>102</w:t>
            </w:r>
          </w:p>
        </w:tc>
        <w:tc>
          <w:tcPr>
            <w:tcW w:w="992" w:type="dxa"/>
            <w:noWrap/>
            <w:vAlign w:val="center"/>
          </w:tcPr>
          <w:p w:rsidR="0072102B" w:rsidRPr="000E54EB" w:rsidRDefault="0072102B" w:rsidP="00BA0F26">
            <w:pPr>
              <w:jc w:val="center"/>
              <w:rPr>
                <w:rFonts w:ascii="Verdana" w:hAnsi="Verdana" w:cs="Verdana"/>
                <w:sz w:val="20"/>
                <w:szCs w:val="20"/>
                <w:lang w:eastAsia="bg-BG"/>
              </w:rPr>
            </w:pPr>
            <w:r>
              <w:rPr>
                <w:rFonts w:ascii="Verdana" w:hAnsi="Verdana" w:cs="Verdana"/>
                <w:sz w:val="20"/>
                <w:szCs w:val="20"/>
                <w:lang w:eastAsia="bg-BG"/>
              </w:rPr>
              <w:t>10</w:t>
            </w:r>
          </w:p>
        </w:tc>
        <w:tc>
          <w:tcPr>
            <w:tcW w:w="992" w:type="dxa"/>
            <w:noWrap/>
            <w:vAlign w:val="center"/>
          </w:tcPr>
          <w:p w:rsidR="0072102B" w:rsidRPr="000E54EB" w:rsidRDefault="003E62C0" w:rsidP="00DB0ACF">
            <w:pPr>
              <w:jc w:val="center"/>
              <w:rPr>
                <w:rFonts w:ascii="Verdana" w:hAnsi="Verdana" w:cs="Verdana"/>
                <w:sz w:val="20"/>
                <w:szCs w:val="20"/>
                <w:lang w:eastAsia="bg-BG"/>
              </w:rPr>
            </w:pPr>
            <w:r>
              <w:rPr>
                <w:rFonts w:ascii="Verdana" w:hAnsi="Verdana" w:cs="Verdana"/>
                <w:sz w:val="20"/>
                <w:szCs w:val="20"/>
                <w:lang w:eastAsia="bg-BG"/>
              </w:rPr>
              <w:t>-</w:t>
            </w:r>
          </w:p>
        </w:tc>
        <w:tc>
          <w:tcPr>
            <w:tcW w:w="993" w:type="dxa"/>
            <w:noWrap/>
            <w:vAlign w:val="center"/>
          </w:tcPr>
          <w:p w:rsidR="0072102B" w:rsidRPr="000E54EB" w:rsidRDefault="003E62C0" w:rsidP="00DB0ACF">
            <w:pPr>
              <w:jc w:val="center"/>
              <w:rPr>
                <w:rFonts w:ascii="Verdana" w:hAnsi="Verdana" w:cs="Verdana"/>
                <w:sz w:val="20"/>
                <w:szCs w:val="20"/>
                <w:lang w:eastAsia="bg-BG"/>
              </w:rPr>
            </w:pPr>
            <w:r>
              <w:rPr>
                <w:rFonts w:ascii="Verdana" w:hAnsi="Verdana" w:cs="Verdana"/>
                <w:sz w:val="20"/>
                <w:szCs w:val="20"/>
                <w:lang w:eastAsia="bg-BG"/>
              </w:rPr>
              <w:t>-</w:t>
            </w:r>
          </w:p>
        </w:tc>
        <w:tc>
          <w:tcPr>
            <w:tcW w:w="960" w:type="dxa"/>
            <w:noWrap/>
            <w:vAlign w:val="center"/>
          </w:tcPr>
          <w:p w:rsidR="0072102B" w:rsidRPr="000E54EB" w:rsidRDefault="003E62C0" w:rsidP="00DB0ACF">
            <w:pPr>
              <w:jc w:val="center"/>
              <w:rPr>
                <w:rFonts w:ascii="Verdana" w:hAnsi="Verdana" w:cs="Verdana"/>
                <w:sz w:val="20"/>
                <w:szCs w:val="20"/>
                <w:lang w:eastAsia="bg-BG"/>
              </w:rPr>
            </w:pPr>
            <w:r>
              <w:rPr>
                <w:rFonts w:ascii="Verdana" w:hAnsi="Verdana" w:cs="Verdana"/>
                <w:sz w:val="20"/>
                <w:szCs w:val="20"/>
                <w:lang w:eastAsia="bg-BG"/>
              </w:rPr>
              <w:t>-</w:t>
            </w:r>
          </w:p>
        </w:tc>
        <w:tc>
          <w:tcPr>
            <w:tcW w:w="1056" w:type="dxa"/>
            <w:noWrap/>
            <w:vAlign w:val="center"/>
          </w:tcPr>
          <w:p w:rsidR="0072102B" w:rsidRPr="000E54EB" w:rsidRDefault="003E62C0" w:rsidP="00DB0ACF">
            <w:pPr>
              <w:jc w:val="center"/>
              <w:rPr>
                <w:rFonts w:ascii="Verdana" w:hAnsi="Verdana" w:cs="Verdana"/>
                <w:sz w:val="20"/>
                <w:szCs w:val="20"/>
                <w:lang w:eastAsia="bg-BG"/>
              </w:rPr>
            </w:pPr>
            <w:r>
              <w:rPr>
                <w:rFonts w:ascii="Verdana" w:hAnsi="Verdana" w:cs="Verdana"/>
                <w:sz w:val="20"/>
                <w:szCs w:val="20"/>
                <w:lang w:eastAsia="bg-BG"/>
              </w:rPr>
              <w:t>-</w:t>
            </w:r>
          </w:p>
        </w:tc>
        <w:tc>
          <w:tcPr>
            <w:tcW w:w="992" w:type="dxa"/>
            <w:noWrap/>
            <w:vAlign w:val="center"/>
          </w:tcPr>
          <w:p w:rsidR="0072102B" w:rsidRPr="000E54EB" w:rsidRDefault="0072102B" w:rsidP="00DB0ACF">
            <w:pPr>
              <w:jc w:val="center"/>
              <w:rPr>
                <w:rFonts w:ascii="Verdana" w:hAnsi="Verdana" w:cs="Verdana"/>
                <w:sz w:val="20"/>
                <w:szCs w:val="20"/>
                <w:lang w:eastAsia="bg-BG"/>
              </w:rPr>
            </w:pPr>
            <w:r>
              <w:rPr>
                <w:rFonts w:ascii="Verdana" w:hAnsi="Verdana" w:cs="Verdana"/>
                <w:sz w:val="20"/>
                <w:szCs w:val="20"/>
                <w:lang w:eastAsia="bg-BG"/>
              </w:rPr>
              <w:t>102</w:t>
            </w:r>
          </w:p>
        </w:tc>
        <w:tc>
          <w:tcPr>
            <w:tcW w:w="992" w:type="dxa"/>
            <w:noWrap/>
            <w:vAlign w:val="center"/>
          </w:tcPr>
          <w:p w:rsidR="0072102B" w:rsidRPr="000E54EB" w:rsidRDefault="0072102B" w:rsidP="00DB0ACF">
            <w:pPr>
              <w:jc w:val="center"/>
              <w:rPr>
                <w:rFonts w:ascii="Verdana" w:hAnsi="Verdana" w:cs="Verdana"/>
                <w:sz w:val="20"/>
                <w:szCs w:val="20"/>
                <w:lang w:eastAsia="bg-BG"/>
              </w:rPr>
            </w:pPr>
            <w:r>
              <w:rPr>
                <w:rFonts w:ascii="Verdana" w:hAnsi="Verdana" w:cs="Verdana"/>
                <w:sz w:val="20"/>
                <w:szCs w:val="20"/>
                <w:lang w:eastAsia="bg-BG"/>
              </w:rPr>
              <w:t>10</w:t>
            </w:r>
          </w:p>
        </w:tc>
      </w:tr>
      <w:tr w:rsidR="003E62C0" w:rsidRPr="000E54EB">
        <w:trPr>
          <w:trHeight w:val="255"/>
        </w:trPr>
        <w:tc>
          <w:tcPr>
            <w:tcW w:w="1706" w:type="dxa"/>
            <w:vAlign w:val="center"/>
          </w:tcPr>
          <w:p w:rsidR="003E62C0" w:rsidRPr="000E54EB" w:rsidRDefault="003E62C0" w:rsidP="00DB0ACF">
            <w:pPr>
              <w:jc w:val="left"/>
              <w:rPr>
                <w:rFonts w:ascii="Verdana" w:hAnsi="Verdana" w:cs="Verdana"/>
                <w:sz w:val="20"/>
                <w:szCs w:val="20"/>
                <w:lang w:eastAsia="bg-BG"/>
              </w:rPr>
            </w:pPr>
            <w:r w:rsidRPr="000E54EB">
              <w:rPr>
                <w:rFonts w:ascii="Verdana" w:hAnsi="Verdana" w:cs="Verdana"/>
                <w:sz w:val="20"/>
                <w:szCs w:val="20"/>
                <w:lang w:eastAsia="bg-BG"/>
              </w:rPr>
              <w:t>Обезценки</w:t>
            </w:r>
          </w:p>
        </w:tc>
        <w:tc>
          <w:tcPr>
            <w:tcW w:w="992"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407</w:t>
            </w:r>
          </w:p>
        </w:tc>
        <w:tc>
          <w:tcPr>
            <w:tcW w:w="992"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41</w:t>
            </w:r>
          </w:p>
        </w:tc>
        <w:tc>
          <w:tcPr>
            <w:tcW w:w="992"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993"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960"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1056"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992" w:type="dxa"/>
            <w:noWrap/>
            <w:vAlign w:val="center"/>
          </w:tcPr>
          <w:p w:rsidR="003E62C0" w:rsidRPr="000E54EB" w:rsidRDefault="003E62C0" w:rsidP="00DB0ACF">
            <w:pPr>
              <w:jc w:val="center"/>
              <w:rPr>
                <w:rFonts w:ascii="Verdana" w:hAnsi="Verdana" w:cs="Verdana"/>
                <w:sz w:val="20"/>
                <w:szCs w:val="20"/>
                <w:lang w:eastAsia="bg-BG"/>
              </w:rPr>
            </w:pPr>
            <w:r>
              <w:rPr>
                <w:rFonts w:ascii="Verdana" w:hAnsi="Verdana" w:cs="Verdana"/>
                <w:sz w:val="20"/>
                <w:szCs w:val="20"/>
                <w:lang w:eastAsia="bg-BG"/>
              </w:rPr>
              <w:t>407</w:t>
            </w:r>
          </w:p>
        </w:tc>
        <w:tc>
          <w:tcPr>
            <w:tcW w:w="992" w:type="dxa"/>
            <w:noWrap/>
            <w:vAlign w:val="center"/>
          </w:tcPr>
          <w:p w:rsidR="003E62C0" w:rsidRPr="000E54EB" w:rsidRDefault="003E62C0" w:rsidP="00DB0ACF">
            <w:pPr>
              <w:jc w:val="center"/>
              <w:rPr>
                <w:rFonts w:ascii="Verdana" w:hAnsi="Verdana" w:cs="Verdana"/>
                <w:sz w:val="20"/>
                <w:szCs w:val="20"/>
                <w:lang w:eastAsia="bg-BG"/>
              </w:rPr>
            </w:pPr>
            <w:r>
              <w:rPr>
                <w:rFonts w:ascii="Verdana" w:hAnsi="Verdana" w:cs="Verdana"/>
                <w:sz w:val="20"/>
                <w:szCs w:val="20"/>
                <w:lang w:eastAsia="bg-BG"/>
              </w:rPr>
              <w:t>41</w:t>
            </w:r>
          </w:p>
        </w:tc>
      </w:tr>
      <w:tr w:rsidR="003E62C0" w:rsidRPr="000E54EB">
        <w:trPr>
          <w:trHeight w:val="225"/>
        </w:trPr>
        <w:tc>
          <w:tcPr>
            <w:tcW w:w="1706" w:type="dxa"/>
            <w:vAlign w:val="center"/>
          </w:tcPr>
          <w:p w:rsidR="003E62C0" w:rsidRPr="000E54EB" w:rsidRDefault="003E62C0" w:rsidP="00DB0ACF">
            <w:pPr>
              <w:jc w:val="left"/>
              <w:rPr>
                <w:rFonts w:ascii="Verdana" w:hAnsi="Verdana" w:cs="Verdana"/>
                <w:sz w:val="20"/>
                <w:szCs w:val="20"/>
                <w:lang w:eastAsia="bg-BG"/>
              </w:rPr>
            </w:pPr>
            <w:r w:rsidRPr="000E54EB">
              <w:rPr>
                <w:rFonts w:ascii="Verdana" w:hAnsi="Verdana" w:cs="Verdana"/>
                <w:sz w:val="20"/>
                <w:szCs w:val="20"/>
                <w:lang w:eastAsia="bg-BG"/>
              </w:rPr>
              <w:t>Компенсируми отпуски</w:t>
            </w:r>
          </w:p>
        </w:tc>
        <w:tc>
          <w:tcPr>
            <w:tcW w:w="992"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20</w:t>
            </w:r>
          </w:p>
        </w:tc>
        <w:tc>
          <w:tcPr>
            <w:tcW w:w="992"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2</w:t>
            </w:r>
          </w:p>
        </w:tc>
        <w:tc>
          <w:tcPr>
            <w:tcW w:w="992"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993"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960"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1056"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992" w:type="dxa"/>
            <w:noWrap/>
            <w:vAlign w:val="center"/>
          </w:tcPr>
          <w:p w:rsidR="003E62C0" w:rsidRPr="000E54EB" w:rsidRDefault="003E62C0" w:rsidP="00DB0ACF">
            <w:pPr>
              <w:jc w:val="center"/>
              <w:rPr>
                <w:rFonts w:ascii="Verdana" w:hAnsi="Verdana" w:cs="Verdana"/>
                <w:sz w:val="20"/>
                <w:szCs w:val="20"/>
                <w:lang w:eastAsia="bg-BG"/>
              </w:rPr>
            </w:pPr>
            <w:r>
              <w:rPr>
                <w:rFonts w:ascii="Verdana" w:hAnsi="Verdana" w:cs="Verdana"/>
                <w:sz w:val="20"/>
                <w:szCs w:val="20"/>
                <w:lang w:eastAsia="bg-BG"/>
              </w:rPr>
              <w:t>20</w:t>
            </w:r>
          </w:p>
        </w:tc>
        <w:tc>
          <w:tcPr>
            <w:tcW w:w="992" w:type="dxa"/>
            <w:noWrap/>
            <w:vAlign w:val="center"/>
          </w:tcPr>
          <w:p w:rsidR="003E62C0" w:rsidRPr="000E54EB" w:rsidRDefault="003E62C0" w:rsidP="00DB0ACF">
            <w:pPr>
              <w:jc w:val="center"/>
              <w:rPr>
                <w:rFonts w:ascii="Verdana" w:hAnsi="Verdana" w:cs="Verdana"/>
                <w:sz w:val="20"/>
                <w:szCs w:val="20"/>
                <w:lang w:eastAsia="bg-BG"/>
              </w:rPr>
            </w:pPr>
            <w:r>
              <w:rPr>
                <w:rFonts w:ascii="Verdana" w:hAnsi="Verdana" w:cs="Verdana"/>
                <w:sz w:val="20"/>
                <w:szCs w:val="20"/>
                <w:lang w:eastAsia="bg-BG"/>
              </w:rPr>
              <w:t>2</w:t>
            </w:r>
          </w:p>
        </w:tc>
      </w:tr>
      <w:tr w:rsidR="003E62C0" w:rsidRPr="000E54EB">
        <w:trPr>
          <w:trHeight w:val="240"/>
        </w:trPr>
        <w:tc>
          <w:tcPr>
            <w:tcW w:w="1706" w:type="dxa"/>
            <w:vAlign w:val="center"/>
          </w:tcPr>
          <w:p w:rsidR="003E62C0" w:rsidRPr="000E54EB" w:rsidRDefault="003E62C0" w:rsidP="00DB0ACF">
            <w:pPr>
              <w:jc w:val="left"/>
              <w:rPr>
                <w:rFonts w:ascii="Verdana" w:hAnsi="Verdana" w:cs="Verdana"/>
                <w:sz w:val="20"/>
                <w:szCs w:val="20"/>
                <w:lang w:eastAsia="bg-BG"/>
              </w:rPr>
            </w:pPr>
            <w:r w:rsidRPr="000E54EB">
              <w:rPr>
                <w:rFonts w:ascii="Verdana" w:hAnsi="Verdana" w:cs="Verdana"/>
                <w:sz w:val="20"/>
                <w:szCs w:val="20"/>
                <w:lang w:eastAsia="bg-BG"/>
              </w:rPr>
              <w:t>Доходи на ФЛ</w:t>
            </w:r>
          </w:p>
        </w:tc>
        <w:tc>
          <w:tcPr>
            <w:tcW w:w="992"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7</w:t>
            </w:r>
          </w:p>
        </w:tc>
        <w:tc>
          <w:tcPr>
            <w:tcW w:w="992"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1</w:t>
            </w:r>
          </w:p>
        </w:tc>
        <w:tc>
          <w:tcPr>
            <w:tcW w:w="992"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993"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960"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1056"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992" w:type="dxa"/>
            <w:noWrap/>
            <w:vAlign w:val="center"/>
          </w:tcPr>
          <w:p w:rsidR="003E62C0" w:rsidRPr="000E54EB" w:rsidRDefault="003E62C0" w:rsidP="00DB0ACF">
            <w:pPr>
              <w:jc w:val="center"/>
              <w:rPr>
                <w:rFonts w:ascii="Verdana" w:hAnsi="Verdana" w:cs="Verdana"/>
                <w:sz w:val="20"/>
                <w:szCs w:val="20"/>
                <w:lang w:eastAsia="bg-BG"/>
              </w:rPr>
            </w:pPr>
            <w:r>
              <w:rPr>
                <w:rFonts w:ascii="Verdana" w:hAnsi="Verdana" w:cs="Verdana"/>
                <w:sz w:val="20"/>
                <w:szCs w:val="20"/>
                <w:lang w:eastAsia="bg-BG"/>
              </w:rPr>
              <w:t>7</w:t>
            </w:r>
          </w:p>
        </w:tc>
        <w:tc>
          <w:tcPr>
            <w:tcW w:w="992" w:type="dxa"/>
            <w:noWrap/>
            <w:vAlign w:val="center"/>
          </w:tcPr>
          <w:p w:rsidR="003E62C0" w:rsidRPr="000E54EB" w:rsidRDefault="003E62C0" w:rsidP="00DB0ACF">
            <w:pPr>
              <w:jc w:val="center"/>
              <w:rPr>
                <w:rFonts w:ascii="Verdana" w:hAnsi="Verdana" w:cs="Verdana"/>
                <w:sz w:val="20"/>
                <w:szCs w:val="20"/>
                <w:lang w:eastAsia="bg-BG"/>
              </w:rPr>
            </w:pPr>
            <w:r>
              <w:rPr>
                <w:rFonts w:ascii="Verdana" w:hAnsi="Verdana" w:cs="Verdana"/>
                <w:sz w:val="20"/>
                <w:szCs w:val="20"/>
                <w:lang w:eastAsia="bg-BG"/>
              </w:rPr>
              <w:t>1</w:t>
            </w:r>
          </w:p>
        </w:tc>
      </w:tr>
      <w:tr w:rsidR="003E62C0" w:rsidRPr="000E54EB">
        <w:trPr>
          <w:trHeight w:val="240"/>
        </w:trPr>
        <w:tc>
          <w:tcPr>
            <w:tcW w:w="1706" w:type="dxa"/>
            <w:vAlign w:val="center"/>
          </w:tcPr>
          <w:p w:rsidR="003E62C0" w:rsidRPr="000E54EB" w:rsidRDefault="003E62C0" w:rsidP="00DB0ACF">
            <w:pPr>
              <w:jc w:val="left"/>
              <w:rPr>
                <w:rFonts w:ascii="Verdana" w:hAnsi="Verdana" w:cs="Verdana"/>
                <w:sz w:val="20"/>
                <w:szCs w:val="20"/>
                <w:lang w:eastAsia="bg-BG"/>
              </w:rPr>
            </w:pPr>
            <w:r w:rsidRPr="000E54EB">
              <w:rPr>
                <w:rFonts w:ascii="Verdana" w:hAnsi="Verdana" w:cs="Verdana"/>
                <w:sz w:val="20"/>
                <w:szCs w:val="20"/>
                <w:lang w:eastAsia="bg-BG"/>
              </w:rPr>
              <w:t>Дългосрочни доходи на персонала</w:t>
            </w:r>
          </w:p>
        </w:tc>
        <w:tc>
          <w:tcPr>
            <w:tcW w:w="992"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28</w:t>
            </w:r>
          </w:p>
        </w:tc>
        <w:tc>
          <w:tcPr>
            <w:tcW w:w="992"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3</w:t>
            </w:r>
          </w:p>
        </w:tc>
        <w:tc>
          <w:tcPr>
            <w:tcW w:w="992"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993"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960"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1056"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992" w:type="dxa"/>
            <w:noWrap/>
            <w:vAlign w:val="center"/>
          </w:tcPr>
          <w:p w:rsidR="003E62C0" w:rsidRPr="000E54EB" w:rsidRDefault="003E62C0" w:rsidP="00DB0ACF">
            <w:pPr>
              <w:jc w:val="center"/>
              <w:rPr>
                <w:rFonts w:ascii="Verdana" w:hAnsi="Verdana" w:cs="Verdana"/>
                <w:sz w:val="20"/>
                <w:szCs w:val="20"/>
                <w:lang w:eastAsia="bg-BG"/>
              </w:rPr>
            </w:pPr>
            <w:r>
              <w:rPr>
                <w:rFonts w:ascii="Verdana" w:hAnsi="Verdana" w:cs="Verdana"/>
                <w:sz w:val="20"/>
                <w:szCs w:val="20"/>
                <w:lang w:eastAsia="bg-BG"/>
              </w:rPr>
              <w:t>28</w:t>
            </w:r>
          </w:p>
        </w:tc>
        <w:tc>
          <w:tcPr>
            <w:tcW w:w="992" w:type="dxa"/>
            <w:noWrap/>
            <w:vAlign w:val="center"/>
          </w:tcPr>
          <w:p w:rsidR="003E62C0" w:rsidRPr="000E54EB" w:rsidRDefault="003E62C0" w:rsidP="00DB0ACF">
            <w:pPr>
              <w:jc w:val="center"/>
              <w:rPr>
                <w:rFonts w:ascii="Verdana" w:hAnsi="Verdana" w:cs="Verdana"/>
                <w:sz w:val="20"/>
                <w:szCs w:val="20"/>
                <w:lang w:eastAsia="bg-BG"/>
              </w:rPr>
            </w:pPr>
            <w:r>
              <w:rPr>
                <w:rFonts w:ascii="Verdana" w:hAnsi="Verdana" w:cs="Verdana"/>
                <w:sz w:val="20"/>
                <w:szCs w:val="20"/>
                <w:lang w:eastAsia="bg-BG"/>
              </w:rPr>
              <w:t>3</w:t>
            </w:r>
          </w:p>
        </w:tc>
      </w:tr>
      <w:tr w:rsidR="003E62C0" w:rsidRPr="000E54EB">
        <w:trPr>
          <w:trHeight w:val="525"/>
        </w:trPr>
        <w:tc>
          <w:tcPr>
            <w:tcW w:w="1706" w:type="dxa"/>
            <w:vAlign w:val="center"/>
          </w:tcPr>
          <w:p w:rsidR="003E62C0" w:rsidRPr="000E54EB" w:rsidRDefault="003E62C0" w:rsidP="00DB0ACF">
            <w:pPr>
              <w:jc w:val="left"/>
              <w:rPr>
                <w:rFonts w:ascii="Verdana" w:hAnsi="Verdana" w:cs="Verdana"/>
                <w:b/>
                <w:bCs/>
                <w:sz w:val="20"/>
                <w:szCs w:val="20"/>
                <w:lang w:eastAsia="bg-BG"/>
              </w:rPr>
            </w:pPr>
            <w:r w:rsidRPr="000E54EB">
              <w:rPr>
                <w:rFonts w:ascii="Verdana" w:hAnsi="Verdana" w:cs="Verdana"/>
                <w:b/>
                <w:bCs/>
                <w:sz w:val="20"/>
                <w:szCs w:val="20"/>
                <w:lang w:eastAsia="bg-BG"/>
              </w:rPr>
              <w:t>Общо активи по отсрочени данъци</w:t>
            </w:r>
          </w:p>
        </w:tc>
        <w:tc>
          <w:tcPr>
            <w:tcW w:w="992" w:type="dxa"/>
            <w:noWrap/>
            <w:vAlign w:val="center"/>
          </w:tcPr>
          <w:p w:rsidR="003E62C0" w:rsidRPr="000E54EB" w:rsidRDefault="003E62C0" w:rsidP="00BA0F26">
            <w:pPr>
              <w:jc w:val="center"/>
              <w:rPr>
                <w:rFonts w:ascii="Verdana" w:hAnsi="Verdana" w:cs="Verdana"/>
                <w:b/>
                <w:bCs/>
                <w:sz w:val="20"/>
                <w:szCs w:val="20"/>
                <w:lang w:eastAsia="bg-BG"/>
              </w:rPr>
            </w:pPr>
            <w:r>
              <w:rPr>
                <w:rFonts w:ascii="Verdana" w:hAnsi="Verdana" w:cs="Verdana"/>
                <w:b/>
                <w:bCs/>
                <w:sz w:val="20"/>
                <w:szCs w:val="20"/>
                <w:lang w:eastAsia="bg-BG"/>
              </w:rPr>
              <w:t>564</w:t>
            </w:r>
          </w:p>
        </w:tc>
        <w:tc>
          <w:tcPr>
            <w:tcW w:w="992" w:type="dxa"/>
            <w:noWrap/>
            <w:vAlign w:val="center"/>
          </w:tcPr>
          <w:p w:rsidR="003E62C0" w:rsidRPr="000E54EB" w:rsidRDefault="003E62C0" w:rsidP="00BA0F26">
            <w:pPr>
              <w:jc w:val="center"/>
              <w:rPr>
                <w:rFonts w:ascii="Verdana" w:hAnsi="Verdana" w:cs="Verdana"/>
                <w:b/>
                <w:bCs/>
                <w:sz w:val="20"/>
                <w:szCs w:val="20"/>
                <w:lang w:eastAsia="bg-BG"/>
              </w:rPr>
            </w:pPr>
            <w:r>
              <w:rPr>
                <w:rFonts w:ascii="Verdana" w:hAnsi="Verdana" w:cs="Verdana"/>
                <w:b/>
                <w:bCs/>
                <w:sz w:val="20"/>
                <w:szCs w:val="20"/>
                <w:lang w:eastAsia="bg-BG"/>
              </w:rPr>
              <w:t>57</w:t>
            </w:r>
          </w:p>
        </w:tc>
        <w:tc>
          <w:tcPr>
            <w:tcW w:w="992"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993"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960"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1056"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992" w:type="dxa"/>
            <w:noWrap/>
            <w:vAlign w:val="center"/>
          </w:tcPr>
          <w:p w:rsidR="003E62C0" w:rsidRPr="000E54EB" w:rsidRDefault="003E62C0" w:rsidP="00DB0ACF">
            <w:pPr>
              <w:jc w:val="center"/>
              <w:rPr>
                <w:rFonts w:ascii="Verdana" w:hAnsi="Verdana" w:cs="Verdana"/>
                <w:b/>
                <w:bCs/>
                <w:sz w:val="20"/>
                <w:szCs w:val="20"/>
                <w:lang w:eastAsia="bg-BG"/>
              </w:rPr>
            </w:pPr>
            <w:r>
              <w:rPr>
                <w:rFonts w:ascii="Verdana" w:hAnsi="Verdana" w:cs="Verdana"/>
                <w:b/>
                <w:bCs/>
                <w:sz w:val="20"/>
                <w:szCs w:val="20"/>
                <w:lang w:eastAsia="bg-BG"/>
              </w:rPr>
              <w:t>564</w:t>
            </w:r>
          </w:p>
        </w:tc>
        <w:tc>
          <w:tcPr>
            <w:tcW w:w="992" w:type="dxa"/>
            <w:noWrap/>
            <w:vAlign w:val="center"/>
          </w:tcPr>
          <w:p w:rsidR="003E62C0" w:rsidRPr="000E54EB" w:rsidRDefault="003E62C0" w:rsidP="00DB0ACF">
            <w:pPr>
              <w:jc w:val="center"/>
              <w:rPr>
                <w:rFonts w:ascii="Verdana" w:hAnsi="Verdana" w:cs="Verdana"/>
                <w:b/>
                <w:bCs/>
                <w:sz w:val="20"/>
                <w:szCs w:val="20"/>
                <w:lang w:eastAsia="bg-BG"/>
              </w:rPr>
            </w:pPr>
            <w:r>
              <w:rPr>
                <w:rFonts w:ascii="Verdana" w:hAnsi="Verdana" w:cs="Verdana"/>
                <w:b/>
                <w:bCs/>
                <w:sz w:val="20"/>
                <w:szCs w:val="20"/>
                <w:lang w:eastAsia="bg-BG"/>
              </w:rPr>
              <w:t>57</w:t>
            </w:r>
          </w:p>
        </w:tc>
      </w:tr>
      <w:tr w:rsidR="0072102B" w:rsidRPr="000E54EB">
        <w:trPr>
          <w:trHeight w:val="300"/>
        </w:trPr>
        <w:tc>
          <w:tcPr>
            <w:tcW w:w="9675" w:type="dxa"/>
            <w:gridSpan w:val="9"/>
            <w:noWrap/>
            <w:vAlign w:val="center"/>
          </w:tcPr>
          <w:p w:rsidR="0072102B" w:rsidRPr="000E54EB" w:rsidRDefault="0072102B" w:rsidP="00DB0ACF">
            <w:pPr>
              <w:jc w:val="left"/>
              <w:rPr>
                <w:rFonts w:ascii="Verdana" w:hAnsi="Verdana" w:cs="Verdana"/>
                <w:b/>
                <w:bCs/>
                <w:sz w:val="20"/>
                <w:szCs w:val="20"/>
                <w:lang w:eastAsia="bg-BG"/>
              </w:rPr>
            </w:pPr>
            <w:r w:rsidRPr="000E54EB">
              <w:rPr>
                <w:rFonts w:ascii="Verdana" w:hAnsi="Verdana" w:cs="Verdana"/>
                <w:b/>
                <w:bCs/>
                <w:sz w:val="20"/>
                <w:szCs w:val="20"/>
                <w:lang w:eastAsia="bg-BG"/>
              </w:rPr>
              <w:t>Пасиви по отсрочени данъци</w:t>
            </w:r>
          </w:p>
        </w:tc>
      </w:tr>
      <w:tr w:rsidR="003E62C0" w:rsidRPr="000E54EB">
        <w:trPr>
          <w:trHeight w:val="315"/>
        </w:trPr>
        <w:tc>
          <w:tcPr>
            <w:tcW w:w="1706" w:type="dxa"/>
            <w:vAlign w:val="center"/>
          </w:tcPr>
          <w:p w:rsidR="003E62C0" w:rsidRPr="000E54EB" w:rsidRDefault="003E62C0" w:rsidP="00DB0ACF">
            <w:pPr>
              <w:jc w:val="left"/>
              <w:rPr>
                <w:rFonts w:ascii="Verdana" w:hAnsi="Verdana" w:cs="Verdana"/>
                <w:sz w:val="20"/>
                <w:szCs w:val="20"/>
                <w:lang w:eastAsia="bg-BG"/>
              </w:rPr>
            </w:pPr>
            <w:r w:rsidRPr="000E54EB">
              <w:rPr>
                <w:rFonts w:ascii="Verdana" w:hAnsi="Verdana" w:cs="Verdana"/>
                <w:sz w:val="20"/>
                <w:szCs w:val="20"/>
                <w:lang w:eastAsia="bg-BG"/>
              </w:rPr>
              <w:t>Амортизации</w:t>
            </w:r>
          </w:p>
        </w:tc>
        <w:tc>
          <w:tcPr>
            <w:tcW w:w="992" w:type="dxa"/>
            <w:noWrap/>
            <w:vAlign w:val="center"/>
          </w:tcPr>
          <w:p w:rsidR="003E62C0" w:rsidRPr="000C3D26" w:rsidRDefault="003E62C0" w:rsidP="00BA0F26">
            <w:pPr>
              <w:jc w:val="center"/>
              <w:rPr>
                <w:rFonts w:ascii="Verdana" w:hAnsi="Verdana" w:cs="Verdana"/>
                <w:sz w:val="20"/>
                <w:szCs w:val="20"/>
                <w:lang w:val="en-US" w:eastAsia="bg-BG"/>
              </w:rPr>
            </w:pPr>
            <w:r>
              <w:rPr>
                <w:rFonts w:ascii="Verdana" w:hAnsi="Verdana" w:cs="Verdana"/>
                <w:sz w:val="20"/>
                <w:szCs w:val="20"/>
                <w:lang w:val="en-US" w:eastAsia="bg-BG"/>
              </w:rPr>
              <w:t>-</w:t>
            </w:r>
          </w:p>
        </w:tc>
        <w:tc>
          <w:tcPr>
            <w:tcW w:w="992" w:type="dxa"/>
            <w:noWrap/>
            <w:vAlign w:val="center"/>
          </w:tcPr>
          <w:p w:rsidR="003E62C0" w:rsidRPr="000C3D26" w:rsidRDefault="003E62C0" w:rsidP="00BA0F26">
            <w:pPr>
              <w:jc w:val="center"/>
              <w:rPr>
                <w:rFonts w:ascii="Verdana" w:hAnsi="Verdana" w:cs="Verdana"/>
                <w:sz w:val="20"/>
                <w:szCs w:val="20"/>
                <w:lang w:val="en-US" w:eastAsia="bg-BG"/>
              </w:rPr>
            </w:pPr>
            <w:r>
              <w:rPr>
                <w:rFonts w:ascii="Verdana" w:hAnsi="Verdana" w:cs="Verdana"/>
                <w:sz w:val="20"/>
                <w:szCs w:val="20"/>
                <w:lang w:val="en-US" w:eastAsia="bg-BG"/>
              </w:rPr>
              <w:t>-</w:t>
            </w:r>
          </w:p>
        </w:tc>
        <w:tc>
          <w:tcPr>
            <w:tcW w:w="992"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993"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960"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1056"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992" w:type="dxa"/>
            <w:noWrap/>
            <w:vAlign w:val="center"/>
          </w:tcPr>
          <w:p w:rsidR="003E62C0" w:rsidRPr="000C3D26" w:rsidRDefault="003E62C0" w:rsidP="00DB0ACF">
            <w:pPr>
              <w:jc w:val="center"/>
              <w:rPr>
                <w:rFonts w:ascii="Verdana" w:hAnsi="Verdana" w:cs="Verdana"/>
                <w:sz w:val="20"/>
                <w:szCs w:val="20"/>
                <w:lang w:val="en-US" w:eastAsia="bg-BG"/>
              </w:rPr>
            </w:pPr>
            <w:r>
              <w:rPr>
                <w:rFonts w:ascii="Verdana" w:hAnsi="Verdana" w:cs="Verdana"/>
                <w:sz w:val="20"/>
                <w:szCs w:val="20"/>
                <w:lang w:val="en-US" w:eastAsia="bg-BG"/>
              </w:rPr>
              <w:t>-</w:t>
            </w:r>
          </w:p>
        </w:tc>
        <w:tc>
          <w:tcPr>
            <w:tcW w:w="992" w:type="dxa"/>
            <w:noWrap/>
            <w:vAlign w:val="center"/>
          </w:tcPr>
          <w:p w:rsidR="003E62C0" w:rsidRPr="000C3D26" w:rsidRDefault="003E62C0" w:rsidP="00DB0ACF">
            <w:pPr>
              <w:jc w:val="center"/>
              <w:rPr>
                <w:rFonts w:ascii="Verdana" w:hAnsi="Verdana" w:cs="Verdana"/>
                <w:sz w:val="20"/>
                <w:szCs w:val="20"/>
                <w:lang w:val="en-US" w:eastAsia="bg-BG"/>
              </w:rPr>
            </w:pPr>
            <w:r>
              <w:rPr>
                <w:rFonts w:ascii="Verdana" w:hAnsi="Verdana" w:cs="Verdana"/>
                <w:sz w:val="20"/>
                <w:szCs w:val="20"/>
                <w:lang w:val="en-US" w:eastAsia="bg-BG"/>
              </w:rPr>
              <w:t>-</w:t>
            </w:r>
          </w:p>
        </w:tc>
      </w:tr>
      <w:tr w:rsidR="003E62C0" w:rsidRPr="000E54EB">
        <w:trPr>
          <w:trHeight w:val="315"/>
        </w:trPr>
        <w:tc>
          <w:tcPr>
            <w:tcW w:w="1706" w:type="dxa"/>
            <w:vAlign w:val="center"/>
          </w:tcPr>
          <w:p w:rsidR="003E62C0" w:rsidRPr="000E54EB" w:rsidRDefault="003E62C0" w:rsidP="00DB0ACF">
            <w:pPr>
              <w:jc w:val="left"/>
              <w:rPr>
                <w:rFonts w:ascii="Verdana" w:hAnsi="Verdana" w:cs="Verdana"/>
                <w:sz w:val="20"/>
                <w:szCs w:val="20"/>
                <w:lang w:eastAsia="bg-BG"/>
              </w:rPr>
            </w:pPr>
            <w:r>
              <w:rPr>
                <w:rFonts w:ascii="Verdana" w:hAnsi="Verdana" w:cs="Verdana"/>
                <w:sz w:val="20"/>
                <w:szCs w:val="20"/>
                <w:lang w:eastAsia="bg-BG"/>
              </w:rPr>
              <w:t>Преоценъчен разерв</w:t>
            </w:r>
          </w:p>
        </w:tc>
        <w:tc>
          <w:tcPr>
            <w:tcW w:w="992" w:type="dxa"/>
            <w:noWrap/>
            <w:vAlign w:val="center"/>
          </w:tcPr>
          <w:p w:rsidR="003E62C0" w:rsidRPr="000C3D26" w:rsidRDefault="003E62C0" w:rsidP="00BA0F26">
            <w:pPr>
              <w:jc w:val="center"/>
              <w:rPr>
                <w:rFonts w:ascii="Verdana" w:hAnsi="Verdana" w:cs="Verdana"/>
                <w:sz w:val="20"/>
                <w:szCs w:val="20"/>
                <w:lang w:val="en-US" w:eastAsia="bg-BG"/>
              </w:rPr>
            </w:pPr>
            <w:r>
              <w:rPr>
                <w:rFonts w:ascii="Verdana" w:hAnsi="Verdana" w:cs="Verdana"/>
                <w:sz w:val="20"/>
                <w:szCs w:val="20"/>
                <w:lang w:val="en-US" w:eastAsia="bg-BG"/>
              </w:rPr>
              <w:t>707</w:t>
            </w:r>
          </w:p>
        </w:tc>
        <w:tc>
          <w:tcPr>
            <w:tcW w:w="992" w:type="dxa"/>
            <w:noWrap/>
            <w:vAlign w:val="center"/>
          </w:tcPr>
          <w:p w:rsidR="003E62C0" w:rsidRPr="000C3D26" w:rsidRDefault="003E62C0" w:rsidP="00BA0F26">
            <w:pPr>
              <w:jc w:val="center"/>
              <w:rPr>
                <w:rFonts w:ascii="Verdana" w:hAnsi="Verdana" w:cs="Verdana"/>
                <w:sz w:val="20"/>
                <w:szCs w:val="20"/>
                <w:lang w:val="en-US" w:eastAsia="bg-BG"/>
              </w:rPr>
            </w:pPr>
            <w:r>
              <w:rPr>
                <w:rFonts w:ascii="Verdana" w:hAnsi="Verdana" w:cs="Verdana"/>
                <w:sz w:val="20"/>
                <w:szCs w:val="20"/>
                <w:lang w:val="en-US" w:eastAsia="bg-BG"/>
              </w:rPr>
              <w:t>71</w:t>
            </w:r>
          </w:p>
        </w:tc>
        <w:tc>
          <w:tcPr>
            <w:tcW w:w="992"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993"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960"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1056"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992" w:type="dxa"/>
            <w:noWrap/>
            <w:vAlign w:val="center"/>
          </w:tcPr>
          <w:p w:rsidR="003E62C0" w:rsidRPr="000C3D26" w:rsidRDefault="003E62C0" w:rsidP="00DB0ACF">
            <w:pPr>
              <w:jc w:val="center"/>
              <w:rPr>
                <w:rFonts w:ascii="Verdana" w:hAnsi="Verdana" w:cs="Verdana"/>
                <w:sz w:val="20"/>
                <w:szCs w:val="20"/>
                <w:lang w:val="en-US" w:eastAsia="bg-BG"/>
              </w:rPr>
            </w:pPr>
            <w:r>
              <w:rPr>
                <w:rFonts w:ascii="Verdana" w:hAnsi="Verdana" w:cs="Verdana"/>
                <w:sz w:val="20"/>
                <w:szCs w:val="20"/>
                <w:lang w:val="en-US" w:eastAsia="bg-BG"/>
              </w:rPr>
              <w:t>707</w:t>
            </w:r>
          </w:p>
        </w:tc>
        <w:tc>
          <w:tcPr>
            <w:tcW w:w="992" w:type="dxa"/>
            <w:noWrap/>
            <w:vAlign w:val="center"/>
          </w:tcPr>
          <w:p w:rsidR="003E62C0" w:rsidRPr="000C3D26" w:rsidRDefault="003E62C0" w:rsidP="00DB0ACF">
            <w:pPr>
              <w:jc w:val="center"/>
              <w:rPr>
                <w:rFonts w:ascii="Verdana" w:hAnsi="Verdana" w:cs="Verdana"/>
                <w:sz w:val="20"/>
                <w:szCs w:val="20"/>
                <w:lang w:val="en-US" w:eastAsia="bg-BG"/>
              </w:rPr>
            </w:pPr>
            <w:r>
              <w:rPr>
                <w:rFonts w:ascii="Verdana" w:hAnsi="Verdana" w:cs="Verdana"/>
                <w:sz w:val="20"/>
                <w:szCs w:val="20"/>
                <w:lang w:val="en-US" w:eastAsia="bg-BG"/>
              </w:rPr>
              <w:t>71</w:t>
            </w:r>
          </w:p>
        </w:tc>
      </w:tr>
      <w:tr w:rsidR="003E62C0" w:rsidRPr="000E54EB">
        <w:trPr>
          <w:trHeight w:val="255"/>
        </w:trPr>
        <w:tc>
          <w:tcPr>
            <w:tcW w:w="1706" w:type="dxa"/>
            <w:vAlign w:val="center"/>
          </w:tcPr>
          <w:p w:rsidR="003E62C0" w:rsidRPr="000E54EB" w:rsidRDefault="003E62C0" w:rsidP="00DB0ACF">
            <w:pPr>
              <w:jc w:val="left"/>
              <w:rPr>
                <w:rFonts w:ascii="Verdana" w:hAnsi="Verdana" w:cs="Verdana"/>
                <w:b/>
                <w:bCs/>
                <w:sz w:val="20"/>
                <w:szCs w:val="20"/>
                <w:lang w:eastAsia="bg-BG"/>
              </w:rPr>
            </w:pPr>
            <w:r w:rsidRPr="000E54EB">
              <w:rPr>
                <w:rFonts w:ascii="Verdana" w:hAnsi="Verdana" w:cs="Verdana"/>
                <w:b/>
                <w:bCs/>
                <w:sz w:val="20"/>
                <w:szCs w:val="20"/>
                <w:lang w:eastAsia="bg-BG"/>
              </w:rPr>
              <w:t>Общо пасиви по отсрочени данъци</w:t>
            </w:r>
          </w:p>
        </w:tc>
        <w:tc>
          <w:tcPr>
            <w:tcW w:w="992" w:type="dxa"/>
            <w:noWrap/>
            <w:vAlign w:val="center"/>
          </w:tcPr>
          <w:p w:rsidR="003E62C0" w:rsidRPr="000C3D26" w:rsidRDefault="003E62C0" w:rsidP="00BA0F26">
            <w:pPr>
              <w:jc w:val="center"/>
              <w:rPr>
                <w:rFonts w:ascii="Verdana" w:hAnsi="Verdana" w:cs="Verdana"/>
                <w:b/>
                <w:bCs/>
                <w:sz w:val="20"/>
                <w:szCs w:val="20"/>
                <w:lang w:val="en-US" w:eastAsia="bg-BG"/>
              </w:rPr>
            </w:pPr>
            <w:r>
              <w:rPr>
                <w:rFonts w:ascii="Verdana" w:hAnsi="Verdana" w:cs="Verdana"/>
                <w:b/>
                <w:bCs/>
                <w:sz w:val="20"/>
                <w:szCs w:val="20"/>
                <w:lang w:val="en-US" w:eastAsia="bg-BG"/>
              </w:rPr>
              <w:t>707</w:t>
            </w:r>
          </w:p>
        </w:tc>
        <w:tc>
          <w:tcPr>
            <w:tcW w:w="992" w:type="dxa"/>
            <w:noWrap/>
            <w:vAlign w:val="center"/>
          </w:tcPr>
          <w:p w:rsidR="003E62C0" w:rsidRPr="000C3D26" w:rsidRDefault="003E62C0" w:rsidP="00BA0F26">
            <w:pPr>
              <w:jc w:val="center"/>
              <w:rPr>
                <w:rFonts w:ascii="Verdana" w:hAnsi="Verdana" w:cs="Verdana"/>
                <w:b/>
                <w:bCs/>
                <w:sz w:val="20"/>
                <w:szCs w:val="20"/>
                <w:lang w:val="en-US" w:eastAsia="bg-BG"/>
              </w:rPr>
            </w:pPr>
            <w:r>
              <w:rPr>
                <w:rFonts w:ascii="Verdana" w:hAnsi="Verdana" w:cs="Verdana"/>
                <w:b/>
                <w:bCs/>
                <w:sz w:val="20"/>
                <w:szCs w:val="20"/>
                <w:lang w:val="en-US" w:eastAsia="bg-BG"/>
              </w:rPr>
              <w:t>71</w:t>
            </w:r>
          </w:p>
        </w:tc>
        <w:tc>
          <w:tcPr>
            <w:tcW w:w="992"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993"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960"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1056" w:type="dxa"/>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992" w:type="dxa"/>
            <w:noWrap/>
            <w:vAlign w:val="center"/>
          </w:tcPr>
          <w:p w:rsidR="003E62C0" w:rsidRPr="000C3D26" w:rsidRDefault="003E62C0" w:rsidP="00DB0ACF">
            <w:pPr>
              <w:jc w:val="center"/>
              <w:rPr>
                <w:rFonts w:ascii="Verdana" w:hAnsi="Verdana" w:cs="Verdana"/>
                <w:b/>
                <w:bCs/>
                <w:sz w:val="20"/>
                <w:szCs w:val="20"/>
                <w:lang w:val="en-US" w:eastAsia="bg-BG"/>
              </w:rPr>
            </w:pPr>
            <w:r>
              <w:rPr>
                <w:rFonts w:ascii="Verdana" w:hAnsi="Verdana" w:cs="Verdana"/>
                <w:b/>
                <w:bCs/>
                <w:sz w:val="20"/>
                <w:szCs w:val="20"/>
                <w:lang w:val="en-US" w:eastAsia="bg-BG"/>
              </w:rPr>
              <w:t>707</w:t>
            </w:r>
          </w:p>
        </w:tc>
        <w:tc>
          <w:tcPr>
            <w:tcW w:w="992" w:type="dxa"/>
            <w:noWrap/>
            <w:vAlign w:val="center"/>
          </w:tcPr>
          <w:p w:rsidR="003E62C0" w:rsidRPr="000C3D26" w:rsidRDefault="003E62C0" w:rsidP="00DB0ACF">
            <w:pPr>
              <w:jc w:val="center"/>
              <w:rPr>
                <w:rFonts w:ascii="Verdana" w:hAnsi="Verdana" w:cs="Verdana"/>
                <w:b/>
                <w:bCs/>
                <w:sz w:val="20"/>
                <w:szCs w:val="20"/>
                <w:lang w:val="en-US" w:eastAsia="bg-BG"/>
              </w:rPr>
            </w:pPr>
            <w:r>
              <w:rPr>
                <w:rFonts w:ascii="Verdana" w:hAnsi="Verdana" w:cs="Verdana"/>
                <w:b/>
                <w:bCs/>
                <w:sz w:val="20"/>
                <w:szCs w:val="20"/>
                <w:lang w:val="en-US" w:eastAsia="bg-BG"/>
              </w:rPr>
              <w:t>71</w:t>
            </w:r>
          </w:p>
        </w:tc>
      </w:tr>
      <w:tr w:rsidR="003E62C0" w:rsidRPr="000E54EB">
        <w:trPr>
          <w:trHeight w:val="255"/>
        </w:trPr>
        <w:tc>
          <w:tcPr>
            <w:tcW w:w="1706" w:type="dxa"/>
            <w:shd w:val="clear" w:color="000000" w:fill="C5D9F1"/>
            <w:noWrap/>
            <w:vAlign w:val="center"/>
          </w:tcPr>
          <w:p w:rsidR="003E62C0" w:rsidRPr="000E54EB" w:rsidRDefault="003E62C0" w:rsidP="00DB0ACF">
            <w:pPr>
              <w:jc w:val="left"/>
              <w:rPr>
                <w:rFonts w:ascii="Verdana" w:hAnsi="Verdana" w:cs="Verdana"/>
                <w:b/>
                <w:bCs/>
                <w:sz w:val="20"/>
                <w:szCs w:val="20"/>
                <w:lang w:eastAsia="bg-BG"/>
              </w:rPr>
            </w:pPr>
            <w:r w:rsidRPr="000E54EB">
              <w:rPr>
                <w:rFonts w:ascii="Verdana" w:hAnsi="Verdana" w:cs="Verdana"/>
                <w:b/>
                <w:bCs/>
                <w:sz w:val="20"/>
                <w:szCs w:val="20"/>
                <w:lang w:eastAsia="bg-BG"/>
              </w:rPr>
              <w:t>Отсрочени данъци (нето)</w:t>
            </w:r>
          </w:p>
        </w:tc>
        <w:tc>
          <w:tcPr>
            <w:tcW w:w="992" w:type="dxa"/>
            <w:shd w:val="clear" w:color="000000" w:fill="C5D9F1"/>
            <w:noWrap/>
            <w:vAlign w:val="center"/>
          </w:tcPr>
          <w:p w:rsidR="003E62C0" w:rsidRPr="000C3D26" w:rsidRDefault="003E62C0" w:rsidP="00BA0F26">
            <w:pPr>
              <w:jc w:val="center"/>
              <w:rPr>
                <w:rFonts w:ascii="Verdana" w:hAnsi="Verdana" w:cs="Verdana"/>
                <w:b/>
                <w:bCs/>
                <w:sz w:val="20"/>
                <w:szCs w:val="20"/>
                <w:lang w:val="en-US" w:eastAsia="bg-BG"/>
              </w:rPr>
            </w:pPr>
            <w:r>
              <w:rPr>
                <w:rFonts w:ascii="Verdana" w:hAnsi="Verdana" w:cs="Verdana"/>
                <w:b/>
                <w:bCs/>
                <w:sz w:val="20"/>
                <w:szCs w:val="20"/>
                <w:lang w:val="en-US" w:eastAsia="bg-BG"/>
              </w:rPr>
              <w:t>(143)</w:t>
            </w:r>
          </w:p>
        </w:tc>
        <w:tc>
          <w:tcPr>
            <w:tcW w:w="992" w:type="dxa"/>
            <w:shd w:val="clear" w:color="000000" w:fill="C5D9F1"/>
            <w:noWrap/>
            <w:vAlign w:val="center"/>
          </w:tcPr>
          <w:p w:rsidR="003E62C0" w:rsidRPr="000C3D26" w:rsidRDefault="003E62C0" w:rsidP="00BA0F26">
            <w:pPr>
              <w:jc w:val="center"/>
              <w:rPr>
                <w:rFonts w:ascii="Verdana" w:hAnsi="Verdana" w:cs="Verdana"/>
                <w:b/>
                <w:bCs/>
                <w:sz w:val="20"/>
                <w:szCs w:val="20"/>
                <w:lang w:val="en-US" w:eastAsia="bg-BG"/>
              </w:rPr>
            </w:pPr>
            <w:r>
              <w:rPr>
                <w:rFonts w:ascii="Verdana" w:hAnsi="Verdana" w:cs="Verdana"/>
                <w:b/>
                <w:bCs/>
                <w:sz w:val="20"/>
                <w:szCs w:val="20"/>
                <w:lang w:val="en-US" w:eastAsia="bg-BG"/>
              </w:rPr>
              <w:t>(14)</w:t>
            </w:r>
          </w:p>
        </w:tc>
        <w:tc>
          <w:tcPr>
            <w:tcW w:w="992" w:type="dxa"/>
            <w:shd w:val="clear" w:color="000000" w:fill="C5D9F1"/>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993" w:type="dxa"/>
            <w:shd w:val="clear" w:color="000000" w:fill="C5D9F1"/>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960" w:type="dxa"/>
            <w:shd w:val="clear" w:color="000000" w:fill="C5D9F1"/>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1056" w:type="dxa"/>
            <w:shd w:val="clear" w:color="000000" w:fill="C5D9F1"/>
            <w:noWrap/>
            <w:vAlign w:val="center"/>
          </w:tcPr>
          <w:p w:rsidR="003E62C0" w:rsidRPr="000E54EB" w:rsidRDefault="003E62C0" w:rsidP="00BA0F26">
            <w:pPr>
              <w:jc w:val="center"/>
              <w:rPr>
                <w:rFonts w:ascii="Verdana" w:hAnsi="Verdana" w:cs="Verdana"/>
                <w:sz w:val="20"/>
                <w:szCs w:val="20"/>
                <w:lang w:eastAsia="bg-BG"/>
              </w:rPr>
            </w:pPr>
            <w:r>
              <w:rPr>
                <w:rFonts w:ascii="Verdana" w:hAnsi="Verdana" w:cs="Verdana"/>
                <w:sz w:val="20"/>
                <w:szCs w:val="20"/>
                <w:lang w:eastAsia="bg-BG"/>
              </w:rPr>
              <w:t>-</w:t>
            </w:r>
          </w:p>
        </w:tc>
        <w:tc>
          <w:tcPr>
            <w:tcW w:w="992" w:type="dxa"/>
            <w:shd w:val="clear" w:color="000000" w:fill="C5D9F1"/>
            <w:noWrap/>
            <w:vAlign w:val="center"/>
          </w:tcPr>
          <w:p w:rsidR="003E62C0" w:rsidRPr="000C3D26" w:rsidRDefault="003E62C0" w:rsidP="00DB0ACF">
            <w:pPr>
              <w:jc w:val="center"/>
              <w:rPr>
                <w:rFonts w:ascii="Verdana" w:hAnsi="Verdana" w:cs="Verdana"/>
                <w:b/>
                <w:bCs/>
                <w:sz w:val="20"/>
                <w:szCs w:val="20"/>
                <w:lang w:val="en-US" w:eastAsia="bg-BG"/>
              </w:rPr>
            </w:pPr>
            <w:r>
              <w:rPr>
                <w:rFonts w:ascii="Verdana" w:hAnsi="Verdana" w:cs="Verdana"/>
                <w:b/>
                <w:bCs/>
                <w:sz w:val="20"/>
                <w:szCs w:val="20"/>
                <w:lang w:val="en-US" w:eastAsia="bg-BG"/>
              </w:rPr>
              <w:t>(143)</w:t>
            </w:r>
          </w:p>
        </w:tc>
        <w:tc>
          <w:tcPr>
            <w:tcW w:w="992" w:type="dxa"/>
            <w:shd w:val="clear" w:color="000000" w:fill="C5D9F1"/>
            <w:noWrap/>
            <w:vAlign w:val="center"/>
          </w:tcPr>
          <w:p w:rsidR="003E62C0" w:rsidRPr="000C3D26" w:rsidRDefault="003E62C0" w:rsidP="00DB0ACF">
            <w:pPr>
              <w:jc w:val="center"/>
              <w:rPr>
                <w:rFonts w:ascii="Verdana" w:hAnsi="Verdana" w:cs="Verdana"/>
                <w:b/>
                <w:bCs/>
                <w:sz w:val="20"/>
                <w:szCs w:val="20"/>
                <w:lang w:val="en-US" w:eastAsia="bg-BG"/>
              </w:rPr>
            </w:pPr>
            <w:r>
              <w:rPr>
                <w:rFonts w:ascii="Verdana" w:hAnsi="Verdana" w:cs="Verdana"/>
                <w:b/>
                <w:bCs/>
                <w:sz w:val="20"/>
                <w:szCs w:val="20"/>
                <w:lang w:val="en-US" w:eastAsia="bg-BG"/>
              </w:rPr>
              <w:t>(14)</w:t>
            </w:r>
          </w:p>
        </w:tc>
      </w:tr>
    </w:tbl>
    <w:p w:rsidR="00863C99" w:rsidRDefault="00863C99" w:rsidP="00DB0ACF">
      <w:pPr>
        <w:rPr>
          <w:rFonts w:ascii="Verdana" w:hAnsi="Verdana" w:cs="Verdana"/>
          <w:sz w:val="20"/>
          <w:szCs w:val="20"/>
          <w:lang w:val="en-US"/>
        </w:rPr>
      </w:pPr>
    </w:p>
    <w:p w:rsidR="00863C99" w:rsidRPr="000E54EB" w:rsidRDefault="00863C99" w:rsidP="00B66DF8">
      <w:pPr>
        <w:pStyle w:val="Heading3"/>
        <w:rPr>
          <w:rFonts w:ascii="Verdana" w:hAnsi="Verdana" w:cs="Verdana"/>
          <w:lang w:val="bg-BG"/>
        </w:rPr>
      </w:pPr>
      <w:bookmarkStart w:id="149" w:name="_Toc4328846"/>
      <w:r w:rsidRPr="000E54EB">
        <w:rPr>
          <w:rFonts w:ascii="Verdana" w:hAnsi="Verdana" w:cs="Verdana"/>
          <w:lang w:val="bg-BG"/>
        </w:rPr>
        <w:t>Текущи активи</w:t>
      </w:r>
      <w:bookmarkEnd w:id="149"/>
    </w:p>
    <w:p w:rsidR="00863C99" w:rsidRPr="000E54EB" w:rsidRDefault="00863C99" w:rsidP="00B66DF8">
      <w:pPr>
        <w:pStyle w:val="Heading4"/>
        <w:rPr>
          <w:rFonts w:ascii="Verdana" w:hAnsi="Verdana" w:cs="Verdana"/>
          <w:i w:val="0"/>
          <w:iCs w:val="0"/>
          <w:lang w:val="bg-BG"/>
        </w:rPr>
      </w:pPr>
      <w:bookmarkStart w:id="150" w:name="_Toc247959184"/>
      <w:bookmarkStart w:id="151" w:name="_Toc4328847"/>
      <w:r w:rsidRPr="000E54EB">
        <w:rPr>
          <w:rFonts w:ascii="Verdana" w:hAnsi="Verdana" w:cs="Verdana"/>
          <w:i w:val="0"/>
          <w:iCs w:val="0"/>
          <w:lang w:val="bg-BG"/>
        </w:rPr>
        <w:t>2.4. Текущи материални запаси</w:t>
      </w:r>
      <w:bookmarkEnd w:id="150"/>
      <w:bookmarkEnd w:id="151"/>
    </w:p>
    <w:tbl>
      <w:tblPr>
        <w:tblW w:w="9635" w:type="dxa"/>
        <w:tblInd w:w="-68" w:type="dxa"/>
        <w:tblCellMar>
          <w:left w:w="70" w:type="dxa"/>
          <w:right w:w="70" w:type="dxa"/>
        </w:tblCellMar>
        <w:tblLook w:val="00A0" w:firstRow="1" w:lastRow="0" w:firstColumn="1" w:lastColumn="0" w:noHBand="0" w:noVBand="0"/>
      </w:tblPr>
      <w:tblGrid>
        <w:gridCol w:w="6125"/>
        <w:gridCol w:w="117"/>
        <w:gridCol w:w="1560"/>
        <w:gridCol w:w="1833"/>
      </w:tblGrid>
      <w:tr w:rsidR="00863C99" w:rsidRPr="000E54EB">
        <w:trPr>
          <w:trHeight w:val="255"/>
        </w:trPr>
        <w:tc>
          <w:tcPr>
            <w:tcW w:w="6125" w:type="dxa"/>
            <w:tcBorders>
              <w:top w:val="single" w:sz="4" w:space="0" w:color="auto"/>
              <w:left w:val="single" w:sz="4" w:space="0" w:color="auto"/>
              <w:bottom w:val="single" w:sz="4" w:space="0" w:color="auto"/>
              <w:right w:val="single" w:sz="4" w:space="0" w:color="auto"/>
            </w:tcBorders>
            <w:noWrap/>
            <w:vAlign w:val="center"/>
          </w:tcPr>
          <w:p w:rsidR="00863C99" w:rsidRPr="000E54EB" w:rsidRDefault="00863C99" w:rsidP="00D53597">
            <w:pPr>
              <w:jc w:val="left"/>
              <w:rPr>
                <w:rFonts w:ascii="Verdana" w:hAnsi="Verdana" w:cs="Verdana"/>
                <w:b/>
                <w:bCs/>
                <w:sz w:val="20"/>
                <w:szCs w:val="20"/>
                <w:lang w:eastAsia="bg-BG"/>
              </w:rPr>
            </w:pPr>
            <w:r w:rsidRPr="000E54EB">
              <w:rPr>
                <w:rFonts w:ascii="Verdana" w:hAnsi="Verdana" w:cs="Verdana"/>
                <w:b/>
                <w:bCs/>
                <w:sz w:val="20"/>
                <w:szCs w:val="20"/>
                <w:lang w:eastAsia="bg-BG"/>
              </w:rPr>
              <w:t>Вид</w:t>
            </w:r>
          </w:p>
        </w:tc>
        <w:tc>
          <w:tcPr>
            <w:tcW w:w="1677" w:type="dxa"/>
            <w:gridSpan w:val="2"/>
            <w:tcBorders>
              <w:top w:val="single" w:sz="4" w:space="0" w:color="auto"/>
              <w:left w:val="single" w:sz="4" w:space="0" w:color="auto"/>
              <w:bottom w:val="single" w:sz="4" w:space="0" w:color="auto"/>
              <w:right w:val="single" w:sz="4" w:space="0" w:color="auto"/>
            </w:tcBorders>
            <w:noWrap/>
            <w:vAlign w:val="center"/>
          </w:tcPr>
          <w:p w:rsidR="00863C99" w:rsidRPr="000E54EB" w:rsidRDefault="00C30599" w:rsidP="00235E42">
            <w:pPr>
              <w:jc w:val="center"/>
              <w:rPr>
                <w:rFonts w:ascii="Verdana" w:hAnsi="Verdana" w:cs="Verdana"/>
                <w:b/>
                <w:bCs/>
                <w:sz w:val="20"/>
                <w:szCs w:val="20"/>
                <w:lang w:eastAsia="bg-BG"/>
              </w:rPr>
            </w:pPr>
            <w:r>
              <w:rPr>
                <w:rFonts w:ascii="Verdana" w:hAnsi="Verdana" w:cs="Verdana"/>
                <w:b/>
                <w:bCs/>
                <w:sz w:val="20"/>
                <w:szCs w:val="20"/>
                <w:lang w:eastAsia="bg-BG"/>
              </w:rPr>
              <w:t>30.06.2020</w:t>
            </w:r>
            <w:r w:rsidR="00863C99" w:rsidRPr="000E54EB">
              <w:rPr>
                <w:rFonts w:ascii="Verdana" w:hAnsi="Verdana" w:cs="Verdana"/>
                <w:b/>
                <w:bCs/>
                <w:sz w:val="20"/>
                <w:szCs w:val="20"/>
                <w:lang w:eastAsia="bg-BG"/>
              </w:rPr>
              <w:t xml:space="preserve"> г.</w:t>
            </w:r>
          </w:p>
        </w:tc>
        <w:tc>
          <w:tcPr>
            <w:tcW w:w="1833" w:type="dxa"/>
            <w:tcBorders>
              <w:top w:val="single" w:sz="4" w:space="0" w:color="auto"/>
              <w:left w:val="single" w:sz="4" w:space="0" w:color="auto"/>
              <w:bottom w:val="single" w:sz="4" w:space="0" w:color="auto"/>
              <w:right w:val="single" w:sz="4" w:space="0" w:color="auto"/>
            </w:tcBorders>
            <w:noWrap/>
            <w:vAlign w:val="center"/>
          </w:tcPr>
          <w:p w:rsidR="00863C99" w:rsidRPr="000E54EB" w:rsidRDefault="00863C99" w:rsidP="00C30599">
            <w:pPr>
              <w:jc w:val="center"/>
              <w:rPr>
                <w:rFonts w:ascii="Verdana" w:hAnsi="Verdana" w:cs="Verdana"/>
                <w:b/>
                <w:bCs/>
                <w:sz w:val="20"/>
                <w:szCs w:val="20"/>
                <w:lang w:eastAsia="bg-BG"/>
              </w:rPr>
            </w:pPr>
            <w:r w:rsidRPr="000E54EB">
              <w:rPr>
                <w:rFonts w:ascii="Verdana" w:hAnsi="Verdana" w:cs="Verdana"/>
                <w:b/>
                <w:bCs/>
                <w:sz w:val="20"/>
                <w:szCs w:val="20"/>
                <w:lang w:eastAsia="bg-BG"/>
              </w:rPr>
              <w:t>31.12.201</w:t>
            </w:r>
            <w:r w:rsidR="00C30599">
              <w:rPr>
                <w:rFonts w:ascii="Verdana" w:hAnsi="Verdana" w:cs="Verdana"/>
                <w:b/>
                <w:bCs/>
                <w:sz w:val="20"/>
                <w:szCs w:val="20"/>
                <w:lang w:eastAsia="bg-BG"/>
              </w:rPr>
              <w:t>9</w:t>
            </w:r>
            <w:r w:rsidRPr="000E54EB">
              <w:rPr>
                <w:rFonts w:ascii="Verdana" w:hAnsi="Verdana" w:cs="Verdana"/>
                <w:b/>
                <w:bCs/>
                <w:sz w:val="20"/>
                <w:szCs w:val="20"/>
                <w:lang w:eastAsia="bg-BG"/>
              </w:rPr>
              <w:t xml:space="preserve"> г.</w:t>
            </w:r>
          </w:p>
        </w:tc>
      </w:tr>
      <w:tr w:rsidR="00C30599" w:rsidRPr="000E54EB">
        <w:trPr>
          <w:trHeight w:val="255"/>
        </w:trPr>
        <w:tc>
          <w:tcPr>
            <w:tcW w:w="6125" w:type="dxa"/>
            <w:tcBorders>
              <w:top w:val="single" w:sz="4" w:space="0" w:color="auto"/>
              <w:left w:val="single" w:sz="4" w:space="0" w:color="auto"/>
              <w:bottom w:val="single" w:sz="4" w:space="0" w:color="auto"/>
              <w:right w:val="single" w:sz="4" w:space="0" w:color="auto"/>
            </w:tcBorders>
            <w:noWrap/>
            <w:vAlign w:val="center"/>
          </w:tcPr>
          <w:p w:rsidR="00C30599" w:rsidRPr="000E54EB" w:rsidRDefault="00C30599" w:rsidP="00D53597">
            <w:pPr>
              <w:jc w:val="left"/>
              <w:rPr>
                <w:rFonts w:ascii="Verdana" w:hAnsi="Verdana" w:cs="Verdana"/>
                <w:b/>
                <w:bCs/>
                <w:sz w:val="20"/>
                <w:szCs w:val="20"/>
                <w:lang w:eastAsia="bg-BG"/>
              </w:rPr>
            </w:pPr>
            <w:r w:rsidRPr="000E54EB">
              <w:rPr>
                <w:rFonts w:ascii="Verdana" w:hAnsi="Verdana" w:cs="Verdana"/>
                <w:b/>
                <w:bCs/>
                <w:sz w:val="20"/>
                <w:szCs w:val="20"/>
                <w:lang w:eastAsia="bg-BG"/>
              </w:rPr>
              <w:t>Текущи материални запаси, в т.ч.: /нето/</w:t>
            </w:r>
          </w:p>
        </w:tc>
        <w:tc>
          <w:tcPr>
            <w:tcW w:w="1677" w:type="dxa"/>
            <w:gridSpan w:val="2"/>
            <w:tcBorders>
              <w:top w:val="single" w:sz="4" w:space="0" w:color="auto"/>
              <w:left w:val="single" w:sz="4" w:space="0" w:color="auto"/>
              <w:bottom w:val="single" w:sz="4" w:space="0" w:color="auto"/>
              <w:right w:val="single" w:sz="4" w:space="0" w:color="auto"/>
            </w:tcBorders>
            <w:noWrap/>
            <w:vAlign w:val="center"/>
          </w:tcPr>
          <w:p w:rsidR="00C30599" w:rsidRPr="00C30599" w:rsidRDefault="00C30599" w:rsidP="00B95806">
            <w:pPr>
              <w:jc w:val="center"/>
              <w:rPr>
                <w:rFonts w:ascii="Verdana" w:hAnsi="Verdana" w:cs="Verdana"/>
                <w:b/>
                <w:bCs/>
                <w:sz w:val="20"/>
                <w:szCs w:val="20"/>
                <w:lang w:eastAsia="bg-BG"/>
              </w:rPr>
            </w:pPr>
            <w:r>
              <w:rPr>
                <w:rFonts w:ascii="Verdana" w:hAnsi="Verdana" w:cs="Verdana"/>
                <w:b/>
                <w:bCs/>
                <w:sz w:val="20"/>
                <w:szCs w:val="20"/>
                <w:lang w:eastAsia="bg-BG"/>
              </w:rPr>
              <w:t>1</w:t>
            </w:r>
            <w:r>
              <w:rPr>
                <w:rFonts w:ascii="Verdana" w:hAnsi="Verdana" w:cs="Verdana"/>
                <w:b/>
                <w:bCs/>
                <w:sz w:val="20"/>
                <w:szCs w:val="20"/>
                <w:lang w:val="en-US" w:eastAsia="bg-BG"/>
              </w:rPr>
              <w:t>6</w:t>
            </w:r>
            <w:r>
              <w:rPr>
                <w:rFonts w:ascii="Verdana" w:hAnsi="Verdana" w:cs="Verdana"/>
                <w:b/>
                <w:bCs/>
                <w:sz w:val="20"/>
                <w:szCs w:val="20"/>
                <w:lang w:eastAsia="bg-BG"/>
              </w:rPr>
              <w:t>4</w:t>
            </w:r>
          </w:p>
        </w:tc>
        <w:tc>
          <w:tcPr>
            <w:tcW w:w="1833" w:type="dxa"/>
            <w:tcBorders>
              <w:top w:val="single" w:sz="4" w:space="0" w:color="auto"/>
              <w:left w:val="single" w:sz="4" w:space="0" w:color="auto"/>
              <w:bottom w:val="single" w:sz="4" w:space="0" w:color="auto"/>
              <w:right w:val="single" w:sz="4" w:space="0" w:color="auto"/>
            </w:tcBorders>
            <w:noWrap/>
            <w:vAlign w:val="center"/>
          </w:tcPr>
          <w:p w:rsidR="00C30599" w:rsidRPr="004D0AB9" w:rsidRDefault="00C30599" w:rsidP="00BA0F26">
            <w:pPr>
              <w:jc w:val="center"/>
              <w:rPr>
                <w:rFonts w:ascii="Verdana" w:hAnsi="Verdana" w:cs="Verdana"/>
                <w:b/>
                <w:bCs/>
                <w:sz w:val="20"/>
                <w:szCs w:val="20"/>
                <w:lang w:val="en-US" w:eastAsia="bg-BG"/>
              </w:rPr>
            </w:pPr>
            <w:r>
              <w:rPr>
                <w:rFonts w:ascii="Verdana" w:hAnsi="Verdana" w:cs="Verdana"/>
                <w:b/>
                <w:bCs/>
                <w:sz w:val="20"/>
                <w:szCs w:val="20"/>
                <w:lang w:eastAsia="bg-BG"/>
              </w:rPr>
              <w:t>1</w:t>
            </w:r>
            <w:r>
              <w:rPr>
                <w:rFonts w:ascii="Verdana" w:hAnsi="Verdana" w:cs="Verdana"/>
                <w:b/>
                <w:bCs/>
                <w:sz w:val="20"/>
                <w:szCs w:val="20"/>
                <w:lang w:val="en-US" w:eastAsia="bg-BG"/>
              </w:rPr>
              <w:t>62</w:t>
            </w:r>
          </w:p>
        </w:tc>
      </w:tr>
      <w:tr w:rsidR="00C30599" w:rsidRPr="000E54EB">
        <w:trPr>
          <w:trHeight w:val="255"/>
        </w:trPr>
        <w:tc>
          <w:tcPr>
            <w:tcW w:w="6125" w:type="dxa"/>
            <w:tcBorders>
              <w:top w:val="single" w:sz="4" w:space="0" w:color="auto"/>
              <w:left w:val="single" w:sz="4" w:space="0" w:color="auto"/>
              <w:bottom w:val="single" w:sz="4" w:space="0" w:color="auto"/>
              <w:right w:val="single" w:sz="4" w:space="0" w:color="auto"/>
            </w:tcBorders>
            <w:noWrap/>
            <w:vAlign w:val="center"/>
          </w:tcPr>
          <w:p w:rsidR="00C30599" w:rsidRPr="000E54EB" w:rsidRDefault="00C30599" w:rsidP="00D53597">
            <w:pPr>
              <w:jc w:val="left"/>
              <w:rPr>
                <w:rFonts w:ascii="Verdana" w:hAnsi="Verdana" w:cs="Verdana"/>
                <w:sz w:val="20"/>
                <w:szCs w:val="20"/>
                <w:lang w:eastAsia="bg-BG"/>
              </w:rPr>
            </w:pPr>
            <w:r w:rsidRPr="000E54EB">
              <w:rPr>
                <w:rFonts w:ascii="Verdana" w:hAnsi="Verdana" w:cs="Verdana"/>
                <w:sz w:val="20"/>
                <w:szCs w:val="20"/>
                <w:lang w:eastAsia="bg-BG"/>
              </w:rPr>
              <w:t>Основни материали</w:t>
            </w:r>
          </w:p>
        </w:tc>
        <w:tc>
          <w:tcPr>
            <w:tcW w:w="1677" w:type="dxa"/>
            <w:gridSpan w:val="2"/>
            <w:tcBorders>
              <w:top w:val="single" w:sz="4" w:space="0" w:color="auto"/>
              <w:left w:val="single" w:sz="4" w:space="0" w:color="auto"/>
              <w:bottom w:val="single" w:sz="4" w:space="0" w:color="auto"/>
              <w:right w:val="single" w:sz="4" w:space="0" w:color="auto"/>
            </w:tcBorders>
            <w:noWrap/>
            <w:vAlign w:val="center"/>
          </w:tcPr>
          <w:p w:rsidR="00C30599" w:rsidRPr="00C30599" w:rsidRDefault="00C30599" w:rsidP="00B95806">
            <w:pPr>
              <w:jc w:val="center"/>
              <w:rPr>
                <w:rFonts w:ascii="Verdana" w:hAnsi="Verdana" w:cs="Verdana"/>
                <w:sz w:val="20"/>
                <w:szCs w:val="20"/>
                <w:lang w:eastAsia="bg-BG"/>
              </w:rPr>
            </w:pPr>
            <w:r>
              <w:rPr>
                <w:rFonts w:ascii="Verdana" w:hAnsi="Verdana" w:cs="Verdana"/>
                <w:sz w:val="20"/>
                <w:szCs w:val="20"/>
                <w:lang w:eastAsia="bg-BG"/>
              </w:rPr>
              <w:t>18</w:t>
            </w:r>
          </w:p>
        </w:tc>
        <w:tc>
          <w:tcPr>
            <w:tcW w:w="1833" w:type="dxa"/>
            <w:tcBorders>
              <w:top w:val="single" w:sz="4" w:space="0" w:color="auto"/>
              <w:left w:val="single" w:sz="4" w:space="0" w:color="auto"/>
              <w:bottom w:val="single" w:sz="4" w:space="0" w:color="auto"/>
              <w:right w:val="single" w:sz="4" w:space="0" w:color="auto"/>
            </w:tcBorders>
            <w:noWrap/>
            <w:vAlign w:val="center"/>
          </w:tcPr>
          <w:p w:rsidR="00C30599" w:rsidRPr="004D0AB9" w:rsidRDefault="00C30599" w:rsidP="00BA0F26">
            <w:pPr>
              <w:jc w:val="center"/>
              <w:rPr>
                <w:rFonts w:ascii="Verdana" w:hAnsi="Verdana" w:cs="Verdana"/>
                <w:sz w:val="20"/>
                <w:szCs w:val="20"/>
                <w:lang w:val="en-US" w:eastAsia="bg-BG"/>
              </w:rPr>
            </w:pPr>
            <w:r>
              <w:rPr>
                <w:rFonts w:ascii="Verdana" w:hAnsi="Verdana" w:cs="Verdana"/>
                <w:sz w:val="20"/>
                <w:szCs w:val="20"/>
                <w:lang w:eastAsia="bg-BG"/>
              </w:rPr>
              <w:t>2</w:t>
            </w:r>
            <w:r>
              <w:rPr>
                <w:rFonts w:ascii="Verdana" w:hAnsi="Verdana" w:cs="Verdana"/>
                <w:sz w:val="20"/>
                <w:szCs w:val="20"/>
                <w:lang w:val="en-US" w:eastAsia="bg-BG"/>
              </w:rPr>
              <w:t>0</w:t>
            </w:r>
          </w:p>
        </w:tc>
      </w:tr>
      <w:tr w:rsidR="00C30599" w:rsidRPr="000E54EB">
        <w:trPr>
          <w:trHeight w:val="255"/>
        </w:trPr>
        <w:tc>
          <w:tcPr>
            <w:tcW w:w="6125" w:type="dxa"/>
            <w:tcBorders>
              <w:top w:val="single" w:sz="4" w:space="0" w:color="auto"/>
              <w:left w:val="single" w:sz="4" w:space="0" w:color="auto"/>
              <w:bottom w:val="single" w:sz="4" w:space="0" w:color="auto"/>
              <w:right w:val="single" w:sz="4" w:space="0" w:color="auto"/>
            </w:tcBorders>
            <w:noWrap/>
            <w:vAlign w:val="center"/>
          </w:tcPr>
          <w:p w:rsidR="00C30599" w:rsidRPr="000E54EB" w:rsidRDefault="00C30599" w:rsidP="00D53597">
            <w:pPr>
              <w:jc w:val="left"/>
              <w:rPr>
                <w:rFonts w:ascii="Verdana" w:hAnsi="Verdana" w:cs="Verdana"/>
                <w:sz w:val="20"/>
                <w:szCs w:val="20"/>
                <w:lang w:eastAsia="bg-BG"/>
              </w:rPr>
            </w:pPr>
            <w:r w:rsidRPr="000E54EB">
              <w:rPr>
                <w:rFonts w:ascii="Verdana" w:hAnsi="Verdana" w:cs="Verdana"/>
                <w:sz w:val="20"/>
                <w:szCs w:val="20"/>
                <w:lang w:eastAsia="bg-BG"/>
              </w:rPr>
              <w:t>Резервни части</w:t>
            </w:r>
          </w:p>
        </w:tc>
        <w:tc>
          <w:tcPr>
            <w:tcW w:w="1677" w:type="dxa"/>
            <w:gridSpan w:val="2"/>
            <w:tcBorders>
              <w:top w:val="single" w:sz="4" w:space="0" w:color="auto"/>
              <w:left w:val="single" w:sz="4" w:space="0" w:color="auto"/>
              <w:bottom w:val="single" w:sz="4" w:space="0" w:color="auto"/>
              <w:right w:val="single" w:sz="4" w:space="0" w:color="auto"/>
            </w:tcBorders>
            <w:noWrap/>
            <w:vAlign w:val="center"/>
          </w:tcPr>
          <w:p w:rsidR="00C30599" w:rsidRPr="00C30599" w:rsidRDefault="00C30599" w:rsidP="00B95806">
            <w:pPr>
              <w:jc w:val="center"/>
              <w:rPr>
                <w:rFonts w:ascii="Verdana" w:hAnsi="Verdana" w:cs="Verdana"/>
                <w:sz w:val="20"/>
                <w:szCs w:val="20"/>
                <w:lang w:eastAsia="bg-BG"/>
              </w:rPr>
            </w:pPr>
            <w:r>
              <w:rPr>
                <w:rFonts w:ascii="Verdana" w:hAnsi="Verdana" w:cs="Verdana"/>
                <w:sz w:val="20"/>
                <w:szCs w:val="20"/>
                <w:lang w:eastAsia="bg-BG"/>
              </w:rPr>
              <w:t>51</w:t>
            </w:r>
          </w:p>
        </w:tc>
        <w:tc>
          <w:tcPr>
            <w:tcW w:w="1833" w:type="dxa"/>
            <w:tcBorders>
              <w:top w:val="single" w:sz="4" w:space="0" w:color="auto"/>
              <w:left w:val="single" w:sz="4" w:space="0" w:color="auto"/>
              <w:bottom w:val="single" w:sz="4" w:space="0" w:color="auto"/>
              <w:right w:val="single" w:sz="4" w:space="0" w:color="auto"/>
            </w:tcBorders>
            <w:noWrap/>
            <w:vAlign w:val="center"/>
          </w:tcPr>
          <w:p w:rsidR="00C30599" w:rsidRPr="004D0AB9" w:rsidRDefault="00C30599" w:rsidP="00BA0F26">
            <w:pPr>
              <w:jc w:val="center"/>
              <w:rPr>
                <w:rFonts w:ascii="Verdana" w:hAnsi="Verdana" w:cs="Verdana"/>
                <w:sz w:val="20"/>
                <w:szCs w:val="20"/>
                <w:lang w:val="en-US" w:eastAsia="bg-BG"/>
              </w:rPr>
            </w:pPr>
            <w:r>
              <w:rPr>
                <w:rFonts w:ascii="Verdana" w:hAnsi="Verdana" w:cs="Verdana"/>
                <w:sz w:val="20"/>
                <w:szCs w:val="20"/>
                <w:lang w:eastAsia="bg-BG"/>
              </w:rPr>
              <w:t>4</w:t>
            </w:r>
            <w:r>
              <w:rPr>
                <w:rFonts w:ascii="Verdana" w:hAnsi="Verdana" w:cs="Verdana"/>
                <w:sz w:val="20"/>
                <w:szCs w:val="20"/>
                <w:lang w:val="en-US" w:eastAsia="bg-BG"/>
              </w:rPr>
              <w:t>7</w:t>
            </w:r>
          </w:p>
        </w:tc>
      </w:tr>
      <w:tr w:rsidR="00C30599" w:rsidRPr="000E54EB">
        <w:trPr>
          <w:trHeight w:val="255"/>
        </w:trPr>
        <w:tc>
          <w:tcPr>
            <w:tcW w:w="6125" w:type="dxa"/>
            <w:tcBorders>
              <w:top w:val="single" w:sz="4" w:space="0" w:color="auto"/>
              <w:left w:val="single" w:sz="4" w:space="0" w:color="auto"/>
              <w:bottom w:val="single" w:sz="4" w:space="0" w:color="auto"/>
              <w:right w:val="single" w:sz="4" w:space="0" w:color="auto"/>
            </w:tcBorders>
            <w:noWrap/>
            <w:vAlign w:val="center"/>
          </w:tcPr>
          <w:p w:rsidR="00C30599" w:rsidRPr="000E54EB" w:rsidRDefault="00C30599" w:rsidP="00D53597">
            <w:pPr>
              <w:jc w:val="left"/>
              <w:rPr>
                <w:rFonts w:ascii="Verdana" w:hAnsi="Verdana" w:cs="Verdana"/>
                <w:sz w:val="20"/>
                <w:szCs w:val="20"/>
                <w:lang w:eastAsia="bg-BG"/>
              </w:rPr>
            </w:pPr>
            <w:r w:rsidRPr="000E54EB">
              <w:rPr>
                <w:rFonts w:ascii="Verdana" w:hAnsi="Verdana" w:cs="Verdana"/>
                <w:sz w:val="20"/>
                <w:szCs w:val="20"/>
                <w:lang w:eastAsia="bg-BG"/>
              </w:rPr>
              <w:t>Горива и смазочни материали</w:t>
            </w:r>
          </w:p>
        </w:tc>
        <w:tc>
          <w:tcPr>
            <w:tcW w:w="1677" w:type="dxa"/>
            <w:gridSpan w:val="2"/>
            <w:tcBorders>
              <w:top w:val="single" w:sz="4" w:space="0" w:color="auto"/>
              <w:left w:val="single" w:sz="4" w:space="0" w:color="auto"/>
              <w:bottom w:val="single" w:sz="4" w:space="0" w:color="auto"/>
              <w:right w:val="single" w:sz="4" w:space="0" w:color="auto"/>
            </w:tcBorders>
            <w:noWrap/>
            <w:vAlign w:val="center"/>
          </w:tcPr>
          <w:p w:rsidR="00C30599" w:rsidRPr="004D0AB9" w:rsidRDefault="00C30599" w:rsidP="00B95806">
            <w:pPr>
              <w:jc w:val="center"/>
              <w:rPr>
                <w:rFonts w:ascii="Verdana" w:hAnsi="Verdana" w:cs="Verdana"/>
                <w:sz w:val="20"/>
                <w:szCs w:val="20"/>
                <w:lang w:val="en-US" w:eastAsia="bg-BG"/>
              </w:rPr>
            </w:pPr>
            <w:r>
              <w:rPr>
                <w:rFonts w:ascii="Verdana" w:hAnsi="Verdana" w:cs="Verdana"/>
                <w:sz w:val="20"/>
                <w:szCs w:val="20"/>
                <w:lang w:eastAsia="bg-BG"/>
              </w:rPr>
              <w:t>1</w:t>
            </w:r>
            <w:r>
              <w:rPr>
                <w:rFonts w:ascii="Verdana" w:hAnsi="Verdana" w:cs="Verdana"/>
                <w:sz w:val="20"/>
                <w:szCs w:val="20"/>
                <w:lang w:val="en-US" w:eastAsia="bg-BG"/>
              </w:rPr>
              <w:t>28</w:t>
            </w:r>
          </w:p>
        </w:tc>
        <w:tc>
          <w:tcPr>
            <w:tcW w:w="1833" w:type="dxa"/>
            <w:tcBorders>
              <w:top w:val="single" w:sz="4" w:space="0" w:color="auto"/>
              <w:left w:val="single" w:sz="4" w:space="0" w:color="auto"/>
              <w:bottom w:val="single" w:sz="4" w:space="0" w:color="auto"/>
              <w:right w:val="single" w:sz="4" w:space="0" w:color="auto"/>
            </w:tcBorders>
            <w:noWrap/>
            <w:vAlign w:val="center"/>
          </w:tcPr>
          <w:p w:rsidR="00C30599" w:rsidRPr="004D0AB9" w:rsidRDefault="00C30599" w:rsidP="00BA0F26">
            <w:pPr>
              <w:jc w:val="center"/>
              <w:rPr>
                <w:rFonts w:ascii="Verdana" w:hAnsi="Verdana" w:cs="Verdana"/>
                <w:sz w:val="20"/>
                <w:szCs w:val="20"/>
                <w:lang w:val="en-US" w:eastAsia="bg-BG"/>
              </w:rPr>
            </w:pPr>
            <w:r>
              <w:rPr>
                <w:rFonts w:ascii="Verdana" w:hAnsi="Verdana" w:cs="Verdana"/>
                <w:sz w:val="20"/>
                <w:szCs w:val="20"/>
                <w:lang w:eastAsia="bg-BG"/>
              </w:rPr>
              <w:t>1</w:t>
            </w:r>
            <w:r>
              <w:rPr>
                <w:rFonts w:ascii="Verdana" w:hAnsi="Verdana" w:cs="Verdana"/>
                <w:sz w:val="20"/>
                <w:szCs w:val="20"/>
                <w:lang w:val="en-US" w:eastAsia="bg-BG"/>
              </w:rPr>
              <w:t>28</w:t>
            </w:r>
          </w:p>
        </w:tc>
      </w:tr>
      <w:tr w:rsidR="00C30599" w:rsidRPr="000E54EB">
        <w:trPr>
          <w:trHeight w:val="255"/>
        </w:trPr>
        <w:tc>
          <w:tcPr>
            <w:tcW w:w="6125" w:type="dxa"/>
            <w:tcBorders>
              <w:top w:val="single" w:sz="4" w:space="0" w:color="auto"/>
              <w:left w:val="single" w:sz="4" w:space="0" w:color="auto"/>
              <w:bottom w:val="single" w:sz="4" w:space="0" w:color="auto"/>
              <w:right w:val="single" w:sz="4" w:space="0" w:color="auto"/>
            </w:tcBorders>
            <w:vAlign w:val="center"/>
          </w:tcPr>
          <w:p w:rsidR="00C30599" w:rsidRPr="000E54EB" w:rsidRDefault="00C30599" w:rsidP="00D53597">
            <w:pPr>
              <w:jc w:val="left"/>
              <w:rPr>
                <w:rFonts w:ascii="Verdana" w:hAnsi="Verdana" w:cs="Verdana"/>
                <w:sz w:val="20"/>
                <w:szCs w:val="20"/>
                <w:lang w:eastAsia="bg-BG"/>
              </w:rPr>
            </w:pPr>
            <w:r w:rsidRPr="000E54EB">
              <w:rPr>
                <w:rFonts w:ascii="Verdana" w:hAnsi="Verdana" w:cs="Verdana"/>
                <w:sz w:val="20"/>
                <w:szCs w:val="20"/>
                <w:lang w:eastAsia="bg-BG"/>
              </w:rPr>
              <w:t>Загуби от обезценки, които са признати в отчета за доходите</w:t>
            </w:r>
          </w:p>
        </w:tc>
        <w:tc>
          <w:tcPr>
            <w:tcW w:w="1677" w:type="dxa"/>
            <w:gridSpan w:val="2"/>
            <w:tcBorders>
              <w:top w:val="single" w:sz="4" w:space="0" w:color="auto"/>
              <w:left w:val="single" w:sz="4" w:space="0" w:color="auto"/>
              <w:bottom w:val="single" w:sz="4" w:space="0" w:color="auto"/>
              <w:right w:val="single" w:sz="4" w:space="0" w:color="auto"/>
            </w:tcBorders>
            <w:noWrap/>
            <w:vAlign w:val="center"/>
          </w:tcPr>
          <w:p w:rsidR="00C30599" w:rsidRPr="000E54EB" w:rsidRDefault="00C30599" w:rsidP="00B95806">
            <w:pPr>
              <w:jc w:val="center"/>
              <w:rPr>
                <w:rFonts w:ascii="Verdana" w:hAnsi="Verdana" w:cs="Verdana"/>
                <w:sz w:val="20"/>
                <w:szCs w:val="20"/>
                <w:lang w:eastAsia="bg-BG"/>
              </w:rPr>
            </w:pPr>
            <w:r>
              <w:rPr>
                <w:rFonts w:ascii="Verdana" w:hAnsi="Verdana" w:cs="Verdana"/>
                <w:sz w:val="20"/>
                <w:szCs w:val="20"/>
                <w:lang w:eastAsia="bg-BG"/>
              </w:rPr>
              <w:t>(</w:t>
            </w:r>
            <w:r>
              <w:rPr>
                <w:rFonts w:ascii="Verdana" w:hAnsi="Verdana" w:cs="Verdana"/>
                <w:sz w:val="20"/>
                <w:szCs w:val="20"/>
                <w:lang w:val="en-US" w:eastAsia="bg-BG"/>
              </w:rPr>
              <w:t>33</w:t>
            </w:r>
            <w:r w:rsidRPr="000E54EB">
              <w:rPr>
                <w:rFonts w:ascii="Verdana" w:hAnsi="Verdana" w:cs="Verdana"/>
                <w:sz w:val="20"/>
                <w:szCs w:val="20"/>
                <w:lang w:eastAsia="bg-BG"/>
              </w:rPr>
              <w:t>)</w:t>
            </w:r>
          </w:p>
        </w:tc>
        <w:tc>
          <w:tcPr>
            <w:tcW w:w="1833" w:type="dxa"/>
            <w:tcBorders>
              <w:top w:val="single" w:sz="4" w:space="0" w:color="auto"/>
              <w:left w:val="single" w:sz="4" w:space="0" w:color="auto"/>
              <w:bottom w:val="single" w:sz="4" w:space="0" w:color="auto"/>
              <w:right w:val="single" w:sz="4" w:space="0" w:color="auto"/>
            </w:tcBorders>
            <w:noWrap/>
            <w:vAlign w:val="center"/>
          </w:tcPr>
          <w:p w:rsidR="00C30599" w:rsidRPr="000E54EB" w:rsidRDefault="00C30599" w:rsidP="00BA0F26">
            <w:pPr>
              <w:jc w:val="center"/>
              <w:rPr>
                <w:rFonts w:ascii="Verdana" w:hAnsi="Verdana" w:cs="Verdana"/>
                <w:sz w:val="20"/>
                <w:szCs w:val="20"/>
                <w:lang w:eastAsia="bg-BG"/>
              </w:rPr>
            </w:pPr>
            <w:r>
              <w:rPr>
                <w:rFonts w:ascii="Verdana" w:hAnsi="Verdana" w:cs="Verdana"/>
                <w:sz w:val="20"/>
                <w:szCs w:val="20"/>
                <w:lang w:eastAsia="bg-BG"/>
              </w:rPr>
              <w:t>(</w:t>
            </w:r>
            <w:r>
              <w:rPr>
                <w:rFonts w:ascii="Verdana" w:hAnsi="Verdana" w:cs="Verdana"/>
                <w:sz w:val="20"/>
                <w:szCs w:val="20"/>
                <w:lang w:val="en-US" w:eastAsia="bg-BG"/>
              </w:rPr>
              <w:t>33</w:t>
            </w:r>
            <w:r w:rsidRPr="000E54EB">
              <w:rPr>
                <w:rFonts w:ascii="Verdana" w:hAnsi="Verdana" w:cs="Verdana"/>
                <w:sz w:val="20"/>
                <w:szCs w:val="20"/>
                <w:lang w:eastAsia="bg-BG"/>
              </w:rPr>
              <w:t>)</w:t>
            </w:r>
          </w:p>
        </w:tc>
      </w:tr>
      <w:tr w:rsidR="00C30599" w:rsidRPr="000E54EB">
        <w:trPr>
          <w:trHeight w:val="255"/>
        </w:trPr>
        <w:tc>
          <w:tcPr>
            <w:tcW w:w="6125" w:type="dxa"/>
            <w:tcBorders>
              <w:top w:val="single" w:sz="4" w:space="0" w:color="auto"/>
              <w:left w:val="single" w:sz="4" w:space="0" w:color="auto"/>
              <w:bottom w:val="single" w:sz="4" w:space="0" w:color="auto"/>
              <w:right w:val="single" w:sz="4" w:space="0" w:color="auto"/>
            </w:tcBorders>
            <w:shd w:val="clear" w:color="000000" w:fill="C5D9F1"/>
            <w:noWrap/>
            <w:vAlign w:val="center"/>
          </w:tcPr>
          <w:p w:rsidR="00C30599" w:rsidRPr="000E54EB" w:rsidRDefault="00C30599" w:rsidP="00D53597">
            <w:pPr>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1677"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rsidR="00C30599" w:rsidRPr="00C30599" w:rsidRDefault="00C30599" w:rsidP="00B95806">
            <w:pPr>
              <w:jc w:val="center"/>
              <w:rPr>
                <w:rFonts w:ascii="Verdana" w:hAnsi="Verdana" w:cs="Verdana"/>
                <w:b/>
                <w:bCs/>
                <w:sz w:val="20"/>
                <w:szCs w:val="20"/>
                <w:lang w:eastAsia="bg-BG"/>
              </w:rPr>
            </w:pPr>
            <w:r>
              <w:rPr>
                <w:rFonts w:ascii="Verdana" w:hAnsi="Verdana" w:cs="Verdana"/>
                <w:b/>
                <w:bCs/>
                <w:sz w:val="20"/>
                <w:szCs w:val="20"/>
                <w:lang w:val="en-US" w:eastAsia="bg-BG"/>
              </w:rPr>
              <w:t>16</w:t>
            </w:r>
            <w:r>
              <w:rPr>
                <w:rFonts w:ascii="Verdana" w:hAnsi="Verdana" w:cs="Verdana"/>
                <w:b/>
                <w:bCs/>
                <w:sz w:val="20"/>
                <w:szCs w:val="20"/>
                <w:lang w:eastAsia="bg-BG"/>
              </w:rPr>
              <w:t>4</w:t>
            </w:r>
          </w:p>
        </w:tc>
        <w:tc>
          <w:tcPr>
            <w:tcW w:w="1833" w:type="dxa"/>
            <w:tcBorders>
              <w:top w:val="single" w:sz="4" w:space="0" w:color="auto"/>
              <w:left w:val="single" w:sz="4" w:space="0" w:color="auto"/>
              <w:bottom w:val="single" w:sz="4" w:space="0" w:color="auto"/>
              <w:right w:val="single" w:sz="4" w:space="0" w:color="auto"/>
            </w:tcBorders>
            <w:shd w:val="clear" w:color="000000" w:fill="C5D9F1"/>
            <w:noWrap/>
            <w:vAlign w:val="center"/>
          </w:tcPr>
          <w:p w:rsidR="00C30599" w:rsidRPr="004D0AB9" w:rsidRDefault="00C30599" w:rsidP="00BA0F26">
            <w:pPr>
              <w:jc w:val="center"/>
              <w:rPr>
                <w:rFonts w:ascii="Verdana" w:hAnsi="Verdana" w:cs="Verdana"/>
                <w:b/>
                <w:bCs/>
                <w:sz w:val="20"/>
                <w:szCs w:val="20"/>
                <w:lang w:val="en-US" w:eastAsia="bg-BG"/>
              </w:rPr>
            </w:pPr>
            <w:r>
              <w:rPr>
                <w:rFonts w:ascii="Verdana" w:hAnsi="Verdana" w:cs="Verdana"/>
                <w:b/>
                <w:bCs/>
                <w:sz w:val="20"/>
                <w:szCs w:val="20"/>
                <w:lang w:val="en-US" w:eastAsia="bg-BG"/>
              </w:rPr>
              <w:t>162</w:t>
            </w:r>
          </w:p>
        </w:tc>
      </w:tr>
      <w:tr w:rsidR="00C30599" w:rsidRPr="000E54EB">
        <w:trPr>
          <w:trHeight w:val="255"/>
        </w:trPr>
        <w:tc>
          <w:tcPr>
            <w:tcW w:w="6242" w:type="dxa"/>
            <w:gridSpan w:val="2"/>
            <w:tcBorders>
              <w:top w:val="single" w:sz="4" w:space="0" w:color="auto"/>
              <w:left w:val="nil"/>
              <w:bottom w:val="nil"/>
              <w:right w:val="nil"/>
            </w:tcBorders>
            <w:noWrap/>
            <w:vAlign w:val="center"/>
          </w:tcPr>
          <w:p w:rsidR="00C30599" w:rsidRPr="000E54EB" w:rsidRDefault="00C30599" w:rsidP="00D53597">
            <w:pPr>
              <w:jc w:val="left"/>
              <w:rPr>
                <w:rFonts w:ascii="Verdana" w:hAnsi="Verdana" w:cs="Verdana"/>
                <w:sz w:val="20"/>
                <w:szCs w:val="20"/>
                <w:lang w:eastAsia="bg-BG"/>
              </w:rPr>
            </w:pPr>
            <w:r w:rsidRPr="000E54EB">
              <w:rPr>
                <w:rFonts w:ascii="Verdana" w:hAnsi="Verdana" w:cs="Verdana"/>
                <w:sz w:val="20"/>
                <w:szCs w:val="20"/>
                <w:lang w:eastAsia="bg-BG"/>
              </w:rPr>
              <w:t> </w:t>
            </w:r>
          </w:p>
        </w:tc>
        <w:tc>
          <w:tcPr>
            <w:tcW w:w="1560" w:type="dxa"/>
            <w:tcBorders>
              <w:top w:val="single" w:sz="4" w:space="0" w:color="auto"/>
              <w:left w:val="nil"/>
              <w:bottom w:val="nil"/>
              <w:right w:val="nil"/>
            </w:tcBorders>
            <w:noWrap/>
            <w:vAlign w:val="center"/>
          </w:tcPr>
          <w:p w:rsidR="00C30599" w:rsidRPr="000E54EB" w:rsidRDefault="00C30599" w:rsidP="00D53597">
            <w:pPr>
              <w:jc w:val="left"/>
              <w:rPr>
                <w:rFonts w:ascii="Verdana" w:hAnsi="Verdana" w:cs="Verdana"/>
                <w:sz w:val="20"/>
                <w:szCs w:val="20"/>
                <w:lang w:eastAsia="bg-BG"/>
              </w:rPr>
            </w:pPr>
            <w:r w:rsidRPr="000E54EB">
              <w:rPr>
                <w:rFonts w:ascii="Verdana" w:hAnsi="Verdana" w:cs="Verdana"/>
                <w:sz w:val="20"/>
                <w:szCs w:val="20"/>
                <w:lang w:eastAsia="bg-BG"/>
              </w:rPr>
              <w:t> </w:t>
            </w:r>
          </w:p>
        </w:tc>
        <w:tc>
          <w:tcPr>
            <w:tcW w:w="1833" w:type="dxa"/>
            <w:tcBorders>
              <w:top w:val="single" w:sz="4" w:space="0" w:color="auto"/>
              <w:left w:val="nil"/>
              <w:bottom w:val="nil"/>
              <w:right w:val="nil"/>
            </w:tcBorders>
            <w:noWrap/>
            <w:vAlign w:val="center"/>
          </w:tcPr>
          <w:p w:rsidR="00C30599" w:rsidRPr="000E54EB" w:rsidRDefault="00C30599" w:rsidP="00D53597">
            <w:pPr>
              <w:jc w:val="left"/>
              <w:rPr>
                <w:rFonts w:ascii="Verdana" w:hAnsi="Verdana" w:cs="Verdana"/>
                <w:sz w:val="20"/>
                <w:szCs w:val="20"/>
                <w:lang w:eastAsia="bg-BG"/>
              </w:rPr>
            </w:pPr>
            <w:r w:rsidRPr="000E54EB">
              <w:rPr>
                <w:rFonts w:ascii="Verdana" w:hAnsi="Verdana" w:cs="Verdana"/>
                <w:sz w:val="20"/>
                <w:szCs w:val="20"/>
                <w:lang w:eastAsia="bg-BG"/>
              </w:rPr>
              <w:t> </w:t>
            </w:r>
          </w:p>
        </w:tc>
      </w:tr>
      <w:tr w:rsidR="00C30599" w:rsidRPr="000E54EB">
        <w:trPr>
          <w:trHeight w:val="255"/>
        </w:trPr>
        <w:tc>
          <w:tcPr>
            <w:tcW w:w="9635" w:type="dxa"/>
            <w:gridSpan w:val="4"/>
            <w:tcBorders>
              <w:top w:val="single" w:sz="4" w:space="0" w:color="auto"/>
              <w:left w:val="single" w:sz="4" w:space="0" w:color="auto"/>
              <w:bottom w:val="single" w:sz="4" w:space="0" w:color="auto"/>
              <w:right w:val="single" w:sz="4" w:space="0" w:color="000000"/>
            </w:tcBorders>
            <w:vAlign w:val="center"/>
          </w:tcPr>
          <w:p w:rsidR="00C30599" w:rsidRPr="000E54EB" w:rsidRDefault="00C30599" w:rsidP="00D53597">
            <w:pPr>
              <w:jc w:val="left"/>
              <w:rPr>
                <w:rFonts w:ascii="Verdana" w:hAnsi="Verdana" w:cs="Verdana"/>
                <w:b/>
                <w:bCs/>
                <w:sz w:val="20"/>
                <w:szCs w:val="20"/>
                <w:lang w:eastAsia="bg-BG"/>
              </w:rPr>
            </w:pPr>
            <w:r w:rsidRPr="000E54EB">
              <w:rPr>
                <w:rFonts w:ascii="Verdana" w:hAnsi="Verdana" w:cs="Verdana"/>
                <w:b/>
                <w:bCs/>
                <w:sz w:val="20"/>
                <w:szCs w:val="20"/>
                <w:lang w:eastAsia="bg-BG"/>
              </w:rPr>
              <w:t>Сумата на материалните запаси призната като разход за текущият период</w:t>
            </w:r>
          </w:p>
        </w:tc>
      </w:tr>
      <w:tr w:rsidR="00C30599" w:rsidRPr="000E54EB">
        <w:trPr>
          <w:trHeight w:val="255"/>
        </w:trPr>
        <w:tc>
          <w:tcPr>
            <w:tcW w:w="6125" w:type="dxa"/>
            <w:tcBorders>
              <w:top w:val="nil"/>
              <w:left w:val="single" w:sz="4" w:space="0" w:color="auto"/>
              <w:bottom w:val="single" w:sz="4" w:space="0" w:color="auto"/>
              <w:right w:val="nil"/>
            </w:tcBorders>
            <w:noWrap/>
            <w:vAlign w:val="center"/>
          </w:tcPr>
          <w:p w:rsidR="00C30599" w:rsidRPr="000E54EB" w:rsidRDefault="00C30599" w:rsidP="00D53597">
            <w:pPr>
              <w:jc w:val="left"/>
              <w:rPr>
                <w:rFonts w:ascii="Verdana" w:hAnsi="Verdana" w:cs="Verdana"/>
                <w:b/>
                <w:bCs/>
                <w:sz w:val="20"/>
                <w:szCs w:val="20"/>
                <w:lang w:eastAsia="bg-BG"/>
              </w:rPr>
            </w:pPr>
            <w:r w:rsidRPr="000E54EB">
              <w:rPr>
                <w:rFonts w:ascii="Verdana" w:hAnsi="Verdana" w:cs="Verdana"/>
                <w:b/>
                <w:bCs/>
                <w:sz w:val="20"/>
                <w:szCs w:val="20"/>
                <w:lang w:eastAsia="bg-BG"/>
              </w:rPr>
              <w:t>Вид</w:t>
            </w:r>
          </w:p>
        </w:tc>
        <w:tc>
          <w:tcPr>
            <w:tcW w:w="1677" w:type="dxa"/>
            <w:gridSpan w:val="2"/>
            <w:tcBorders>
              <w:top w:val="nil"/>
              <w:left w:val="single" w:sz="4" w:space="0" w:color="auto"/>
              <w:bottom w:val="single" w:sz="4" w:space="0" w:color="auto"/>
              <w:right w:val="single" w:sz="4" w:space="0" w:color="auto"/>
            </w:tcBorders>
            <w:noWrap/>
            <w:vAlign w:val="center"/>
          </w:tcPr>
          <w:p w:rsidR="00C30599" w:rsidRPr="000E54EB" w:rsidRDefault="00490385" w:rsidP="00235E42">
            <w:pPr>
              <w:jc w:val="center"/>
              <w:rPr>
                <w:rFonts w:ascii="Verdana" w:hAnsi="Verdana" w:cs="Verdana"/>
                <w:b/>
                <w:bCs/>
                <w:sz w:val="20"/>
                <w:szCs w:val="20"/>
                <w:lang w:eastAsia="bg-BG"/>
              </w:rPr>
            </w:pPr>
            <w:r>
              <w:rPr>
                <w:rFonts w:ascii="Verdana" w:hAnsi="Verdana" w:cs="Verdana"/>
                <w:b/>
                <w:bCs/>
                <w:sz w:val="20"/>
                <w:szCs w:val="20"/>
                <w:lang w:eastAsia="bg-BG"/>
              </w:rPr>
              <w:t>30.06.2020</w:t>
            </w:r>
            <w:r w:rsidR="00C30599" w:rsidRPr="000E54EB">
              <w:rPr>
                <w:rFonts w:ascii="Verdana" w:hAnsi="Verdana" w:cs="Verdana"/>
                <w:b/>
                <w:bCs/>
                <w:sz w:val="20"/>
                <w:szCs w:val="20"/>
                <w:lang w:eastAsia="bg-BG"/>
              </w:rPr>
              <w:t xml:space="preserve"> г.</w:t>
            </w:r>
          </w:p>
        </w:tc>
        <w:tc>
          <w:tcPr>
            <w:tcW w:w="1833" w:type="dxa"/>
            <w:tcBorders>
              <w:top w:val="nil"/>
              <w:left w:val="nil"/>
              <w:bottom w:val="single" w:sz="4" w:space="0" w:color="auto"/>
              <w:right w:val="single" w:sz="4" w:space="0" w:color="auto"/>
            </w:tcBorders>
            <w:noWrap/>
            <w:vAlign w:val="center"/>
          </w:tcPr>
          <w:p w:rsidR="00C30599" w:rsidRPr="000E54EB" w:rsidRDefault="00490385" w:rsidP="001F704A">
            <w:pPr>
              <w:jc w:val="center"/>
              <w:rPr>
                <w:rFonts w:ascii="Verdana" w:hAnsi="Verdana" w:cs="Verdana"/>
                <w:b/>
                <w:bCs/>
                <w:sz w:val="20"/>
                <w:szCs w:val="20"/>
                <w:lang w:eastAsia="bg-BG"/>
              </w:rPr>
            </w:pPr>
            <w:r>
              <w:rPr>
                <w:rFonts w:ascii="Verdana" w:hAnsi="Verdana" w:cs="Verdana"/>
                <w:b/>
                <w:bCs/>
                <w:sz w:val="20"/>
                <w:szCs w:val="20"/>
                <w:lang w:eastAsia="bg-BG"/>
              </w:rPr>
              <w:t>30.06.2019</w:t>
            </w:r>
            <w:r w:rsidR="00C30599" w:rsidRPr="000E54EB">
              <w:rPr>
                <w:rFonts w:ascii="Verdana" w:hAnsi="Verdana" w:cs="Verdana"/>
                <w:b/>
                <w:bCs/>
                <w:sz w:val="20"/>
                <w:szCs w:val="20"/>
                <w:lang w:eastAsia="bg-BG"/>
              </w:rPr>
              <w:t xml:space="preserve"> г.</w:t>
            </w:r>
          </w:p>
        </w:tc>
      </w:tr>
      <w:tr w:rsidR="00C30599" w:rsidRPr="000E54EB">
        <w:trPr>
          <w:trHeight w:val="255"/>
        </w:trPr>
        <w:tc>
          <w:tcPr>
            <w:tcW w:w="6125" w:type="dxa"/>
            <w:tcBorders>
              <w:top w:val="nil"/>
              <w:left w:val="single" w:sz="4" w:space="0" w:color="auto"/>
              <w:bottom w:val="single" w:sz="4" w:space="0" w:color="auto"/>
              <w:right w:val="nil"/>
            </w:tcBorders>
            <w:noWrap/>
            <w:vAlign w:val="center"/>
          </w:tcPr>
          <w:p w:rsidR="00C30599" w:rsidRPr="000E54EB" w:rsidRDefault="00C30599" w:rsidP="00D53597">
            <w:pPr>
              <w:jc w:val="left"/>
              <w:rPr>
                <w:rFonts w:ascii="Verdana" w:hAnsi="Verdana" w:cs="Verdana"/>
                <w:sz w:val="20"/>
                <w:szCs w:val="20"/>
                <w:lang w:eastAsia="bg-BG"/>
              </w:rPr>
            </w:pPr>
            <w:r w:rsidRPr="000E54EB">
              <w:rPr>
                <w:rFonts w:ascii="Verdana" w:hAnsi="Verdana" w:cs="Verdana"/>
                <w:sz w:val="20"/>
                <w:szCs w:val="20"/>
                <w:lang w:eastAsia="bg-BG"/>
              </w:rPr>
              <w:t>Материали</w:t>
            </w:r>
          </w:p>
        </w:tc>
        <w:tc>
          <w:tcPr>
            <w:tcW w:w="1677" w:type="dxa"/>
            <w:gridSpan w:val="2"/>
            <w:tcBorders>
              <w:top w:val="nil"/>
              <w:left w:val="single" w:sz="4" w:space="0" w:color="auto"/>
              <w:bottom w:val="single" w:sz="4" w:space="0" w:color="auto"/>
              <w:right w:val="single" w:sz="4" w:space="0" w:color="auto"/>
            </w:tcBorders>
            <w:noWrap/>
            <w:vAlign w:val="center"/>
          </w:tcPr>
          <w:p w:rsidR="00C30599" w:rsidRPr="00490385" w:rsidRDefault="00490385" w:rsidP="00B95806">
            <w:pPr>
              <w:jc w:val="center"/>
              <w:rPr>
                <w:rFonts w:ascii="Verdana" w:hAnsi="Verdana" w:cs="Verdana"/>
                <w:sz w:val="20"/>
                <w:szCs w:val="20"/>
                <w:lang w:eastAsia="bg-BG"/>
              </w:rPr>
            </w:pPr>
            <w:r>
              <w:rPr>
                <w:rFonts w:ascii="Verdana" w:hAnsi="Verdana" w:cs="Verdana"/>
                <w:sz w:val="20"/>
                <w:szCs w:val="20"/>
                <w:lang w:eastAsia="bg-BG"/>
              </w:rPr>
              <w:t>2 273</w:t>
            </w:r>
          </w:p>
        </w:tc>
        <w:tc>
          <w:tcPr>
            <w:tcW w:w="1833" w:type="dxa"/>
            <w:tcBorders>
              <w:top w:val="nil"/>
              <w:left w:val="nil"/>
              <w:bottom w:val="single" w:sz="4" w:space="0" w:color="auto"/>
              <w:right w:val="single" w:sz="4" w:space="0" w:color="auto"/>
            </w:tcBorders>
            <w:noWrap/>
            <w:vAlign w:val="center"/>
          </w:tcPr>
          <w:p w:rsidR="00C30599" w:rsidRPr="000E54EB" w:rsidRDefault="00490385" w:rsidP="001F704A">
            <w:pPr>
              <w:jc w:val="center"/>
              <w:rPr>
                <w:rFonts w:ascii="Verdana" w:hAnsi="Verdana" w:cs="Verdana"/>
                <w:sz w:val="20"/>
                <w:szCs w:val="20"/>
                <w:lang w:eastAsia="bg-BG"/>
              </w:rPr>
            </w:pPr>
            <w:r>
              <w:rPr>
                <w:rFonts w:ascii="Verdana" w:hAnsi="Verdana" w:cs="Verdana"/>
                <w:sz w:val="20"/>
                <w:szCs w:val="20"/>
                <w:lang w:eastAsia="bg-BG"/>
              </w:rPr>
              <w:t>2 497</w:t>
            </w:r>
          </w:p>
        </w:tc>
      </w:tr>
      <w:tr w:rsidR="00C30599" w:rsidRPr="000E54EB">
        <w:trPr>
          <w:trHeight w:val="255"/>
        </w:trPr>
        <w:tc>
          <w:tcPr>
            <w:tcW w:w="6125" w:type="dxa"/>
            <w:tcBorders>
              <w:top w:val="nil"/>
              <w:left w:val="single" w:sz="4" w:space="0" w:color="auto"/>
              <w:bottom w:val="single" w:sz="4" w:space="0" w:color="auto"/>
              <w:right w:val="nil"/>
            </w:tcBorders>
            <w:shd w:val="clear" w:color="000000" w:fill="C5D9F1"/>
            <w:noWrap/>
            <w:vAlign w:val="center"/>
          </w:tcPr>
          <w:p w:rsidR="00C30599" w:rsidRPr="000E54EB" w:rsidRDefault="00C30599" w:rsidP="00D53597">
            <w:pPr>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1677" w:type="dxa"/>
            <w:gridSpan w:val="2"/>
            <w:tcBorders>
              <w:top w:val="nil"/>
              <w:left w:val="single" w:sz="4" w:space="0" w:color="auto"/>
              <w:bottom w:val="single" w:sz="4" w:space="0" w:color="auto"/>
              <w:right w:val="single" w:sz="4" w:space="0" w:color="auto"/>
            </w:tcBorders>
            <w:shd w:val="clear" w:color="000000" w:fill="C5D9F1"/>
            <w:noWrap/>
            <w:vAlign w:val="center"/>
          </w:tcPr>
          <w:p w:rsidR="00C30599" w:rsidRPr="000E54EB" w:rsidRDefault="00490385" w:rsidP="00B95806">
            <w:pPr>
              <w:jc w:val="center"/>
              <w:rPr>
                <w:rFonts w:ascii="Verdana" w:hAnsi="Verdana" w:cs="Verdana"/>
                <w:b/>
                <w:bCs/>
                <w:sz w:val="20"/>
                <w:szCs w:val="20"/>
                <w:lang w:eastAsia="bg-BG"/>
              </w:rPr>
            </w:pPr>
            <w:r>
              <w:rPr>
                <w:rFonts w:ascii="Verdana" w:hAnsi="Verdana" w:cs="Verdana"/>
                <w:b/>
                <w:bCs/>
                <w:sz w:val="20"/>
                <w:szCs w:val="20"/>
                <w:lang w:eastAsia="bg-BG"/>
              </w:rPr>
              <w:t>2 273</w:t>
            </w:r>
          </w:p>
        </w:tc>
        <w:tc>
          <w:tcPr>
            <w:tcW w:w="1833" w:type="dxa"/>
            <w:tcBorders>
              <w:top w:val="nil"/>
              <w:left w:val="nil"/>
              <w:bottom w:val="single" w:sz="4" w:space="0" w:color="auto"/>
              <w:right w:val="single" w:sz="4" w:space="0" w:color="auto"/>
            </w:tcBorders>
            <w:shd w:val="clear" w:color="000000" w:fill="C5D9F1"/>
            <w:noWrap/>
            <w:vAlign w:val="center"/>
          </w:tcPr>
          <w:p w:rsidR="00C30599" w:rsidRPr="000E54EB" w:rsidRDefault="00490385" w:rsidP="001F704A">
            <w:pPr>
              <w:jc w:val="center"/>
              <w:rPr>
                <w:rFonts w:ascii="Verdana" w:hAnsi="Verdana" w:cs="Verdana"/>
                <w:b/>
                <w:bCs/>
                <w:sz w:val="20"/>
                <w:szCs w:val="20"/>
                <w:lang w:eastAsia="bg-BG"/>
              </w:rPr>
            </w:pPr>
            <w:r>
              <w:rPr>
                <w:rFonts w:ascii="Verdana" w:hAnsi="Verdana" w:cs="Verdana"/>
                <w:b/>
                <w:bCs/>
                <w:sz w:val="20"/>
                <w:szCs w:val="20"/>
                <w:lang w:eastAsia="bg-BG"/>
              </w:rPr>
              <w:t>2 497</w:t>
            </w:r>
          </w:p>
        </w:tc>
      </w:tr>
    </w:tbl>
    <w:p w:rsidR="00863C99" w:rsidRPr="000E54EB" w:rsidRDefault="00863C99" w:rsidP="00B66DF8">
      <w:pPr>
        <w:pStyle w:val="Heading4"/>
        <w:rPr>
          <w:rFonts w:ascii="Verdana" w:hAnsi="Verdana" w:cs="Verdana"/>
          <w:i w:val="0"/>
          <w:iCs w:val="0"/>
          <w:lang w:val="bg-BG"/>
        </w:rPr>
      </w:pPr>
      <w:bookmarkStart w:id="152" w:name="_Toc247959186"/>
      <w:bookmarkStart w:id="153" w:name="_Toc4328848"/>
      <w:r w:rsidRPr="000E54EB">
        <w:rPr>
          <w:rFonts w:ascii="Verdana" w:hAnsi="Verdana" w:cs="Verdana"/>
          <w:i w:val="0"/>
          <w:iCs w:val="0"/>
          <w:lang w:val="bg-BG"/>
        </w:rPr>
        <w:lastRenderedPageBreak/>
        <w:t>2.5. Текущи търговски и други вземания</w:t>
      </w:r>
      <w:bookmarkEnd w:id="152"/>
      <w:bookmarkEnd w:id="153"/>
    </w:p>
    <w:tbl>
      <w:tblPr>
        <w:tblW w:w="9644" w:type="dxa"/>
        <w:tblInd w:w="-68" w:type="dxa"/>
        <w:tblCellMar>
          <w:left w:w="70" w:type="dxa"/>
          <w:right w:w="70" w:type="dxa"/>
        </w:tblCellMar>
        <w:tblLook w:val="00A0" w:firstRow="1" w:lastRow="0" w:firstColumn="1" w:lastColumn="0" w:noHBand="0" w:noVBand="0"/>
      </w:tblPr>
      <w:tblGrid>
        <w:gridCol w:w="6125"/>
        <w:gridCol w:w="1677"/>
        <w:gridCol w:w="1842"/>
      </w:tblGrid>
      <w:tr w:rsidR="00863C99" w:rsidRPr="000E54EB">
        <w:trPr>
          <w:trHeight w:val="300"/>
        </w:trPr>
        <w:tc>
          <w:tcPr>
            <w:tcW w:w="6125" w:type="dxa"/>
            <w:tcBorders>
              <w:top w:val="single" w:sz="4" w:space="0" w:color="auto"/>
              <w:left w:val="single" w:sz="4" w:space="0" w:color="auto"/>
              <w:bottom w:val="single" w:sz="4" w:space="0" w:color="auto"/>
              <w:right w:val="nil"/>
            </w:tcBorders>
            <w:noWrap/>
            <w:vAlign w:val="center"/>
          </w:tcPr>
          <w:p w:rsidR="00863C99" w:rsidRPr="000E54EB" w:rsidRDefault="00863C99" w:rsidP="00003B80">
            <w:pPr>
              <w:jc w:val="left"/>
              <w:rPr>
                <w:rFonts w:ascii="Verdana" w:hAnsi="Verdana" w:cs="Verdana"/>
                <w:b/>
                <w:bCs/>
                <w:sz w:val="20"/>
                <w:szCs w:val="20"/>
                <w:lang w:eastAsia="bg-BG"/>
              </w:rPr>
            </w:pPr>
            <w:r w:rsidRPr="000E54EB">
              <w:rPr>
                <w:rFonts w:ascii="Verdana" w:hAnsi="Verdana" w:cs="Verdana"/>
                <w:b/>
                <w:bCs/>
                <w:sz w:val="20"/>
                <w:szCs w:val="20"/>
                <w:lang w:eastAsia="bg-BG"/>
              </w:rPr>
              <w:t>Вид текущи вземания</w:t>
            </w:r>
          </w:p>
        </w:tc>
        <w:tc>
          <w:tcPr>
            <w:tcW w:w="1677" w:type="dxa"/>
            <w:tcBorders>
              <w:top w:val="single" w:sz="4" w:space="0" w:color="auto"/>
              <w:left w:val="single" w:sz="4" w:space="0" w:color="auto"/>
              <w:bottom w:val="single" w:sz="4" w:space="0" w:color="auto"/>
              <w:right w:val="single" w:sz="4" w:space="0" w:color="auto"/>
            </w:tcBorders>
            <w:noWrap/>
            <w:vAlign w:val="center"/>
          </w:tcPr>
          <w:p w:rsidR="00863C99" w:rsidRPr="000E54EB" w:rsidRDefault="003E292C" w:rsidP="00235E42">
            <w:pPr>
              <w:jc w:val="center"/>
              <w:rPr>
                <w:rFonts w:ascii="Verdana" w:hAnsi="Verdana" w:cs="Verdana"/>
                <w:b/>
                <w:bCs/>
                <w:sz w:val="20"/>
                <w:szCs w:val="20"/>
                <w:lang w:eastAsia="bg-BG"/>
              </w:rPr>
            </w:pPr>
            <w:r>
              <w:rPr>
                <w:rFonts w:ascii="Verdana" w:hAnsi="Verdana" w:cs="Verdana"/>
                <w:b/>
                <w:bCs/>
                <w:sz w:val="20"/>
                <w:szCs w:val="20"/>
                <w:lang w:eastAsia="bg-BG"/>
              </w:rPr>
              <w:t>3</w:t>
            </w:r>
            <w:r>
              <w:rPr>
                <w:rFonts w:ascii="Verdana" w:hAnsi="Verdana" w:cs="Verdana"/>
                <w:b/>
                <w:bCs/>
                <w:sz w:val="20"/>
                <w:szCs w:val="20"/>
                <w:lang w:val="en-US" w:eastAsia="bg-BG"/>
              </w:rPr>
              <w:t>0</w:t>
            </w:r>
            <w:r>
              <w:rPr>
                <w:rFonts w:ascii="Verdana" w:hAnsi="Verdana" w:cs="Verdana"/>
                <w:b/>
                <w:bCs/>
                <w:sz w:val="20"/>
                <w:szCs w:val="20"/>
                <w:lang w:eastAsia="bg-BG"/>
              </w:rPr>
              <w:t>.</w:t>
            </w:r>
            <w:r>
              <w:rPr>
                <w:rFonts w:ascii="Verdana" w:hAnsi="Verdana" w:cs="Verdana"/>
                <w:b/>
                <w:bCs/>
                <w:sz w:val="20"/>
                <w:szCs w:val="20"/>
                <w:lang w:val="en-US" w:eastAsia="bg-BG"/>
              </w:rPr>
              <w:t>06</w:t>
            </w:r>
            <w:r>
              <w:rPr>
                <w:rFonts w:ascii="Verdana" w:hAnsi="Verdana" w:cs="Verdana"/>
                <w:b/>
                <w:bCs/>
                <w:sz w:val="20"/>
                <w:szCs w:val="20"/>
                <w:lang w:eastAsia="bg-BG"/>
              </w:rPr>
              <w:t>.20</w:t>
            </w:r>
            <w:r>
              <w:rPr>
                <w:rFonts w:ascii="Verdana" w:hAnsi="Verdana" w:cs="Verdana"/>
                <w:b/>
                <w:bCs/>
                <w:sz w:val="20"/>
                <w:szCs w:val="20"/>
                <w:lang w:val="en-US" w:eastAsia="bg-BG"/>
              </w:rPr>
              <w:t>20</w:t>
            </w:r>
            <w:r w:rsidR="00863C99" w:rsidRPr="000E54EB">
              <w:rPr>
                <w:rFonts w:ascii="Verdana" w:hAnsi="Verdana" w:cs="Verdana"/>
                <w:b/>
                <w:bCs/>
                <w:sz w:val="20"/>
                <w:szCs w:val="20"/>
                <w:lang w:eastAsia="bg-BG"/>
              </w:rPr>
              <w:t xml:space="preserve"> г.</w:t>
            </w:r>
          </w:p>
        </w:tc>
        <w:tc>
          <w:tcPr>
            <w:tcW w:w="1842" w:type="dxa"/>
            <w:tcBorders>
              <w:top w:val="single" w:sz="4" w:space="0" w:color="auto"/>
              <w:left w:val="nil"/>
              <w:bottom w:val="single" w:sz="4" w:space="0" w:color="auto"/>
              <w:right w:val="single" w:sz="4" w:space="0" w:color="auto"/>
            </w:tcBorders>
            <w:noWrap/>
            <w:vAlign w:val="center"/>
          </w:tcPr>
          <w:p w:rsidR="00863C99" w:rsidRPr="000E54EB" w:rsidRDefault="00863C99" w:rsidP="003E292C">
            <w:pPr>
              <w:jc w:val="center"/>
              <w:rPr>
                <w:rFonts w:ascii="Verdana" w:hAnsi="Verdana" w:cs="Verdana"/>
                <w:b/>
                <w:bCs/>
                <w:sz w:val="20"/>
                <w:szCs w:val="20"/>
                <w:lang w:eastAsia="bg-BG"/>
              </w:rPr>
            </w:pPr>
            <w:r w:rsidRPr="000E54EB">
              <w:rPr>
                <w:rFonts w:ascii="Verdana" w:hAnsi="Verdana" w:cs="Verdana"/>
                <w:b/>
                <w:bCs/>
                <w:sz w:val="20"/>
                <w:szCs w:val="20"/>
                <w:lang w:eastAsia="bg-BG"/>
              </w:rPr>
              <w:t>31.12.201</w:t>
            </w:r>
            <w:r w:rsidR="003E292C">
              <w:rPr>
                <w:rFonts w:ascii="Verdana" w:hAnsi="Verdana" w:cs="Verdana"/>
                <w:b/>
                <w:bCs/>
                <w:sz w:val="20"/>
                <w:szCs w:val="20"/>
                <w:lang w:val="en-US" w:eastAsia="bg-BG"/>
              </w:rPr>
              <w:t>9</w:t>
            </w:r>
            <w:r w:rsidRPr="000E54EB">
              <w:rPr>
                <w:rFonts w:ascii="Verdana" w:hAnsi="Verdana" w:cs="Verdana"/>
                <w:b/>
                <w:bCs/>
                <w:sz w:val="20"/>
                <w:szCs w:val="20"/>
                <w:lang w:eastAsia="bg-BG"/>
              </w:rPr>
              <w:t xml:space="preserve"> г.</w:t>
            </w:r>
          </w:p>
        </w:tc>
      </w:tr>
      <w:tr w:rsidR="003E292C" w:rsidRPr="000E54EB">
        <w:trPr>
          <w:trHeight w:val="300"/>
        </w:trPr>
        <w:tc>
          <w:tcPr>
            <w:tcW w:w="6125" w:type="dxa"/>
            <w:tcBorders>
              <w:top w:val="nil"/>
              <w:left w:val="single" w:sz="4" w:space="0" w:color="auto"/>
              <w:bottom w:val="single" w:sz="4" w:space="0" w:color="auto"/>
              <w:right w:val="nil"/>
            </w:tcBorders>
            <w:noWrap/>
            <w:vAlign w:val="center"/>
          </w:tcPr>
          <w:p w:rsidR="003E292C" w:rsidRPr="000E54EB" w:rsidRDefault="003E292C" w:rsidP="00003B80">
            <w:pPr>
              <w:jc w:val="left"/>
              <w:rPr>
                <w:rFonts w:ascii="Verdana" w:hAnsi="Verdana" w:cs="Verdana"/>
                <w:b/>
                <w:bCs/>
                <w:sz w:val="20"/>
                <w:szCs w:val="20"/>
                <w:lang w:eastAsia="bg-BG"/>
              </w:rPr>
            </w:pPr>
            <w:r w:rsidRPr="000E54EB">
              <w:rPr>
                <w:rFonts w:ascii="Verdana" w:hAnsi="Verdana" w:cs="Verdana"/>
                <w:b/>
                <w:bCs/>
                <w:sz w:val="20"/>
                <w:szCs w:val="20"/>
                <w:lang w:eastAsia="bg-BG"/>
              </w:rPr>
              <w:t>Вземания от свързани предприятия, в т.ч.: /нето/</w:t>
            </w:r>
          </w:p>
        </w:tc>
        <w:tc>
          <w:tcPr>
            <w:tcW w:w="1677" w:type="dxa"/>
            <w:tcBorders>
              <w:top w:val="nil"/>
              <w:left w:val="single" w:sz="4" w:space="0" w:color="auto"/>
              <w:bottom w:val="single" w:sz="4" w:space="0" w:color="auto"/>
              <w:right w:val="single" w:sz="4" w:space="0" w:color="auto"/>
            </w:tcBorders>
            <w:noWrap/>
            <w:vAlign w:val="center"/>
          </w:tcPr>
          <w:p w:rsidR="003E292C" w:rsidRPr="00BA0F26" w:rsidRDefault="00BA0F26" w:rsidP="00003B80">
            <w:pPr>
              <w:jc w:val="center"/>
              <w:rPr>
                <w:rFonts w:ascii="Verdana" w:hAnsi="Verdana" w:cs="Verdana"/>
                <w:b/>
                <w:bCs/>
                <w:sz w:val="20"/>
                <w:szCs w:val="20"/>
                <w:lang w:val="en-US" w:eastAsia="bg-BG"/>
              </w:rPr>
            </w:pPr>
            <w:r>
              <w:rPr>
                <w:rFonts w:ascii="Verdana" w:hAnsi="Verdana" w:cs="Verdana"/>
                <w:b/>
                <w:bCs/>
                <w:sz w:val="20"/>
                <w:szCs w:val="20"/>
                <w:lang w:val="en-US" w:eastAsia="bg-BG"/>
              </w:rPr>
              <w:t>-</w:t>
            </w:r>
          </w:p>
        </w:tc>
        <w:tc>
          <w:tcPr>
            <w:tcW w:w="1842" w:type="dxa"/>
            <w:tcBorders>
              <w:top w:val="nil"/>
              <w:left w:val="nil"/>
              <w:bottom w:val="single" w:sz="4" w:space="0" w:color="auto"/>
              <w:right w:val="single" w:sz="4" w:space="0" w:color="auto"/>
            </w:tcBorders>
            <w:noWrap/>
            <w:vAlign w:val="center"/>
          </w:tcPr>
          <w:p w:rsidR="003E292C" w:rsidRPr="000E54EB" w:rsidRDefault="003E292C" w:rsidP="00BA0F26">
            <w:pPr>
              <w:jc w:val="center"/>
              <w:rPr>
                <w:rFonts w:ascii="Verdana" w:hAnsi="Verdana" w:cs="Verdana"/>
                <w:b/>
                <w:bCs/>
                <w:sz w:val="20"/>
                <w:szCs w:val="20"/>
                <w:lang w:eastAsia="bg-BG"/>
              </w:rPr>
            </w:pPr>
            <w:r>
              <w:rPr>
                <w:rFonts w:ascii="Verdana" w:hAnsi="Verdana" w:cs="Verdana"/>
                <w:b/>
                <w:bCs/>
                <w:sz w:val="20"/>
                <w:szCs w:val="20"/>
                <w:lang w:val="en-US" w:eastAsia="bg-BG"/>
              </w:rPr>
              <w:t>4</w:t>
            </w:r>
            <w:r w:rsidRPr="000E54EB">
              <w:rPr>
                <w:rFonts w:ascii="Verdana" w:hAnsi="Verdana" w:cs="Verdana"/>
                <w:b/>
                <w:bCs/>
                <w:sz w:val="20"/>
                <w:szCs w:val="20"/>
                <w:lang w:eastAsia="bg-BG"/>
              </w:rPr>
              <w:t>9</w:t>
            </w:r>
          </w:p>
        </w:tc>
      </w:tr>
      <w:tr w:rsidR="003E292C" w:rsidRPr="000E54EB">
        <w:trPr>
          <w:trHeight w:val="300"/>
        </w:trPr>
        <w:tc>
          <w:tcPr>
            <w:tcW w:w="6125" w:type="dxa"/>
            <w:tcBorders>
              <w:top w:val="nil"/>
              <w:left w:val="single" w:sz="4" w:space="0" w:color="auto"/>
              <w:bottom w:val="single" w:sz="4" w:space="0" w:color="auto"/>
              <w:right w:val="nil"/>
            </w:tcBorders>
            <w:noWrap/>
            <w:vAlign w:val="center"/>
          </w:tcPr>
          <w:p w:rsidR="003E292C" w:rsidRPr="000E54EB" w:rsidRDefault="003E292C" w:rsidP="00003B80">
            <w:pPr>
              <w:jc w:val="left"/>
              <w:rPr>
                <w:rFonts w:ascii="Verdana" w:hAnsi="Verdana" w:cs="Verdana"/>
                <w:sz w:val="20"/>
                <w:szCs w:val="20"/>
                <w:lang w:eastAsia="bg-BG"/>
              </w:rPr>
            </w:pPr>
            <w:r w:rsidRPr="000E54EB">
              <w:rPr>
                <w:rFonts w:ascii="Verdana" w:hAnsi="Verdana" w:cs="Verdana"/>
                <w:sz w:val="20"/>
                <w:szCs w:val="20"/>
                <w:lang w:eastAsia="bg-BG"/>
              </w:rPr>
              <w:t>Вземания по предоставени аванси</w:t>
            </w:r>
          </w:p>
        </w:tc>
        <w:tc>
          <w:tcPr>
            <w:tcW w:w="1677" w:type="dxa"/>
            <w:tcBorders>
              <w:top w:val="nil"/>
              <w:left w:val="single" w:sz="4" w:space="0" w:color="auto"/>
              <w:bottom w:val="single" w:sz="4" w:space="0" w:color="auto"/>
              <w:right w:val="single" w:sz="4" w:space="0" w:color="auto"/>
            </w:tcBorders>
            <w:noWrap/>
            <w:vAlign w:val="center"/>
          </w:tcPr>
          <w:p w:rsidR="003E292C" w:rsidRPr="00BA0F26" w:rsidRDefault="00BA0F26" w:rsidP="00003B80">
            <w:pPr>
              <w:jc w:val="center"/>
              <w:rPr>
                <w:rFonts w:ascii="Verdana" w:hAnsi="Verdana" w:cs="Verdana"/>
                <w:sz w:val="20"/>
                <w:szCs w:val="20"/>
                <w:lang w:val="en-US" w:eastAsia="bg-BG"/>
              </w:rPr>
            </w:pPr>
            <w:r>
              <w:rPr>
                <w:rFonts w:ascii="Verdana" w:hAnsi="Verdana" w:cs="Verdana"/>
                <w:sz w:val="20"/>
                <w:szCs w:val="20"/>
                <w:lang w:val="en-US" w:eastAsia="bg-BG"/>
              </w:rPr>
              <w:t>-</w:t>
            </w:r>
          </w:p>
        </w:tc>
        <w:tc>
          <w:tcPr>
            <w:tcW w:w="1842" w:type="dxa"/>
            <w:tcBorders>
              <w:top w:val="nil"/>
              <w:left w:val="nil"/>
              <w:bottom w:val="single" w:sz="4" w:space="0" w:color="auto"/>
              <w:right w:val="single" w:sz="4" w:space="0" w:color="auto"/>
            </w:tcBorders>
            <w:noWrap/>
            <w:vAlign w:val="center"/>
          </w:tcPr>
          <w:p w:rsidR="003E292C" w:rsidRPr="000E54EB" w:rsidRDefault="003E292C" w:rsidP="00BA0F26">
            <w:pPr>
              <w:jc w:val="center"/>
              <w:rPr>
                <w:rFonts w:ascii="Verdana" w:hAnsi="Verdana" w:cs="Verdana"/>
                <w:sz w:val="20"/>
                <w:szCs w:val="20"/>
                <w:lang w:eastAsia="bg-BG"/>
              </w:rPr>
            </w:pPr>
            <w:r>
              <w:rPr>
                <w:rFonts w:ascii="Verdana" w:hAnsi="Verdana" w:cs="Verdana"/>
                <w:sz w:val="20"/>
                <w:szCs w:val="20"/>
                <w:lang w:val="en-US" w:eastAsia="bg-BG"/>
              </w:rPr>
              <w:t>4</w:t>
            </w:r>
            <w:r w:rsidRPr="000E54EB">
              <w:rPr>
                <w:rFonts w:ascii="Verdana" w:hAnsi="Verdana" w:cs="Verdana"/>
                <w:sz w:val="20"/>
                <w:szCs w:val="20"/>
                <w:lang w:eastAsia="bg-BG"/>
              </w:rPr>
              <w:t>9</w:t>
            </w:r>
          </w:p>
        </w:tc>
      </w:tr>
      <w:tr w:rsidR="003E292C" w:rsidRPr="000E54EB">
        <w:trPr>
          <w:trHeight w:val="300"/>
        </w:trPr>
        <w:tc>
          <w:tcPr>
            <w:tcW w:w="6125" w:type="dxa"/>
            <w:tcBorders>
              <w:top w:val="nil"/>
              <w:left w:val="single" w:sz="4" w:space="0" w:color="auto"/>
              <w:bottom w:val="single" w:sz="4" w:space="0" w:color="auto"/>
              <w:right w:val="nil"/>
            </w:tcBorders>
            <w:noWrap/>
            <w:vAlign w:val="center"/>
          </w:tcPr>
          <w:p w:rsidR="003E292C" w:rsidRPr="000E54EB" w:rsidRDefault="003E292C" w:rsidP="00003B80">
            <w:pPr>
              <w:jc w:val="left"/>
              <w:rPr>
                <w:rFonts w:ascii="Verdana" w:hAnsi="Verdana" w:cs="Verdana"/>
                <w:b/>
                <w:bCs/>
                <w:sz w:val="20"/>
                <w:szCs w:val="20"/>
                <w:lang w:eastAsia="bg-BG"/>
              </w:rPr>
            </w:pPr>
            <w:r w:rsidRPr="000E54EB">
              <w:rPr>
                <w:rFonts w:ascii="Verdana" w:hAnsi="Verdana" w:cs="Verdana"/>
                <w:b/>
                <w:bCs/>
                <w:sz w:val="20"/>
                <w:szCs w:val="20"/>
                <w:lang w:eastAsia="bg-BG"/>
              </w:rPr>
              <w:t>Вземания от продажби, в т.ч.: /нето/</w:t>
            </w:r>
          </w:p>
        </w:tc>
        <w:tc>
          <w:tcPr>
            <w:tcW w:w="1677" w:type="dxa"/>
            <w:tcBorders>
              <w:top w:val="nil"/>
              <w:left w:val="single" w:sz="4" w:space="0" w:color="auto"/>
              <w:bottom w:val="single" w:sz="4" w:space="0" w:color="auto"/>
              <w:right w:val="single" w:sz="4" w:space="0" w:color="auto"/>
            </w:tcBorders>
            <w:noWrap/>
            <w:vAlign w:val="center"/>
          </w:tcPr>
          <w:p w:rsidR="003E292C" w:rsidRPr="00AE0B36" w:rsidRDefault="00B12E4D" w:rsidP="00900BD6">
            <w:pPr>
              <w:jc w:val="center"/>
              <w:rPr>
                <w:rFonts w:ascii="Verdana" w:hAnsi="Verdana" w:cs="Verdana"/>
                <w:b/>
                <w:bCs/>
                <w:sz w:val="20"/>
                <w:szCs w:val="20"/>
                <w:lang w:val="en-US" w:eastAsia="bg-BG"/>
              </w:rPr>
            </w:pPr>
            <w:r>
              <w:rPr>
                <w:rFonts w:ascii="Verdana" w:hAnsi="Verdana" w:cs="Verdana"/>
                <w:b/>
                <w:bCs/>
                <w:sz w:val="20"/>
                <w:szCs w:val="20"/>
                <w:lang w:val="en-US" w:eastAsia="bg-BG"/>
              </w:rPr>
              <w:t>7</w:t>
            </w:r>
            <w:r w:rsidR="00604A9E">
              <w:rPr>
                <w:rFonts w:ascii="Verdana" w:hAnsi="Verdana" w:cs="Verdana"/>
                <w:b/>
                <w:bCs/>
                <w:sz w:val="20"/>
                <w:szCs w:val="20"/>
                <w:lang w:val="en-US" w:eastAsia="bg-BG"/>
              </w:rPr>
              <w:t>85</w:t>
            </w:r>
          </w:p>
        </w:tc>
        <w:tc>
          <w:tcPr>
            <w:tcW w:w="1842" w:type="dxa"/>
            <w:tcBorders>
              <w:top w:val="nil"/>
              <w:left w:val="nil"/>
              <w:bottom w:val="single" w:sz="4" w:space="0" w:color="auto"/>
              <w:right w:val="single" w:sz="4" w:space="0" w:color="auto"/>
            </w:tcBorders>
            <w:noWrap/>
            <w:vAlign w:val="center"/>
          </w:tcPr>
          <w:p w:rsidR="003E292C" w:rsidRPr="00AE0B36" w:rsidRDefault="003E292C" w:rsidP="00BA0F26">
            <w:pPr>
              <w:jc w:val="center"/>
              <w:rPr>
                <w:rFonts w:ascii="Verdana" w:hAnsi="Verdana" w:cs="Verdana"/>
                <w:b/>
                <w:bCs/>
                <w:sz w:val="20"/>
                <w:szCs w:val="20"/>
                <w:lang w:val="en-US" w:eastAsia="bg-BG"/>
              </w:rPr>
            </w:pPr>
            <w:r>
              <w:rPr>
                <w:rFonts w:ascii="Verdana" w:hAnsi="Verdana" w:cs="Verdana"/>
                <w:b/>
                <w:bCs/>
                <w:sz w:val="20"/>
                <w:szCs w:val="20"/>
                <w:lang w:val="en-US" w:eastAsia="bg-BG"/>
              </w:rPr>
              <w:t>967</w:t>
            </w:r>
          </w:p>
        </w:tc>
      </w:tr>
      <w:tr w:rsidR="003E292C" w:rsidRPr="000E54EB">
        <w:trPr>
          <w:trHeight w:val="600"/>
        </w:trPr>
        <w:tc>
          <w:tcPr>
            <w:tcW w:w="6125" w:type="dxa"/>
            <w:tcBorders>
              <w:top w:val="nil"/>
              <w:left w:val="single" w:sz="4" w:space="0" w:color="000000"/>
              <w:bottom w:val="single" w:sz="4" w:space="0" w:color="000000"/>
              <w:right w:val="single" w:sz="4" w:space="0" w:color="000000"/>
            </w:tcBorders>
            <w:vAlign w:val="center"/>
          </w:tcPr>
          <w:p w:rsidR="003E292C" w:rsidRPr="000E54EB" w:rsidRDefault="003E292C" w:rsidP="00003B80">
            <w:pPr>
              <w:jc w:val="left"/>
              <w:rPr>
                <w:rFonts w:ascii="Verdana" w:hAnsi="Verdana" w:cs="Verdana"/>
                <w:sz w:val="20"/>
                <w:szCs w:val="20"/>
                <w:lang w:eastAsia="bg-BG"/>
              </w:rPr>
            </w:pPr>
            <w:r w:rsidRPr="000E54EB">
              <w:rPr>
                <w:rFonts w:ascii="Verdana" w:hAnsi="Verdana" w:cs="Verdana"/>
                <w:sz w:val="20"/>
                <w:szCs w:val="20"/>
                <w:lang w:eastAsia="bg-BG"/>
              </w:rPr>
              <w:t xml:space="preserve">Вземания от продажби по договори с клиенти </w:t>
            </w:r>
          </w:p>
          <w:p w:rsidR="003E292C" w:rsidRPr="000E54EB" w:rsidRDefault="003E292C" w:rsidP="00003B80">
            <w:pPr>
              <w:jc w:val="left"/>
              <w:rPr>
                <w:rFonts w:ascii="Verdana" w:hAnsi="Verdana" w:cs="Verdana"/>
                <w:sz w:val="20"/>
                <w:szCs w:val="20"/>
                <w:lang w:eastAsia="bg-BG"/>
              </w:rPr>
            </w:pPr>
            <w:r w:rsidRPr="000E54EB">
              <w:rPr>
                <w:rFonts w:ascii="Verdana" w:hAnsi="Verdana" w:cs="Verdana"/>
                <w:sz w:val="20"/>
                <w:szCs w:val="20"/>
                <w:lang w:eastAsia="bg-BG"/>
              </w:rPr>
              <w:t>/по Общи условия/</w:t>
            </w:r>
          </w:p>
        </w:tc>
        <w:tc>
          <w:tcPr>
            <w:tcW w:w="1677" w:type="dxa"/>
            <w:tcBorders>
              <w:top w:val="nil"/>
              <w:left w:val="nil"/>
              <w:bottom w:val="single" w:sz="4" w:space="0" w:color="auto"/>
              <w:right w:val="single" w:sz="4" w:space="0" w:color="auto"/>
            </w:tcBorders>
            <w:noWrap/>
            <w:vAlign w:val="center"/>
          </w:tcPr>
          <w:p w:rsidR="003E292C" w:rsidRPr="00AE0B36" w:rsidRDefault="00B12E4D" w:rsidP="00003B80">
            <w:pPr>
              <w:jc w:val="center"/>
              <w:rPr>
                <w:rFonts w:ascii="Verdana" w:hAnsi="Verdana" w:cs="Verdana"/>
                <w:sz w:val="20"/>
                <w:szCs w:val="20"/>
                <w:lang w:val="en-US" w:eastAsia="bg-BG"/>
              </w:rPr>
            </w:pPr>
            <w:r>
              <w:rPr>
                <w:rFonts w:ascii="Verdana" w:hAnsi="Verdana" w:cs="Verdana"/>
                <w:sz w:val="20"/>
                <w:szCs w:val="20"/>
                <w:lang w:val="en-US" w:eastAsia="bg-BG"/>
              </w:rPr>
              <w:t>8</w:t>
            </w:r>
            <w:r w:rsidR="00604A9E">
              <w:rPr>
                <w:rFonts w:ascii="Verdana" w:hAnsi="Verdana" w:cs="Verdana"/>
                <w:sz w:val="20"/>
                <w:szCs w:val="20"/>
                <w:lang w:val="en-US" w:eastAsia="bg-BG"/>
              </w:rPr>
              <w:t>70</w:t>
            </w:r>
          </w:p>
        </w:tc>
        <w:tc>
          <w:tcPr>
            <w:tcW w:w="1842" w:type="dxa"/>
            <w:tcBorders>
              <w:top w:val="nil"/>
              <w:left w:val="nil"/>
              <w:bottom w:val="single" w:sz="4" w:space="0" w:color="auto"/>
              <w:right w:val="single" w:sz="4" w:space="0" w:color="auto"/>
            </w:tcBorders>
            <w:noWrap/>
            <w:vAlign w:val="center"/>
          </w:tcPr>
          <w:p w:rsidR="003E292C" w:rsidRPr="00AE0B36" w:rsidRDefault="003E292C" w:rsidP="00BA0F26">
            <w:pPr>
              <w:jc w:val="center"/>
              <w:rPr>
                <w:rFonts w:ascii="Verdana" w:hAnsi="Verdana" w:cs="Verdana"/>
                <w:sz w:val="20"/>
                <w:szCs w:val="20"/>
                <w:lang w:val="en-US" w:eastAsia="bg-BG"/>
              </w:rPr>
            </w:pPr>
            <w:r>
              <w:rPr>
                <w:rFonts w:ascii="Verdana" w:hAnsi="Verdana" w:cs="Verdana"/>
                <w:sz w:val="20"/>
                <w:szCs w:val="20"/>
                <w:lang w:eastAsia="bg-BG"/>
              </w:rPr>
              <w:t xml:space="preserve">1 </w:t>
            </w:r>
            <w:r>
              <w:rPr>
                <w:rFonts w:ascii="Verdana" w:hAnsi="Verdana" w:cs="Verdana"/>
                <w:sz w:val="20"/>
                <w:szCs w:val="20"/>
                <w:lang w:val="en-US" w:eastAsia="bg-BG"/>
              </w:rPr>
              <w:t>053</w:t>
            </w:r>
          </w:p>
        </w:tc>
      </w:tr>
      <w:tr w:rsidR="003E292C" w:rsidRPr="000E54EB">
        <w:trPr>
          <w:trHeight w:val="600"/>
        </w:trPr>
        <w:tc>
          <w:tcPr>
            <w:tcW w:w="6125" w:type="dxa"/>
            <w:tcBorders>
              <w:top w:val="nil"/>
              <w:left w:val="single" w:sz="4" w:space="0" w:color="000000"/>
              <w:bottom w:val="single" w:sz="4" w:space="0" w:color="000000"/>
              <w:right w:val="single" w:sz="4" w:space="0" w:color="000000"/>
            </w:tcBorders>
            <w:vAlign w:val="center"/>
          </w:tcPr>
          <w:p w:rsidR="003E292C" w:rsidRPr="000E54EB" w:rsidRDefault="003E292C" w:rsidP="00DC0561">
            <w:pPr>
              <w:jc w:val="left"/>
              <w:rPr>
                <w:rFonts w:ascii="Verdana" w:hAnsi="Verdana" w:cs="Verdana"/>
                <w:sz w:val="20"/>
                <w:szCs w:val="20"/>
                <w:lang w:eastAsia="bg-BG"/>
              </w:rPr>
            </w:pPr>
            <w:r w:rsidRPr="000E54EB">
              <w:rPr>
                <w:rFonts w:ascii="Verdana" w:hAnsi="Verdana" w:cs="Verdana"/>
                <w:sz w:val="20"/>
                <w:szCs w:val="20"/>
                <w:lang w:eastAsia="bg-BG"/>
              </w:rPr>
              <w:t xml:space="preserve">Обезценки на вземания от продажби по договори с клиенти </w:t>
            </w:r>
            <w:r w:rsidRPr="00A52D1E">
              <w:rPr>
                <w:rFonts w:ascii="Verdana" w:hAnsi="Verdana" w:cs="Verdana"/>
                <w:sz w:val="20"/>
                <w:szCs w:val="20"/>
                <w:lang w:val="ru-RU" w:eastAsia="bg-BG"/>
              </w:rPr>
              <w:t xml:space="preserve"> </w:t>
            </w:r>
            <w:r w:rsidRPr="000E54EB">
              <w:rPr>
                <w:rFonts w:ascii="Verdana" w:hAnsi="Verdana" w:cs="Verdana"/>
                <w:sz w:val="20"/>
                <w:szCs w:val="20"/>
                <w:lang w:eastAsia="bg-BG"/>
              </w:rPr>
              <w:t>/по Общи условия/</w:t>
            </w:r>
          </w:p>
        </w:tc>
        <w:tc>
          <w:tcPr>
            <w:tcW w:w="1677" w:type="dxa"/>
            <w:tcBorders>
              <w:top w:val="nil"/>
              <w:left w:val="nil"/>
              <w:bottom w:val="single" w:sz="4" w:space="0" w:color="auto"/>
              <w:right w:val="single" w:sz="4" w:space="0" w:color="auto"/>
            </w:tcBorders>
            <w:noWrap/>
            <w:vAlign w:val="center"/>
          </w:tcPr>
          <w:p w:rsidR="003E292C" w:rsidRPr="00B12E4D" w:rsidRDefault="00B12E4D" w:rsidP="00003B80">
            <w:pPr>
              <w:jc w:val="center"/>
              <w:rPr>
                <w:rFonts w:ascii="Verdana" w:hAnsi="Verdana" w:cs="Verdana"/>
                <w:sz w:val="20"/>
                <w:szCs w:val="20"/>
                <w:lang w:val="en-US" w:eastAsia="bg-BG"/>
              </w:rPr>
            </w:pPr>
            <w:r>
              <w:rPr>
                <w:rFonts w:ascii="Verdana" w:hAnsi="Verdana" w:cs="Verdana"/>
                <w:sz w:val="20"/>
                <w:szCs w:val="20"/>
                <w:lang w:eastAsia="bg-BG"/>
              </w:rPr>
              <w:t>(</w:t>
            </w:r>
            <w:r>
              <w:rPr>
                <w:rFonts w:ascii="Verdana" w:hAnsi="Verdana" w:cs="Verdana"/>
                <w:sz w:val="20"/>
                <w:szCs w:val="20"/>
                <w:lang w:val="en-US" w:eastAsia="bg-BG"/>
              </w:rPr>
              <w:t>85</w:t>
            </w:r>
            <w:r>
              <w:rPr>
                <w:rFonts w:ascii="Verdana" w:hAnsi="Verdana" w:cs="Verdana"/>
                <w:sz w:val="20"/>
                <w:szCs w:val="20"/>
                <w:lang w:eastAsia="bg-BG"/>
              </w:rPr>
              <w:t>)</w:t>
            </w:r>
          </w:p>
        </w:tc>
        <w:tc>
          <w:tcPr>
            <w:tcW w:w="1842" w:type="dxa"/>
            <w:tcBorders>
              <w:top w:val="nil"/>
              <w:left w:val="nil"/>
              <w:bottom w:val="single" w:sz="4" w:space="0" w:color="auto"/>
              <w:right w:val="single" w:sz="4" w:space="0" w:color="auto"/>
            </w:tcBorders>
            <w:noWrap/>
            <w:vAlign w:val="center"/>
          </w:tcPr>
          <w:p w:rsidR="003E292C" w:rsidRPr="000E54EB" w:rsidRDefault="003E292C" w:rsidP="00BA0F26">
            <w:pPr>
              <w:jc w:val="center"/>
              <w:rPr>
                <w:rFonts w:ascii="Verdana" w:hAnsi="Verdana" w:cs="Verdana"/>
                <w:sz w:val="20"/>
                <w:szCs w:val="20"/>
                <w:lang w:eastAsia="bg-BG"/>
              </w:rPr>
            </w:pPr>
            <w:r>
              <w:rPr>
                <w:rFonts w:ascii="Verdana" w:hAnsi="Verdana" w:cs="Verdana"/>
                <w:sz w:val="20"/>
                <w:szCs w:val="20"/>
                <w:lang w:eastAsia="bg-BG"/>
              </w:rPr>
              <w:t>(</w:t>
            </w:r>
            <w:r>
              <w:rPr>
                <w:rFonts w:ascii="Verdana" w:hAnsi="Verdana" w:cs="Verdana"/>
                <w:sz w:val="20"/>
                <w:szCs w:val="20"/>
                <w:lang w:val="en-US" w:eastAsia="bg-BG"/>
              </w:rPr>
              <w:t>86</w:t>
            </w:r>
            <w:r w:rsidRPr="000E54EB">
              <w:rPr>
                <w:rFonts w:ascii="Verdana" w:hAnsi="Verdana" w:cs="Verdana"/>
                <w:sz w:val="20"/>
                <w:szCs w:val="20"/>
                <w:lang w:eastAsia="bg-BG"/>
              </w:rPr>
              <w:t>)</w:t>
            </w:r>
          </w:p>
        </w:tc>
      </w:tr>
      <w:tr w:rsidR="003E292C" w:rsidRPr="000E54EB">
        <w:trPr>
          <w:trHeight w:val="300"/>
        </w:trPr>
        <w:tc>
          <w:tcPr>
            <w:tcW w:w="6125" w:type="dxa"/>
            <w:tcBorders>
              <w:top w:val="nil"/>
              <w:left w:val="single" w:sz="4" w:space="0" w:color="auto"/>
              <w:bottom w:val="single" w:sz="4" w:space="0" w:color="auto"/>
              <w:right w:val="nil"/>
            </w:tcBorders>
            <w:noWrap/>
            <w:vAlign w:val="center"/>
          </w:tcPr>
          <w:p w:rsidR="003E292C" w:rsidRPr="000E54EB" w:rsidRDefault="003E292C" w:rsidP="00003B80">
            <w:pPr>
              <w:jc w:val="left"/>
              <w:rPr>
                <w:rFonts w:ascii="Verdana" w:hAnsi="Verdana" w:cs="Verdana"/>
                <w:b/>
                <w:bCs/>
                <w:sz w:val="20"/>
                <w:szCs w:val="20"/>
                <w:lang w:eastAsia="bg-BG"/>
              </w:rPr>
            </w:pPr>
            <w:r w:rsidRPr="000E54EB">
              <w:rPr>
                <w:rFonts w:ascii="Verdana" w:hAnsi="Verdana" w:cs="Verdana"/>
                <w:b/>
                <w:bCs/>
                <w:sz w:val="20"/>
                <w:szCs w:val="20"/>
                <w:lang w:eastAsia="bg-BG"/>
              </w:rPr>
              <w:t>Вземания по предоставени аванси, в т.ч.: /нето/</w:t>
            </w:r>
          </w:p>
        </w:tc>
        <w:tc>
          <w:tcPr>
            <w:tcW w:w="1677" w:type="dxa"/>
            <w:tcBorders>
              <w:top w:val="nil"/>
              <w:left w:val="single" w:sz="4" w:space="0" w:color="auto"/>
              <w:bottom w:val="single" w:sz="4" w:space="0" w:color="auto"/>
              <w:right w:val="single" w:sz="4" w:space="0" w:color="auto"/>
            </w:tcBorders>
            <w:noWrap/>
            <w:vAlign w:val="center"/>
          </w:tcPr>
          <w:p w:rsidR="003E292C" w:rsidRPr="00BA0F26" w:rsidRDefault="00BA0F26" w:rsidP="00003B80">
            <w:pPr>
              <w:jc w:val="center"/>
              <w:rPr>
                <w:rFonts w:ascii="Verdana" w:hAnsi="Verdana" w:cs="Verdana"/>
                <w:b/>
                <w:bCs/>
                <w:sz w:val="20"/>
                <w:szCs w:val="20"/>
                <w:lang w:eastAsia="bg-BG"/>
              </w:rPr>
            </w:pPr>
            <w:r>
              <w:rPr>
                <w:rFonts w:ascii="Verdana" w:hAnsi="Verdana" w:cs="Verdana"/>
                <w:b/>
                <w:bCs/>
                <w:sz w:val="20"/>
                <w:szCs w:val="20"/>
                <w:lang w:eastAsia="bg-BG"/>
              </w:rPr>
              <w:t>8</w:t>
            </w:r>
          </w:p>
        </w:tc>
        <w:tc>
          <w:tcPr>
            <w:tcW w:w="1842" w:type="dxa"/>
            <w:tcBorders>
              <w:top w:val="nil"/>
              <w:left w:val="nil"/>
              <w:bottom w:val="single" w:sz="4" w:space="0" w:color="auto"/>
              <w:right w:val="single" w:sz="4" w:space="0" w:color="auto"/>
            </w:tcBorders>
            <w:noWrap/>
            <w:vAlign w:val="center"/>
          </w:tcPr>
          <w:p w:rsidR="003E292C" w:rsidRPr="00AE0B36" w:rsidRDefault="003E292C" w:rsidP="00BA0F26">
            <w:pPr>
              <w:jc w:val="center"/>
              <w:rPr>
                <w:rFonts w:ascii="Verdana" w:hAnsi="Verdana" w:cs="Verdana"/>
                <w:b/>
                <w:bCs/>
                <w:sz w:val="20"/>
                <w:szCs w:val="20"/>
                <w:lang w:val="en-US" w:eastAsia="bg-BG"/>
              </w:rPr>
            </w:pPr>
            <w:r>
              <w:rPr>
                <w:rFonts w:ascii="Verdana" w:hAnsi="Verdana" w:cs="Verdana"/>
                <w:b/>
                <w:bCs/>
                <w:sz w:val="20"/>
                <w:szCs w:val="20"/>
                <w:lang w:val="en-US" w:eastAsia="bg-BG"/>
              </w:rPr>
              <w:t>1</w:t>
            </w:r>
          </w:p>
        </w:tc>
      </w:tr>
      <w:tr w:rsidR="003E292C" w:rsidRPr="000E54EB">
        <w:trPr>
          <w:trHeight w:val="300"/>
        </w:trPr>
        <w:tc>
          <w:tcPr>
            <w:tcW w:w="6125" w:type="dxa"/>
            <w:tcBorders>
              <w:top w:val="nil"/>
              <w:left w:val="single" w:sz="4" w:space="0" w:color="auto"/>
              <w:bottom w:val="single" w:sz="4" w:space="0" w:color="auto"/>
              <w:right w:val="nil"/>
            </w:tcBorders>
            <w:noWrap/>
            <w:vAlign w:val="center"/>
          </w:tcPr>
          <w:p w:rsidR="003E292C" w:rsidRPr="000E54EB" w:rsidRDefault="003E292C" w:rsidP="00003B80">
            <w:pPr>
              <w:jc w:val="left"/>
              <w:rPr>
                <w:rFonts w:ascii="Verdana" w:hAnsi="Verdana" w:cs="Verdana"/>
                <w:sz w:val="20"/>
                <w:szCs w:val="20"/>
                <w:lang w:eastAsia="bg-BG"/>
              </w:rPr>
            </w:pPr>
            <w:r w:rsidRPr="000E54EB">
              <w:rPr>
                <w:rFonts w:ascii="Verdana" w:hAnsi="Verdana" w:cs="Verdana"/>
                <w:sz w:val="20"/>
                <w:szCs w:val="20"/>
                <w:lang w:eastAsia="bg-BG"/>
              </w:rPr>
              <w:t>Вземания по предоставени аванси</w:t>
            </w:r>
          </w:p>
        </w:tc>
        <w:tc>
          <w:tcPr>
            <w:tcW w:w="1677" w:type="dxa"/>
            <w:tcBorders>
              <w:top w:val="nil"/>
              <w:left w:val="single" w:sz="4" w:space="0" w:color="auto"/>
              <w:bottom w:val="single" w:sz="4" w:space="0" w:color="auto"/>
              <w:right w:val="single" w:sz="4" w:space="0" w:color="auto"/>
            </w:tcBorders>
            <w:noWrap/>
            <w:vAlign w:val="center"/>
          </w:tcPr>
          <w:p w:rsidR="003E292C" w:rsidRPr="00AE0B36" w:rsidRDefault="00BA0F26" w:rsidP="00003B80">
            <w:pPr>
              <w:jc w:val="center"/>
              <w:rPr>
                <w:rFonts w:ascii="Verdana" w:hAnsi="Verdana" w:cs="Verdana"/>
                <w:sz w:val="20"/>
                <w:szCs w:val="20"/>
                <w:lang w:val="en-US" w:eastAsia="bg-BG"/>
              </w:rPr>
            </w:pPr>
            <w:r>
              <w:rPr>
                <w:rFonts w:ascii="Verdana" w:hAnsi="Verdana" w:cs="Verdana"/>
                <w:sz w:val="20"/>
                <w:szCs w:val="20"/>
                <w:lang w:val="en-US" w:eastAsia="bg-BG"/>
              </w:rPr>
              <w:t>8</w:t>
            </w:r>
          </w:p>
        </w:tc>
        <w:tc>
          <w:tcPr>
            <w:tcW w:w="1842" w:type="dxa"/>
            <w:tcBorders>
              <w:top w:val="nil"/>
              <w:left w:val="nil"/>
              <w:bottom w:val="single" w:sz="4" w:space="0" w:color="auto"/>
              <w:right w:val="single" w:sz="4" w:space="0" w:color="auto"/>
            </w:tcBorders>
            <w:noWrap/>
            <w:vAlign w:val="center"/>
          </w:tcPr>
          <w:p w:rsidR="003E292C" w:rsidRPr="00AE0B36" w:rsidRDefault="003E292C" w:rsidP="00BA0F26">
            <w:pPr>
              <w:jc w:val="center"/>
              <w:rPr>
                <w:rFonts w:ascii="Verdana" w:hAnsi="Verdana" w:cs="Verdana"/>
                <w:sz w:val="20"/>
                <w:szCs w:val="20"/>
                <w:lang w:val="en-US" w:eastAsia="bg-BG"/>
              </w:rPr>
            </w:pPr>
            <w:r>
              <w:rPr>
                <w:rFonts w:ascii="Verdana" w:hAnsi="Verdana" w:cs="Verdana"/>
                <w:sz w:val="20"/>
                <w:szCs w:val="20"/>
                <w:lang w:val="en-US" w:eastAsia="bg-BG"/>
              </w:rPr>
              <w:t>1</w:t>
            </w:r>
          </w:p>
        </w:tc>
      </w:tr>
      <w:tr w:rsidR="003E292C" w:rsidRPr="000E54EB">
        <w:trPr>
          <w:trHeight w:val="300"/>
        </w:trPr>
        <w:tc>
          <w:tcPr>
            <w:tcW w:w="6125" w:type="dxa"/>
            <w:tcBorders>
              <w:top w:val="nil"/>
              <w:left w:val="single" w:sz="4" w:space="0" w:color="auto"/>
              <w:bottom w:val="single" w:sz="4" w:space="0" w:color="auto"/>
              <w:right w:val="nil"/>
            </w:tcBorders>
            <w:noWrap/>
            <w:vAlign w:val="center"/>
          </w:tcPr>
          <w:p w:rsidR="003E292C" w:rsidRPr="000E54EB" w:rsidRDefault="003E292C" w:rsidP="00003B80">
            <w:pPr>
              <w:jc w:val="left"/>
              <w:rPr>
                <w:rFonts w:ascii="Verdana" w:hAnsi="Verdana" w:cs="Verdana"/>
                <w:b/>
                <w:bCs/>
                <w:sz w:val="20"/>
                <w:szCs w:val="20"/>
                <w:lang w:eastAsia="bg-BG"/>
              </w:rPr>
            </w:pPr>
            <w:r w:rsidRPr="000E54EB">
              <w:rPr>
                <w:rFonts w:ascii="Verdana" w:hAnsi="Verdana" w:cs="Verdana"/>
                <w:b/>
                <w:bCs/>
                <w:sz w:val="20"/>
                <w:szCs w:val="20"/>
                <w:lang w:eastAsia="bg-BG"/>
              </w:rPr>
              <w:t>Вземания по съдебни спорове, в т.ч.: /нето/</w:t>
            </w:r>
          </w:p>
        </w:tc>
        <w:tc>
          <w:tcPr>
            <w:tcW w:w="1677" w:type="dxa"/>
            <w:tcBorders>
              <w:top w:val="nil"/>
              <w:left w:val="single" w:sz="4" w:space="0" w:color="auto"/>
              <w:bottom w:val="single" w:sz="4" w:space="0" w:color="auto"/>
              <w:right w:val="single" w:sz="4" w:space="0" w:color="auto"/>
            </w:tcBorders>
            <w:noWrap/>
            <w:vAlign w:val="center"/>
          </w:tcPr>
          <w:p w:rsidR="003E292C" w:rsidRPr="00AE0B36" w:rsidRDefault="00BA0F26" w:rsidP="00003B80">
            <w:pPr>
              <w:jc w:val="center"/>
              <w:rPr>
                <w:rFonts w:ascii="Verdana" w:hAnsi="Verdana" w:cs="Verdana"/>
                <w:b/>
                <w:bCs/>
                <w:sz w:val="20"/>
                <w:szCs w:val="20"/>
                <w:lang w:val="en-US" w:eastAsia="bg-BG"/>
              </w:rPr>
            </w:pPr>
            <w:r>
              <w:rPr>
                <w:rFonts w:ascii="Verdana" w:hAnsi="Verdana" w:cs="Verdana"/>
                <w:b/>
                <w:bCs/>
                <w:sz w:val="20"/>
                <w:szCs w:val="20"/>
                <w:lang w:val="en-US" w:eastAsia="bg-BG"/>
              </w:rPr>
              <w:t>82</w:t>
            </w:r>
          </w:p>
        </w:tc>
        <w:tc>
          <w:tcPr>
            <w:tcW w:w="1842" w:type="dxa"/>
            <w:tcBorders>
              <w:top w:val="nil"/>
              <w:left w:val="nil"/>
              <w:bottom w:val="single" w:sz="4" w:space="0" w:color="auto"/>
              <w:right w:val="single" w:sz="4" w:space="0" w:color="auto"/>
            </w:tcBorders>
            <w:noWrap/>
            <w:vAlign w:val="center"/>
          </w:tcPr>
          <w:p w:rsidR="003E292C" w:rsidRPr="00AE0B36" w:rsidRDefault="003E292C" w:rsidP="00BA0F26">
            <w:pPr>
              <w:jc w:val="center"/>
              <w:rPr>
                <w:rFonts w:ascii="Verdana" w:hAnsi="Verdana" w:cs="Verdana"/>
                <w:b/>
                <w:bCs/>
                <w:sz w:val="20"/>
                <w:szCs w:val="20"/>
                <w:lang w:val="en-US" w:eastAsia="bg-BG"/>
              </w:rPr>
            </w:pPr>
            <w:r>
              <w:rPr>
                <w:rFonts w:ascii="Verdana" w:hAnsi="Verdana" w:cs="Verdana"/>
                <w:b/>
                <w:bCs/>
                <w:sz w:val="20"/>
                <w:szCs w:val="20"/>
                <w:lang w:val="en-US" w:eastAsia="bg-BG"/>
              </w:rPr>
              <w:t>82</w:t>
            </w:r>
          </w:p>
        </w:tc>
      </w:tr>
      <w:tr w:rsidR="003E292C" w:rsidRPr="000E54EB">
        <w:trPr>
          <w:trHeight w:val="300"/>
        </w:trPr>
        <w:tc>
          <w:tcPr>
            <w:tcW w:w="6125" w:type="dxa"/>
            <w:tcBorders>
              <w:top w:val="nil"/>
              <w:left w:val="single" w:sz="4" w:space="0" w:color="auto"/>
              <w:bottom w:val="single" w:sz="4" w:space="0" w:color="auto"/>
              <w:right w:val="nil"/>
            </w:tcBorders>
            <w:noWrap/>
            <w:vAlign w:val="center"/>
          </w:tcPr>
          <w:p w:rsidR="003E292C" w:rsidRPr="000E54EB" w:rsidRDefault="003E292C" w:rsidP="00003B80">
            <w:pPr>
              <w:jc w:val="left"/>
              <w:rPr>
                <w:rFonts w:ascii="Verdana" w:hAnsi="Verdana" w:cs="Verdana"/>
                <w:sz w:val="20"/>
                <w:szCs w:val="20"/>
                <w:lang w:eastAsia="bg-BG"/>
              </w:rPr>
            </w:pPr>
            <w:r w:rsidRPr="000E54EB">
              <w:rPr>
                <w:rFonts w:ascii="Verdana" w:hAnsi="Verdana" w:cs="Verdana"/>
                <w:sz w:val="20"/>
                <w:szCs w:val="20"/>
                <w:lang w:eastAsia="bg-BG"/>
              </w:rPr>
              <w:t>Вземания по съдебни спорове</w:t>
            </w:r>
          </w:p>
        </w:tc>
        <w:tc>
          <w:tcPr>
            <w:tcW w:w="1677" w:type="dxa"/>
            <w:tcBorders>
              <w:top w:val="nil"/>
              <w:left w:val="single" w:sz="4" w:space="0" w:color="auto"/>
              <w:bottom w:val="single" w:sz="4" w:space="0" w:color="auto"/>
              <w:right w:val="single" w:sz="4" w:space="0" w:color="auto"/>
            </w:tcBorders>
            <w:noWrap/>
            <w:vAlign w:val="center"/>
          </w:tcPr>
          <w:p w:rsidR="003E292C" w:rsidRPr="00AE0B36" w:rsidRDefault="00BA0F26" w:rsidP="00003B80">
            <w:pPr>
              <w:jc w:val="center"/>
              <w:rPr>
                <w:rFonts w:ascii="Verdana" w:hAnsi="Verdana" w:cs="Verdana"/>
                <w:sz w:val="20"/>
                <w:szCs w:val="20"/>
                <w:lang w:val="en-US" w:eastAsia="bg-BG"/>
              </w:rPr>
            </w:pPr>
            <w:r w:rsidRPr="00121BDD">
              <w:rPr>
                <w:rFonts w:ascii="Verdana" w:hAnsi="Verdana" w:cs="Verdana"/>
                <w:sz w:val="20"/>
                <w:szCs w:val="20"/>
                <w:lang w:val="en-US" w:eastAsia="bg-BG"/>
              </w:rPr>
              <w:t>370</w:t>
            </w:r>
          </w:p>
        </w:tc>
        <w:tc>
          <w:tcPr>
            <w:tcW w:w="1842" w:type="dxa"/>
            <w:tcBorders>
              <w:top w:val="nil"/>
              <w:left w:val="nil"/>
              <w:bottom w:val="single" w:sz="4" w:space="0" w:color="auto"/>
              <w:right w:val="single" w:sz="4" w:space="0" w:color="auto"/>
            </w:tcBorders>
            <w:noWrap/>
            <w:vAlign w:val="center"/>
          </w:tcPr>
          <w:p w:rsidR="003E292C" w:rsidRPr="00AE0B36" w:rsidRDefault="003E292C" w:rsidP="00BA0F26">
            <w:pPr>
              <w:jc w:val="center"/>
              <w:rPr>
                <w:rFonts w:ascii="Verdana" w:hAnsi="Verdana" w:cs="Verdana"/>
                <w:sz w:val="20"/>
                <w:szCs w:val="20"/>
                <w:lang w:val="en-US" w:eastAsia="bg-BG"/>
              </w:rPr>
            </w:pPr>
            <w:r>
              <w:rPr>
                <w:rFonts w:ascii="Verdana" w:hAnsi="Verdana" w:cs="Verdana"/>
                <w:sz w:val="20"/>
                <w:szCs w:val="20"/>
                <w:lang w:val="en-US" w:eastAsia="bg-BG"/>
              </w:rPr>
              <w:t>370</w:t>
            </w:r>
          </w:p>
        </w:tc>
      </w:tr>
      <w:tr w:rsidR="003E292C" w:rsidRPr="000E54EB">
        <w:trPr>
          <w:trHeight w:val="300"/>
        </w:trPr>
        <w:tc>
          <w:tcPr>
            <w:tcW w:w="6125" w:type="dxa"/>
            <w:tcBorders>
              <w:top w:val="nil"/>
              <w:left w:val="single" w:sz="4" w:space="0" w:color="auto"/>
              <w:bottom w:val="single" w:sz="4" w:space="0" w:color="auto"/>
              <w:right w:val="nil"/>
            </w:tcBorders>
            <w:noWrap/>
            <w:vAlign w:val="center"/>
          </w:tcPr>
          <w:p w:rsidR="003E292C" w:rsidRPr="000E54EB" w:rsidRDefault="003E292C" w:rsidP="00003B80">
            <w:pPr>
              <w:jc w:val="left"/>
              <w:rPr>
                <w:rFonts w:ascii="Verdana" w:hAnsi="Verdana" w:cs="Verdana"/>
                <w:sz w:val="20"/>
                <w:szCs w:val="20"/>
                <w:lang w:eastAsia="bg-BG"/>
              </w:rPr>
            </w:pPr>
            <w:r w:rsidRPr="000E54EB">
              <w:rPr>
                <w:rFonts w:ascii="Verdana" w:hAnsi="Verdana" w:cs="Verdana"/>
                <w:sz w:val="20"/>
                <w:szCs w:val="20"/>
                <w:lang w:eastAsia="bg-BG"/>
              </w:rPr>
              <w:t>Обезценки на вземания по съдебни спорове</w:t>
            </w:r>
          </w:p>
        </w:tc>
        <w:tc>
          <w:tcPr>
            <w:tcW w:w="1677" w:type="dxa"/>
            <w:tcBorders>
              <w:top w:val="nil"/>
              <w:left w:val="single" w:sz="4" w:space="0" w:color="auto"/>
              <w:bottom w:val="single" w:sz="4" w:space="0" w:color="auto"/>
              <w:right w:val="single" w:sz="4" w:space="0" w:color="auto"/>
            </w:tcBorders>
            <w:noWrap/>
            <w:vAlign w:val="center"/>
          </w:tcPr>
          <w:p w:rsidR="003E292C" w:rsidRPr="00BA0F26" w:rsidRDefault="00BA0F26" w:rsidP="00003B80">
            <w:pPr>
              <w:jc w:val="center"/>
              <w:rPr>
                <w:rFonts w:ascii="Verdana" w:hAnsi="Verdana" w:cs="Verdana"/>
                <w:sz w:val="20"/>
                <w:szCs w:val="20"/>
                <w:lang w:val="en-US" w:eastAsia="bg-BG"/>
              </w:rPr>
            </w:pPr>
            <w:r>
              <w:rPr>
                <w:rFonts w:ascii="Verdana" w:hAnsi="Verdana" w:cs="Verdana"/>
                <w:sz w:val="20"/>
                <w:szCs w:val="20"/>
                <w:lang w:val="en-US" w:eastAsia="bg-BG"/>
              </w:rPr>
              <w:t>(288)</w:t>
            </w:r>
          </w:p>
        </w:tc>
        <w:tc>
          <w:tcPr>
            <w:tcW w:w="1842" w:type="dxa"/>
            <w:tcBorders>
              <w:top w:val="nil"/>
              <w:left w:val="nil"/>
              <w:bottom w:val="single" w:sz="4" w:space="0" w:color="auto"/>
              <w:right w:val="single" w:sz="4" w:space="0" w:color="auto"/>
            </w:tcBorders>
            <w:noWrap/>
            <w:vAlign w:val="center"/>
          </w:tcPr>
          <w:p w:rsidR="003E292C" w:rsidRPr="000E54EB" w:rsidRDefault="003E292C" w:rsidP="00BA0F26">
            <w:pPr>
              <w:jc w:val="center"/>
              <w:rPr>
                <w:rFonts w:ascii="Verdana" w:hAnsi="Verdana" w:cs="Verdana"/>
                <w:sz w:val="20"/>
                <w:szCs w:val="20"/>
                <w:lang w:eastAsia="bg-BG"/>
              </w:rPr>
            </w:pPr>
            <w:r>
              <w:rPr>
                <w:rFonts w:ascii="Verdana" w:hAnsi="Verdana" w:cs="Verdana"/>
                <w:sz w:val="20"/>
                <w:szCs w:val="20"/>
                <w:lang w:eastAsia="bg-BG"/>
              </w:rPr>
              <w:t>(2</w:t>
            </w:r>
            <w:r>
              <w:rPr>
                <w:rFonts w:ascii="Verdana" w:hAnsi="Verdana" w:cs="Verdana"/>
                <w:sz w:val="20"/>
                <w:szCs w:val="20"/>
                <w:lang w:val="en-US" w:eastAsia="bg-BG"/>
              </w:rPr>
              <w:t>88</w:t>
            </w:r>
            <w:r w:rsidRPr="000E54EB">
              <w:rPr>
                <w:rFonts w:ascii="Verdana" w:hAnsi="Verdana" w:cs="Verdana"/>
                <w:sz w:val="20"/>
                <w:szCs w:val="20"/>
                <w:lang w:eastAsia="bg-BG"/>
              </w:rPr>
              <w:t>)</w:t>
            </w:r>
          </w:p>
        </w:tc>
      </w:tr>
      <w:tr w:rsidR="003E292C" w:rsidRPr="000E54EB">
        <w:trPr>
          <w:trHeight w:val="300"/>
        </w:trPr>
        <w:tc>
          <w:tcPr>
            <w:tcW w:w="6125" w:type="dxa"/>
            <w:tcBorders>
              <w:top w:val="nil"/>
              <w:left w:val="single" w:sz="4" w:space="0" w:color="auto"/>
              <w:bottom w:val="single" w:sz="4" w:space="0" w:color="auto"/>
              <w:right w:val="nil"/>
            </w:tcBorders>
            <w:noWrap/>
            <w:vAlign w:val="center"/>
          </w:tcPr>
          <w:p w:rsidR="003E292C" w:rsidRPr="000E54EB" w:rsidRDefault="003E292C" w:rsidP="00003B80">
            <w:pPr>
              <w:jc w:val="left"/>
              <w:rPr>
                <w:rFonts w:ascii="Verdana" w:hAnsi="Verdana" w:cs="Verdana"/>
                <w:b/>
                <w:bCs/>
                <w:sz w:val="20"/>
                <w:szCs w:val="20"/>
                <w:lang w:eastAsia="bg-BG"/>
              </w:rPr>
            </w:pPr>
            <w:r w:rsidRPr="000E54EB">
              <w:rPr>
                <w:rFonts w:ascii="Verdana" w:hAnsi="Verdana" w:cs="Verdana"/>
                <w:b/>
                <w:bCs/>
                <w:sz w:val="20"/>
                <w:szCs w:val="20"/>
                <w:lang w:eastAsia="bg-BG"/>
              </w:rPr>
              <w:t>Други вземания, в т.ч.: /нето/</w:t>
            </w:r>
          </w:p>
        </w:tc>
        <w:tc>
          <w:tcPr>
            <w:tcW w:w="1677" w:type="dxa"/>
            <w:tcBorders>
              <w:top w:val="nil"/>
              <w:left w:val="single" w:sz="4" w:space="0" w:color="auto"/>
              <w:bottom w:val="single" w:sz="4" w:space="0" w:color="auto"/>
              <w:right w:val="single" w:sz="4" w:space="0" w:color="auto"/>
            </w:tcBorders>
            <w:noWrap/>
            <w:vAlign w:val="center"/>
          </w:tcPr>
          <w:p w:rsidR="003E292C" w:rsidRPr="000E54EB" w:rsidRDefault="00BA0F26" w:rsidP="00003B80">
            <w:pPr>
              <w:jc w:val="center"/>
              <w:rPr>
                <w:rFonts w:ascii="Verdana" w:hAnsi="Verdana" w:cs="Verdana"/>
                <w:b/>
                <w:bCs/>
                <w:sz w:val="20"/>
                <w:szCs w:val="20"/>
                <w:lang w:eastAsia="bg-BG"/>
              </w:rPr>
            </w:pPr>
            <w:r>
              <w:rPr>
                <w:rFonts w:ascii="Verdana" w:hAnsi="Verdana" w:cs="Verdana"/>
                <w:b/>
                <w:bCs/>
                <w:sz w:val="20"/>
                <w:szCs w:val="20"/>
                <w:lang w:eastAsia="bg-BG"/>
              </w:rPr>
              <w:t>109</w:t>
            </w:r>
          </w:p>
        </w:tc>
        <w:tc>
          <w:tcPr>
            <w:tcW w:w="1842" w:type="dxa"/>
            <w:tcBorders>
              <w:top w:val="nil"/>
              <w:left w:val="nil"/>
              <w:bottom w:val="single" w:sz="4" w:space="0" w:color="auto"/>
              <w:right w:val="single" w:sz="4" w:space="0" w:color="auto"/>
            </w:tcBorders>
            <w:noWrap/>
            <w:vAlign w:val="center"/>
          </w:tcPr>
          <w:p w:rsidR="003E292C" w:rsidRPr="003E292C" w:rsidRDefault="00604A9E" w:rsidP="00BA0F26">
            <w:pPr>
              <w:jc w:val="center"/>
              <w:rPr>
                <w:rFonts w:ascii="Verdana" w:hAnsi="Verdana" w:cs="Verdana"/>
                <w:b/>
                <w:bCs/>
                <w:sz w:val="20"/>
                <w:szCs w:val="20"/>
                <w:lang w:val="en-US" w:eastAsia="bg-BG"/>
              </w:rPr>
            </w:pPr>
            <w:r>
              <w:rPr>
                <w:rFonts w:ascii="Verdana" w:hAnsi="Verdana" w:cs="Verdana"/>
                <w:b/>
                <w:bCs/>
                <w:sz w:val="20"/>
                <w:szCs w:val="20"/>
                <w:lang w:val="en-US" w:eastAsia="bg-BG"/>
              </w:rPr>
              <w:t>212</w:t>
            </w:r>
          </w:p>
        </w:tc>
      </w:tr>
      <w:tr w:rsidR="003E292C" w:rsidRPr="000E54EB">
        <w:trPr>
          <w:trHeight w:val="300"/>
        </w:trPr>
        <w:tc>
          <w:tcPr>
            <w:tcW w:w="6125" w:type="dxa"/>
            <w:tcBorders>
              <w:top w:val="nil"/>
              <w:left w:val="single" w:sz="4" w:space="0" w:color="auto"/>
              <w:bottom w:val="single" w:sz="4" w:space="0" w:color="auto"/>
              <w:right w:val="nil"/>
            </w:tcBorders>
            <w:noWrap/>
            <w:vAlign w:val="center"/>
          </w:tcPr>
          <w:p w:rsidR="003E292C" w:rsidRPr="000E54EB" w:rsidRDefault="003E292C" w:rsidP="00003B80">
            <w:pPr>
              <w:jc w:val="left"/>
              <w:rPr>
                <w:rFonts w:ascii="Verdana" w:hAnsi="Verdana" w:cs="Verdana"/>
                <w:sz w:val="20"/>
                <w:szCs w:val="20"/>
                <w:lang w:eastAsia="bg-BG"/>
              </w:rPr>
            </w:pPr>
            <w:r w:rsidRPr="000E54EB">
              <w:rPr>
                <w:rFonts w:ascii="Verdana" w:hAnsi="Verdana" w:cs="Verdana"/>
                <w:sz w:val="20"/>
                <w:szCs w:val="20"/>
                <w:lang w:eastAsia="bg-BG"/>
              </w:rPr>
              <w:t>Предплатени разходи</w:t>
            </w:r>
          </w:p>
        </w:tc>
        <w:tc>
          <w:tcPr>
            <w:tcW w:w="1677" w:type="dxa"/>
            <w:tcBorders>
              <w:top w:val="nil"/>
              <w:left w:val="single" w:sz="4" w:space="0" w:color="auto"/>
              <w:bottom w:val="single" w:sz="4" w:space="0" w:color="auto"/>
              <w:right w:val="single" w:sz="4" w:space="0" w:color="auto"/>
            </w:tcBorders>
            <w:noWrap/>
            <w:vAlign w:val="center"/>
          </w:tcPr>
          <w:p w:rsidR="003E292C" w:rsidRPr="00BA0F26" w:rsidRDefault="00BA0F26" w:rsidP="00003B80">
            <w:pPr>
              <w:jc w:val="center"/>
              <w:rPr>
                <w:rFonts w:ascii="Verdana" w:hAnsi="Verdana" w:cs="Verdana"/>
                <w:sz w:val="20"/>
                <w:szCs w:val="20"/>
                <w:lang w:eastAsia="bg-BG"/>
              </w:rPr>
            </w:pPr>
            <w:r>
              <w:rPr>
                <w:rFonts w:ascii="Verdana" w:hAnsi="Verdana" w:cs="Verdana"/>
                <w:sz w:val="20"/>
                <w:szCs w:val="20"/>
                <w:lang w:eastAsia="bg-BG"/>
              </w:rPr>
              <w:t>26</w:t>
            </w:r>
          </w:p>
        </w:tc>
        <w:tc>
          <w:tcPr>
            <w:tcW w:w="1842" w:type="dxa"/>
            <w:tcBorders>
              <w:top w:val="nil"/>
              <w:left w:val="nil"/>
              <w:bottom w:val="single" w:sz="4" w:space="0" w:color="auto"/>
              <w:right w:val="single" w:sz="4" w:space="0" w:color="auto"/>
            </w:tcBorders>
            <w:noWrap/>
            <w:vAlign w:val="center"/>
          </w:tcPr>
          <w:p w:rsidR="003E292C" w:rsidRPr="00AE0B36" w:rsidRDefault="003E292C" w:rsidP="00BA0F26">
            <w:pPr>
              <w:jc w:val="center"/>
              <w:rPr>
                <w:rFonts w:ascii="Verdana" w:hAnsi="Verdana" w:cs="Verdana"/>
                <w:sz w:val="20"/>
                <w:szCs w:val="20"/>
                <w:lang w:val="en-US" w:eastAsia="bg-BG"/>
              </w:rPr>
            </w:pPr>
            <w:r>
              <w:rPr>
                <w:rFonts w:ascii="Verdana" w:hAnsi="Verdana" w:cs="Verdana"/>
                <w:sz w:val="20"/>
                <w:szCs w:val="20"/>
                <w:lang w:val="en-US" w:eastAsia="bg-BG"/>
              </w:rPr>
              <w:t>6</w:t>
            </w:r>
          </w:p>
        </w:tc>
      </w:tr>
      <w:tr w:rsidR="003E292C" w:rsidRPr="000E54EB">
        <w:trPr>
          <w:trHeight w:val="300"/>
        </w:trPr>
        <w:tc>
          <w:tcPr>
            <w:tcW w:w="6125" w:type="dxa"/>
            <w:tcBorders>
              <w:top w:val="nil"/>
              <w:left w:val="single" w:sz="4" w:space="0" w:color="auto"/>
              <w:bottom w:val="single" w:sz="4" w:space="0" w:color="auto"/>
              <w:right w:val="nil"/>
            </w:tcBorders>
            <w:noWrap/>
            <w:vAlign w:val="center"/>
          </w:tcPr>
          <w:p w:rsidR="003E292C" w:rsidRPr="00BA0F26" w:rsidRDefault="00BA0F26" w:rsidP="00003B80">
            <w:pPr>
              <w:jc w:val="left"/>
              <w:rPr>
                <w:rFonts w:ascii="Verdana" w:hAnsi="Verdana" w:cs="Verdana"/>
                <w:sz w:val="20"/>
                <w:szCs w:val="20"/>
                <w:lang w:eastAsia="bg-BG"/>
              </w:rPr>
            </w:pPr>
            <w:proofErr w:type="spellStart"/>
            <w:r>
              <w:rPr>
                <w:rFonts w:ascii="Verdana" w:hAnsi="Verdana" w:cs="Verdana"/>
                <w:sz w:val="20"/>
                <w:szCs w:val="20"/>
                <w:lang w:val="en-US" w:eastAsia="bg-BG"/>
              </w:rPr>
              <w:t>Данъци</w:t>
            </w:r>
            <w:proofErr w:type="spellEnd"/>
            <w:r>
              <w:rPr>
                <w:rFonts w:ascii="Verdana" w:hAnsi="Verdana" w:cs="Verdana"/>
                <w:sz w:val="20"/>
                <w:szCs w:val="20"/>
                <w:lang w:val="en-US" w:eastAsia="bg-BG"/>
              </w:rPr>
              <w:t xml:space="preserve"> за </w:t>
            </w:r>
            <w:proofErr w:type="spellStart"/>
            <w:r>
              <w:rPr>
                <w:rFonts w:ascii="Verdana" w:hAnsi="Verdana" w:cs="Verdana"/>
                <w:sz w:val="20"/>
                <w:szCs w:val="20"/>
                <w:lang w:val="en-US" w:eastAsia="bg-BG"/>
              </w:rPr>
              <w:t>възстановяване</w:t>
            </w:r>
            <w:proofErr w:type="spellEnd"/>
          </w:p>
        </w:tc>
        <w:tc>
          <w:tcPr>
            <w:tcW w:w="1677" w:type="dxa"/>
            <w:tcBorders>
              <w:top w:val="nil"/>
              <w:left w:val="single" w:sz="4" w:space="0" w:color="auto"/>
              <w:bottom w:val="single" w:sz="4" w:space="0" w:color="auto"/>
              <w:right w:val="single" w:sz="4" w:space="0" w:color="auto"/>
            </w:tcBorders>
            <w:noWrap/>
            <w:vAlign w:val="center"/>
          </w:tcPr>
          <w:p w:rsidR="003E292C" w:rsidRPr="00BA0F26" w:rsidRDefault="00BA0F26" w:rsidP="00003B80">
            <w:pPr>
              <w:jc w:val="center"/>
              <w:rPr>
                <w:rFonts w:ascii="Verdana" w:hAnsi="Verdana" w:cs="Verdana"/>
                <w:sz w:val="20"/>
                <w:szCs w:val="20"/>
                <w:lang w:eastAsia="bg-BG"/>
              </w:rPr>
            </w:pPr>
            <w:r>
              <w:rPr>
                <w:rFonts w:ascii="Verdana" w:hAnsi="Verdana" w:cs="Verdana"/>
                <w:sz w:val="20"/>
                <w:szCs w:val="20"/>
                <w:lang w:eastAsia="bg-BG"/>
              </w:rPr>
              <w:t>13</w:t>
            </w:r>
          </w:p>
        </w:tc>
        <w:tc>
          <w:tcPr>
            <w:tcW w:w="1842" w:type="dxa"/>
            <w:tcBorders>
              <w:top w:val="nil"/>
              <w:left w:val="nil"/>
              <w:bottom w:val="single" w:sz="4" w:space="0" w:color="auto"/>
              <w:right w:val="single" w:sz="4" w:space="0" w:color="auto"/>
            </w:tcBorders>
            <w:noWrap/>
            <w:vAlign w:val="center"/>
          </w:tcPr>
          <w:p w:rsidR="003E292C" w:rsidRPr="00AE0B36" w:rsidRDefault="00604A9E" w:rsidP="00BA0F26">
            <w:pPr>
              <w:jc w:val="center"/>
              <w:rPr>
                <w:rFonts w:ascii="Verdana" w:hAnsi="Verdana" w:cs="Verdana"/>
                <w:sz w:val="20"/>
                <w:szCs w:val="20"/>
                <w:lang w:val="en-US" w:eastAsia="bg-BG"/>
              </w:rPr>
            </w:pPr>
            <w:r>
              <w:rPr>
                <w:rFonts w:ascii="Verdana" w:hAnsi="Verdana" w:cs="Verdana"/>
                <w:sz w:val="20"/>
                <w:szCs w:val="20"/>
                <w:lang w:val="en-US" w:eastAsia="bg-BG"/>
              </w:rPr>
              <w:t>116</w:t>
            </w:r>
          </w:p>
        </w:tc>
      </w:tr>
      <w:tr w:rsidR="003E292C" w:rsidRPr="000E54EB">
        <w:trPr>
          <w:trHeight w:val="300"/>
        </w:trPr>
        <w:tc>
          <w:tcPr>
            <w:tcW w:w="6125" w:type="dxa"/>
            <w:tcBorders>
              <w:top w:val="nil"/>
              <w:left w:val="single" w:sz="4" w:space="0" w:color="auto"/>
              <w:bottom w:val="single" w:sz="4" w:space="0" w:color="auto"/>
              <w:right w:val="nil"/>
            </w:tcBorders>
            <w:noWrap/>
            <w:vAlign w:val="center"/>
          </w:tcPr>
          <w:p w:rsidR="003E292C" w:rsidRPr="000E54EB" w:rsidRDefault="003E292C" w:rsidP="00003B80">
            <w:pPr>
              <w:jc w:val="left"/>
              <w:rPr>
                <w:rFonts w:ascii="Verdana" w:hAnsi="Verdana" w:cs="Verdana"/>
                <w:sz w:val="20"/>
                <w:szCs w:val="20"/>
                <w:lang w:eastAsia="bg-BG"/>
              </w:rPr>
            </w:pPr>
            <w:r w:rsidRPr="000E54EB">
              <w:rPr>
                <w:rFonts w:ascii="Verdana" w:hAnsi="Verdana" w:cs="Verdana"/>
                <w:sz w:val="20"/>
                <w:szCs w:val="20"/>
                <w:lang w:eastAsia="bg-BG"/>
              </w:rPr>
              <w:t>Вземания по застраховане</w:t>
            </w:r>
          </w:p>
        </w:tc>
        <w:tc>
          <w:tcPr>
            <w:tcW w:w="1677" w:type="dxa"/>
            <w:tcBorders>
              <w:top w:val="nil"/>
              <w:left w:val="single" w:sz="4" w:space="0" w:color="auto"/>
              <w:bottom w:val="single" w:sz="4" w:space="0" w:color="auto"/>
              <w:right w:val="single" w:sz="4" w:space="0" w:color="auto"/>
            </w:tcBorders>
            <w:noWrap/>
            <w:vAlign w:val="center"/>
          </w:tcPr>
          <w:p w:rsidR="003E292C" w:rsidRPr="00BA0F26" w:rsidRDefault="00BA0F26" w:rsidP="00003B80">
            <w:pPr>
              <w:jc w:val="center"/>
              <w:rPr>
                <w:rFonts w:ascii="Verdana" w:hAnsi="Verdana" w:cs="Verdana"/>
                <w:sz w:val="20"/>
                <w:szCs w:val="20"/>
                <w:lang w:eastAsia="bg-BG"/>
              </w:rPr>
            </w:pPr>
            <w:r>
              <w:rPr>
                <w:rFonts w:ascii="Verdana" w:hAnsi="Verdana" w:cs="Verdana"/>
                <w:sz w:val="20"/>
                <w:szCs w:val="20"/>
                <w:lang w:eastAsia="bg-BG"/>
              </w:rPr>
              <w:t>70</w:t>
            </w:r>
          </w:p>
        </w:tc>
        <w:tc>
          <w:tcPr>
            <w:tcW w:w="1842" w:type="dxa"/>
            <w:tcBorders>
              <w:top w:val="nil"/>
              <w:left w:val="nil"/>
              <w:bottom w:val="single" w:sz="4" w:space="0" w:color="auto"/>
              <w:right w:val="single" w:sz="4" w:space="0" w:color="auto"/>
            </w:tcBorders>
            <w:noWrap/>
            <w:vAlign w:val="center"/>
          </w:tcPr>
          <w:p w:rsidR="003E292C" w:rsidRPr="00AE0B36" w:rsidRDefault="003E292C" w:rsidP="00BA0F26">
            <w:pPr>
              <w:jc w:val="center"/>
              <w:rPr>
                <w:rFonts w:ascii="Verdana" w:hAnsi="Verdana" w:cs="Verdana"/>
                <w:sz w:val="20"/>
                <w:szCs w:val="20"/>
                <w:lang w:val="en-US" w:eastAsia="bg-BG"/>
              </w:rPr>
            </w:pPr>
            <w:r>
              <w:rPr>
                <w:rFonts w:ascii="Verdana" w:hAnsi="Verdana" w:cs="Verdana"/>
                <w:sz w:val="20"/>
                <w:szCs w:val="20"/>
                <w:lang w:val="en-US" w:eastAsia="bg-BG"/>
              </w:rPr>
              <w:t>90</w:t>
            </w:r>
          </w:p>
        </w:tc>
      </w:tr>
      <w:tr w:rsidR="003E292C" w:rsidRPr="000E54EB">
        <w:trPr>
          <w:trHeight w:val="300"/>
        </w:trPr>
        <w:tc>
          <w:tcPr>
            <w:tcW w:w="6125" w:type="dxa"/>
            <w:tcBorders>
              <w:top w:val="nil"/>
              <w:left w:val="single" w:sz="4" w:space="0" w:color="auto"/>
              <w:bottom w:val="single" w:sz="4" w:space="0" w:color="auto"/>
              <w:right w:val="nil"/>
            </w:tcBorders>
            <w:shd w:val="clear" w:color="000000" w:fill="C5D9F1"/>
            <w:noWrap/>
            <w:vAlign w:val="center"/>
          </w:tcPr>
          <w:p w:rsidR="003E292C" w:rsidRPr="000E54EB" w:rsidRDefault="003E292C" w:rsidP="00003B80">
            <w:pPr>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1677" w:type="dxa"/>
            <w:tcBorders>
              <w:top w:val="nil"/>
              <w:left w:val="single" w:sz="4" w:space="0" w:color="auto"/>
              <w:bottom w:val="single" w:sz="4" w:space="0" w:color="auto"/>
              <w:right w:val="single" w:sz="4" w:space="0" w:color="auto"/>
            </w:tcBorders>
            <w:shd w:val="clear" w:color="000000" w:fill="C5D9F1"/>
            <w:noWrap/>
            <w:vAlign w:val="center"/>
          </w:tcPr>
          <w:p w:rsidR="003E292C" w:rsidRPr="00AE0B36" w:rsidRDefault="00BA0F26" w:rsidP="00003B80">
            <w:pPr>
              <w:jc w:val="center"/>
              <w:rPr>
                <w:rFonts w:ascii="Verdana" w:hAnsi="Verdana" w:cs="Verdana"/>
                <w:b/>
                <w:bCs/>
                <w:sz w:val="20"/>
                <w:szCs w:val="20"/>
                <w:lang w:val="en-US" w:eastAsia="bg-BG"/>
              </w:rPr>
            </w:pPr>
            <w:r>
              <w:rPr>
                <w:rFonts w:ascii="Verdana" w:hAnsi="Verdana" w:cs="Verdana"/>
                <w:b/>
                <w:bCs/>
                <w:sz w:val="20"/>
                <w:szCs w:val="20"/>
                <w:lang w:val="en-US" w:eastAsia="bg-BG"/>
              </w:rPr>
              <w:t>9</w:t>
            </w:r>
            <w:r w:rsidR="00604A9E">
              <w:rPr>
                <w:rFonts w:ascii="Verdana" w:hAnsi="Verdana" w:cs="Verdana"/>
                <w:b/>
                <w:bCs/>
                <w:sz w:val="20"/>
                <w:szCs w:val="20"/>
                <w:lang w:val="en-US" w:eastAsia="bg-BG"/>
              </w:rPr>
              <w:t>84</w:t>
            </w:r>
          </w:p>
        </w:tc>
        <w:tc>
          <w:tcPr>
            <w:tcW w:w="1842" w:type="dxa"/>
            <w:tcBorders>
              <w:top w:val="nil"/>
              <w:left w:val="nil"/>
              <w:bottom w:val="single" w:sz="4" w:space="0" w:color="auto"/>
              <w:right w:val="single" w:sz="4" w:space="0" w:color="auto"/>
            </w:tcBorders>
            <w:shd w:val="clear" w:color="000000" w:fill="C5D9F1"/>
            <w:noWrap/>
            <w:vAlign w:val="center"/>
          </w:tcPr>
          <w:p w:rsidR="003E292C" w:rsidRPr="00AE0B36" w:rsidRDefault="003E292C" w:rsidP="00BA0F26">
            <w:pPr>
              <w:jc w:val="center"/>
              <w:rPr>
                <w:rFonts w:ascii="Verdana" w:hAnsi="Verdana" w:cs="Verdana"/>
                <w:b/>
                <w:bCs/>
                <w:sz w:val="20"/>
                <w:szCs w:val="20"/>
                <w:lang w:val="en-US" w:eastAsia="bg-BG"/>
              </w:rPr>
            </w:pPr>
            <w:r>
              <w:rPr>
                <w:rFonts w:ascii="Verdana" w:hAnsi="Verdana" w:cs="Verdana"/>
                <w:b/>
                <w:bCs/>
                <w:sz w:val="20"/>
                <w:szCs w:val="20"/>
                <w:lang w:eastAsia="bg-BG"/>
              </w:rPr>
              <w:t xml:space="preserve">1 </w:t>
            </w:r>
            <w:r w:rsidR="00604A9E">
              <w:rPr>
                <w:rFonts w:ascii="Verdana" w:hAnsi="Verdana" w:cs="Verdana"/>
                <w:b/>
                <w:bCs/>
                <w:sz w:val="20"/>
                <w:szCs w:val="20"/>
                <w:lang w:val="en-US" w:eastAsia="bg-BG"/>
              </w:rPr>
              <w:t>311</w:t>
            </w:r>
          </w:p>
        </w:tc>
      </w:tr>
    </w:tbl>
    <w:p w:rsidR="00863C99" w:rsidRPr="000E54EB" w:rsidRDefault="00863C99" w:rsidP="00B95806">
      <w:pPr>
        <w:rPr>
          <w:rFonts w:ascii="Verdana" w:hAnsi="Verdana" w:cs="Verdana"/>
          <w:sz w:val="20"/>
          <w:szCs w:val="20"/>
        </w:rPr>
      </w:pPr>
    </w:p>
    <w:p w:rsidR="00863C99" w:rsidRPr="000E54EB" w:rsidRDefault="00863C99" w:rsidP="00B66DF8">
      <w:pPr>
        <w:pStyle w:val="Heading4"/>
        <w:rPr>
          <w:rFonts w:ascii="Verdana" w:hAnsi="Verdana" w:cs="Verdana"/>
          <w:i w:val="0"/>
          <w:iCs w:val="0"/>
          <w:lang w:val="bg-BG"/>
        </w:rPr>
      </w:pPr>
      <w:bookmarkStart w:id="154" w:name="_Toc247959188"/>
      <w:bookmarkStart w:id="155" w:name="_Toc4328850"/>
      <w:r w:rsidRPr="000E54EB">
        <w:rPr>
          <w:rFonts w:ascii="Verdana" w:hAnsi="Verdana" w:cs="Verdana"/>
          <w:i w:val="0"/>
          <w:iCs w:val="0"/>
          <w:lang w:val="bg-BG"/>
        </w:rPr>
        <w:t>2.</w:t>
      </w:r>
      <w:r>
        <w:rPr>
          <w:rFonts w:ascii="Verdana" w:hAnsi="Verdana" w:cs="Verdana"/>
          <w:i w:val="0"/>
          <w:iCs w:val="0"/>
          <w:lang w:val="bg-BG"/>
        </w:rPr>
        <w:t>6</w:t>
      </w:r>
      <w:r w:rsidRPr="000E54EB">
        <w:rPr>
          <w:rFonts w:ascii="Verdana" w:hAnsi="Verdana" w:cs="Verdana"/>
          <w:i w:val="0"/>
          <w:iCs w:val="0"/>
          <w:lang w:val="bg-BG"/>
        </w:rPr>
        <w:t>. Парични средства</w:t>
      </w:r>
      <w:bookmarkEnd w:id="154"/>
      <w:bookmarkEnd w:id="155"/>
    </w:p>
    <w:tbl>
      <w:tblPr>
        <w:tblW w:w="9644"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6125"/>
        <w:gridCol w:w="1677"/>
        <w:gridCol w:w="1842"/>
      </w:tblGrid>
      <w:tr w:rsidR="00863C99" w:rsidRPr="000E54EB">
        <w:trPr>
          <w:trHeight w:val="300"/>
        </w:trPr>
        <w:tc>
          <w:tcPr>
            <w:tcW w:w="6125" w:type="dxa"/>
            <w:noWrap/>
            <w:vAlign w:val="center"/>
          </w:tcPr>
          <w:p w:rsidR="00863C99" w:rsidRPr="000E54EB" w:rsidRDefault="00863C99" w:rsidP="00544EFC">
            <w:pPr>
              <w:jc w:val="left"/>
              <w:rPr>
                <w:rFonts w:ascii="Verdana" w:hAnsi="Verdana" w:cs="Verdana"/>
                <w:b/>
                <w:bCs/>
                <w:sz w:val="20"/>
                <w:szCs w:val="20"/>
                <w:lang w:eastAsia="bg-BG"/>
              </w:rPr>
            </w:pPr>
            <w:r w:rsidRPr="000E54EB">
              <w:rPr>
                <w:rFonts w:ascii="Verdana" w:hAnsi="Verdana" w:cs="Verdana"/>
                <w:b/>
                <w:bCs/>
                <w:sz w:val="20"/>
                <w:szCs w:val="20"/>
                <w:lang w:eastAsia="bg-BG"/>
              </w:rPr>
              <w:t>Вид</w:t>
            </w:r>
          </w:p>
        </w:tc>
        <w:tc>
          <w:tcPr>
            <w:tcW w:w="1677" w:type="dxa"/>
            <w:noWrap/>
            <w:vAlign w:val="center"/>
          </w:tcPr>
          <w:p w:rsidR="00863C99" w:rsidRPr="000E54EB" w:rsidRDefault="006066BB" w:rsidP="001F3278">
            <w:pPr>
              <w:jc w:val="center"/>
              <w:rPr>
                <w:rFonts w:ascii="Verdana" w:hAnsi="Verdana" w:cs="Verdana"/>
                <w:b/>
                <w:bCs/>
                <w:sz w:val="20"/>
                <w:szCs w:val="20"/>
                <w:lang w:eastAsia="bg-BG"/>
              </w:rPr>
            </w:pPr>
            <w:r>
              <w:rPr>
                <w:rFonts w:ascii="Verdana" w:hAnsi="Verdana" w:cs="Verdana"/>
                <w:b/>
                <w:bCs/>
                <w:sz w:val="20"/>
                <w:szCs w:val="20"/>
                <w:lang w:eastAsia="bg-BG"/>
              </w:rPr>
              <w:t>3</w:t>
            </w:r>
            <w:r>
              <w:rPr>
                <w:rFonts w:ascii="Verdana" w:hAnsi="Verdana" w:cs="Verdana"/>
                <w:b/>
                <w:bCs/>
                <w:sz w:val="20"/>
                <w:szCs w:val="20"/>
                <w:lang w:val="en-US" w:eastAsia="bg-BG"/>
              </w:rPr>
              <w:t>0</w:t>
            </w:r>
            <w:r>
              <w:rPr>
                <w:rFonts w:ascii="Verdana" w:hAnsi="Verdana" w:cs="Verdana"/>
                <w:b/>
                <w:bCs/>
                <w:sz w:val="20"/>
                <w:szCs w:val="20"/>
                <w:lang w:eastAsia="bg-BG"/>
              </w:rPr>
              <w:t>.</w:t>
            </w:r>
            <w:r>
              <w:rPr>
                <w:rFonts w:ascii="Verdana" w:hAnsi="Verdana" w:cs="Verdana"/>
                <w:b/>
                <w:bCs/>
                <w:sz w:val="20"/>
                <w:szCs w:val="20"/>
                <w:lang w:val="en-US" w:eastAsia="bg-BG"/>
              </w:rPr>
              <w:t>06</w:t>
            </w:r>
            <w:r>
              <w:rPr>
                <w:rFonts w:ascii="Verdana" w:hAnsi="Verdana" w:cs="Verdana"/>
                <w:b/>
                <w:bCs/>
                <w:sz w:val="20"/>
                <w:szCs w:val="20"/>
                <w:lang w:eastAsia="bg-BG"/>
              </w:rPr>
              <w:t>.20</w:t>
            </w:r>
            <w:r>
              <w:rPr>
                <w:rFonts w:ascii="Verdana" w:hAnsi="Verdana" w:cs="Verdana"/>
                <w:b/>
                <w:bCs/>
                <w:sz w:val="20"/>
                <w:szCs w:val="20"/>
                <w:lang w:val="en-US" w:eastAsia="bg-BG"/>
              </w:rPr>
              <w:t>20</w:t>
            </w:r>
            <w:r w:rsidR="00863C99" w:rsidRPr="000E54EB">
              <w:rPr>
                <w:rFonts w:ascii="Verdana" w:hAnsi="Verdana" w:cs="Verdana"/>
                <w:b/>
                <w:bCs/>
                <w:sz w:val="20"/>
                <w:szCs w:val="20"/>
                <w:lang w:eastAsia="bg-BG"/>
              </w:rPr>
              <w:t xml:space="preserve"> г.</w:t>
            </w:r>
          </w:p>
        </w:tc>
        <w:tc>
          <w:tcPr>
            <w:tcW w:w="1842" w:type="dxa"/>
            <w:noWrap/>
            <w:vAlign w:val="center"/>
          </w:tcPr>
          <w:p w:rsidR="00863C99" w:rsidRPr="000E54EB" w:rsidRDefault="00863C99" w:rsidP="001F3278">
            <w:pPr>
              <w:jc w:val="center"/>
              <w:rPr>
                <w:rFonts w:ascii="Verdana" w:hAnsi="Verdana" w:cs="Verdana"/>
                <w:b/>
                <w:bCs/>
                <w:sz w:val="20"/>
                <w:szCs w:val="20"/>
                <w:lang w:eastAsia="bg-BG"/>
              </w:rPr>
            </w:pPr>
            <w:r w:rsidRPr="000E54EB">
              <w:rPr>
                <w:rFonts w:ascii="Verdana" w:hAnsi="Verdana" w:cs="Verdana"/>
                <w:b/>
                <w:bCs/>
                <w:sz w:val="20"/>
                <w:szCs w:val="20"/>
                <w:lang w:eastAsia="bg-BG"/>
              </w:rPr>
              <w:t>31.12.201</w:t>
            </w:r>
            <w:r w:rsidR="006066BB">
              <w:rPr>
                <w:rFonts w:ascii="Verdana" w:hAnsi="Verdana" w:cs="Verdana"/>
                <w:b/>
                <w:bCs/>
                <w:sz w:val="20"/>
                <w:szCs w:val="20"/>
                <w:lang w:val="en-US" w:eastAsia="bg-BG"/>
              </w:rPr>
              <w:t>9</w:t>
            </w:r>
            <w:r w:rsidRPr="000E54EB">
              <w:rPr>
                <w:rFonts w:ascii="Verdana" w:hAnsi="Verdana" w:cs="Verdana"/>
                <w:b/>
                <w:bCs/>
                <w:sz w:val="20"/>
                <w:szCs w:val="20"/>
                <w:lang w:eastAsia="bg-BG"/>
              </w:rPr>
              <w:t xml:space="preserve"> г.</w:t>
            </w:r>
          </w:p>
        </w:tc>
      </w:tr>
      <w:tr w:rsidR="00863C99" w:rsidRPr="000E54EB">
        <w:trPr>
          <w:trHeight w:val="300"/>
        </w:trPr>
        <w:tc>
          <w:tcPr>
            <w:tcW w:w="6125" w:type="dxa"/>
            <w:noWrap/>
            <w:vAlign w:val="center"/>
          </w:tcPr>
          <w:p w:rsidR="00863C99" w:rsidRPr="000E54EB" w:rsidRDefault="00863C99" w:rsidP="00544EFC">
            <w:pPr>
              <w:jc w:val="left"/>
              <w:rPr>
                <w:rFonts w:ascii="Verdana" w:hAnsi="Verdana" w:cs="Verdana"/>
                <w:b/>
                <w:bCs/>
                <w:sz w:val="20"/>
                <w:szCs w:val="20"/>
                <w:lang w:eastAsia="bg-BG"/>
              </w:rPr>
            </w:pPr>
            <w:r w:rsidRPr="000E54EB">
              <w:rPr>
                <w:rFonts w:ascii="Verdana" w:hAnsi="Verdana" w:cs="Verdana"/>
                <w:b/>
                <w:bCs/>
                <w:sz w:val="20"/>
                <w:szCs w:val="20"/>
                <w:lang w:eastAsia="bg-BG"/>
              </w:rPr>
              <w:t>Парични средства в брой, в т.ч.:</w:t>
            </w:r>
          </w:p>
        </w:tc>
        <w:tc>
          <w:tcPr>
            <w:tcW w:w="1677" w:type="dxa"/>
            <w:noWrap/>
            <w:vAlign w:val="center"/>
          </w:tcPr>
          <w:p w:rsidR="00863C99" w:rsidRPr="00535A16" w:rsidRDefault="00604A9E" w:rsidP="00544EFC">
            <w:pPr>
              <w:jc w:val="center"/>
              <w:rPr>
                <w:rFonts w:ascii="Verdana" w:hAnsi="Verdana" w:cs="Verdana"/>
                <w:b/>
                <w:bCs/>
                <w:sz w:val="20"/>
                <w:szCs w:val="20"/>
                <w:lang w:val="en-US" w:eastAsia="bg-BG"/>
              </w:rPr>
            </w:pPr>
            <w:r>
              <w:rPr>
                <w:rFonts w:ascii="Verdana" w:hAnsi="Verdana" w:cs="Verdana"/>
                <w:b/>
                <w:bCs/>
                <w:sz w:val="20"/>
                <w:szCs w:val="20"/>
                <w:lang w:val="en-US" w:eastAsia="bg-BG"/>
              </w:rPr>
              <w:t>4</w:t>
            </w:r>
          </w:p>
        </w:tc>
        <w:tc>
          <w:tcPr>
            <w:tcW w:w="1842" w:type="dxa"/>
            <w:noWrap/>
            <w:vAlign w:val="center"/>
          </w:tcPr>
          <w:p w:rsidR="00863C99" w:rsidRPr="000E54EB" w:rsidRDefault="00863C99" w:rsidP="001F704A">
            <w:pPr>
              <w:jc w:val="center"/>
              <w:rPr>
                <w:rFonts w:ascii="Verdana" w:hAnsi="Verdana" w:cs="Verdana"/>
                <w:b/>
                <w:bCs/>
                <w:sz w:val="20"/>
                <w:szCs w:val="20"/>
                <w:lang w:eastAsia="bg-BG"/>
              </w:rPr>
            </w:pPr>
            <w:r w:rsidRPr="000E54EB">
              <w:rPr>
                <w:rFonts w:ascii="Verdana" w:hAnsi="Verdana" w:cs="Verdana"/>
                <w:b/>
                <w:bCs/>
                <w:sz w:val="20"/>
                <w:szCs w:val="20"/>
                <w:lang w:eastAsia="bg-BG"/>
              </w:rPr>
              <w:t>-</w:t>
            </w:r>
          </w:p>
        </w:tc>
      </w:tr>
      <w:tr w:rsidR="00863C99" w:rsidRPr="000E54EB">
        <w:trPr>
          <w:trHeight w:val="300"/>
        </w:trPr>
        <w:tc>
          <w:tcPr>
            <w:tcW w:w="6125" w:type="dxa"/>
            <w:noWrap/>
            <w:vAlign w:val="center"/>
          </w:tcPr>
          <w:p w:rsidR="00863C99" w:rsidRPr="000E54EB" w:rsidRDefault="00863C99" w:rsidP="00544EFC">
            <w:pPr>
              <w:jc w:val="left"/>
              <w:rPr>
                <w:rFonts w:ascii="Verdana" w:hAnsi="Verdana" w:cs="Verdana"/>
                <w:sz w:val="20"/>
                <w:szCs w:val="20"/>
                <w:lang w:eastAsia="bg-BG"/>
              </w:rPr>
            </w:pPr>
            <w:r w:rsidRPr="000E54EB">
              <w:rPr>
                <w:rFonts w:ascii="Verdana" w:hAnsi="Verdana" w:cs="Verdana"/>
                <w:sz w:val="20"/>
                <w:szCs w:val="20"/>
                <w:lang w:eastAsia="bg-BG"/>
              </w:rPr>
              <w:t>В лева</w:t>
            </w:r>
          </w:p>
        </w:tc>
        <w:tc>
          <w:tcPr>
            <w:tcW w:w="1677" w:type="dxa"/>
            <w:noWrap/>
            <w:vAlign w:val="center"/>
          </w:tcPr>
          <w:p w:rsidR="00863C99" w:rsidRPr="00535A16" w:rsidRDefault="00604A9E" w:rsidP="00544EFC">
            <w:pPr>
              <w:jc w:val="center"/>
              <w:rPr>
                <w:rFonts w:ascii="Verdana" w:hAnsi="Verdana" w:cs="Verdana"/>
                <w:sz w:val="20"/>
                <w:szCs w:val="20"/>
                <w:lang w:val="en-US" w:eastAsia="bg-BG"/>
              </w:rPr>
            </w:pPr>
            <w:r>
              <w:rPr>
                <w:rFonts w:ascii="Verdana" w:hAnsi="Verdana" w:cs="Verdana"/>
                <w:sz w:val="20"/>
                <w:szCs w:val="20"/>
                <w:lang w:val="en-US" w:eastAsia="bg-BG"/>
              </w:rPr>
              <w:t>4</w:t>
            </w:r>
          </w:p>
        </w:tc>
        <w:tc>
          <w:tcPr>
            <w:tcW w:w="1842" w:type="dxa"/>
            <w:noWrap/>
            <w:vAlign w:val="center"/>
          </w:tcPr>
          <w:p w:rsidR="00863C99" w:rsidRPr="000E54EB" w:rsidRDefault="00863C99" w:rsidP="001F704A">
            <w:pPr>
              <w:jc w:val="center"/>
              <w:rPr>
                <w:rFonts w:ascii="Verdana" w:hAnsi="Verdana" w:cs="Verdana"/>
                <w:sz w:val="20"/>
                <w:szCs w:val="20"/>
                <w:lang w:eastAsia="bg-BG"/>
              </w:rPr>
            </w:pPr>
            <w:r w:rsidRPr="000E54EB">
              <w:rPr>
                <w:rFonts w:ascii="Verdana" w:hAnsi="Verdana" w:cs="Verdana"/>
                <w:sz w:val="20"/>
                <w:szCs w:val="20"/>
                <w:lang w:eastAsia="bg-BG"/>
              </w:rPr>
              <w:t>-</w:t>
            </w:r>
          </w:p>
        </w:tc>
      </w:tr>
      <w:tr w:rsidR="00863C99" w:rsidRPr="000E54EB">
        <w:trPr>
          <w:trHeight w:val="300"/>
        </w:trPr>
        <w:tc>
          <w:tcPr>
            <w:tcW w:w="6125" w:type="dxa"/>
            <w:noWrap/>
            <w:vAlign w:val="center"/>
          </w:tcPr>
          <w:p w:rsidR="00863C99" w:rsidRPr="000E54EB" w:rsidRDefault="00863C99" w:rsidP="00544EFC">
            <w:pPr>
              <w:jc w:val="left"/>
              <w:rPr>
                <w:rFonts w:ascii="Verdana" w:hAnsi="Verdana" w:cs="Verdana"/>
                <w:b/>
                <w:bCs/>
                <w:sz w:val="20"/>
                <w:szCs w:val="20"/>
                <w:lang w:eastAsia="bg-BG"/>
              </w:rPr>
            </w:pPr>
            <w:r w:rsidRPr="000E54EB">
              <w:rPr>
                <w:rFonts w:ascii="Verdana" w:hAnsi="Verdana" w:cs="Verdana"/>
                <w:b/>
                <w:bCs/>
                <w:sz w:val="20"/>
                <w:szCs w:val="20"/>
                <w:lang w:eastAsia="bg-BG"/>
              </w:rPr>
              <w:t>Парични средства в разплащателни сметки, в т.ч.:</w:t>
            </w:r>
          </w:p>
        </w:tc>
        <w:tc>
          <w:tcPr>
            <w:tcW w:w="1677" w:type="dxa"/>
            <w:noWrap/>
            <w:vAlign w:val="center"/>
          </w:tcPr>
          <w:p w:rsidR="00863C99" w:rsidRPr="00535A16" w:rsidRDefault="00604A9E" w:rsidP="00544EFC">
            <w:pPr>
              <w:jc w:val="center"/>
              <w:rPr>
                <w:rFonts w:ascii="Verdana" w:hAnsi="Verdana" w:cs="Verdana"/>
                <w:b/>
                <w:bCs/>
                <w:sz w:val="20"/>
                <w:szCs w:val="20"/>
                <w:lang w:val="en-US" w:eastAsia="bg-BG"/>
              </w:rPr>
            </w:pPr>
            <w:r>
              <w:rPr>
                <w:rFonts w:ascii="Verdana" w:hAnsi="Verdana" w:cs="Verdana"/>
                <w:b/>
                <w:bCs/>
                <w:sz w:val="20"/>
                <w:szCs w:val="20"/>
                <w:lang w:val="en-US" w:eastAsia="bg-BG"/>
              </w:rPr>
              <w:t>9</w:t>
            </w:r>
          </w:p>
        </w:tc>
        <w:tc>
          <w:tcPr>
            <w:tcW w:w="1842" w:type="dxa"/>
            <w:noWrap/>
            <w:vAlign w:val="center"/>
          </w:tcPr>
          <w:p w:rsidR="00863C99" w:rsidRPr="006066BB" w:rsidRDefault="006066BB" w:rsidP="001F704A">
            <w:pPr>
              <w:jc w:val="center"/>
              <w:rPr>
                <w:rFonts w:ascii="Verdana" w:hAnsi="Verdana" w:cs="Verdana"/>
                <w:b/>
                <w:bCs/>
                <w:sz w:val="20"/>
                <w:szCs w:val="20"/>
                <w:lang w:val="en-US" w:eastAsia="bg-BG"/>
              </w:rPr>
            </w:pPr>
            <w:r>
              <w:rPr>
                <w:rFonts w:ascii="Verdana" w:hAnsi="Verdana" w:cs="Verdana"/>
                <w:b/>
                <w:bCs/>
                <w:sz w:val="20"/>
                <w:szCs w:val="20"/>
                <w:lang w:val="en-US" w:eastAsia="bg-BG"/>
              </w:rPr>
              <w:t>74</w:t>
            </w:r>
          </w:p>
        </w:tc>
      </w:tr>
      <w:tr w:rsidR="00863C99" w:rsidRPr="000E54EB">
        <w:trPr>
          <w:trHeight w:val="300"/>
        </w:trPr>
        <w:tc>
          <w:tcPr>
            <w:tcW w:w="6125" w:type="dxa"/>
            <w:noWrap/>
            <w:vAlign w:val="center"/>
          </w:tcPr>
          <w:p w:rsidR="00863C99" w:rsidRPr="000E54EB" w:rsidRDefault="00863C99" w:rsidP="00544EFC">
            <w:pPr>
              <w:jc w:val="left"/>
              <w:rPr>
                <w:rFonts w:ascii="Verdana" w:hAnsi="Verdana" w:cs="Verdana"/>
                <w:sz w:val="20"/>
                <w:szCs w:val="20"/>
                <w:lang w:eastAsia="bg-BG"/>
              </w:rPr>
            </w:pPr>
            <w:r w:rsidRPr="000E54EB">
              <w:rPr>
                <w:rFonts w:ascii="Verdana" w:hAnsi="Verdana" w:cs="Verdana"/>
                <w:sz w:val="20"/>
                <w:szCs w:val="20"/>
                <w:lang w:eastAsia="bg-BG"/>
              </w:rPr>
              <w:t>В лева</w:t>
            </w:r>
          </w:p>
        </w:tc>
        <w:tc>
          <w:tcPr>
            <w:tcW w:w="1677" w:type="dxa"/>
            <w:noWrap/>
            <w:vAlign w:val="center"/>
          </w:tcPr>
          <w:p w:rsidR="00863C99" w:rsidRPr="00535A16" w:rsidRDefault="00604A9E" w:rsidP="00544EFC">
            <w:pPr>
              <w:jc w:val="center"/>
              <w:rPr>
                <w:rFonts w:ascii="Verdana" w:hAnsi="Verdana" w:cs="Verdana"/>
                <w:sz w:val="20"/>
                <w:szCs w:val="20"/>
                <w:lang w:val="en-US" w:eastAsia="bg-BG"/>
              </w:rPr>
            </w:pPr>
            <w:r>
              <w:rPr>
                <w:rFonts w:ascii="Verdana" w:hAnsi="Verdana" w:cs="Verdana"/>
                <w:sz w:val="20"/>
                <w:szCs w:val="20"/>
                <w:lang w:val="en-US" w:eastAsia="bg-BG"/>
              </w:rPr>
              <w:t>9</w:t>
            </w:r>
          </w:p>
        </w:tc>
        <w:tc>
          <w:tcPr>
            <w:tcW w:w="1842" w:type="dxa"/>
            <w:noWrap/>
            <w:vAlign w:val="center"/>
          </w:tcPr>
          <w:p w:rsidR="00863C99" w:rsidRPr="006066BB" w:rsidRDefault="006066BB" w:rsidP="001F704A">
            <w:pPr>
              <w:jc w:val="center"/>
              <w:rPr>
                <w:rFonts w:ascii="Verdana" w:hAnsi="Verdana" w:cs="Verdana"/>
                <w:sz w:val="20"/>
                <w:szCs w:val="20"/>
                <w:lang w:val="en-US" w:eastAsia="bg-BG"/>
              </w:rPr>
            </w:pPr>
            <w:r>
              <w:rPr>
                <w:rFonts w:ascii="Verdana" w:hAnsi="Verdana" w:cs="Verdana"/>
                <w:sz w:val="20"/>
                <w:szCs w:val="20"/>
                <w:lang w:val="en-US" w:eastAsia="bg-BG"/>
              </w:rPr>
              <w:t>74</w:t>
            </w:r>
          </w:p>
        </w:tc>
      </w:tr>
      <w:tr w:rsidR="00863C99" w:rsidRPr="000E54EB">
        <w:trPr>
          <w:trHeight w:val="300"/>
        </w:trPr>
        <w:tc>
          <w:tcPr>
            <w:tcW w:w="6125" w:type="dxa"/>
            <w:shd w:val="clear" w:color="000000" w:fill="C5D9F1"/>
            <w:noWrap/>
            <w:vAlign w:val="center"/>
          </w:tcPr>
          <w:p w:rsidR="00863C99" w:rsidRPr="000E54EB" w:rsidRDefault="00863C99" w:rsidP="00544EFC">
            <w:pPr>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1677" w:type="dxa"/>
            <w:shd w:val="clear" w:color="000000" w:fill="C5D9F1"/>
            <w:noWrap/>
            <w:vAlign w:val="center"/>
          </w:tcPr>
          <w:p w:rsidR="00863C99" w:rsidRPr="00535A16" w:rsidRDefault="00604A9E" w:rsidP="00544EFC">
            <w:pPr>
              <w:jc w:val="center"/>
              <w:rPr>
                <w:rFonts w:ascii="Verdana" w:hAnsi="Verdana" w:cs="Verdana"/>
                <w:b/>
                <w:bCs/>
                <w:sz w:val="20"/>
                <w:szCs w:val="20"/>
                <w:lang w:val="en-US" w:eastAsia="bg-BG"/>
              </w:rPr>
            </w:pPr>
            <w:r>
              <w:rPr>
                <w:rFonts w:ascii="Verdana" w:hAnsi="Verdana" w:cs="Verdana"/>
                <w:b/>
                <w:bCs/>
                <w:sz w:val="20"/>
                <w:szCs w:val="20"/>
                <w:lang w:val="en-US" w:eastAsia="bg-BG"/>
              </w:rPr>
              <w:t>13</w:t>
            </w:r>
          </w:p>
        </w:tc>
        <w:tc>
          <w:tcPr>
            <w:tcW w:w="1842" w:type="dxa"/>
            <w:shd w:val="clear" w:color="000000" w:fill="C5D9F1"/>
            <w:noWrap/>
            <w:vAlign w:val="center"/>
          </w:tcPr>
          <w:p w:rsidR="00863C99" w:rsidRPr="006066BB" w:rsidRDefault="006066BB" w:rsidP="001F704A">
            <w:pPr>
              <w:jc w:val="center"/>
              <w:rPr>
                <w:rFonts w:ascii="Verdana" w:hAnsi="Verdana" w:cs="Verdana"/>
                <w:b/>
                <w:bCs/>
                <w:sz w:val="20"/>
                <w:szCs w:val="20"/>
                <w:lang w:val="en-US" w:eastAsia="bg-BG"/>
              </w:rPr>
            </w:pPr>
            <w:r>
              <w:rPr>
                <w:rFonts w:ascii="Verdana" w:hAnsi="Verdana" w:cs="Verdana"/>
                <w:b/>
                <w:bCs/>
                <w:sz w:val="20"/>
                <w:szCs w:val="20"/>
                <w:lang w:val="en-US" w:eastAsia="bg-BG"/>
              </w:rPr>
              <w:t>74</w:t>
            </w:r>
          </w:p>
        </w:tc>
      </w:tr>
      <w:tr w:rsidR="00863C99" w:rsidRPr="000E54EB">
        <w:trPr>
          <w:trHeight w:val="300"/>
        </w:trPr>
        <w:tc>
          <w:tcPr>
            <w:tcW w:w="6125" w:type="dxa"/>
            <w:shd w:val="clear" w:color="000000" w:fill="C5D9F1"/>
            <w:noWrap/>
            <w:vAlign w:val="center"/>
          </w:tcPr>
          <w:p w:rsidR="00863C99" w:rsidRPr="000E54EB" w:rsidRDefault="00863C99" w:rsidP="00544EFC">
            <w:pPr>
              <w:jc w:val="left"/>
              <w:rPr>
                <w:rFonts w:ascii="Verdana" w:hAnsi="Verdana" w:cs="Verdana"/>
                <w:b/>
                <w:bCs/>
                <w:sz w:val="20"/>
                <w:szCs w:val="20"/>
                <w:lang w:eastAsia="bg-BG"/>
              </w:rPr>
            </w:pPr>
            <w:r w:rsidRPr="000E54EB">
              <w:rPr>
                <w:rFonts w:ascii="Verdana" w:hAnsi="Verdana" w:cs="Verdana"/>
                <w:b/>
                <w:bCs/>
                <w:sz w:val="20"/>
                <w:szCs w:val="20"/>
                <w:lang w:eastAsia="bg-BG"/>
              </w:rPr>
              <w:t>Балансова стойност на паричните средства</w:t>
            </w:r>
          </w:p>
        </w:tc>
        <w:tc>
          <w:tcPr>
            <w:tcW w:w="1677" w:type="dxa"/>
            <w:shd w:val="clear" w:color="000000" w:fill="C5D9F1"/>
            <w:noWrap/>
            <w:vAlign w:val="center"/>
          </w:tcPr>
          <w:p w:rsidR="00863C99" w:rsidRPr="00535A16" w:rsidRDefault="00604A9E" w:rsidP="00544EFC">
            <w:pPr>
              <w:jc w:val="center"/>
              <w:rPr>
                <w:rFonts w:ascii="Verdana" w:hAnsi="Verdana" w:cs="Verdana"/>
                <w:b/>
                <w:bCs/>
                <w:sz w:val="20"/>
                <w:szCs w:val="20"/>
                <w:lang w:val="en-US" w:eastAsia="bg-BG"/>
              </w:rPr>
            </w:pPr>
            <w:r>
              <w:rPr>
                <w:rFonts w:ascii="Verdana" w:hAnsi="Verdana" w:cs="Verdana"/>
                <w:b/>
                <w:bCs/>
                <w:sz w:val="20"/>
                <w:szCs w:val="20"/>
                <w:lang w:val="en-US" w:eastAsia="bg-BG"/>
              </w:rPr>
              <w:t>13</w:t>
            </w:r>
          </w:p>
        </w:tc>
        <w:tc>
          <w:tcPr>
            <w:tcW w:w="1842" w:type="dxa"/>
            <w:shd w:val="clear" w:color="000000" w:fill="C5D9F1"/>
            <w:noWrap/>
            <w:vAlign w:val="center"/>
          </w:tcPr>
          <w:p w:rsidR="00863C99" w:rsidRPr="006066BB" w:rsidRDefault="006066BB" w:rsidP="001F704A">
            <w:pPr>
              <w:jc w:val="center"/>
              <w:rPr>
                <w:rFonts w:ascii="Verdana" w:hAnsi="Verdana" w:cs="Verdana"/>
                <w:b/>
                <w:bCs/>
                <w:sz w:val="20"/>
                <w:szCs w:val="20"/>
                <w:lang w:val="en-US" w:eastAsia="bg-BG"/>
              </w:rPr>
            </w:pPr>
            <w:r>
              <w:rPr>
                <w:rFonts w:ascii="Verdana" w:hAnsi="Verdana" w:cs="Verdana"/>
                <w:b/>
                <w:bCs/>
                <w:sz w:val="20"/>
                <w:szCs w:val="20"/>
                <w:lang w:val="en-US" w:eastAsia="bg-BG"/>
              </w:rPr>
              <w:t>74</w:t>
            </w:r>
          </w:p>
        </w:tc>
      </w:tr>
    </w:tbl>
    <w:p w:rsidR="00863C99" w:rsidRPr="000E54EB" w:rsidRDefault="00863C99" w:rsidP="00544EFC">
      <w:pPr>
        <w:rPr>
          <w:rFonts w:ascii="Verdana" w:hAnsi="Verdana" w:cs="Verdana"/>
          <w:sz w:val="20"/>
          <w:szCs w:val="20"/>
        </w:rPr>
      </w:pPr>
    </w:p>
    <w:p w:rsidR="00863C99" w:rsidRPr="000E54EB" w:rsidRDefault="00863C99" w:rsidP="00882009">
      <w:pPr>
        <w:rPr>
          <w:rFonts w:ascii="Verdana" w:hAnsi="Verdana" w:cs="Verdana"/>
          <w:sz w:val="20"/>
          <w:szCs w:val="20"/>
        </w:rPr>
      </w:pPr>
      <w:r w:rsidRPr="000E54EB">
        <w:rPr>
          <w:rFonts w:ascii="Verdana" w:hAnsi="Verdana" w:cs="Verdana"/>
          <w:sz w:val="20"/>
          <w:szCs w:val="20"/>
        </w:rPr>
        <w:t>Дружеството счита, че паричните наличности са изложени на нисък кредитен риск.</w:t>
      </w:r>
    </w:p>
    <w:p w:rsidR="00863C99" w:rsidRPr="00B012B8" w:rsidRDefault="00863C99" w:rsidP="00D45DF2">
      <w:pPr>
        <w:pStyle w:val="Heading3"/>
        <w:rPr>
          <w:rFonts w:ascii="Verdana" w:hAnsi="Verdana" w:cs="Verdana"/>
          <w:lang w:val="bg-BG"/>
        </w:rPr>
      </w:pPr>
      <w:bookmarkStart w:id="156" w:name="_Toc247959189"/>
      <w:bookmarkStart w:id="157" w:name="_Toc4328851"/>
      <w:r w:rsidRPr="00B012B8">
        <w:rPr>
          <w:rFonts w:ascii="Verdana" w:hAnsi="Verdana" w:cs="Verdana"/>
          <w:lang w:val="bg-BG"/>
        </w:rPr>
        <w:t>С</w:t>
      </w:r>
      <w:bookmarkStart w:id="158" w:name="_Toc247959190"/>
      <w:bookmarkEnd w:id="156"/>
      <w:r w:rsidRPr="00B012B8">
        <w:rPr>
          <w:rFonts w:ascii="Verdana" w:hAnsi="Verdana" w:cs="Verdana"/>
          <w:lang w:val="bg-BG"/>
        </w:rPr>
        <w:t>обствен капитал</w:t>
      </w:r>
      <w:bookmarkEnd w:id="157"/>
    </w:p>
    <w:p w:rsidR="00863C99" w:rsidRPr="000E54EB" w:rsidRDefault="00863C99" w:rsidP="00D45DF2">
      <w:pPr>
        <w:pStyle w:val="Heading3"/>
        <w:rPr>
          <w:rFonts w:ascii="Verdana" w:hAnsi="Verdana" w:cs="Verdana"/>
          <w:lang w:val="bg-BG"/>
        </w:rPr>
      </w:pPr>
      <w:bookmarkStart w:id="159" w:name="_Toc4328852"/>
      <w:r w:rsidRPr="000E54EB">
        <w:rPr>
          <w:rFonts w:ascii="Verdana" w:hAnsi="Verdana" w:cs="Verdana"/>
          <w:lang w:val="bg-BG"/>
        </w:rPr>
        <w:t>2.</w:t>
      </w:r>
      <w:r>
        <w:rPr>
          <w:rFonts w:ascii="Verdana" w:hAnsi="Verdana" w:cs="Verdana"/>
          <w:lang w:val="bg-BG"/>
        </w:rPr>
        <w:t>7</w:t>
      </w:r>
      <w:r w:rsidRPr="000E54EB">
        <w:rPr>
          <w:rFonts w:ascii="Verdana" w:hAnsi="Verdana" w:cs="Verdana"/>
          <w:lang w:val="bg-BG"/>
        </w:rPr>
        <w:t>. Собствен капитал</w:t>
      </w:r>
      <w:bookmarkEnd w:id="159"/>
      <w:r w:rsidRPr="000E54EB">
        <w:rPr>
          <w:rFonts w:ascii="Verdana" w:hAnsi="Verdana" w:cs="Verdana"/>
          <w:lang w:val="bg-BG"/>
        </w:rPr>
        <w:t xml:space="preserve">        </w:t>
      </w:r>
    </w:p>
    <w:p w:rsidR="00863C99" w:rsidRPr="000E54EB" w:rsidRDefault="00863C99" w:rsidP="00B66DF8">
      <w:pPr>
        <w:pStyle w:val="Heading4"/>
        <w:rPr>
          <w:rFonts w:ascii="Verdana" w:hAnsi="Verdana" w:cs="Verdana"/>
          <w:i w:val="0"/>
          <w:iCs w:val="0"/>
          <w:lang w:val="bg-BG"/>
        </w:rPr>
      </w:pPr>
      <w:bookmarkStart w:id="160" w:name="_Toc4328853"/>
      <w:r w:rsidRPr="000E54EB">
        <w:rPr>
          <w:rFonts w:ascii="Verdana" w:hAnsi="Verdana" w:cs="Verdana"/>
          <w:i w:val="0"/>
          <w:iCs w:val="0"/>
          <w:lang w:val="bg-BG"/>
        </w:rPr>
        <w:t>2.</w:t>
      </w:r>
      <w:r>
        <w:rPr>
          <w:rFonts w:ascii="Verdana" w:hAnsi="Verdana" w:cs="Verdana"/>
          <w:i w:val="0"/>
          <w:iCs w:val="0"/>
          <w:lang w:val="bg-BG"/>
        </w:rPr>
        <w:t>7</w:t>
      </w:r>
      <w:r w:rsidRPr="000E54EB">
        <w:rPr>
          <w:rFonts w:ascii="Verdana" w:hAnsi="Verdana" w:cs="Verdana"/>
          <w:i w:val="0"/>
          <w:iCs w:val="0"/>
          <w:lang w:val="bg-BG"/>
        </w:rPr>
        <w:t>.1. Основен капитал</w:t>
      </w:r>
      <w:bookmarkEnd w:id="158"/>
      <w:bookmarkEnd w:id="160"/>
    </w:p>
    <w:tbl>
      <w:tblPr>
        <w:tblW w:w="967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686"/>
        <w:gridCol w:w="1319"/>
        <w:gridCol w:w="1568"/>
        <w:gridCol w:w="1150"/>
        <w:gridCol w:w="1300"/>
        <w:gridCol w:w="1502"/>
        <w:gridCol w:w="1150"/>
      </w:tblGrid>
      <w:tr w:rsidR="008837C1" w:rsidRPr="000E54EB" w:rsidTr="008837C1">
        <w:trPr>
          <w:trHeight w:val="300"/>
        </w:trPr>
        <w:tc>
          <w:tcPr>
            <w:tcW w:w="1723" w:type="dxa"/>
            <w:vMerge w:val="restart"/>
            <w:shd w:val="clear" w:color="000000" w:fill="FFFFFF"/>
            <w:noWrap/>
            <w:vAlign w:val="center"/>
          </w:tcPr>
          <w:p w:rsidR="00863C99" w:rsidRPr="000E54EB" w:rsidRDefault="00863C99" w:rsidP="0050274A">
            <w:pPr>
              <w:jc w:val="center"/>
              <w:rPr>
                <w:rFonts w:ascii="Verdana" w:hAnsi="Verdana" w:cs="Verdana"/>
                <w:b/>
                <w:bCs/>
                <w:sz w:val="20"/>
                <w:szCs w:val="20"/>
                <w:lang w:eastAsia="bg-BG"/>
              </w:rPr>
            </w:pPr>
            <w:r w:rsidRPr="000E54EB">
              <w:rPr>
                <w:rFonts w:ascii="Verdana" w:hAnsi="Verdana" w:cs="Verdana"/>
                <w:b/>
                <w:bCs/>
                <w:sz w:val="20"/>
                <w:szCs w:val="20"/>
                <w:lang w:eastAsia="bg-BG"/>
              </w:rPr>
              <w:t>Вид акции</w:t>
            </w:r>
          </w:p>
        </w:tc>
        <w:tc>
          <w:tcPr>
            <w:tcW w:w="3926" w:type="dxa"/>
            <w:gridSpan w:val="3"/>
            <w:shd w:val="clear" w:color="000000" w:fill="FFFFFF"/>
            <w:noWrap/>
            <w:vAlign w:val="bottom"/>
          </w:tcPr>
          <w:p w:rsidR="00863C99" w:rsidRPr="000E54EB" w:rsidRDefault="004D016D" w:rsidP="001F3278">
            <w:pPr>
              <w:jc w:val="center"/>
              <w:rPr>
                <w:rFonts w:ascii="Verdana" w:hAnsi="Verdana" w:cs="Verdana"/>
                <w:b/>
                <w:bCs/>
                <w:sz w:val="20"/>
                <w:szCs w:val="20"/>
                <w:lang w:eastAsia="bg-BG"/>
              </w:rPr>
            </w:pPr>
            <w:r>
              <w:rPr>
                <w:rFonts w:ascii="Verdana" w:hAnsi="Verdana" w:cs="Verdana"/>
                <w:b/>
                <w:bCs/>
                <w:sz w:val="20"/>
                <w:szCs w:val="20"/>
                <w:lang w:eastAsia="bg-BG"/>
              </w:rPr>
              <w:t>3</w:t>
            </w:r>
            <w:r>
              <w:rPr>
                <w:rFonts w:ascii="Verdana" w:hAnsi="Verdana" w:cs="Verdana"/>
                <w:b/>
                <w:bCs/>
                <w:sz w:val="20"/>
                <w:szCs w:val="20"/>
                <w:lang w:val="en-US" w:eastAsia="bg-BG"/>
              </w:rPr>
              <w:t>0</w:t>
            </w:r>
            <w:r>
              <w:rPr>
                <w:rFonts w:ascii="Verdana" w:hAnsi="Verdana" w:cs="Verdana"/>
                <w:b/>
                <w:bCs/>
                <w:sz w:val="20"/>
                <w:szCs w:val="20"/>
                <w:lang w:eastAsia="bg-BG"/>
              </w:rPr>
              <w:t>.</w:t>
            </w:r>
            <w:r>
              <w:rPr>
                <w:rFonts w:ascii="Verdana" w:hAnsi="Verdana" w:cs="Verdana"/>
                <w:b/>
                <w:bCs/>
                <w:sz w:val="20"/>
                <w:szCs w:val="20"/>
                <w:lang w:val="en-US" w:eastAsia="bg-BG"/>
              </w:rPr>
              <w:t>06</w:t>
            </w:r>
            <w:r w:rsidR="00863C99" w:rsidRPr="000E54EB">
              <w:rPr>
                <w:rFonts w:ascii="Verdana" w:hAnsi="Verdana" w:cs="Verdana"/>
                <w:b/>
                <w:bCs/>
                <w:sz w:val="20"/>
                <w:szCs w:val="20"/>
                <w:lang w:eastAsia="bg-BG"/>
              </w:rPr>
              <w:t>.201</w:t>
            </w:r>
            <w:r w:rsidR="00863C99">
              <w:rPr>
                <w:rFonts w:ascii="Verdana" w:hAnsi="Verdana" w:cs="Verdana"/>
                <w:b/>
                <w:bCs/>
                <w:sz w:val="20"/>
                <w:szCs w:val="20"/>
                <w:lang w:eastAsia="bg-BG"/>
              </w:rPr>
              <w:t>9</w:t>
            </w:r>
            <w:r w:rsidR="00863C99" w:rsidRPr="000E54EB">
              <w:rPr>
                <w:rFonts w:ascii="Verdana" w:hAnsi="Verdana" w:cs="Verdana"/>
                <w:b/>
                <w:bCs/>
                <w:sz w:val="20"/>
                <w:szCs w:val="20"/>
                <w:lang w:eastAsia="bg-BG"/>
              </w:rPr>
              <w:t xml:space="preserve"> г.</w:t>
            </w:r>
          </w:p>
        </w:tc>
        <w:tc>
          <w:tcPr>
            <w:tcW w:w="4026" w:type="dxa"/>
            <w:gridSpan w:val="3"/>
            <w:shd w:val="clear" w:color="000000" w:fill="FFFFFF"/>
            <w:noWrap/>
            <w:vAlign w:val="bottom"/>
          </w:tcPr>
          <w:p w:rsidR="00863C99" w:rsidRPr="000E54EB" w:rsidRDefault="00863C99" w:rsidP="001F3278">
            <w:pPr>
              <w:jc w:val="center"/>
              <w:rPr>
                <w:rFonts w:ascii="Verdana" w:hAnsi="Verdana" w:cs="Verdana"/>
                <w:b/>
                <w:bCs/>
                <w:sz w:val="20"/>
                <w:szCs w:val="20"/>
                <w:lang w:eastAsia="bg-BG"/>
              </w:rPr>
            </w:pPr>
            <w:r w:rsidRPr="000E54EB">
              <w:rPr>
                <w:rFonts w:ascii="Verdana" w:hAnsi="Verdana" w:cs="Verdana"/>
                <w:b/>
                <w:bCs/>
                <w:sz w:val="20"/>
                <w:szCs w:val="20"/>
                <w:lang w:eastAsia="bg-BG"/>
              </w:rPr>
              <w:t>31.12.201</w:t>
            </w:r>
            <w:r w:rsidR="004D016D">
              <w:rPr>
                <w:rFonts w:ascii="Verdana" w:hAnsi="Verdana" w:cs="Verdana"/>
                <w:b/>
                <w:bCs/>
                <w:sz w:val="20"/>
                <w:szCs w:val="20"/>
                <w:lang w:val="en-US" w:eastAsia="bg-BG"/>
              </w:rPr>
              <w:t>9</w:t>
            </w:r>
            <w:r w:rsidRPr="000E54EB">
              <w:rPr>
                <w:rFonts w:ascii="Verdana" w:hAnsi="Verdana" w:cs="Verdana"/>
                <w:b/>
                <w:bCs/>
                <w:sz w:val="20"/>
                <w:szCs w:val="20"/>
                <w:lang w:eastAsia="bg-BG"/>
              </w:rPr>
              <w:t xml:space="preserve"> г.</w:t>
            </w:r>
          </w:p>
        </w:tc>
      </w:tr>
      <w:tr w:rsidR="008837C1" w:rsidRPr="000E54EB" w:rsidTr="008837C1">
        <w:trPr>
          <w:trHeight w:val="600"/>
        </w:trPr>
        <w:tc>
          <w:tcPr>
            <w:tcW w:w="1723" w:type="dxa"/>
            <w:vMerge/>
            <w:vAlign w:val="center"/>
          </w:tcPr>
          <w:p w:rsidR="00863C99" w:rsidRPr="000E54EB" w:rsidRDefault="00863C99" w:rsidP="0050274A">
            <w:pPr>
              <w:jc w:val="left"/>
              <w:rPr>
                <w:rFonts w:ascii="Verdana" w:hAnsi="Verdana" w:cs="Verdana"/>
                <w:b/>
                <w:bCs/>
                <w:sz w:val="20"/>
                <w:szCs w:val="20"/>
                <w:lang w:eastAsia="bg-BG"/>
              </w:rPr>
            </w:pPr>
          </w:p>
        </w:tc>
        <w:tc>
          <w:tcPr>
            <w:tcW w:w="1348" w:type="dxa"/>
            <w:shd w:val="clear" w:color="000000" w:fill="FFFFFF"/>
            <w:noWrap/>
            <w:vAlign w:val="center"/>
          </w:tcPr>
          <w:p w:rsidR="00863C99" w:rsidRPr="000E54EB" w:rsidRDefault="00863C99" w:rsidP="00CF6C6C">
            <w:pPr>
              <w:jc w:val="center"/>
              <w:rPr>
                <w:rFonts w:ascii="Verdana" w:hAnsi="Verdana" w:cs="Verdana"/>
                <w:b/>
                <w:bCs/>
                <w:sz w:val="20"/>
                <w:szCs w:val="20"/>
                <w:lang w:eastAsia="bg-BG"/>
              </w:rPr>
            </w:pPr>
            <w:r w:rsidRPr="000E54EB">
              <w:rPr>
                <w:rFonts w:ascii="Verdana" w:hAnsi="Verdana" w:cs="Verdana"/>
                <w:b/>
                <w:bCs/>
                <w:sz w:val="20"/>
                <w:szCs w:val="20"/>
                <w:lang w:eastAsia="bg-BG"/>
              </w:rPr>
              <w:t>Брой акции</w:t>
            </w:r>
          </w:p>
        </w:tc>
        <w:tc>
          <w:tcPr>
            <w:tcW w:w="1603" w:type="dxa"/>
            <w:shd w:val="clear" w:color="000000" w:fill="FFFFFF"/>
            <w:noWrap/>
            <w:vAlign w:val="center"/>
          </w:tcPr>
          <w:p w:rsidR="00863C99" w:rsidRPr="000E54EB" w:rsidRDefault="00863C99" w:rsidP="00CF6C6C">
            <w:pPr>
              <w:jc w:val="center"/>
              <w:rPr>
                <w:rFonts w:ascii="Verdana" w:hAnsi="Verdana" w:cs="Verdana"/>
                <w:b/>
                <w:bCs/>
                <w:sz w:val="20"/>
                <w:szCs w:val="20"/>
                <w:lang w:eastAsia="bg-BG"/>
              </w:rPr>
            </w:pPr>
            <w:r w:rsidRPr="000E54EB">
              <w:rPr>
                <w:rFonts w:ascii="Verdana" w:hAnsi="Verdana" w:cs="Verdana"/>
                <w:b/>
                <w:bCs/>
                <w:sz w:val="20"/>
                <w:szCs w:val="20"/>
                <w:lang w:eastAsia="bg-BG"/>
              </w:rPr>
              <w:t>Стойност</w:t>
            </w:r>
          </w:p>
        </w:tc>
        <w:tc>
          <w:tcPr>
            <w:tcW w:w="975" w:type="dxa"/>
            <w:shd w:val="clear" w:color="000000" w:fill="FFFFFF"/>
            <w:noWrap/>
            <w:vAlign w:val="center"/>
          </w:tcPr>
          <w:p w:rsidR="00863C99" w:rsidRPr="000E54EB" w:rsidRDefault="00863C99" w:rsidP="00CF6C6C">
            <w:pPr>
              <w:jc w:val="center"/>
              <w:rPr>
                <w:rFonts w:ascii="Verdana" w:hAnsi="Verdana" w:cs="Verdana"/>
                <w:b/>
                <w:bCs/>
                <w:sz w:val="20"/>
                <w:szCs w:val="20"/>
                <w:lang w:eastAsia="bg-BG"/>
              </w:rPr>
            </w:pPr>
            <w:r w:rsidRPr="000E54EB">
              <w:rPr>
                <w:rFonts w:ascii="Verdana" w:hAnsi="Verdana" w:cs="Verdana"/>
                <w:b/>
                <w:bCs/>
                <w:sz w:val="20"/>
                <w:szCs w:val="20"/>
                <w:lang w:eastAsia="bg-BG"/>
              </w:rPr>
              <w:t>Номинал</w:t>
            </w:r>
          </w:p>
        </w:tc>
        <w:tc>
          <w:tcPr>
            <w:tcW w:w="1328" w:type="dxa"/>
            <w:shd w:val="clear" w:color="000000" w:fill="FFFFFF"/>
            <w:noWrap/>
            <w:vAlign w:val="center"/>
          </w:tcPr>
          <w:p w:rsidR="00863C99" w:rsidRPr="000E54EB" w:rsidRDefault="00863C99" w:rsidP="00CF6C6C">
            <w:pPr>
              <w:jc w:val="center"/>
              <w:rPr>
                <w:rFonts w:ascii="Verdana" w:hAnsi="Verdana" w:cs="Verdana"/>
                <w:b/>
                <w:bCs/>
                <w:sz w:val="20"/>
                <w:szCs w:val="20"/>
                <w:lang w:eastAsia="bg-BG"/>
              </w:rPr>
            </w:pPr>
            <w:r w:rsidRPr="000E54EB">
              <w:rPr>
                <w:rFonts w:ascii="Verdana" w:hAnsi="Verdana" w:cs="Verdana"/>
                <w:b/>
                <w:bCs/>
                <w:sz w:val="20"/>
                <w:szCs w:val="20"/>
                <w:lang w:eastAsia="bg-BG"/>
              </w:rPr>
              <w:t>Брой акции</w:t>
            </w:r>
          </w:p>
        </w:tc>
        <w:tc>
          <w:tcPr>
            <w:tcW w:w="1535" w:type="dxa"/>
            <w:shd w:val="clear" w:color="000000" w:fill="FFFFFF"/>
            <w:noWrap/>
            <w:vAlign w:val="center"/>
          </w:tcPr>
          <w:p w:rsidR="00863C99" w:rsidRPr="000E54EB" w:rsidRDefault="00863C99" w:rsidP="00CF6C6C">
            <w:pPr>
              <w:jc w:val="center"/>
              <w:rPr>
                <w:rFonts w:ascii="Verdana" w:hAnsi="Verdana" w:cs="Verdana"/>
                <w:b/>
                <w:bCs/>
                <w:sz w:val="20"/>
                <w:szCs w:val="20"/>
                <w:lang w:eastAsia="bg-BG"/>
              </w:rPr>
            </w:pPr>
            <w:r w:rsidRPr="000E54EB">
              <w:rPr>
                <w:rFonts w:ascii="Verdana" w:hAnsi="Verdana" w:cs="Verdana"/>
                <w:b/>
                <w:bCs/>
                <w:sz w:val="20"/>
                <w:szCs w:val="20"/>
                <w:lang w:eastAsia="bg-BG"/>
              </w:rPr>
              <w:t>Стойност</w:t>
            </w:r>
          </w:p>
        </w:tc>
        <w:tc>
          <w:tcPr>
            <w:tcW w:w="1163" w:type="dxa"/>
            <w:shd w:val="clear" w:color="000000" w:fill="FFFFFF"/>
            <w:noWrap/>
            <w:vAlign w:val="center"/>
          </w:tcPr>
          <w:p w:rsidR="00863C99" w:rsidRPr="000E54EB" w:rsidRDefault="00863C99" w:rsidP="00CF6C6C">
            <w:pPr>
              <w:jc w:val="center"/>
              <w:rPr>
                <w:rFonts w:ascii="Verdana" w:hAnsi="Verdana" w:cs="Verdana"/>
                <w:b/>
                <w:bCs/>
                <w:sz w:val="20"/>
                <w:szCs w:val="20"/>
                <w:lang w:eastAsia="bg-BG"/>
              </w:rPr>
            </w:pPr>
            <w:r w:rsidRPr="000E54EB">
              <w:rPr>
                <w:rFonts w:ascii="Verdana" w:hAnsi="Verdana" w:cs="Verdana"/>
                <w:b/>
                <w:bCs/>
                <w:sz w:val="20"/>
                <w:szCs w:val="20"/>
                <w:lang w:eastAsia="bg-BG"/>
              </w:rPr>
              <w:t>Номинал</w:t>
            </w:r>
          </w:p>
        </w:tc>
      </w:tr>
      <w:tr w:rsidR="008837C1" w:rsidRPr="000E54EB" w:rsidTr="008837C1">
        <w:trPr>
          <w:trHeight w:val="300"/>
        </w:trPr>
        <w:tc>
          <w:tcPr>
            <w:tcW w:w="1723" w:type="dxa"/>
            <w:shd w:val="clear" w:color="000000" w:fill="FFFFFF"/>
            <w:vAlign w:val="center"/>
          </w:tcPr>
          <w:p w:rsidR="00863C99" w:rsidRPr="000E54EB" w:rsidRDefault="00863C99" w:rsidP="0050274A">
            <w:pPr>
              <w:jc w:val="left"/>
              <w:rPr>
                <w:rFonts w:ascii="Verdana" w:hAnsi="Verdana" w:cs="Verdana"/>
                <w:b/>
                <w:bCs/>
                <w:sz w:val="20"/>
                <w:szCs w:val="20"/>
                <w:lang w:eastAsia="bg-BG"/>
              </w:rPr>
            </w:pPr>
            <w:r w:rsidRPr="000E54EB">
              <w:rPr>
                <w:rFonts w:ascii="Verdana" w:hAnsi="Verdana" w:cs="Verdana"/>
                <w:b/>
                <w:bCs/>
                <w:sz w:val="20"/>
                <w:szCs w:val="20"/>
                <w:lang w:eastAsia="bg-BG"/>
              </w:rPr>
              <w:t>Безналични</w:t>
            </w:r>
          </w:p>
        </w:tc>
        <w:tc>
          <w:tcPr>
            <w:tcW w:w="1348" w:type="dxa"/>
            <w:shd w:val="clear" w:color="000000" w:fill="FFFFFF"/>
            <w:noWrap/>
            <w:vAlign w:val="center"/>
          </w:tcPr>
          <w:p w:rsidR="00863C99" w:rsidRPr="000E54EB" w:rsidRDefault="00863C99" w:rsidP="00CF6C6C">
            <w:pPr>
              <w:jc w:val="center"/>
              <w:rPr>
                <w:rFonts w:ascii="Verdana" w:hAnsi="Verdana" w:cs="Verdana"/>
                <w:b/>
                <w:bCs/>
                <w:sz w:val="20"/>
                <w:szCs w:val="20"/>
                <w:lang w:eastAsia="bg-BG"/>
              </w:rPr>
            </w:pPr>
          </w:p>
        </w:tc>
        <w:tc>
          <w:tcPr>
            <w:tcW w:w="1603" w:type="dxa"/>
            <w:shd w:val="clear" w:color="000000" w:fill="FFFFFF"/>
            <w:noWrap/>
            <w:vAlign w:val="center"/>
          </w:tcPr>
          <w:p w:rsidR="00863C99" w:rsidRPr="000E54EB" w:rsidRDefault="00863C99" w:rsidP="00CF6C6C">
            <w:pPr>
              <w:jc w:val="center"/>
              <w:rPr>
                <w:rFonts w:ascii="Verdana" w:hAnsi="Verdana" w:cs="Verdana"/>
                <w:b/>
                <w:bCs/>
                <w:sz w:val="20"/>
                <w:szCs w:val="20"/>
                <w:lang w:eastAsia="bg-BG"/>
              </w:rPr>
            </w:pPr>
          </w:p>
        </w:tc>
        <w:tc>
          <w:tcPr>
            <w:tcW w:w="975" w:type="dxa"/>
            <w:shd w:val="clear" w:color="000000" w:fill="FFFFFF"/>
            <w:noWrap/>
            <w:vAlign w:val="center"/>
          </w:tcPr>
          <w:p w:rsidR="00863C99" w:rsidRPr="000E54EB" w:rsidRDefault="00863C99" w:rsidP="00CF6C6C">
            <w:pPr>
              <w:jc w:val="center"/>
              <w:rPr>
                <w:rFonts w:ascii="Verdana" w:hAnsi="Verdana" w:cs="Verdana"/>
                <w:b/>
                <w:bCs/>
                <w:sz w:val="20"/>
                <w:szCs w:val="20"/>
                <w:lang w:eastAsia="bg-BG"/>
              </w:rPr>
            </w:pPr>
          </w:p>
        </w:tc>
        <w:tc>
          <w:tcPr>
            <w:tcW w:w="1328" w:type="dxa"/>
            <w:shd w:val="clear" w:color="000000" w:fill="FFFFFF"/>
            <w:noWrap/>
            <w:vAlign w:val="center"/>
          </w:tcPr>
          <w:p w:rsidR="00863C99" w:rsidRPr="000E54EB" w:rsidRDefault="00863C99" w:rsidP="00CF6C6C">
            <w:pPr>
              <w:jc w:val="center"/>
              <w:rPr>
                <w:rFonts w:ascii="Verdana" w:hAnsi="Verdana" w:cs="Verdana"/>
                <w:b/>
                <w:bCs/>
                <w:sz w:val="20"/>
                <w:szCs w:val="20"/>
                <w:lang w:eastAsia="bg-BG"/>
              </w:rPr>
            </w:pPr>
          </w:p>
        </w:tc>
        <w:tc>
          <w:tcPr>
            <w:tcW w:w="1535" w:type="dxa"/>
            <w:shd w:val="clear" w:color="000000" w:fill="FFFFFF"/>
            <w:noWrap/>
            <w:vAlign w:val="center"/>
          </w:tcPr>
          <w:p w:rsidR="00863C99" w:rsidRPr="000E54EB" w:rsidRDefault="00863C99" w:rsidP="00CF6C6C">
            <w:pPr>
              <w:jc w:val="center"/>
              <w:rPr>
                <w:rFonts w:ascii="Verdana" w:hAnsi="Verdana" w:cs="Verdana"/>
                <w:b/>
                <w:bCs/>
                <w:sz w:val="20"/>
                <w:szCs w:val="20"/>
                <w:lang w:eastAsia="bg-BG"/>
              </w:rPr>
            </w:pPr>
          </w:p>
        </w:tc>
        <w:tc>
          <w:tcPr>
            <w:tcW w:w="1163" w:type="dxa"/>
            <w:shd w:val="clear" w:color="000000" w:fill="FFFFFF"/>
            <w:noWrap/>
            <w:vAlign w:val="center"/>
          </w:tcPr>
          <w:p w:rsidR="00863C99" w:rsidRPr="000E54EB" w:rsidRDefault="00863C99" w:rsidP="00CF6C6C">
            <w:pPr>
              <w:jc w:val="center"/>
              <w:rPr>
                <w:rFonts w:ascii="Verdana" w:hAnsi="Verdana" w:cs="Verdana"/>
                <w:b/>
                <w:bCs/>
                <w:sz w:val="20"/>
                <w:szCs w:val="20"/>
                <w:lang w:eastAsia="bg-BG"/>
              </w:rPr>
            </w:pPr>
          </w:p>
        </w:tc>
      </w:tr>
      <w:tr w:rsidR="008837C1" w:rsidRPr="000E54EB" w:rsidTr="008837C1">
        <w:trPr>
          <w:trHeight w:val="300"/>
        </w:trPr>
        <w:tc>
          <w:tcPr>
            <w:tcW w:w="1723" w:type="dxa"/>
            <w:shd w:val="clear" w:color="000000" w:fill="FFFFFF"/>
            <w:vAlign w:val="center"/>
          </w:tcPr>
          <w:p w:rsidR="008837C1" w:rsidRPr="000E54EB" w:rsidRDefault="008837C1" w:rsidP="0050274A">
            <w:pPr>
              <w:jc w:val="left"/>
              <w:rPr>
                <w:rFonts w:ascii="Verdana" w:hAnsi="Verdana" w:cs="Verdana"/>
                <w:sz w:val="20"/>
                <w:szCs w:val="20"/>
                <w:lang w:eastAsia="bg-BG"/>
              </w:rPr>
            </w:pPr>
            <w:r w:rsidRPr="000E54EB">
              <w:rPr>
                <w:rFonts w:ascii="Verdana" w:hAnsi="Verdana" w:cs="Verdana"/>
                <w:sz w:val="20"/>
                <w:szCs w:val="20"/>
                <w:lang w:eastAsia="bg-BG"/>
              </w:rPr>
              <w:t>Налични, в т.ч.:</w:t>
            </w:r>
          </w:p>
        </w:tc>
        <w:tc>
          <w:tcPr>
            <w:tcW w:w="1348" w:type="dxa"/>
            <w:shd w:val="clear" w:color="000000" w:fill="FFFFFF"/>
            <w:noWrap/>
            <w:vAlign w:val="center"/>
          </w:tcPr>
          <w:p w:rsidR="008837C1" w:rsidRPr="00A019B1" w:rsidRDefault="008837C1" w:rsidP="00CF6C6C">
            <w:pPr>
              <w:jc w:val="center"/>
              <w:rPr>
                <w:rFonts w:ascii="Verdana" w:hAnsi="Verdana" w:cs="Verdana"/>
                <w:sz w:val="20"/>
                <w:szCs w:val="20"/>
                <w:lang w:val="en-US" w:eastAsia="bg-BG"/>
              </w:rPr>
            </w:pPr>
            <w:r>
              <w:rPr>
                <w:rFonts w:ascii="Verdana" w:hAnsi="Verdana" w:cs="Verdana"/>
                <w:sz w:val="20"/>
                <w:szCs w:val="20"/>
                <w:lang w:val="en-US" w:eastAsia="bg-BG"/>
              </w:rPr>
              <w:t>7 000 000</w:t>
            </w:r>
          </w:p>
        </w:tc>
        <w:tc>
          <w:tcPr>
            <w:tcW w:w="1603" w:type="dxa"/>
            <w:shd w:val="clear" w:color="000000" w:fill="FFFFFF"/>
            <w:noWrap/>
            <w:vAlign w:val="center"/>
          </w:tcPr>
          <w:p w:rsidR="008837C1" w:rsidRPr="00A019B1" w:rsidRDefault="008837C1" w:rsidP="00CF6C6C">
            <w:pPr>
              <w:ind w:right="201"/>
              <w:jc w:val="center"/>
              <w:rPr>
                <w:rFonts w:ascii="Verdana" w:hAnsi="Verdana" w:cs="Verdana"/>
                <w:sz w:val="20"/>
                <w:szCs w:val="20"/>
                <w:lang w:val="en-US" w:eastAsia="bg-BG"/>
              </w:rPr>
            </w:pPr>
            <w:r>
              <w:rPr>
                <w:rFonts w:ascii="Verdana" w:hAnsi="Verdana" w:cs="Verdana"/>
                <w:sz w:val="20"/>
                <w:szCs w:val="20"/>
                <w:lang w:val="en-US" w:eastAsia="bg-BG"/>
              </w:rPr>
              <w:t>7 000 000</w:t>
            </w:r>
          </w:p>
        </w:tc>
        <w:tc>
          <w:tcPr>
            <w:tcW w:w="975" w:type="dxa"/>
            <w:shd w:val="clear" w:color="000000" w:fill="FFFFFF"/>
            <w:noWrap/>
            <w:vAlign w:val="center"/>
          </w:tcPr>
          <w:p w:rsidR="008837C1" w:rsidRPr="00A019B1" w:rsidRDefault="008837C1" w:rsidP="00CF6C6C">
            <w:pPr>
              <w:ind w:left="-199" w:right="201" w:firstLine="199"/>
              <w:jc w:val="center"/>
              <w:rPr>
                <w:rFonts w:ascii="Verdana" w:hAnsi="Verdana" w:cs="Verdana"/>
                <w:sz w:val="20"/>
                <w:szCs w:val="20"/>
                <w:lang w:val="en-US" w:eastAsia="bg-BG"/>
              </w:rPr>
            </w:pPr>
            <w:r>
              <w:rPr>
                <w:rFonts w:ascii="Verdana" w:hAnsi="Verdana" w:cs="Verdana"/>
                <w:sz w:val="20"/>
                <w:szCs w:val="20"/>
                <w:lang w:val="en-US" w:eastAsia="bg-BG"/>
              </w:rPr>
              <w:t>1</w:t>
            </w:r>
          </w:p>
        </w:tc>
        <w:tc>
          <w:tcPr>
            <w:tcW w:w="1328" w:type="dxa"/>
            <w:shd w:val="clear" w:color="000000" w:fill="FFFFFF"/>
            <w:noWrap/>
            <w:vAlign w:val="center"/>
          </w:tcPr>
          <w:p w:rsidR="008837C1" w:rsidRPr="00A019B1" w:rsidRDefault="008837C1" w:rsidP="00A77C33">
            <w:pPr>
              <w:jc w:val="center"/>
              <w:rPr>
                <w:rFonts w:ascii="Verdana" w:hAnsi="Verdana" w:cs="Verdana"/>
                <w:sz w:val="20"/>
                <w:szCs w:val="20"/>
                <w:lang w:val="en-US" w:eastAsia="bg-BG"/>
              </w:rPr>
            </w:pPr>
            <w:r>
              <w:rPr>
                <w:rFonts w:ascii="Verdana" w:hAnsi="Verdana" w:cs="Verdana"/>
                <w:sz w:val="20"/>
                <w:szCs w:val="20"/>
                <w:lang w:val="en-US" w:eastAsia="bg-BG"/>
              </w:rPr>
              <w:t>7 000 000</w:t>
            </w:r>
          </w:p>
        </w:tc>
        <w:tc>
          <w:tcPr>
            <w:tcW w:w="1535" w:type="dxa"/>
            <w:shd w:val="clear" w:color="000000" w:fill="FFFFFF"/>
            <w:noWrap/>
            <w:vAlign w:val="center"/>
          </w:tcPr>
          <w:p w:rsidR="008837C1" w:rsidRPr="00A019B1" w:rsidRDefault="008837C1" w:rsidP="00A77C33">
            <w:pPr>
              <w:ind w:right="201"/>
              <w:jc w:val="center"/>
              <w:rPr>
                <w:rFonts w:ascii="Verdana" w:hAnsi="Verdana" w:cs="Verdana"/>
                <w:sz w:val="20"/>
                <w:szCs w:val="20"/>
                <w:lang w:val="en-US" w:eastAsia="bg-BG"/>
              </w:rPr>
            </w:pPr>
            <w:r>
              <w:rPr>
                <w:rFonts w:ascii="Verdana" w:hAnsi="Verdana" w:cs="Verdana"/>
                <w:sz w:val="20"/>
                <w:szCs w:val="20"/>
                <w:lang w:val="en-US" w:eastAsia="bg-BG"/>
              </w:rPr>
              <w:t>7 000 000</w:t>
            </w:r>
          </w:p>
        </w:tc>
        <w:tc>
          <w:tcPr>
            <w:tcW w:w="1163" w:type="dxa"/>
            <w:shd w:val="clear" w:color="000000" w:fill="FFFFFF"/>
            <w:noWrap/>
            <w:vAlign w:val="center"/>
          </w:tcPr>
          <w:p w:rsidR="008837C1" w:rsidRPr="00A019B1" w:rsidRDefault="008837C1" w:rsidP="00A77C33">
            <w:pPr>
              <w:ind w:left="-199" w:right="201" w:firstLine="199"/>
              <w:jc w:val="center"/>
              <w:rPr>
                <w:rFonts w:ascii="Verdana" w:hAnsi="Verdana" w:cs="Verdana"/>
                <w:sz w:val="20"/>
                <w:szCs w:val="20"/>
                <w:lang w:val="en-US" w:eastAsia="bg-BG"/>
              </w:rPr>
            </w:pPr>
            <w:r>
              <w:rPr>
                <w:rFonts w:ascii="Verdana" w:hAnsi="Verdana" w:cs="Verdana"/>
                <w:sz w:val="20"/>
                <w:szCs w:val="20"/>
                <w:lang w:val="en-US" w:eastAsia="bg-BG"/>
              </w:rPr>
              <w:t>1</w:t>
            </w:r>
          </w:p>
        </w:tc>
      </w:tr>
      <w:tr w:rsidR="008837C1" w:rsidRPr="000E54EB" w:rsidTr="008837C1">
        <w:trPr>
          <w:trHeight w:val="300"/>
        </w:trPr>
        <w:tc>
          <w:tcPr>
            <w:tcW w:w="1723" w:type="dxa"/>
            <w:shd w:val="clear" w:color="000000" w:fill="FFFFFF"/>
            <w:vAlign w:val="bottom"/>
          </w:tcPr>
          <w:p w:rsidR="008837C1" w:rsidRPr="000E54EB" w:rsidRDefault="008837C1" w:rsidP="0050274A">
            <w:pPr>
              <w:jc w:val="left"/>
              <w:rPr>
                <w:rFonts w:ascii="Verdana" w:hAnsi="Verdana" w:cs="Verdana"/>
                <w:sz w:val="20"/>
                <w:szCs w:val="20"/>
                <w:lang w:eastAsia="bg-BG"/>
              </w:rPr>
            </w:pPr>
            <w:r w:rsidRPr="000E54EB">
              <w:rPr>
                <w:rFonts w:ascii="Verdana" w:hAnsi="Verdana" w:cs="Verdana"/>
                <w:sz w:val="20"/>
                <w:szCs w:val="20"/>
                <w:lang w:eastAsia="bg-BG"/>
              </w:rPr>
              <w:t>Поименни</w:t>
            </w:r>
          </w:p>
        </w:tc>
        <w:tc>
          <w:tcPr>
            <w:tcW w:w="1348" w:type="dxa"/>
            <w:shd w:val="clear" w:color="000000" w:fill="FFFFFF"/>
            <w:noWrap/>
            <w:vAlign w:val="center"/>
          </w:tcPr>
          <w:p w:rsidR="008837C1" w:rsidRPr="00A019B1" w:rsidRDefault="008837C1" w:rsidP="00CF6C6C">
            <w:pPr>
              <w:jc w:val="center"/>
              <w:rPr>
                <w:rFonts w:ascii="Verdana" w:hAnsi="Verdana" w:cs="Verdana"/>
                <w:sz w:val="20"/>
                <w:szCs w:val="20"/>
                <w:lang w:val="en-US" w:eastAsia="bg-BG"/>
              </w:rPr>
            </w:pPr>
            <w:r>
              <w:rPr>
                <w:rFonts w:ascii="Verdana" w:hAnsi="Verdana" w:cs="Verdana"/>
                <w:sz w:val="20"/>
                <w:szCs w:val="20"/>
                <w:lang w:val="en-US" w:eastAsia="bg-BG"/>
              </w:rPr>
              <w:t>7 000 000</w:t>
            </w:r>
          </w:p>
        </w:tc>
        <w:tc>
          <w:tcPr>
            <w:tcW w:w="1603" w:type="dxa"/>
            <w:shd w:val="clear" w:color="000000" w:fill="FFFFFF"/>
            <w:noWrap/>
            <w:vAlign w:val="center"/>
          </w:tcPr>
          <w:p w:rsidR="008837C1" w:rsidRPr="00A019B1" w:rsidRDefault="008837C1" w:rsidP="00CF6C6C">
            <w:pPr>
              <w:ind w:right="201"/>
              <w:jc w:val="center"/>
              <w:rPr>
                <w:rFonts w:ascii="Verdana" w:hAnsi="Verdana" w:cs="Verdana"/>
                <w:sz w:val="20"/>
                <w:szCs w:val="20"/>
                <w:lang w:val="en-US" w:eastAsia="bg-BG"/>
              </w:rPr>
            </w:pPr>
            <w:r>
              <w:rPr>
                <w:rFonts w:ascii="Verdana" w:hAnsi="Verdana" w:cs="Verdana"/>
                <w:sz w:val="20"/>
                <w:szCs w:val="20"/>
                <w:lang w:val="en-US" w:eastAsia="bg-BG"/>
              </w:rPr>
              <w:t>7 000 000</w:t>
            </w:r>
          </w:p>
        </w:tc>
        <w:tc>
          <w:tcPr>
            <w:tcW w:w="975" w:type="dxa"/>
            <w:shd w:val="clear" w:color="000000" w:fill="FFFFFF"/>
            <w:noWrap/>
            <w:vAlign w:val="center"/>
          </w:tcPr>
          <w:p w:rsidR="008837C1" w:rsidRPr="000E54EB" w:rsidRDefault="008837C1" w:rsidP="00CF6C6C">
            <w:pPr>
              <w:ind w:left="-199" w:right="201" w:firstLine="199"/>
              <w:jc w:val="center"/>
              <w:rPr>
                <w:rFonts w:ascii="Verdana" w:hAnsi="Verdana" w:cs="Verdana"/>
                <w:sz w:val="20"/>
                <w:szCs w:val="20"/>
                <w:lang w:eastAsia="bg-BG"/>
              </w:rPr>
            </w:pPr>
            <w:r w:rsidRPr="000E54EB">
              <w:rPr>
                <w:rFonts w:ascii="Verdana" w:hAnsi="Verdana" w:cs="Verdana"/>
                <w:sz w:val="20"/>
                <w:szCs w:val="20"/>
                <w:lang w:eastAsia="bg-BG"/>
              </w:rPr>
              <w:t>1</w:t>
            </w:r>
          </w:p>
        </w:tc>
        <w:tc>
          <w:tcPr>
            <w:tcW w:w="1328" w:type="dxa"/>
            <w:shd w:val="clear" w:color="000000" w:fill="FFFFFF"/>
            <w:noWrap/>
            <w:vAlign w:val="center"/>
          </w:tcPr>
          <w:p w:rsidR="008837C1" w:rsidRPr="00A019B1" w:rsidRDefault="008837C1" w:rsidP="00A77C33">
            <w:pPr>
              <w:jc w:val="center"/>
              <w:rPr>
                <w:rFonts w:ascii="Verdana" w:hAnsi="Verdana" w:cs="Verdana"/>
                <w:sz w:val="20"/>
                <w:szCs w:val="20"/>
                <w:lang w:val="en-US" w:eastAsia="bg-BG"/>
              </w:rPr>
            </w:pPr>
            <w:r>
              <w:rPr>
                <w:rFonts w:ascii="Verdana" w:hAnsi="Verdana" w:cs="Verdana"/>
                <w:sz w:val="20"/>
                <w:szCs w:val="20"/>
                <w:lang w:val="en-US" w:eastAsia="bg-BG"/>
              </w:rPr>
              <w:t>7 000 000</w:t>
            </w:r>
          </w:p>
        </w:tc>
        <w:tc>
          <w:tcPr>
            <w:tcW w:w="1535" w:type="dxa"/>
            <w:shd w:val="clear" w:color="000000" w:fill="FFFFFF"/>
            <w:noWrap/>
            <w:vAlign w:val="center"/>
          </w:tcPr>
          <w:p w:rsidR="008837C1" w:rsidRPr="00A019B1" w:rsidRDefault="008837C1" w:rsidP="00A77C33">
            <w:pPr>
              <w:ind w:right="201"/>
              <w:jc w:val="center"/>
              <w:rPr>
                <w:rFonts w:ascii="Verdana" w:hAnsi="Verdana" w:cs="Verdana"/>
                <w:sz w:val="20"/>
                <w:szCs w:val="20"/>
                <w:lang w:val="en-US" w:eastAsia="bg-BG"/>
              </w:rPr>
            </w:pPr>
            <w:r>
              <w:rPr>
                <w:rFonts w:ascii="Verdana" w:hAnsi="Verdana" w:cs="Verdana"/>
                <w:sz w:val="20"/>
                <w:szCs w:val="20"/>
                <w:lang w:val="en-US" w:eastAsia="bg-BG"/>
              </w:rPr>
              <w:t>7 000 000</w:t>
            </w:r>
          </w:p>
        </w:tc>
        <w:tc>
          <w:tcPr>
            <w:tcW w:w="1163" w:type="dxa"/>
            <w:shd w:val="clear" w:color="000000" w:fill="FFFFFF"/>
            <w:noWrap/>
            <w:vAlign w:val="center"/>
          </w:tcPr>
          <w:p w:rsidR="008837C1" w:rsidRPr="000E54EB" w:rsidRDefault="008837C1" w:rsidP="00A77C33">
            <w:pPr>
              <w:ind w:left="-199" w:right="201" w:firstLine="199"/>
              <w:jc w:val="center"/>
              <w:rPr>
                <w:rFonts w:ascii="Verdana" w:hAnsi="Verdana" w:cs="Verdana"/>
                <w:sz w:val="20"/>
                <w:szCs w:val="20"/>
                <w:lang w:eastAsia="bg-BG"/>
              </w:rPr>
            </w:pPr>
            <w:r w:rsidRPr="000E54EB">
              <w:rPr>
                <w:rFonts w:ascii="Verdana" w:hAnsi="Verdana" w:cs="Verdana"/>
                <w:sz w:val="20"/>
                <w:szCs w:val="20"/>
                <w:lang w:eastAsia="bg-BG"/>
              </w:rPr>
              <w:t>1</w:t>
            </w:r>
          </w:p>
        </w:tc>
      </w:tr>
      <w:tr w:rsidR="008837C1" w:rsidRPr="000E54EB" w:rsidTr="008837C1">
        <w:trPr>
          <w:trHeight w:val="300"/>
        </w:trPr>
        <w:tc>
          <w:tcPr>
            <w:tcW w:w="1723" w:type="dxa"/>
            <w:shd w:val="clear" w:color="auto" w:fill="B4C6E7"/>
            <w:noWrap/>
            <w:vAlign w:val="bottom"/>
          </w:tcPr>
          <w:p w:rsidR="008837C1" w:rsidRPr="000E54EB" w:rsidRDefault="008837C1" w:rsidP="0050274A">
            <w:pPr>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1348" w:type="dxa"/>
            <w:shd w:val="clear" w:color="auto" w:fill="B4C6E7"/>
            <w:noWrap/>
            <w:vAlign w:val="center"/>
          </w:tcPr>
          <w:p w:rsidR="008837C1" w:rsidRPr="00A019B1" w:rsidRDefault="008837C1" w:rsidP="00CF6C6C">
            <w:pPr>
              <w:jc w:val="center"/>
              <w:rPr>
                <w:rFonts w:ascii="Verdana" w:hAnsi="Verdana" w:cs="Verdana"/>
                <w:b/>
                <w:bCs/>
                <w:sz w:val="20"/>
                <w:szCs w:val="20"/>
                <w:lang w:val="en-US" w:eastAsia="bg-BG"/>
              </w:rPr>
            </w:pPr>
            <w:r>
              <w:rPr>
                <w:rFonts w:ascii="Verdana" w:hAnsi="Verdana" w:cs="Verdana"/>
                <w:b/>
                <w:bCs/>
                <w:sz w:val="20"/>
                <w:szCs w:val="20"/>
                <w:lang w:val="en-US" w:eastAsia="bg-BG"/>
              </w:rPr>
              <w:t>7 000 000</w:t>
            </w:r>
          </w:p>
        </w:tc>
        <w:tc>
          <w:tcPr>
            <w:tcW w:w="1603" w:type="dxa"/>
            <w:shd w:val="clear" w:color="auto" w:fill="B4C6E7"/>
            <w:noWrap/>
            <w:vAlign w:val="center"/>
          </w:tcPr>
          <w:p w:rsidR="008837C1" w:rsidRPr="00A019B1" w:rsidRDefault="008837C1" w:rsidP="00CF6C6C">
            <w:pPr>
              <w:ind w:right="201"/>
              <w:jc w:val="center"/>
              <w:rPr>
                <w:rFonts w:ascii="Verdana" w:hAnsi="Verdana" w:cs="Verdana"/>
                <w:b/>
                <w:bCs/>
                <w:sz w:val="20"/>
                <w:szCs w:val="20"/>
                <w:lang w:val="en-US" w:eastAsia="bg-BG"/>
              </w:rPr>
            </w:pPr>
            <w:r>
              <w:rPr>
                <w:rFonts w:ascii="Verdana" w:hAnsi="Verdana" w:cs="Verdana"/>
                <w:b/>
                <w:bCs/>
                <w:sz w:val="20"/>
                <w:szCs w:val="20"/>
                <w:lang w:val="en-US" w:eastAsia="bg-BG"/>
              </w:rPr>
              <w:t>7 000 000</w:t>
            </w:r>
          </w:p>
        </w:tc>
        <w:tc>
          <w:tcPr>
            <w:tcW w:w="975" w:type="dxa"/>
            <w:shd w:val="clear" w:color="auto" w:fill="B4C6E7"/>
            <w:noWrap/>
            <w:vAlign w:val="center"/>
          </w:tcPr>
          <w:p w:rsidR="008837C1" w:rsidRPr="000E54EB" w:rsidRDefault="008837C1" w:rsidP="00CF6C6C">
            <w:pPr>
              <w:ind w:left="-199" w:right="201" w:firstLine="199"/>
              <w:jc w:val="center"/>
              <w:rPr>
                <w:rFonts w:ascii="Verdana" w:hAnsi="Verdana" w:cs="Verdana"/>
                <w:b/>
                <w:bCs/>
                <w:sz w:val="20"/>
                <w:szCs w:val="20"/>
                <w:lang w:eastAsia="bg-BG"/>
              </w:rPr>
            </w:pPr>
            <w:r w:rsidRPr="000E54EB">
              <w:rPr>
                <w:rFonts w:ascii="Verdana" w:hAnsi="Verdana" w:cs="Verdana"/>
                <w:b/>
                <w:bCs/>
                <w:sz w:val="20"/>
                <w:szCs w:val="20"/>
                <w:lang w:eastAsia="bg-BG"/>
              </w:rPr>
              <w:t>1</w:t>
            </w:r>
          </w:p>
        </w:tc>
        <w:tc>
          <w:tcPr>
            <w:tcW w:w="1328" w:type="dxa"/>
            <w:shd w:val="clear" w:color="auto" w:fill="B4C6E7"/>
            <w:noWrap/>
            <w:vAlign w:val="center"/>
          </w:tcPr>
          <w:p w:rsidR="008837C1" w:rsidRPr="00A019B1" w:rsidRDefault="008837C1" w:rsidP="00A77C33">
            <w:pPr>
              <w:jc w:val="center"/>
              <w:rPr>
                <w:rFonts w:ascii="Verdana" w:hAnsi="Verdana" w:cs="Verdana"/>
                <w:b/>
                <w:bCs/>
                <w:sz w:val="20"/>
                <w:szCs w:val="20"/>
                <w:lang w:val="en-US" w:eastAsia="bg-BG"/>
              </w:rPr>
            </w:pPr>
            <w:r>
              <w:rPr>
                <w:rFonts w:ascii="Verdana" w:hAnsi="Verdana" w:cs="Verdana"/>
                <w:b/>
                <w:bCs/>
                <w:sz w:val="20"/>
                <w:szCs w:val="20"/>
                <w:lang w:val="en-US" w:eastAsia="bg-BG"/>
              </w:rPr>
              <w:t>7 000 000</w:t>
            </w:r>
          </w:p>
        </w:tc>
        <w:tc>
          <w:tcPr>
            <w:tcW w:w="1535" w:type="dxa"/>
            <w:shd w:val="clear" w:color="auto" w:fill="B4C6E7"/>
            <w:noWrap/>
            <w:vAlign w:val="center"/>
          </w:tcPr>
          <w:p w:rsidR="008837C1" w:rsidRPr="00A019B1" w:rsidRDefault="008837C1" w:rsidP="00A77C33">
            <w:pPr>
              <w:ind w:right="201"/>
              <w:jc w:val="center"/>
              <w:rPr>
                <w:rFonts w:ascii="Verdana" w:hAnsi="Verdana" w:cs="Verdana"/>
                <w:b/>
                <w:bCs/>
                <w:sz w:val="20"/>
                <w:szCs w:val="20"/>
                <w:lang w:val="en-US" w:eastAsia="bg-BG"/>
              </w:rPr>
            </w:pPr>
            <w:r>
              <w:rPr>
                <w:rFonts w:ascii="Verdana" w:hAnsi="Verdana" w:cs="Verdana"/>
                <w:b/>
                <w:bCs/>
                <w:sz w:val="20"/>
                <w:szCs w:val="20"/>
                <w:lang w:val="en-US" w:eastAsia="bg-BG"/>
              </w:rPr>
              <w:t>7 000 000</w:t>
            </w:r>
          </w:p>
        </w:tc>
        <w:tc>
          <w:tcPr>
            <w:tcW w:w="1163" w:type="dxa"/>
            <w:shd w:val="clear" w:color="auto" w:fill="B4C6E7"/>
            <w:noWrap/>
            <w:vAlign w:val="center"/>
          </w:tcPr>
          <w:p w:rsidR="008837C1" w:rsidRPr="000E54EB" w:rsidRDefault="008837C1" w:rsidP="00A77C33">
            <w:pPr>
              <w:ind w:left="-199" w:right="201" w:firstLine="199"/>
              <w:jc w:val="center"/>
              <w:rPr>
                <w:rFonts w:ascii="Verdana" w:hAnsi="Verdana" w:cs="Verdana"/>
                <w:b/>
                <w:bCs/>
                <w:sz w:val="20"/>
                <w:szCs w:val="20"/>
                <w:lang w:eastAsia="bg-BG"/>
              </w:rPr>
            </w:pPr>
            <w:r w:rsidRPr="000E54EB">
              <w:rPr>
                <w:rFonts w:ascii="Verdana" w:hAnsi="Verdana" w:cs="Verdana"/>
                <w:b/>
                <w:bCs/>
                <w:sz w:val="20"/>
                <w:szCs w:val="20"/>
                <w:lang w:eastAsia="bg-BG"/>
              </w:rPr>
              <w:t>1</w:t>
            </w:r>
          </w:p>
        </w:tc>
      </w:tr>
    </w:tbl>
    <w:p w:rsidR="00863C99" w:rsidRDefault="00863C99" w:rsidP="004E25BA">
      <w:pPr>
        <w:rPr>
          <w:rFonts w:ascii="Verdana" w:hAnsi="Verdana" w:cs="Verdana"/>
          <w:sz w:val="20"/>
          <w:szCs w:val="20"/>
          <w:lang w:val="en-US"/>
        </w:rPr>
      </w:pPr>
    </w:p>
    <w:p w:rsidR="00155AB4" w:rsidRPr="000E54EB" w:rsidRDefault="00155AB4" w:rsidP="004E25BA">
      <w:pPr>
        <w:rPr>
          <w:rFonts w:ascii="Verdana" w:hAnsi="Verdana" w:cs="Verdana"/>
          <w:sz w:val="20"/>
          <w:szCs w:val="20"/>
          <w:lang w:val="en-US"/>
        </w:rPr>
      </w:pPr>
    </w:p>
    <w:tbl>
      <w:tblPr>
        <w:tblW w:w="9675" w:type="dxa"/>
        <w:tblInd w:w="-68" w:type="dxa"/>
        <w:tblCellMar>
          <w:left w:w="70" w:type="dxa"/>
          <w:right w:w="70" w:type="dxa"/>
        </w:tblCellMar>
        <w:tblLook w:val="00A0" w:firstRow="1" w:lastRow="0" w:firstColumn="1" w:lastColumn="0" w:noHBand="0" w:noVBand="0"/>
      </w:tblPr>
      <w:tblGrid>
        <w:gridCol w:w="1871"/>
        <w:gridCol w:w="1243"/>
        <w:gridCol w:w="1270"/>
        <w:gridCol w:w="740"/>
        <w:gridCol w:w="1396"/>
        <w:gridCol w:w="1285"/>
        <w:gridCol w:w="1130"/>
        <w:gridCol w:w="740"/>
      </w:tblGrid>
      <w:tr w:rsidR="00863C99" w:rsidRPr="000E54EB" w:rsidTr="00123320">
        <w:trPr>
          <w:trHeight w:val="300"/>
        </w:trPr>
        <w:tc>
          <w:tcPr>
            <w:tcW w:w="190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863C99" w:rsidRPr="000E54EB" w:rsidRDefault="00863C99" w:rsidP="0050274A">
            <w:pPr>
              <w:ind w:right="-301"/>
              <w:jc w:val="center"/>
              <w:rPr>
                <w:rFonts w:ascii="Verdana" w:hAnsi="Verdana" w:cs="Verdana"/>
                <w:b/>
                <w:bCs/>
                <w:sz w:val="20"/>
                <w:szCs w:val="20"/>
                <w:lang w:eastAsia="bg-BG"/>
              </w:rPr>
            </w:pPr>
            <w:r w:rsidRPr="000E54EB">
              <w:rPr>
                <w:rFonts w:ascii="Verdana" w:hAnsi="Verdana" w:cs="Verdana"/>
                <w:b/>
                <w:bCs/>
                <w:sz w:val="20"/>
                <w:szCs w:val="20"/>
                <w:lang w:eastAsia="bg-BG"/>
              </w:rPr>
              <w:lastRenderedPageBreak/>
              <w:t>Акционер</w:t>
            </w:r>
          </w:p>
        </w:tc>
        <w:tc>
          <w:tcPr>
            <w:tcW w:w="3291" w:type="dxa"/>
            <w:gridSpan w:val="3"/>
            <w:tcBorders>
              <w:top w:val="single" w:sz="4" w:space="0" w:color="auto"/>
              <w:left w:val="nil"/>
              <w:bottom w:val="single" w:sz="4" w:space="0" w:color="auto"/>
              <w:right w:val="single" w:sz="4" w:space="0" w:color="auto"/>
            </w:tcBorders>
            <w:shd w:val="clear" w:color="000000" w:fill="FFFFFF"/>
            <w:noWrap/>
            <w:vAlign w:val="bottom"/>
          </w:tcPr>
          <w:p w:rsidR="00863C99" w:rsidRPr="000E54EB" w:rsidRDefault="00180D33" w:rsidP="001F3278">
            <w:pPr>
              <w:ind w:right="-70"/>
              <w:jc w:val="center"/>
              <w:rPr>
                <w:rFonts w:ascii="Verdana" w:hAnsi="Verdana" w:cs="Verdana"/>
                <w:b/>
                <w:bCs/>
                <w:sz w:val="20"/>
                <w:szCs w:val="20"/>
                <w:lang w:eastAsia="bg-BG"/>
              </w:rPr>
            </w:pPr>
            <w:r>
              <w:rPr>
                <w:rFonts w:ascii="Verdana" w:hAnsi="Verdana" w:cs="Verdana"/>
                <w:b/>
                <w:bCs/>
                <w:sz w:val="20"/>
                <w:szCs w:val="20"/>
                <w:lang w:eastAsia="bg-BG"/>
              </w:rPr>
              <w:t>3</w:t>
            </w:r>
            <w:r>
              <w:rPr>
                <w:rFonts w:ascii="Verdana" w:hAnsi="Verdana" w:cs="Verdana"/>
                <w:b/>
                <w:bCs/>
                <w:sz w:val="20"/>
                <w:szCs w:val="20"/>
                <w:lang w:val="en-US" w:eastAsia="bg-BG"/>
              </w:rPr>
              <w:t>0</w:t>
            </w:r>
            <w:r>
              <w:rPr>
                <w:rFonts w:ascii="Verdana" w:hAnsi="Verdana" w:cs="Verdana"/>
                <w:b/>
                <w:bCs/>
                <w:sz w:val="20"/>
                <w:szCs w:val="20"/>
                <w:lang w:eastAsia="bg-BG"/>
              </w:rPr>
              <w:t>.</w:t>
            </w:r>
            <w:r>
              <w:rPr>
                <w:rFonts w:ascii="Verdana" w:hAnsi="Verdana" w:cs="Verdana"/>
                <w:b/>
                <w:bCs/>
                <w:sz w:val="20"/>
                <w:szCs w:val="20"/>
                <w:lang w:val="en-US" w:eastAsia="bg-BG"/>
              </w:rPr>
              <w:t>06</w:t>
            </w:r>
            <w:r>
              <w:rPr>
                <w:rFonts w:ascii="Verdana" w:hAnsi="Verdana" w:cs="Verdana"/>
                <w:b/>
                <w:bCs/>
                <w:sz w:val="20"/>
                <w:szCs w:val="20"/>
                <w:lang w:eastAsia="bg-BG"/>
              </w:rPr>
              <w:t>.20</w:t>
            </w:r>
            <w:r>
              <w:rPr>
                <w:rFonts w:ascii="Verdana" w:hAnsi="Verdana" w:cs="Verdana"/>
                <w:b/>
                <w:bCs/>
                <w:sz w:val="20"/>
                <w:szCs w:val="20"/>
                <w:lang w:val="en-US" w:eastAsia="bg-BG"/>
              </w:rPr>
              <w:t>20</w:t>
            </w:r>
            <w:r w:rsidR="00863C99" w:rsidRPr="000E54EB">
              <w:rPr>
                <w:rFonts w:ascii="Verdana" w:hAnsi="Verdana" w:cs="Verdana"/>
                <w:b/>
                <w:bCs/>
                <w:sz w:val="20"/>
                <w:szCs w:val="20"/>
                <w:lang w:eastAsia="bg-BG"/>
              </w:rPr>
              <w:t xml:space="preserve"> г.</w:t>
            </w:r>
          </w:p>
        </w:tc>
        <w:tc>
          <w:tcPr>
            <w:tcW w:w="4480" w:type="dxa"/>
            <w:gridSpan w:val="4"/>
            <w:tcBorders>
              <w:top w:val="single" w:sz="4" w:space="0" w:color="auto"/>
              <w:left w:val="nil"/>
              <w:bottom w:val="single" w:sz="4" w:space="0" w:color="auto"/>
              <w:right w:val="single" w:sz="4" w:space="0" w:color="auto"/>
            </w:tcBorders>
            <w:shd w:val="clear" w:color="000000" w:fill="FFFFFF"/>
            <w:noWrap/>
            <w:vAlign w:val="bottom"/>
          </w:tcPr>
          <w:p w:rsidR="00863C99" w:rsidRPr="000E54EB" w:rsidRDefault="00863C99" w:rsidP="001F3278">
            <w:pPr>
              <w:ind w:right="-70"/>
              <w:jc w:val="center"/>
              <w:rPr>
                <w:rFonts w:ascii="Verdana" w:hAnsi="Verdana" w:cs="Verdana"/>
                <w:b/>
                <w:bCs/>
                <w:sz w:val="20"/>
                <w:szCs w:val="20"/>
                <w:lang w:eastAsia="bg-BG"/>
              </w:rPr>
            </w:pPr>
            <w:r w:rsidRPr="000E54EB">
              <w:rPr>
                <w:rFonts w:ascii="Verdana" w:hAnsi="Verdana" w:cs="Verdana"/>
                <w:b/>
                <w:bCs/>
                <w:sz w:val="20"/>
                <w:szCs w:val="20"/>
                <w:lang w:eastAsia="bg-BG"/>
              </w:rPr>
              <w:t>31.12.201</w:t>
            </w:r>
            <w:r w:rsidR="00180D33">
              <w:rPr>
                <w:rFonts w:ascii="Verdana" w:hAnsi="Verdana" w:cs="Verdana"/>
                <w:b/>
                <w:bCs/>
                <w:sz w:val="20"/>
                <w:szCs w:val="20"/>
                <w:lang w:val="en-US" w:eastAsia="bg-BG"/>
              </w:rPr>
              <w:t>9</w:t>
            </w:r>
            <w:r w:rsidRPr="000E54EB">
              <w:rPr>
                <w:rFonts w:ascii="Verdana" w:hAnsi="Verdana" w:cs="Verdana"/>
                <w:b/>
                <w:bCs/>
                <w:sz w:val="20"/>
                <w:szCs w:val="20"/>
                <w:lang w:eastAsia="bg-BG"/>
              </w:rPr>
              <w:t xml:space="preserve"> г.</w:t>
            </w:r>
          </w:p>
        </w:tc>
      </w:tr>
      <w:tr w:rsidR="00123320" w:rsidRPr="000E54EB" w:rsidTr="00123320">
        <w:trPr>
          <w:trHeight w:val="600"/>
        </w:trPr>
        <w:tc>
          <w:tcPr>
            <w:tcW w:w="1904" w:type="dxa"/>
            <w:vMerge/>
            <w:tcBorders>
              <w:top w:val="single" w:sz="4" w:space="0" w:color="auto"/>
              <w:left w:val="single" w:sz="4" w:space="0" w:color="auto"/>
              <w:bottom w:val="single" w:sz="4" w:space="0" w:color="auto"/>
              <w:right w:val="single" w:sz="4" w:space="0" w:color="auto"/>
            </w:tcBorders>
            <w:vAlign w:val="center"/>
          </w:tcPr>
          <w:p w:rsidR="00863C99" w:rsidRPr="000E54EB" w:rsidRDefault="00863C99" w:rsidP="0050274A">
            <w:pPr>
              <w:ind w:right="-301"/>
              <w:jc w:val="left"/>
              <w:rPr>
                <w:rFonts w:ascii="Verdana" w:hAnsi="Verdana" w:cs="Verdana"/>
                <w:b/>
                <w:bCs/>
                <w:sz w:val="20"/>
                <w:szCs w:val="20"/>
                <w:lang w:eastAsia="bg-BG"/>
              </w:rPr>
            </w:pPr>
          </w:p>
        </w:tc>
        <w:tc>
          <w:tcPr>
            <w:tcW w:w="1264" w:type="dxa"/>
            <w:tcBorders>
              <w:top w:val="nil"/>
              <w:left w:val="nil"/>
              <w:bottom w:val="single" w:sz="4" w:space="0" w:color="auto"/>
              <w:right w:val="single" w:sz="4" w:space="0" w:color="auto"/>
            </w:tcBorders>
            <w:shd w:val="clear" w:color="000000" w:fill="FFFFFF"/>
            <w:vAlign w:val="center"/>
          </w:tcPr>
          <w:p w:rsidR="00863C99" w:rsidRPr="000E54EB" w:rsidRDefault="00863C99" w:rsidP="00CF6C6C">
            <w:pPr>
              <w:ind w:right="-70"/>
              <w:jc w:val="center"/>
              <w:rPr>
                <w:rFonts w:ascii="Verdana" w:hAnsi="Verdana" w:cs="Verdana"/>
                <w:b/>
                <w:bCs/>
                <w:sz w:val="20"/>
                <w:szCs w:val="20"/>
                <w:lang w:eastAsia="bg-BG"/>
              </w:rPr>
            </w:pPr>
            <w:r w:rsidRPr="000E54EB">
              <w:rPr>
                <w:rFonts w:ascii="Verdana" w:hAnsi="Verdana" w:cs="Verdana"/>
                <w:b/>
                <w:bCs/>
                <w:sz w:val="20"/>
                <w:szCs w:val="20"/>
                <w:lang w:eastAsia="bg-BG"/>
              </w:rPr>
              <w:t>Брой акции</w:t>
            </w:r>
          </w:p>
        </w:tc>
        <w:tc>
          <w:tcPr>
            <w:tcW w:w="1291" w:type="dxa"/>
            <w:tcBorders>
              <w:top w:val="nil"/>
              <w:left w:val="nil"/>
              <w:bottom w:val="single" w:sz="4" w:space="0" w:color="auto"/>
              <w:right w:val="single" w:sz="4" w:space="0" w:color="auto"/>
            </w:tcBorders>
            <w:shd w:val="clear" w:color="000000" w:fill="FFFFFF"/>
            <w:noWrap/>
            <w:vAlign w:val="center"/>
          </w:tcPr>
          <w:p w:rsidR="00863C99" w:rsidRPr="000E54EB" w:rsidRDefault="00863C99" w:rsidP="00CF6C6C">
            <w:pPr>
              <w:ind w:right="-70"/>
              <w:jc w:val="center"/>
              <w:rPr>
                <w:rFonts w:ascii="Verdana" w:hAnsi="Verdana" w:cs="Verdana"/>
                <w:b/>
                <w:bCs/>
                <w:sz w:val="20"/>
                <w:szCs w:val="20"/>
                <w:lang w:eastAsia="bg-BG"/>
              </w:rPr>
            </w:pPr>
            <w:r w:rsidRPr="000E54EB">
              <w:rPr>
                <w:rFonts w:ascii="Verdana" w:hAnsi="Verdana" w:cs="Verdana"/>
                <w:b/>
                <w:bCs/>
                <w:sz w:val="20"/>
                <w:szCs w:val="20"/>
                <w:lang w:eastAsia="bg-BG"/>
              </w:rPr>
              <w:t>Стойност</w:t>
            </w:r>
          </w:p>
        </w:tc>
        <w:tc>
          <w:tcPr>
            <w:tcW w:w="736" w:type="dxa"/>
            <w:tcBorders>
              <w:top w:val="nil"/>
              <w:left w:val="nil"/>
              <w:bottom w:val="single" w:sz="4" w:space="0" w:color="auto"/>
              <w:right w:val="single" w:sz="4" w:space="0" w:color="auto"/>
            </w:tcBorders>
            <w:shd w:val="clear" w:color="000000" w:fill="FFFFFF"/>
            <w:vAlign w:val="center"/>
          </w:tcPr>
          <w:p w:rsidR="00863C99" w:rsidRPr="000E54EB" w:rsidRDefault="00863C99" w:rsidP="00CF6C6C">
            <w:pPr>
              <w:ind w:right="-70"/>
              <w:jc w:val="center"/>
              <w:rPr>
                <w:rFonts w:ascii="Verdana" w:hAnsi="Verdana" w:cs="Verdana"/>
                <w:b/>
                <w:bCs/>
                <w:sz w:val="20"/>
                <w:szCs w:val="20"/>
                <w:lang w:eastAsia="bg-BG"/>
              </w:rPr>
            </w:pPr>
            <w:r w:rsidRPr="000E54EB">
              <w:rPr>
                <w:rFonts w:ascii="Verdana" w:hAnsi="Verdana" w:cs="Verdana"/>
                <w:b/>
                <w:bCs/>
                <w:sz w:val="20"/>
                <w:szCs w:val="20"/>
                <w:lang w:eastAsia="bg-BG"/>
              </w:rPr>
              <w:t>% Дял</w:t>
            </w:r>
          </w:p>
        </w:tc>
        <w:tc>
          <w:tcPr>
            <w:tcW w:w="1419" w:type="dxa"/>
            <w:tcBorders>
              <w:top w:val="nil"/>
              <w:left w:val="nil"/>
              <w:bottom w:val="single" w:sz="4" w:space="0" w:color="auto"/>
              <w:right w:val="single" w:sz="4" w:space="0" w:color="auto"/>
            </w:tcBorders>
            <w:shd w:val="clear" w:color="000000" w:fill="FFFFFF"/>
            <w:vAlign w:val="center"/>
          </w:tcPr>
          <w:p w:rsidR="00863C99" w:rsidRPr="000E54EB" w:rsidRDefault="00863C99" w:rsidP="00CF6C6C">
            <w:pPr>
              <w:ind w:right="-70"/>
              <w:jc w:val="center"/>
              <w:rPr>
                <w:rFonts w:ascii="Verdana" w:hAnsi="Verdana" w:cs="Verdana"/>
                <w:b/>
                <w:bCs/>
                <w:sz w:val="20"/>
                <w:szCs w:val="20"/>
                <w:lang w:eastAsia="bg-BG"/>
              </w:rPr>
            </w:pPr>
            <w:r w:rsidRPr="000E54EB">
              <w:rPr>
                <w:rFonts w:ascii="Verdana" w:hAnsi="Verdana" w:cs="Verdana"/>
                <w:b/>
                <w:bCs/>
                <w:sz w:val="20"/>
                <w:szCs w:val="20"/>
                <w:lang w:eastAsia="bg-BG"/>
              </w:rPr>
              <w:t>Брой акции</w:t>
            </w:r>
          </w:p>
        </w:tc>
        <w:tc>
          <w:tcPr>
            <w:tcW w:w="1306" w:type="dxa"/>
            <w:tcBorders>
              <w:top w:val="nil"/>
              <w:left w:val="nil"/>
              <w:bottom w:val="single" w:sz="4" w:space="0" w:color="auto"/>
              <w:right w:val="single" w:sz="4" w:space="0" w:color="auto"/>
            </w:tcBorders>
            <w:shd w:val="clear" w:color="000000" w:fill="FFFFFF"/>
            <w:noWrap/>
            <w:vAlign w:val="center"/>
          </w:tcPr>
          <w:p w:rsidR="00863C99" w:rsidRPr="000E54EB" w:rsidRDefault="00863C99" w:rsidP="00CF6C6C">
            <w:pPr>
              <w:ind w:right="-70"/>
              <w:jc w:val="center"/>
              <w:rPr>
                <w:rFonts w:ascii="Verdana" w:hAnsi="Verdana" w:cs="Verdana"/>
                <w:b/>
                <w:bCs/>
                <w:sz w:val="20"/>
                <w:szCs w:val="20"/>
                <w:lang w:eastAsia="bg-BG"/>
              </w:rPr>
            </w:pPr>
            <w:r w:rsidRPr="000E54EB">
              <w:rPr>
                <w:rFonts w:ascii="Verdana" w:hAnsi="Verdana" w:cs="Verdana"/>
                <w:b/>
                <w:bCs/>
                <w:sz w:val="20"/>
                <w:szCs w:val="20"/>
                <w:lang w:eastAsia="bg-BG"/>
              </w:rPr>
              <w:t>Стойност</w:t>
            </w:r>
          </w:p>
        </w:tc>
        <w:tc>
          <w:tcPr>
            <w:tcW w:w="1149" w:type="dxa"/>
            <w:tcBorders>
              <w:top w:val="nil"/>
              <w:left w:val="nil"/>
              <w:bottom w:val="single" w:sz="4" w:space="0" w:color="auto"/>
              <w:right w:val="single" w:sz="4" w:space="0" w:color="auto"/>
            </w:tcBorders>
            <w:shd w:val="clear" w:color="000000" w:fill="FFFFFF"/>
            <w:noWrap/>
            <w:vAlign w:val="center"/>
          </w:tcPr>
          <w:p w:rsidR="00863C99" w:rsidRPr="000E54EB" w:rsidRDefault="00863C99" w:rsidP="00CF6C6C">
            <w:pPr>
              <w:ind w:right="-70"/>
              <w:jc w:val="center"/>
              <w:rPr>
                <w:rFonts w:ascii="Verdana" w:hAnsi="Verdana" w:cs="Verdana"/>
                <w:b/>
                <w:bCs/>
                <w:sz w:val="20"/>
                <w:szCs w:val="20"/>
                <w:lang w:eastAsia="bg-BG"/>
              </w:rPr>
            </w:pPr>
            <w:r w:rsidRPr="000E54EB">
              <w:rPr>
                <w:rFonts w:ascii="Verdana" w:hAnsi="Verdana" w:cs="Verdana"/>
                <w:b/>
                <w:bCs/>
                <w:sz w:val="20"/>
                <w:szCs w:val="20"/>
                <w:lang w:eastAsia="bg-BG"/>
              </w:rPr>
              <w:t>Платени</w:t>
            </w:r>
          </w:p>
        </w:tc>
        <w:tc>
          <w:tcPr>
            <w:tcW w:w="606" w:type="dxa"/>
            <w:tcBorders>
              <w:top w:val="nil"/>
              <w:left w:val="nil"/>
              <w:bottom w:val="single" w:sz="4" w:space="0" w:color="auto"/>
              <w:right w:val="single" w:sz="4" w:space="0" w:color="auto"/>
            </w:tcBorders>
            <w:shd w:val="clear" w:color="000000" w:fill="FFFFFF"/>
            <w:vAlign w:val="center"/>
          </w:tcPr>
          <w:p w:rsidR="00863C99" w:rsidRPr="000E54EB" w:rsidRDefault="00863C99" w:rsidP="00CF6C6C">
            <w:pPr>
              <w:ind w:right="-70"/>
              <w:jc w:val="center"/>
              <w:rPr>
                <w:rFonts w:ascii="Verdana" w:hAnsi="Verdana" w:cs="Verdana"/>
                <w:b/>
                <w:bCs/>
                <w:sz w:val="20"/>
                <w:szCs w:val="20"/>
                <w:lang w:eastAsia="bg-BG"/>
              </w:rPr>
            </w:pPr>
            <w:r w:rsidRPr="000E54EB">
              <w:rPr>
                <w:rFonts w:ascii="Verdana" w:hAnsi="Verdana" w:cs="Verdana"/>
                <w:b/>
                <w:bCs/>
                <w:sz w:val="20"/>
                <w:szCs w:val="20"/>
                <w:lang w:eastAsia="bg-BG"/>
              </w:rPr>
              <w:t>% Дял</w:t>
            </w:r>
          </w:p>
        </w:tc>
      </w:tr>
      <w:tr w:rsidR="00123320" w:rsidRPr="000E54EB" w:rsidTr="00123320">
        <w:trPr>
          <w:trHeight w:val="300"/>
        </w:trPr>
        <w:tc>
          <w:tcPr>
            <w:tcW w:w="1904" w:type="dxa"/>
            <w:tcBorders>
              <w:top w:val="nil"/>
              <w:left w:val="single" w:sz="4" w:space="0" w:color="auto"/>
              <w:bottom w:val="single" w:sz="4" w:space="0" w:color="auto"/>
              <w:right w:val="single" w:sz="4" w:space="0" w:color="auto"/>
            </w:tcBorders>
            <w:shd w:val="clear" w:color="000000" w:fill="FFFFFF"/>
            <w:vAlign w:val="bottom"/>
          </w:tcPr>
          <w:p w:rsidR="00123320" w:rsidRPr="000E54EB" w:rsidRDefault="00123320" w:rsidP="0050274A">
            <w:pPr>
              <w:ind w:right="-301"/>
              <w:jc w:val="left"/>
              <w:rPr>
                <w:rFonts w:ascii="Verdana" w:hAnsi="Verdana" w:cs="Verdana"/>
                <w:sz w:val="20"/>
                <w:szCs w:val="20"/>
                <w:lang w:eastAsia="bg-BG"/>
              </w:rPr>
            </w:pPr>
            <w:r w:rsidRPr="000E54EB">
              <w:rPr>
                <w:rFonts w:ascii="Verdana" w:hAnsi="Verdana" w:cs="Verdana"/>
                <w:sz w:val="20"/>
                <w:szCs w:val="20"/>
                <w:lang w:eastAsia="bg-BG"/>
              </w:rPr>
              <w:t>Овергаз Холдинг АД</w:t>
            </w:r>
          </w:p>
        </w:tc>
        <w:tc>
          <w:tcPr>
            <w:tcW w:w="1264" w:type="dxa"/>
            <w:tcBorders>
              <w:top w:val="nil"/>
              <w:left w:val="nil"/>
              <w:bottom w:val="single" w:sz="4" w:space="0" w:color="auto"/>
              <w:right w:val="single" w:sz="4" w:space="0" w:color="auto"/>
            </w:tcBorders>
            <w:shd w:val="clear" w:color="000000" w:fill="FFFFFF"/>
            <w:noWrap/>
            <w:vAlign w:val="center"/>
          </w:tcPr>
          <w:p w:rsidR="00123320" w:rsidRPr="000E54EB" w:rsidRDefault="00123320" w:rsidP="00CF6C6C">
            <w:pPr>
              <w:ind w:right="-70"/>
              <w:jc w:val="center"/>
              <w:rPr>
                <w:rFonts w:ascii="Verdana" w:hAnsi="Verdana" w:cs="Verdana"/>
                <w:sz w:val="20"/>
                <w:szCs w:val="20"/>
                <w:lang w:eastAsia="bg-BG"/>
              </w:rPr>
            </w:pPr>
            <w:r>
              <w:rPr>
                <w:rFonts w:ascii="Verdana" w:hAnsi="Verdana" w:cs="Verdana"/>
                <w:sz w:val="20"/>
                <w:szCs w:val="20"/>
                <w:lang w:eastAsia="bg-BG"/>
              </w:rPr>
              <w:t>6 999 999</w:t>
            </w:r>
          </w:p>
        </w:tc>
        <w:tc>
          <w:tcPr>
            <w:tcW w:w="1291" w:type="dxa"/>
            <w:tcBorders>
              <w:top w:val="nil"/>
              <w:left w:val="nil"/>
              <w:bottom w:val="single" w:sz="4" w:space="0" w:color="auto"/>
              <w:right w:val="single" w:sz="4" w:space="0" w:color="auto"/>
            </w:tcBorders>
            <w:shd w:val="clear" w:color="000000" w:fill="FFFFFF"/>
            <w:noWrap/>
            <w:vAlign w:val="center"/>
          </w:tcPr>
          <w:p w:rsidR="00123320" w:rsidRPr="000E54EB" w:rsidRDefault="00123320" w:rsidP="00CF6C6C">
            <w:pPr>
              <w:ind w:right="-70"/>
              <w:jc w:val="center"/>
              <w:rPr>
                <w:rFonts w:ascii="Verdana" w:hAnsi="Verdana" w:cs="Verdana"/>
                <w:sz w:val="20"/>
                <w:szCs w:val="20"/>
                <w:lang w:eastAsia="bg-BG"/>
              </w:rPr>
            </w:pPr>
            <w:r>
              <w:rPr>
                <w:rFonts w:ascii="Verdana" w:hAnsi="Verdana" w:cs="Verdana"/>
                <w:sz w:val="20"/>
                <w:szCs w:val="20"/>
                <w:lang w:eastAsia="bg-BG"/>
              </w:rPr>
              <w:t>6 999 999</w:t>
            </w:r>
          </w:p>
        </w:tc>
        <w:tc>
          <w:tcPr>
            <w:tcW w:w="736" w:type="dxa"/>
            <w:tcBorders>
              <w:top w:val="nil"/>
              <w:left w:val="nil"/>
              <w:bottom w:val="single" w:sz="4" w:space="0" w:color="auto"/>
              <w:right w:val="single" w:sz="4" w:space="0" w:color="auto"/>
            </w:tcBorders>
            <w:shd w:val="clear" w:color="000000" w:fill="FFFFFF"/>
            <w:noWrap/>
            <w:vAlign w:val="center"/>
          </w:tcPr>
          <w:p w:rsidR="00123320" w:rsidRPr="000E54EB" w:rsidRDefault="00123320" w:rsidP="00CF6C6C">
            <w:pPr>
              <w:ind w:right="-70"/>
              <w:jc w:val="center"/>
              <w:rPr>
                <w:rFonts w:ascii="Verdana" w:hAnsi="Verdana" w:cs="Verdana"/>
                <w:sz w:val="20"/>
                <w:szCs w:val="20"/>
                <w:lang w:eastAsia="bg-BG"/>
              </w:rPr>
            </w:pPr>
            <w:r>
              <w:rPr>
                <w:rFonts w:ascii="Verdana" w:hAnsi="Verdana" w:cs="Verdana"/>
                <w:sz w:val="20"/>
                <w:szCs w:val="20"/>
                <w:lang w:eastAsia="bg-BG"/>
              </w:rPr>
              <w:t>100</w:t>
            </w:r>
            <w:r w:rsidRPr="000E54EB">
              <w:rPr>
                <w:rFonts w:ascii="Verdana" w:hAnsi="Verdana" w:cs="Verdana"/>
                <w:sz w:val="20"/>
                <w:szCs w:val="20"/>
                <w:lang w:eastAsia="bg-BG"/>
              </w:rPr>
              <w:t>%</w:t>
            </w:r>
          </w:p>
        </w:tc>
        <w:tc>
          <w:tcPr>
            <w:tcW w:w="1419" w:type="dxa"/>
            <w:tcBorders>
              <w:top w:val="nil"/>
              <w:left w:val="nil"/>
              <w:bottom w:val="single" w:sz="4" w:space="0" w:color="auto"/>
              <w:right w:val="single" w:sz="4" w:space="0" w:color="auto"/>
            </w:tcBorders>
            <w:shd w:val="clear" w:color="000000" w:fill="FFFFFF"/>
            <w:noWrap/>
            <w:vAlign w:val="center"/>
          </w:tcPr>
          <w:p w:rsidR="00123320" w:rsidRPr="000E54EB" w:rsidRDefault="00123320" w:rsidP="00A77C33">
            <w:pPr>
              <w:ind w:right="-70"/>
              <w:jc w:val="center"/>
              <w:rPr>
                <w:rFonts w:ascii="Verdana" w:hAnsi="Verdana" w:cs="Verdana"/>
                <w:sz w:val="20"/>
                <w:szCs w:val="20"/>
                <w:lang w:eastAsia="bg-BG"/>
              </w:rPr>
            </w:pPr>
            <w:r>
              <w:rPr>
                <w:rFonts w:ascii="Verdana" w:hAnsi="Verdana" w:cs="Verdana"/>
                <w:sz w:val="20"/>
                <w:szCs w:val="20"/>
                <w:lang w:eastAsia="bg-BG"/>
              </w:rPr>
              <w:t>6 999 999</w:t>
            </w:r>
          </w:p>
        </w:tc>
        <w:tc>
          <w:tcPr>
            <w:tcW w:w="1306" w:type="dxa"/>
            <w:tcBorders>
              <w:top w:val="nil"/>
              <w:left w:val="nil"/>
              <w:bottom w:val="single" w:sz="4" w:space="0" w:color="auto"/>
              <w:right w:val="single" w:sz="4" w:space="0" w:color="auto"/>
            </w:tcBorders>
            <w:shd w:val="clear" w:color="000000" w:fill="FFFFFF"/>
            <w:noWrap/>
            <w:vAlign w:val="center"/>
          </w:tcPr>
          <w:p w:rsidR="00123320" w:rsidRPr="000E54EB" w:rsidRDefault="00123320" w:rsidP="00A77C33">
            <w:pPr>
              <w:ind w:right="-70"/>
              <w:jc w:val="center"/>
              <w:rPr>
                <w:rFonts w:ascii="Verdana" w:hAnsi="Verdana" w:cs="Verdana"/>
                <w:sz w:val="20"/>
                <w:szCs w:val="20"/>
                <w:lang w:eastAsia="bg-BG"/>
              </w:rPr>
            </w:pPr>
            <w:r>
              <w:rPr>
                <w:rFonts w:ascii="Verdana" w:hAnsi="Verdana" w:cs="Verdana"/>
                <w:sz w:val="20"/>
                <w:szCs w:val="20"/>
                <w:lang w:eastAsia="bg-BG"/>
              </w:rPr>
              <w:t>6 999 999</w:t>
            </w:r>
          </w:p>
        </w:tc>
        <w:tc>
          <w:tcPr>
            <w:tcW w:w="1149" w:type="dxa"/>
            <w:tcBorders>
              <w:top w:val="nil"/>
              <w:left w:val="nil"/>
              <w:bottom w:val="single" w:sz="4" w:space="0" w:color="auto"/>
              <w:right w:val="single" w:sz="4" w:space="0" w:color="auto"/>
            </w:tcBorders>
            <w:shd w:val="clear" w:color="000000" w:fill="FFFFFF"/>
            <w:noWrap/>
            <w:vAlign w:val="center"/>
          </w:tcPr>
          <w:p w:rsidR="00123320" w:rsidRPr="000E54EB" w:rsidRDefault="00123320" w:rsidP="00123320">
            <w:pPr>
              <w:ind w:right="-70"/>
              <w:jc w:val="center"/>
              <w:rPr>
                <w:rFonts w:ascii="Verdana" w:hAnsi="Verdana" w:cs="Verdana"/>
                <w:sz w:val="20"/>
                <w:szCs w:val="20"/>
                <w:lang w:eastAsia="bg-BG"/>
              </w:rPr>
            </w:pPr>
            <w:r>
              <w:rPr>
                <w:rFonts w:ascii="Verdana" w:hAnsi="Verdana" w:cs="Verdana"/>
                <w:sz w:val="20"/>
                <w:szCs w:val="20"/>
                <w:lang w:eastAsia="bg-BG"/>
              </w:rPr>
              <w:t>6 999 999</w:t>
            </w:r>
          </w:p>
        </w:tc>
        <w:tc>
          <w:tcPr>
            <w:tcW w:w="606" w:type="dxa"/>
            <w:tcBorders>
              <w:top w:val="nil"/>
              <w:left w:val="nil"/>
              <w:bottom w:val="single" w:sz="4" w:space="0" w:color="auto"/>
              <w:right w:val="single" w:sz="4" w:space="0" w:color="auto"/>
            </w:tcBorders>
            <w:shd w:val="clear" w:color="000000" w:fill="FFFFFF"/>
            <w:noWrap/>
            <w:vAlign w:val="center"/>
          </w:tcPr>
          <w:p w:rsidR="00123320" w:rsidRPr="000E54EB" w:rsidRDefault="00123320" w:rsidP="00CF6C6C">
            <w:pPr>
              <w:ind w:right="-70"/>
              <w:jc w:val="center"/>
              <w:rPr>
                <w:rFonts w:ascii="Verdana" w:hAnsi="Verdana" w:cs="Verdana"/>
                <w:sz w:val="20"/>
                <w:szCs w:val="20"/>
                <w:lang w:eastAsia="bg-BG"/>
              </w:rPr>
            </w:pPr>
            <w:r w:rsidRPr="000E54EB">
              <w:rPr>
                <w:rFonts w:ascii="Verdana" w:hAnsi="Verdana" w:cs="Verdana"/>
                <w:sz w:val="20"/>
                <w:szCs w:val="20"/>
                <w:lang w:eastAsia="bg-BG"/>
              </w:rPr>
              <w:t>100%</w:t>
            </w:r>
          </w:p>
        </w:tc>
      </w:tr>
      <w:tr w:rsidR="00123320" w:rsidRPr="000E54EB" w:rsidTr="00123320">
        <w:trPr>
          <w:trHeight w:val="300"/>
        </w:trPr>
        <w:tc>
          <w:tcPr>
            <w:tcW w:w="1904" w:type="dxa"/>
            <w:tcBorders>
              <w:top w:val="nil"/>
              <w:left w:val="single" w:sz="4" w:space="0" w:color="auto"/>
              <w:bottom w:val="single" w:sz="4" w:space="0" w:color="auto"/>
              <w:right w:val="single" w:sz="4" w:space="0" w:color="auto"/>
            </w:tcBorders>
            <w:shd w:val="clear" w:color="000000" w:fill="FFFFFF"/>
            <w:vAlign w:val="bottom"/>
          </w:tcPr>
          <w:p w:rsidR="00123320" w:rsidRPr="00B740FB" w:rsidRDefault="00123320" w:rsidP="0050274A">
            <w:pPr>
              <w:ind w:right="-301"/>
              <w:jc w:val="left"/>
              <w:rPr>
                <w:rFonts w:ascii="Verdana" w:hAnsi="Verdana" w:cs="Verdana"/>
                <w:sz w:val="20"/>
                <w:szCs w:val="20"/>
                <w:lang w:eastAsia="bg-BG"/>
              </w:rPr>
            </w:pPr>
            <w:proofErr w:type="spellStart"/>
            <w:r>
              <w:rPr>
                <w:rFonts w:ascii="Verdana" w:hAnsi="Verdana" w:cs="Verdana"/>
                <w:sz w:val="20"/>
                <w:szCs w:val="20"/>
                <w:lang w:val="en-US" w:eastAsia="bg-BG"/>
              </w:rPr>
              <w:t>Овергаз</w:t>
            </w:r>
            <w:proofErr w:type="spellEnd"/>
            <w:r>
              <w:rPr>
                <w:rFonts w:ascii="Verdana" w:hAnsi="Verdana" w:cs="Verdana"/>
                <w:sz w:val="20"/>
                <w:szCs w:val="20"/>
                <w:lang w:val="en-US" w:eastAsia="bg-BG"/>
              </w:rPr>
              <w:t xml:space="preserve"> </w:t>
            </w:r>
            <w:proofErr w:type="spellStart"/>
            <w:r>
              <w:rPr>
                <w:rFonts w:ascii="Verdana" w:hAnsi="Verdana" w:cs="Verdana"/>
                <w:sz w:val="20"/>
                <w:szCs w:val="20"/>
                <w:lang w:val="en-US" w:eastAsia="bg-BG"/>
              </w:rPr>
              <w:t>Директ</w:t>
            </w:r>
            <w:proofErr w:type="spellEnd"/>
            <w:r>
              <w:rPr>
                <w:rFonts w:ascii="Verdana" w:hAnsi="Verdana" w:cs="Verdana"/>
                <w:sz w:val="20"/>
                <w:szCs w:val="20"/>
                <w:lang w:val="en-US" w:eastAsia="bg-BG"/>
              </w:rPr>
              <w:t xml:space="preserve"> ООД</w:t>
            </w:r>
          </w:p>
        </w:tc>
        <w:tc>
          <w:tcPr>
            <w:tcW w:w="1264" w:type="dxa"/>
            <w:tcBorders>
              <w:top w:val="nil"/>
              <w:left w:val="nil"/>
              <w:bottom w:val="single" w:sz="4" w:space="0" w:color="auto"/>
              <w:right w:val="single" w:sz="4" w:space="0" w:color="auto"/>
            </w:tcBorders>
            <w:shd w:val="clear" w:color="000000" w:fill="FFFFFF"/>
            <w:noWrap/>
            <w:vAlign w:val="center"/>
          </w:tcPr>
          <w:p w:rsidR="00123320" w:rsidRPr="000E54EB" w:rsidRDefault="00123320" w:rsidP="00CF6C6C">
            <w:pPr>
              <w:ind w:right="-70"/>
              <w:jc w:val="center"/>
              <w:rPr>
                <w:rFonts w:ascii="Verdana" w:hAnsi="Verdana" w:cs="Verdana"/>
                <w:sz w:val="20"/>
                <w:szCs w:val="20"/>
                <w:lang w:eastAsia="bg-BG"/>
              </w:rPr>
            </w:pPr>
            <w:r>
              <w:rPr>
                <w:rFonts w:ascii="Verdana" w:hAnsi="Verdana" w:cs="Verdana"/>
                <w:sz w:val="20"/>
                <w:szCs w:val="20"/>
                <w:lang w:eastAsia="bg-BG"/>
              </w:rPr>
              <w:t>1</w:t>
            </w:r>
          </w:p>
        </w:tc>
        <w:tc>
          <w:tcPr>
            <w:tcW w:w="1291" w:type="dxa"/>
            <w:tcBorders>
              <w:top w:val="nil"/>
              <w:left w:val="nil"/>
              <w:bottom w:val="single" w:sz="4" w:space="0" w:color="auto"/>
              <w:right w:val="single" w:sz="4" w:space="0" w:color="auto"/>
            </w:tcBorders>
            <w:shd w:val="clear" w:color="000000" w:fill="FFFFFF"/>
            <w:noWrap/>
            <w:vAlign w:val="center"/>
          </w:tcPr>
          <w:p w:rsidR="00123320" w:rsidRPr="000E54EB" w:rsidRDefault="00123320" w:rsidP="00CF6C6C">
            <w:pPr>
              <w:ind w:right="-70"/>
              <w:jc w:val="center"/>
              <w:rPr>
                <w:rFonts w:ascii="Verdana" w:hAnsi="Verdana" w:cs="Verdana"/>
                <w:sz w:val="20"/>
                <w:szCs w:val="20"/>
                <w:lang w:eastAsia="bg-BG"/>
              </w:rPr>
            </w:pPr>
            <w:r>
              <w:rPr>
                <w:rFonts w:ascii="Verdana" w:hAnsi="Verdana" w:cs="Verdana"/>
                <w:sz w:val="20"/>
                <w:szCs w:val="20"/>
                <w:lang w:eastAsia="bg-BG"/>
              </w:rPr>
              <w:t>1</w:t>
            </w:r>
          </w:p>
        </w:tc>
        <w:tc>
          <w:tcPr>
            <w:tcW w:w="736" w:type="dxa"/>
            <w:tcBorders>
              <w:top w:val="nil"/>
              <w:left w:val="nil"/>
              <w:bottom w:val="single" w:sz="4" w:space="0" w:color="auto"/>
              <w:right w:val="single" w:sz="4" w:space="0" w:color="auto"/>
            </w:tcBorders>
            <w:shd w:val="clear" w:color="000000" w:fill="FFFFFF"/>
            <w:noWrap/>
            <w:vAlign w:val="center"/>
          </w:tcPr>
          <w:p w:rsidR="00123320" w:rsidRPr="000E54EB" w:rsidRDefault="00123320" w:rsidP="00CF6C6C">
            <w:pPr>
              <w:ind w:right="-70"/>
              <w:jc w:val="center"/>
              <w:rPr>
                <w:rFonts w:ascii="Verdana" w:hAnsi="Verdana" w:cs="Verdana"/>
                <w:sz w:val="20"/>
                <w:szCs w:val="20"/>
                <w:lang w:eastAsia="bg-BG"/>
              </w:rPr>
            </w:pPr>
            <w:r>
              <w:rPr>
                <w:rFonts w:ascii="Verdana" w:hAnsi="Verdana" w:cs="Verdana"/>
                <w:sz w:val="20"/>
                <w:szCs w:val="20"/>
                <w:lang w:eastAsia="bg-BG"/>
              </w:rPr>
              <w:t>-</w:t>
            </w:r>
          </w:p>
        </w:tc>
        <w:tc>
          <w:tcPr>
            <w:tcW w:w="1419" w:type="dxa"/>
            <w:tcBorders>
              <w:top w:val="nil"/>
              <w:left w:val="nil"/>
              <w:bottom w:val="single" w:sz="4" w:space="0" w:color="auto"/>
              <w:right w:val="single" w:sz="4" w:space="0" w:color="auto"/>
            </w:tcBorders>
            <w:shd w:val="clear" w:color="000000" w:fill="FFFFFF"/>
            <w:noWrap/>
            <w:vAlign w:val="center"/>
          </w:tcPr>
          <w:p w:rsidR="00123320" w:rsidRPr="000E54EB" w:rsidRDefault="00123320" w:rsidP="00A77C33">
            <w:pPr>
              <w:ind w:right="-70"/>
              <w:jc w:val="center"/>
              <w:rPr>
                <w:rFonts w:ascii="Verdana" w:hAnsi="Verdana" w:cs="Verdana"/>
                <w:sz w:val="20"/>
                <w:szCs w:val="20"/>
                <w:lang w:eastAsia="bg-BG"/>
              </w:rPr>
            </w:pPr>
            <w:r>
              <w:rPr>
                <w:rFonts w:ascii="Verdana" w:hAnsi="Verdana" w:cs="Verdana"/>
                <w:sz w:val="20"/>
                <w:szCs w:val="20"/>
                <w:lang w:eastAsia="bg-BG"/>
              </w:rPr>
              <w:t>1</w:t>
            </w:r>
          </w:p>
        </w:tc>
        <w:tc>
          <w:tcPr>
            <w:tcW w:w="1306" w:type="dxa"/>
            <w:tcBorders>
              <w:top w:val="nil"/>
              <w:left w:val="nil"/>
              <w:bottom w:val="single" w:sz="4" w:space="0" w:color="auto"/>
              <w:right w:val="single" w:sz="4" w:space="0" w:color="auto"/>
            </w:tcBorders>
            <w:shd w:val="clear" w:color="000000" w:fill="FFFFFF"/>
            <w:noWrap/>
            <w:vAlign w:val="center"/>
          </w:tcPr>
          <w:p w:rsidR="00123320" w:rsidRPr="000E54EB" w:rsidRDefault="00123320" w:rsidP="00A77C33">
            <w:pPr>
              <w:ind w:right="-70"/>
              <w:jc w:val="center"/>
              <w:rPr>
                <w:rFonts w:ascii="Verdana" w:hAnsi="Verdana" w:cs="Verdana"/>
                <w:sz w:val="20"/>
                <w:szCs w:val="20"/>
                <w:lang w:eastAsia="bg-BG"/>
              </w:rPr>
            </w:pPr>
            <w:r>
              <w:rPr>
                <w:rFonts w:ascii="Verdana" w:hAnsi="Verdana" w:cs="Verdana"/>
                <w:sz w:val="20"/>
                <w:szCs w:val="20"/>
                <w:lang w:eastAsia="bg-BG"/>
              </w:rPr>
              <w:t>1</w:t>
            </w:r>
          </w:p>
        </w:tc>
        <w:tc>
          <w:tcPr>
            <w:tcW w:w="1149" w:type="dxa"/>
            <w:tcBorders>
              <w:top w:val="nil"/>
              <w:left w:val="nil"/>
              <w:bottom w:val="single" w:sz="4" w:space="0" w:color="auto"/>
              <w:right w:val="single" w:sz="4" w:space="0" w:color="auto"/>
            </w:tcBorders>
            <w:shd w:val="clear" w:color="000000" w:fill="FFFFFF"/>
            <w:noWrap/>
            <w:vAlign w:val="center"/>
          </w:tcPr>
          <w:p w:rsidR="00123320" w:rsidRPr="00123320" w:rsidRDefault="00123320" w:rsidP="00CF6C6C">
            <w:pPr>
              <w:ind w:right="-70"/>
              <w:jc w:val="center"/>
              <w:rPr>
                <w:rFonts w:ascii="Verdana" w:hAnsi="Verdana" w:cs="Verdana"/>
                <w:sz w:val="20"/>
                <w:szCs w:val="20"/>
                <w:lang w:val="en-US" w:eastAsia="bg-BG"/>
              </w:rPr>
            </w:pPr>
            <w:r>
              <w:rPr>
                <w:rFonts w:ascii="Verdana" w:hAnsi="Verdana" w:cs="Verdana"/>
                <w:sz w:val="20"/>
                <w:szCs w:val="20"/>
                <w:lang w:val="en-US" w:eastAsia="bg-BG"/>
              </w:rPr>
              <w:t>1</w:t>
            </w:r>
          </w:p>
        </w:tc>
        <w:tc>
          <w:tcPr>
            <w:tcW w:w="606" w:type="dxa"/>
            <w:tcBorders>
              <w:top w:val="nil"/>
              <w:left w:val="nil"/>
              <w:bottom w:val="single" w:sz="4" w:space="0" w:color="auto"/>
              <w:right w:val="single" w:sz="4" w:space="0" w:color="auto"/>
            </w:tcBorders>
            <w:shd w:val="clear" w:color="000000" w:fill="FFFFFF"/>
            <w:noWrap/>
            <w:vAlign w:val="center"/>
          </w:tcPr>
          <w:p w:rsidR="00123320" w:rsidRPr="000E54EB" w:rsidRDefault="00123320" w:rsidP="00CF6C6C">
            <w:pPr>
              <w:ind w:right="-70"/>
              <w:jc w:val="center"/>
              <w:rPr>
                <w:rFonts w:ascii="Verdana" w:hAnsi="Verdana" w:cs="Verdana"/>
                <w:sz w:val="20"/>
                <w:szCs w:val="20"/>
                <w:lang w:eastAsia="bg-BG"/>
              </w:rPr>
            </w:pPr>
            <w:r>
              <w:rPr>
                <w:rFonts w:ascii="Verdana" w:hAnsi="Verdana" w:cs="Verdana"/>
                <w:sz w:val="20"/>
                <w:szCs w:val="20"/>
                <w:lang w:eastAsia="bg-BG"/>
              </w:rPr>
              <w:t>-</w:t>
            </w:r>
          </w:p>
        </w:tc>
      </w:tr>
      <w:tr w:rsidR="00123320" w:rsidRPr="000E54EB" w:rsidTr="00123320">
        <w:trPr>
          <w:trHeight w:val="300"/>
        </w:trPr>
        <w:tc>
          <w:tcPr>
            <w:tcW w:w="1904" w:type="dxa"/>
            <w:tcBorders>
              <w:top w:val="nil"/>
              <w:left w:val="single" w:sz="4" w:space="0" w:color="auto"/>
              <w:bottom w:val="single" w:sz="4" w:space="0" w:color="auto"/>
              <w:right w:val="single" w:sz="4" w:space="0" w:color="auto"/>
            </w:tcBorders>
            <w:shd w:val="clear" w:color="auto" w:fill="B4C6E7"/>
            <w:noWrap/>
            <w:vAlign w:val="bottom"/>
          </w:tcPr>
          <w:p w:rsidR="00123320" w:rsidRPr="000E54EB" w:rsidRDefault="00123320" w:rsidP="0050274A">
            <w:pPr>
              <w:ind w:right="-301"/>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1264" w:type="dxa"/>
            <w:tcBorders>
              <w:top w:val="nil"/>
              <w:left w:val="nil"/>
              <w:bottom w:val="single" w:sz="4" w:space="0" w:color="auto"/>
              <w:right w:val="single" w:sz="4" w:space="0" w:color="auto"/>
            </w:tcBorders>
            <w:shd w:val="clear" w:color="auto" w:fill="B4C6E7"/>
            <w:noWrap/>
            <w:vAlign w:val="center"/>
          </w:tcPr>
          <w:p w:rsidR="00123320" w:rsidRPr="000E54EB" w:rsidRDefault="00123320" w:rsidP="00CF6C6C">
            <w:pPr>
              <w:ind w:right="-70"/>
              <w:jc w:val="center"/>
              <w:rPr>
                <w:rFonts w:ascii="Verdana" w:hAnsi="Verdana" w:cs="Verdana"/>
                <w:b/>
                <w:bCs/>
                <w:sz w:val="20"/>
                <w:szCs w:val="20"/>
                <w:lang w:eastAsia="bg-BG"/>
              </w:rPr>
            </w:pPr>
            <w:r>
              <w:rPr>
                <w:rFonts w:ascii="Verdana" w:hAnsi="Verdana" w:cs="Verdana"/>
                <w:b/>
                <w:bCs/>
                <w:sz w:val="20"/>
                <w:szCs w:val="20"/>
                <w:lang w:eastAsia="bg-BG"/>
              </w:rPr>
              <w:t>7 000 000</w:t>
            </w:r>
          </w:p>
        </w:tc>
        <w:tc>
          <w:tcPr>
            <w:tcW w:w="1291" w:type="dxa"/>
            <w:tcBorders>
              <w:top w:val="nil"/>
              <w:left w:val="nil"/>
              <w:bottom w:val="single" w:sz="4" w:space="0" w:color="auto"/>
              <w:right w:val="single" w:sz="4" w:space="0" w:color="auto"/>
            </w:tcBorders>
            <w:shd w:val="clear" w:color="auto" w:fill="B4C6E7"/>
            <w:noWrap/>
            <w:vAlign w:val="center"/>
          </w:tcPr>
          <w:p w:rsidR="00123320" w:rsidRPr="000E54EB" w:rsidRDefault="00123320" w:rsidP="00123320">
            <w:pPr>
              <w:ind w:right="-70"/>
              <w:jc w:val="center"/>
              <w:rPr>
                <w:rFonts w:ascii="Verdana" w:hAnsi="Verdana" w:cs="Verdana"/>
                <w:b/>
                <w:bCs/>
                <w:sz w:val="20"/>
                <w:szCs w:val="20"/>
                <w:lang w:eastAsia="bg-BG"/>
              </w:rPr>
            </w:pPr>
            <w:r>
              <w:rPr>
                <w:rFonts w:ascii="Verdana" w:hAnsi="Verdana" w:cs="Verdana"/>
                <w:b/>
                <w:bCs/>
                <w:sz w:val="20"/>
                <w:szCs w:val="20"/>
                <w:lang w:eastAsia="bg-BG"/>
              </w:rPr>
              <w:t>7 000 000</w:t>
            </w:r>
          </w:p>
        </w:tc>
        <w:tc>
          <w:tcPr>
            <w:tcW w:w="736" w:type="dxa"/>
            <w:tcBorders>
              <w:top w:val="nil"/>
              <w:left w:val="nil"/>
              <w:bottom w:val="single" w:sz="4" w:space="0" w:color="auto"/>
              <w:right w:val="single" w:sz="4" w:space="0" w:color="auto"/>
            </w:tcBorders>
            <w:shd w:val="clear" w:color="auto" w:fill="B4C6E7"/>
            <w:noWrap/>
            <w:vAlign w:val="center"/>
          </w:tcPr>
          <w:p w:rsidR="00123320" w:rsidRPr="000E54EB" w:rsidRDefault="00123320" w:rsidP="00CF6C6C">
            <w:pPr>
              <w:ind w:right="-70"/>
              <w:jc w:val="center"/>
              <w:rPr>
                <w:rFonts w:ascii="Verdana" w:hAnsi="Verdana" w:cs="Verdana"/>
                <w:b/>
                <w:bCs/>
                <w:sz w:val="20"/>
                <w:szCs w:val="20"/>
                <w:lang w:eastAsia="bg-BG"/>
              </w:rPr>
            </w:pPr>
            <w:r w:rsidRPr="000E54EB">
              <w:rPr>
                <w:rFonts w:ascii="Verdana" w:hAnsi="Verdana" w:cs="Verdana"/>
                <w:b/>
                <w:bCs/>
                <w:sz w:val="20"/>
                <w:szCs w:val="20"/>
                <w:lang w:eastAsia="bg-BG"/>
              </w:rPr>
              <w:t>100%</w:t>
            </w:r>
          </w:p>
        </w:tc>
        <w:tc>
          <w:tcPr>
            <w:tcW w:w="1419" w:type="dxa"/>
            <w:tcBorders>
              <w:top w:val="nil"/>
              <w:left w:val="nil"/>
              <w:bottom w:val="single" w:sz="4" w:space="0" w:color="auto"/>
              <w:right w:val="single" w:sz="4" w:space="0" w:color="auto"/>
            </w:tcBorders>
            <w:shd w:val="clear" w:color="auto" w:fill="B4C6E7"/>
            <w:noWrap/>
          </w:tcPr>
          <w:p w:rsidR="00123320" w:rsidRDefault="00123320">
            <w:r w:rsidRPr="00081589">
              <w:rPr>
                <w:rFonts w:ascii="Verdana" w:hAnsi="Verdana" w:cs="Verdana"/>
                <w:b/>
                <w:bCs/>
                <w:sz w:val="20"/>
                <w:szCs w:val="20"/>
                <w:lang w:eastAsia="bg-BG"/>
              </w:rPr>
              <w:t>7 000 000</w:t>
            </w:r>
          </w:p>
        </w:tc>
        <w:tc>
          <w:tcPr>
            <w:tcW w:w="1306" w:type="dxa"/>
            <w:tcBorders>
              <w:top w:val="nil"/>
              <w:left w:val="nil"/>
              <w:bottom w:val="single" w:sz="4" w:space="0" w:color="auto"/>
              <w:right w:val="single" w:sz="4" w:space="0" w:color="auto"/>
            </w:tcBorders>
            <w:shd w:val="clear" w:color="auto" w:fill="B4C6E7"/>
            <w:noWrap/>
          </w:tcPr>
          <w:p w:rsidR="00123320" w:rsidRDefault="00123320">
            <w:r>
              <w:rPr>
                <w:rFonts w:ascii="Verdana" w:hAnsi="Verdana" w:cs="Verdana"/>
                <w:sz w:val="20"/>
                <w:szCs w:val="20"/>
                <w:lang w:eastAsia="bg-BG"/>
              </w:rPr>
              <w:t>6 999 999</w:t>
            </w:r>
          </w:p>
        </w:tc>
        <w:tc>
          <w:tcPr>
            <w:tcW w:w="1149" w:type="dxa"/>
            <w:tcBorders>
              <w:top w:val="nil"/>
              <w:left w:val="nil"/>
              <w:bottom w:val="single" w:sz="4" w:space="0" w:color="auto"/>
              <w:right w:val="single" w:sz="4" w:space="0" w:color="auto"/>
            </w:tcBorders>
            <w:shd w:val="clear" w:color="auto" w:fill="B4C6E7"/>
            <w:noWrap/>
            <w:vAlign w:val="center"/>
          </w:tcPr>
          <w:p w:rsidR="00123320" w:rsidRPr="000E54EB" w:rsidRDefault="00123320" w:rsidP="00123320">
            <w:pPr>
              <w:ind w:right="-70"/>
              <w:jc w:val="center"/>
              <w:rPr>
                <w:rFonts w:ascii="Verdana" w:hAnsi="Verdana" w:cs="Verdana"/>
                <w:b/>
                <w:bCs/>
                <w:sz w:val="20"/>
                <w:szCs w:val="20"/>
                <w:lang w:eastAsia="bg-BG"/>
              </w:rPr>
            </w:pPr>
            <w:r>
              <w:rPr>
                <w:rFonts w:ascii="Verdana" w:hAnsi="Verdana" w:cs="Verdana"/>
                <w:sz w:val="20"/>
                <w:szCs w:val="20"/>
                <w:lang w:eastAsia="bg-BG"/>
              </w:rPr>
              <w:t xml:space="preserve">6 999 </w:t>
            </w:r>
            <w:r>
              <w:rPr>
                <w:rFonts w:ascii="Verdana" w:hAnsi="Verdana" w:cs="Verdana"/>
                <w:sz w:val="20"/>
                <w:szCs w:val="20"/>
                <w:lang w:val="en-US" w:eastAsia="bg-BG"/>
              </w:rPr>
              <w:t>999</w:t>
            </w:r>
          </w:p>
        </w:tc>
        <w:tc>
          <w:tcPr>
            <w:tcW w:w="606" w:type="dxa"/>
            <w:tcBorders>
              <w:top w:val="nil"/>
              <w:left w:val="nil"/>
              <w:bottom w:val="single" w:sz="4" w:space="0" w:color="auto"/>
              <w:right w:val="single" w:sz="4" w:space="0" w:color="auto"/>
            </w:tcBorders>
            <w:shd w:val="clear" w:color="auto" w:fill="B4C6E7"/>
            <w:noWrap/>
            <w:vAlign w:val="center"/>
          </w:tcPr>
          <w:p w:rsidR="00123320" w:rsidRPr="000E54EB" w:rsidRDefault="00123320" w:rsidP="00CF6C6C">
            <w:pPr>
              <w:ind w:right="-70"/>
              <w:jc w:val="center"/>
              <w:rPr>
                <w:rFonts w:ascii="Verdana" w:hAnsi="Verdana" w:cs="Verdana"/>
                <w:b/>
                <w:bCs/>
                <w:sz w:val="20"/>
                <w:szCs w:val="20"/>
                <w:lang w:eastAsia="bg-BG"/>
              </w:rPr>
            </w:pPr>
            <w:r w:rsidRPr="000E54EB">
              <w:rPr>
                <w:rFonts w:ascii="Verdana" w:hAnsi="Verdana" w:cs="Verdana"/>
                <w:b/>
                <w:bCs/>
                <w:sz w:val="20"/>
                <w:szCs w:val="20"/>
                <w:lang w:eastAsia="bg-BG"/>
              </w:rPr>
              <w:t>100%</w:t>
            </w:r>
          </w:p>
        </w:tc>
      </w:tr>
    </w:tbl>
    <w:p w:rsidR="00863C99" w:rsidRPr="000E54EB" w:rsidRDefault="00863C99" w:rsidP="00B66DF8">
      <w:pPr>
        <w:pStyle w:val="Heading4"/>
        <w:rPr>
          <w:rFonts w:ascii="Verdana" w:hAnsi="Verdana" w:cs="Verdana"/>
          <w:i w:val="0"/>
          <w:iCs w:val="0"/>
          <w:lang w:val="bg-BG"/>
        </w:rPr>
      </w:pPr>
      <w:bookmarkStart w:id="161" w:name="_Toc247959191"/>
      <w:bookmarkStart w:id="162" w:name="_Toc4328854"/>
      <w:r w:rsidRPr="000E54EB">
        <w:rPr>
          <w:rFonts w:ascii="Verdana" w:hAnsi="Verdana" w:cs="Verdana"/>
          <w:i w:val="0"/>
          <w:iCs w:val="0"/>
          <w:lang w:val="bg-BG"/>
        </w:rPr>
        <w:t>2.</w:t>
      </w:r>
      <w:r>
        <w:rPr>
          <w:rFonts w:ascii="Verdana" w:hAnsi="Verdana" w:cs="Verdana"/>
          <w:i w:val="0"/>
          <w:iCs w:val="0"/>
          <w:lang w:val="bg-BG"/>
        </w:rPr>
        <w:t>7</w:t>
      </w:r>
      <w:r w:rsidRPr="000E54EB">
        <w:rPr>
          <w:rFonts w:ascii="Verdana" w:hAnsi="Verdana" w:cs="Verdana"/>
          <w:i w:val="0"/>
          <w:iCs w:val="0"/>
          <w:lang w:val="bg-BG"/>
        </w:rPr>
        <w:t>.2. Резерви</w:t>
      </w:r>
      <w:bookmarkEnd w:id="161"/>
      <w:bookmarkEnd w:id="162"/>
    </w:p>
    <w:tbl>
      <w:tblPr>
        <w:tblW w:w="943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258"/>
        <w:gridCol w:w="1300"/>
        <w:gridCol w:w="1395"/>
        <w:gridCol w:w="1340"/>
        <w:gridCol w:w="1140"/>
      </w:tblGrid>
      <w:tr w:rsidR="00863C99" w:rsidRPr="000E54EB">
        <w:trPr>
          <w:trHeight w:val="720"/>
        </w:trPr>
        <w:tc>
          <w:tcPr>
            <w:tcW w:w="4258" w:type="dxa"/>
            <w:noWrap/>
            <w:vAlign w:val="bottom"/>
          </w:tcPr>
          <w:p w:rsidR="00863C99" w:rsidRPr="000E54EB" w:rsidRDefault="00863C99" w:rsidP="00224EA9">
            <w:pPr>
              <w:jc w:val="left"/>
              <w:rPr>
                <w:rFonts w:ascii="Verdana" w:hAnsi="Verdana" w:cs="Verdana"/>
                <w:b/>
                <w:bCs/>
                <w:sz w:val="20"/>
                <w:szCs w:val="20"/>
                <w:lang w:eastAsia="bg-BG"/>
              </w:rPr>
            </w:pPr>
            <w:r w:rsidRPr="000E54EB">
              <w:rPr>
                <w:rFonts w:ascii="Verdana" w:hAnsi="Verdana" w:cs="Verdana"/>
                <w:b/>
                <w:bCs/>
                <w:sz w:val="20"/>
                <w:szCs w:val="20"/>
                <w:lang w:eastAsia="bg-BG"/>
              </w:rPr>
              <w:t> </w:t>
            </w:r>
          </w:p>
        </w:tc>
        <w:tc>
          <w:tcPr>
            <w:tcW w:w="1300" w:type="dxa"/>
            <w:vAlign w:val="center"/>
          </w:tcPr>
          <w:p w:rsidR="00863C99" w:rsidRPr="000E54EB" w:rsidRDefault="00863C99" w:rsidP="00CF6C6C">
            <w:pPr>
              <w:jc w:val="center"/>
              <w:rPr>
                <w:rFonts w:ascii="Verdana" w:hAnsi="Verdana" w:cs="Verdana"/>
                <w:b/>
                <w:bCs/>
                <w:sz w:val="20"/>
                <w:szCs w:val="20"/>
                <w:lang w:eastAsia="bg-BG"/>
              </w:rPr>
            </w:pPr>
            <w:r w:rsidRPr="000E54EB">
              <w:rPr>
                <w:rFonts w:ascii="Verdana" w:hAnsi="Verdana" w:cs="Verdana"/>
                <w:b/>
                <w:bCs/>
                <w:sz w:val="20"/>
                <w:szCs w:val="20"/>
                <w:lang w:eastAsia="bg-BG"/>
              </w:rPr>
              <w:t>Общи Резерви</w:t>
            </w:r>
          </w:p>
        </w:tc>
        <w:tc>
          <w:tcPr>
            <w:tcW w:w="1395" w:type="dxa"/>
            <w:vAlign w:val="center"/>
          </w:tcPr>
          <w:p w:rsidR="00863C99" w:rsidRPr="000E54EB" w:rsidRDefault="00863C99" w:rsidP="00CF6C6C">
            <w:pPr>
              <w:jc w:val="center"/>
              <w:rPr>
                <w:rFonts w:ascii="Verdana" w:hAnsi="Verdana" w:cs="Verdana"/>
                <w:b/>
                <w:bCs/>
                <w:sz w:val="20"/>
                <w:szCs w:val="20"/>
                <w:lang w:eastAsia="bg-BG"/>
              </w:rPr>
            </w:pPr>
            <w:r w:rsidRPr="000E54EB">
              <w:rPr>
                <w:rFonts w:ascii="Verdana" w:hAnsi="Verdana" w:cs="Verdana"/>
                <w:b/>
                <w:bCs/>
                <w:sz w:val="20"/>
                <w:szCs w:val="20"/>
                <w:lang w:eastAsia="bg-BG"/>
              </w:rPr>
              <w:t>Резерв от преоценки</w:t>
            </w:r>
          </w:p>
        </w:tc>
        <w:tc>
          <w:tcPr>
            <w:tcW w:w="1340" w:type="dxa"/>
            <w:vAlign w:val="center"/>
          </w:tcPr>
          <w:p w:rsidR="00863C99" w:rsidRPr="000E54EB" w:rsidRDefault="00863C99" w:rsidP="00CF6C6C">
            <w:pPr>
              <w:jc w:val="center"/>
              <w:rPr>
                <w:rFonts w:ascii="Verdana" w:hAnsi="Verdana" w:cs="Verdana"/>
                <w:b/>
                <w:bCs/>
                <w:sz w:val="20"/>
                <w:szCs w:val="20"/>
                <w:lang w:eastAsia="bg-BG"/>
              </w:rPr>
            </w:pPr>
            <w:r w:rsidRPr="000E54EB">
              <w:rPr>
                <w:rFonts w:ascii="Verdana" w:hAnsi="Verdana" w:cs="Verdana"/>
                <w:b/>
                <w:bCs/>
                <w:sz w:val="20"/>
                <w:szCs w:val="20"/>
                <w:lang w:eastAsia="bg-BG"/>
              </w:rPr>
              <w:t>Други Резерви</w:t>
            </w:r>
          </w:p>
        </w:tc>
        <w:tc>
          <w:tcPr>
            <w:tcW w:w="1140" w:type="dxa"/>
            <w:noWrap/>
            <w:vAlign w:val="center"/>
          </w:tcPr>
          <w:p w:rsidR="00863C99" w:rsidRPr="000E54EB" w:rsidRDefault="00863C99" w:rsidP="00CF6C6C">
            <w:pPr>
              <w:jc w:val="center"/>
              <w:rPr>
                <w:rFonts w:ascii="Verdana" w:hAnsi="Verdana" w:cs="Verdana"/>
                <w:b/>
                <w:bCs/>
                <w:sz w:val="20"/>
                <w:szCs w:val="20"/>
                <w:lang w:eastAsia="bg-BG"/>
              </w:rPr>
            </w:pPr>
            <w:r w:rsidRPr="000E54EB">
              <w:rPr>
                <w:rFonts w:ascii="Verdana" w:hAnsi="Verdana" w:cs="Verdana"/>
                <w:b/>
                <w:bCs/>
                <w:sz w:val="20"/>
                <w:szCs w:val="20"/>
                <w:lang w:eastAsia="bg-BG"/>
              </w:rPr>
              <w:t>Всичко</w:t>
            </w:r>
          </w:p>
        </w:tc>
      </w:tr>
      <w:tr w:rsidR="00863C99" w:rsidRPr="000E54EB">
        <w:trPr>
          <w:trHeight w:val="255"/>
        </w:trPr>
        <w:tc>
          <w:tcPr>
            <w:tcW w:w="4258" w:type="dxa"/>
            <w:shd w:val="clear" w:color="auto" w:fill="B4C6E7"/>
            <w:vAlign w:val="center"/>
          </w:tcPr>
          <w:p w:rsidR="00863C99" w:rsidRPr="000E54EB" w:rsidRDefault="00863C99" w:rsidP="001F3278">
            <w:pPr>
              <w:jc w:val="left"/>
              <w:rPr>
                <w:rFonts w:ascii="Verdana" w:hAnsi="Verdana" w:cs="Verdana"/>
                <w:b/>
                <w:bCs/>
                <w:sz w:val="20"/>
                <w:szCs w:val="20"/>
                <w:lang w:eastAsia="bg-BG"/>
              </w:rPr>
            </w:pPr>
            <w:r w:rsidRPr="000E54EB">
              <w:rPr>
                <w:rFonts w:ascii="Verdana" w:hAnsi="Verdana" w:cs="Verdana"/>
                <w:b/>
                <w:bCs/>
                <w:sz w:val="20"/>
                <w:szCs w:val="20"/>
                <w:lang w:eastAsia="bg-BG"/>
              </w:rPr>
              <w:t>Резерви към 31.12.201</w:t>
            </w:r>
            <w:r>
              <w:rPr>
                <w:rFonts w:ascii="Verdana" w:hAnsi="Verdana" w:cs="Verdana"/>
                <w:b/>
                <w:bCs/>
                <w:sz w:val="20"/>
                <w:szCs w:val="20"/>
                <w:lang w:eastAsia="bg-BG"/>
              </w:rPr>
              <w:t>8</w:t>
            </w:r>
            <w:r w:rsidRPr="000E54EB">
              <w:rPr>
                <w:rFonts w:ascii="Verdana" w:hAnsi="Verdana" w:cs="Verdana"/>
                <w:b/>
                <w:bCs/>
                <w:sz w:val="20"/>
                <w:szCs w:val="20"/>
                <w:lang w:eastAsia="bg-BG"/>
              </w:rPr>
              <w:t xml:space="preserve"> г.</w:t>
            </w:r>
          </w:p>
        </w:tc>
        <w:tc>
          <w:tcPr>
            <w:tcW w:w="1300" w:type="dxa"/>
            <w:shd w:val="clear" w:color="auto" w:fill="B4C6E7"/>
            <w:noWrap/>
            <w:vAlign w:val="center"/>
          </w:tcPr>
          <w:p w:rsidR="00863C99" w:rsidRPr="000E54EB" w:rsidRDefault="00863C99" w:rsidP="00CF6C6C">
            <w:pPr>
              <w:jc w:val="center"/>
              <w:rPr>
                <w:rFonts w:ascii="Verdana" w:hAnsi="Verdana" w:cs="Verdana"/>
                <w:b/>
                <w:bCs/>
                <w:sz w:val="20"/>
                <w:szCs w:val="20"/>
                <w:lang w:eastAsia="bg-BG"/>
              </w:rPr>
            </w:pPr>
            <w:r w:rsidRPr="000E54EB">
              <w:rPr>
                <w:rFonts w:ascii="Verdana" w:hAnsi="Verdana" w:cs="Verdana"/>
                <w:b/>
                <w:bCs/>
                <w:sz w:val="20"/>
                <w:szCs w:val="20"/>
                <w:lang w:eastAsia="bg-BG"/>
              </w:rPr>
              <w:t>91</w:t>
            </w:r>
          </w:p>
        </w:tc>
        <w:tc>
          <w:tcPr>
            <w:tcW w:w="1395" w:type="dxa"/>
            <w:shd w:val="clear" w:color="auto" w:fill="B4C6E7"/>
            <w:noWrap/>
            <w:vAlign w:val="center"/>
          </w:tcPr>
          <w:p w:rsidR="00863C99" w:rsidRPr="000E54EB" w:rsidRDefault="00863C99" w:rsidP="00CF6C6C">
            <w:pPr>
              <w:jc w:val="center"/>
              <w:rPr>
                <w:rFonts w:ascii="Verdana" w:hAnsi="Verdana" w:cs="Verdana"/>
                <w:b/>
                <w:bCs/>
                <w:sz w:val="20"/>
                <w:szCs w:val="20"/>
                <w:lang w:eastAsia="bg-BG"/>
              </w:rPr>
            </w:pPr>
            <w:r w:rsidRPr="000E54EB">
              <w:rPr>
                <w:rFonts w:ascii="Verdana" w:hAnsi="Verdana" w:cs="Verdana"/>
                <w:b/>
                <w:bCs/>
                <w:sz w:val="20"/>
                <w:szCs w:val="20"/>
                <w:lang w:eastAsia="bg-BG"/>
              </w:rPr>
              <w:t>527</w:t>
            </w:r>
          </w:p>
        </w:tc>
        <w:tc>
          <w:tcPr>
            <w:tcW w:w="1340" w:type="dxa"/>
            <w:shd w:val="clear" w:color="auto" w:fill="B4C6E7"/>
            <w:noWrap/>
            <w:vAlign w:val="center"/>
          </w:tcPr>
          <w:p w:rsidR="00863C99" w:rsidRPr="000E54EB" w:rsidRDefault="00863C99" w:rsidP="00CF6C6C">
            <w:pPr>
              <w:jc w:val="center"/>
              <w:rPr>
                <w:rFonts w:ascii="Verdana" w:hAnsi="Verdana" w:cs="Verdana"/>
                <w:b/>
                <w:bCs/>
                <w:sz w:val="20"/>
                <w:szCs w:val="20"/>
                <w:lang w:eastAsia="bg-BG"/>
              </w:rPr>
            </w:pPr>
            <w:r w:rsidRPr="000E54EB">
              <w:rPr>
                <w:rFonts w:ascii="Verdana" w:hAnsi="Verdana" w:cs="Verdana"/>
                <w:b/>
                <w:bCs/>
                <w:sz w:val="20"/>
                <w:szCs w:val="20"/>
                <w:lang w:eastAsia="bg-BG"/>
              </w:rPr>
              <w:t>(11)</w:t>
            </w:r>
          </w:p>
        </w:tc>
        <w:tc>
          <w:tcPr>
            <w:tcW w:w="1140" w:type="dxa"/>
            <w:shd w:val="clear" w:color="auto" w:fill="B4C6E7"/>
            <w:noWrap/>
            <w:vAlign w:val="center"/>
          </w:tcPr>
          <w:p w:rsidR="00863C99" w:rsidRPr="000E54EB" w:rsidRDefault="00863C99" w:rsidP="00CF6C6C">
            <w:pPr>
              <w:jc w:val="center"/>
              <w:rPr>
                <w:rFonts w:ascii="Verdana" w:hAnsi="Verdana" w:cs="Verdana"/>
                <w:b/>
                <w:bCs/>
                <w:sz w:val="20"/>
                <w:szCs w:val="20"/>
                <w:lang w:eastAsia="bg-BG"/>
              </w:rPr>
            </w:pPr>
            <w:r w:rsidRPr="000E54EB">
              <w:rPr>
                <w:rFonts w:ascii="Verdana" w:hAnsi="Verdana" w:cs="Verdana"/>
                <w:b/>
                <w:bCs/>
                <w:sz w:val="20"/>
                <w:szCs w:val="20"/>
                <w:lang w:eastAsia="bg-BG"/>
              </w:rPr>
              <w:t>607</w:t>
            </w:r>
          </w:p>
        </w:tc>
      </w:tr>
      <w:tr w:rsidR="00863C99" w:rsidRPr="000E54EB">
        <w:trPr>
          <w:trHeight w:val="255"/>
        </w:trPr>
        <w:tc>
          <w:tcPr>
            <w:tcW w:w="4258" w:type="dxa"/>
            <w:shd w:val="clear" w:color="auto" w:fill="B4C6E7"/>
            <w:vAlign w:val="center"/>
          </w:tcPr>
          <w:p w:rsidR="00863C99" w:rsidRPr="00174E0C" w:rsidRDefault="00863C99" w:rsidP="001F3278">
            <w:pPr>
              <w:jc w:val="left"/>
              <w:rPr>
                <w:rFonts w:ascii="Verdana" w:hAnsi="Verdana" w:cs="Verdana"/>
                <w:sz w:val="20"/>
                <w:szCs w:val="20"/>
                <w:lang w:eastAsia="bg-BG"/>
              </w:rPr>
            </w:pPr>
            <w:r w:rsidRPr="00174E0C">
              <w:rPr>
                <w:rFonts w:ascii="Verdana" w:hAnsi="Verdana" w:cs="Verdana"/>
                <w:sz w:val="20"/>
                <w:szCs w:val="20"/>
                <w:lang w:eastAsia="bg-BG"/>
              </w:rPr>
              <w:t>Преоценка на активи</w:t>
            </w:r>
          </w:p>
        </w:tc>
        <w:tc>
          <w:tcPr>
            <w:tcW w:w="1300" w:type="dxa"/>
            <w:shd w:val="clear" w:color="auto" w:fill="B4C6E7"/>
            <w:noWrap/>
            <w:vAlign w:val="center"/>
          </w:tcPr>
          <w:p w:rsidR="00863C99" w:rsidRPr="001A5912" w:rsidRDefault="00863C99" w:rsidP="00CF6C6C">
            <w:pPr>
              <w:jc w:val="center"/>
              <w:rPr>
                <w:rFonts w:ascii="Verdana" w:hAnsi="Verdana" w:cs="Verdana"/>
                <w:sz w:val="20"/>
                <w:szCs w:val="20"/>
                <w:lang w:eastAsia="bg-BG"/>
              </w:rPr>
            </w:pPr>
            <w:r w:rsidRPr="001A5912">
              <w:rPr>
                <w:rFonts w:ascii="Verdana" w:hAnsi="Verdana" w:cs="Verdana"/>
                <w:sz w:val="20"/>
                <w:szCs w:val="20"/>
                <w:lang w:eastAsia="bg-BG"/>
              </w:rPr>
              <w:t>-</w:t>
            </w:r>
          </w:p>
        </w:tc>
        <w:tc>
          <w:tcPr>
            <w:tcW w:w="1395" w:type="dxa"/>
            <w:shd w:val="clear" w:color="auto" w:fill="B4C6E7"/>
            <w:noWrap/>
            <w:vAlign w:val="center"/>
          </w:tcPr>
          <w:p w:rsidR="00863C99" w:rsidRPr="001A5912" w:rsidRDefault="00863C99" w:rsidP="00CF6C6C">
            <w:pPr>
              <w:jc w:val="center"/>
              <w:rPr>
                <w:rFonts w:ascii="Verdana" w:hAnsi="Verdana" w:cs="Verdana"/>
                <w:sz w:val="20"/>
                <w:szCs w:val="20"/>
                <w:lang w:eastAsia="bg-BG"/>
              </w:rPr>
            </w:pPr>
            <w:r w:rsidRPr="001A5912">
              <w:rPr>
                <w:rFonts w:ascii="Verdana" w:hAnsi="Verdana" w:cs="Verdana"/>
                <w:sz w:val="20"/>
                <w:szCs w:val="20"/>
                <w:lang w:eastAsia="bg-BG"/>
              </w:rPr>
              <w:t>2 232</w:t>
            </w:r>
          </w:p>
        </w:tc>
        <w:tc>
          <w:tcPr>
            <w:tcW w:w="1340" w:type="dxa"/>
            <w:shd w:val="clear" w:color="auto" w:fill="B4C6E7"/>
            <w:noWrap/>
            <w:vAlign w:val="center"/>
          </w:tcPr>
          <w:p w:rsidR="00863C99" w:rsidRPr="001A5912" w:rsidRDefault="00863C99" w:rsidP="00CF6C6C">
            <w:pPr>
              <w:jc w:val="center"/>
              <w:rPr>
                <w:rFonts w:ascii="Verdana" w:hAnsi="Verdana" w:cs="Verdana"/>
                <w:sz w:val="20"/>
                <w:szCs w:val="20"/>
                <w:lang w:eastAsia="bg-BG"/>
              </w:rPr>
            </w:pPr>
            <w:r w:rsidRPr="001A5912">
              <w:rPr>
                <w:rFonts w:ascii="Verdana" w:hAnsi="Verdana" w:cs="Verdana"/>
                <w:sz w:val="20"/>
                <w:szCs w:val="20"/>
                <w:lang w:eastAsia="bg-BG"/>
              </w:rPr>
              <w:t>-</w:t>
            </w:r>
          </w:p>
        </w:tc>
        <w:tc>
          <w:tcPr>
            <w:tcW w:w="1140" w:type="dxa"/>
            <w:shd w:val="clear" w:color="auto" w:fill="B4C6E7"/>
            <w:noWrap/>
            <w:vAlign w:val="center"/>
          </w:tcPr>
          <w:p w:rsidR="00863C99" w:rsidRPr="001A5912" w:rsidRDefault="00863C99" w:rsidP="00CF6C6C">
            <w:pPr>
              <w:jc w:val="center"/>
              <w:rPr>
                <w:rFonts w:ascii="Verdana" w:hAnsi="Verdana" w:cs="Verdana"/>
                <w:sz w:val="20"/>
                <w:szCs w:val="20"/>
                <w:lang w:eastAsia="bg-BG"/>
              </w:rPr>
            </w:pPr>
            <w:r w:rsidRPr="001A5912">
              <w:rPr>
                <w:rFonts w:ascii="Verdana" w:hAnsi="Verdana" w:cs="Verdana"/>
                <w:sz w:val="20"/>
                <w:szCs w:val="20"/>
                <w:lang w:eastAsia="bg-BG"/>
              </w:rPr>
              <w:t>2 232</w:t>
            </w:r>
          </w:p>
        </w:tc>
      </w:tr>
      <w:tr w:rsidR="00863C99" w:rsidRPr="000E54EB">
        <w:trPr>
          <w:trHeight w:val="255"/>
        </w:trPr>
        <w:tc>
          <w:tcPr>
            <w:tcW w:w="4258" w:type="dxa"/>
            <w:shd w:val="clear" w:color="auto" w:fill="B4C6E7"/>
            <w:vAlign w:val="center"/>
          </w:tcPr>
          <w:p w:rsidR="00863C99" w:rsidRPr="00174E0C" w:rsidRDefault="00863C99" w:rsidP="001F3278">
            <w:pPr>
              <w:jc w:val="left"/>
              <w:rPr>
                <w:rFonts w:ascii="Verdana" w:hAnsi="Verdana" w:cs="Verdana"/>
                <w:sz w:val="20"/>
                <w:szCs w:val="20"/>
                <w:lang w:eastAsia="bg-BG"/>
              </w:rPr>
            </w:pPr>
            <w:r w:rsidRPr="00174E0C">
              <w:rPr>
                <w:rFonts w:ascii="Verdana" w:hAnsi="Verdana" w:cs="Verdana"/>
                <w:sz w:val="20"/>
                <w:szCs w:val="20"/>
                <w:lang w:eastAsia="bg-BG"/>
              </w:rPr>
              <w:t>Резерв на измервания на планове с дефинирани доходи</w:t>
            </w:r>
          </w:p>
        </w:tc>
        <w:tc>
          <w:tcPr>
            <w:tcW w:w="1300" w:type="dxa"/>
            <w:shd w:val="clear" w:color="auto" w:fill="B4C6E7"/>
            <w:noWrap/>
            <w:vAlign w:val="center"/>
          </w:tcPr>
          <w:p w:rsidR="00863C99" w:rsidRPr="001A5912" w:rsidRDefault="00863C99" w:rsidP="00CF6C6C">
            <w:pPr>
              <w:jc w:val="center"/>
              <w:rPr>
                <w:rFonts w:ascii="Verdana" w:hAnsi="Verdana" w:cs="Verdana"/>
                <w:sz w:val="20"/>
                <w:szCs w:val="20"/>
                <w:lang w:eastAsia="bg-BG"/>
              </w:rPr>
            </w:pPr>
            <w:r w:rsidRPr="001A5912">
              <w:rPr>
                <w:rFonts w:ascii="Verdana" w:hAnsi="Verdana" w:cs="Verdana"/>
                <w:sz w:val="20"/>
                <w:szCs w:val="20"/>
                <w:lang w:eastAsia="bg-BG"/>
              </w:rPr>
              <w:t>-</w:t>
            </w:r>
          </w:p>
        </w:tc>
        <w:tc>
          <w:tcPr>
            <w:tcW w:w="1395" w:type="dxa"/>
            <w:shd w:val="clear" w:color="auto" w:fill="B4C6E7"/>
            <w:noWrap/>
            <w:vAlign w:val="center"/>
          </w:tcPr>
          <w:p w:rsidR="00863C99" w:rsidRPr="001A5912" w:rsidRDefault="00863C99" w:rsidP="00CF6C6C">
            <w:pPr>
              <w:jc w:val="center"/>
              <w:rPr>
                <w:rFonts w:ascii="Verdana" w:hAnsi="Verdana" w:cs="Verdana"/>
                <w:sz w:val="20"/>
                <w:szCs w:val="20"/>
                <w:lang w:eastAsia="bg-BG"/>
              </w:rPr>
            </w:pPr>
            <w:r w:rsidRPr="001A5912">
              <w:rPr>
                <w:rFonts w:ascii="Verdana" w:hAnsi="Verdana" w:cs="Verdana"/>
                <w:sz w:val="20"/>
                <w:szCs w:val="20"/>
                <w:lang w:eastAsia="bg-BG"/>
              </w:rPr>
              <w:t>-</w:t>
            </w:r>
          </w:p>
        </w:tc>
        <w:tc>
          <w:tcPr>
            <w:tcW w:w="1340" w:type="dxa"/>
            <w:shd w:val="clear" w:color="auto" w:fill="B4C6E7"/>
            <w:noWrap/>
            <w:vAlign w:val="center"/>
          </w:tcPr>
          <w:p w:rsidR="00863C99" w:rsidRPr="001A5912" w:rsidRDefault="00863C99" w:rsidP="00CF6C6C">
            <w:pPr>
              <w:jc w:val="center"/>
              <w:rPr>
                <w:rFonts w:ascii="Verdana" w:hAnsi="Verdana" w:cs="Verdana"/>
                <w:sz w:val="20"/>
                <w:szCs w:val="20"/>
                <w:lang w:val="en-US" w:eastAsia="bg-BG"/>
              </w:rPr>
            </w:pPr>
            <w:r w:rsidRPr="001A5912">
              <w:rPr>
                <w:rFonts w:ascii="Verdana" w:hAnsi="Verdana" w:cs="Verdana"/>
                <w:sz w:val="20"/>
                <w:szCs w:val="20"/>
                <w:lang w:eastAsia="bg-BG"/>
              </w:rPr>
              <w:t>(</w:t>
            </w:r>
            <w:r w:rsidRPr="001A5912">
              <w:rPr>
                <w:rFonts w:ascii="Verdana" w:hAnsi="Verdana" w:cs="Verdana"/>
                <w:sz w:val="20"/>
                <w:szCs w:val="20"/>
                <w:lang w:val="en-US" w:eastAsia="bg-BG"/>
              </w:rPr>
              <w:t>11</w:t>
            </w:r>
            <w:r w:rsidRPr="001A5912">
              <w:rPr>
                <w:rFonts w:ascii="Verdana" w:hAnsi="Verdana" w:cs="Verdana"/>
                <w:sz w:val="20"/>
                <w:szCs w:val="20"/>
                <w:lang w:eastAsia="bg-BG"/>
              </w:rPr>
              <w:t>)</w:t>
            </w:r>
          </w:p>
        </w:tc>
        <w:tc>
          <w:tcPr>
            <w:tcW w:w="1140" w:type="dxa"/>
            <w:shd w:val="clear" w:color="auto" w:fill="B4C6E7"/>
            <w:noWrap/>
            <w:vAlign w:val="center"/>
          </w:tcPr>
          <w:p w:rsidR="00863C99" w:rsidRPr="001A5912" w:rsidRDefault="00863C99" w:rsidP="00CF6C6C">
            <w:pPr>
              <w:jc w:val="center"/>
              <w:rPr>
                <w:rFonts w:ascii="Verdana" w:hAnsi="Verdana" w:cs="Verdana"/>
                <w:sz w:val="20"/>
                <w:szCs w:val="20"/>
                <w:lang w:val="en-US" w:eastAsia="bg-BG"/>
              </w:rPr>
            </w:pPr>
            <w:r w:rsidRPr="001A5912">
              <w:rPr>
                <w:rFonts w:ascii="Verdana" w:hAnsi="Verdana" w:cs="Verdana"/>
                <w:sz w:val="20"/>
                <w:szCs w:val="20"/>
                <w:lang w:val="en-US" w:eastAsia="bg-BG"/>
              </w:rPr>
              <w:t>(11)</w:t>
            </w:r>
          </w:p>
        </w:tc>
      </w:tr>
      <w:tr w:rsidR="00863C99" w:rsidRPr="000E54EB">
        <w:trPr>
          <w:trHeight w:val="255"/>
        </w:trPr>
        <w:tc>
          <w:tcPr>
            <w:tcW w:w="4258" w:type="dxa"/>
            <w:shd w:val="clear" w:color="auto" w:fill="B4C6E7"/>
            <w:vAlign w:val="center"/>
          </w:tcPr>
          <w:p w:rsidR="00863C99" w:rsidRPr="000E54EB" w:rsidRDefault="00863C99" w:rsidP="001F3278">
            <w:pPr>
              <w:jc w:val="left"/>
              <w:rPr>
                <w:rFonts w:ascii="Verdana" w:hAnsi="Verdana" w:cs="Verdana"/>
                <w:b/>
                <w:bCs/>
                <w:sz w:val="20"/>
                <w:szCs w:val="20"/>
                <w:lang w:eastAsia="bg-BG"/>
              </w:rPr>
            </w:pPr>
            <w:r w:rsidRPr="000E54EB">
              <w:rPr>
                <w:rFonts w:ascii="Verdana" w:hAnsi="Verdana" w:cs="Verdana"/>
                <w:b/>
                <w:bCs/>
                <w:sz w:val="20"/>
                <w:szCs w:val="20"/>
                <w:lang w:eastAsia="bg-BG"/>
              </w:rPr>
              <w:t>Резерви към 31.12.201</w:t>
            </w:r>
            <w:r>
              <w:rPr>
                <w:rFonts w:ascii="Verdana" w:hAnsi="Verdana" w:cs="Verdana"/>
                <w:b/>
                <w:bCs/>
                <w:sz w:val="20"/>
                <w:szCs w:val="20"/>
                <w:lang w:eastAsia="bg-BG"/>
              </w:rPr>
              <w:t>9</w:t>
            </w:r>
            <w:r w:rsidRPr="000E54EB">
              <w:rPr>
                <w:rFonts w:ascii="Verdana" w:hAnsi="Verdana" w:cs="Verdana"/>
                <w:b/>
                <w:bCs/>
                <w:sz w:val="20"/>
                <w:szCs w:val="20"/>
                <w:lang w:eastAsia="bg-BG"/>
              </w:rPr>
              <w:t xml:space="preserve"> г.</w:t>
            </w:r>
          </w:p>
        </w:tc>
        <w:tc>
          <w:tcPr>
            <w:tcW w:w="1300" w:type="dxa"/>
            <w:shd w:val="clear" w:color="auto" w:fill="B4C6E7"/>
            <w:noWrap/>
            <w:vAlign w:val="center"/>
          </w:tcPr>
          <w:p w:rsidR="00863C99" w:rsidRPr="000E54EB" w:rsidRDefault="00863C99" w:rsidP="00CF6C6C">
            <w:pPr>
              <w:jc w:val="center"/>
              <w:rPr>
                <w:rFonts w:ascii="Verdana" w:hAnsi="Verdana" w:cs="Verdana"/>
                <w:b/>
                <w:bCs/>
                <w:sz w:val="20"/>
                <w:szCs w:val="20"/>
                <w:lang w:eastAsia="bg-BG"/>
              </w:rPr>
            </w:pPr>
            <w:r w:rsidRPr="000E54EB">
              <w:rPr>
                <w:rFonts w:ascii="Verdana" w:hAnsi="Verdana" w:cs="Verdana"/>
                <w:b/>
                <w:bCs/>
                <w:sz w:val="20"/>
                <w:szCs w:val="20"/>
                <w:lang w:eastAsia="bg-BG"/>
              </w:rPr>
              <w:t>91</w:t>
            </w:r>
          </w:p>
        </w:tc>
        <w:tc>
          <w:tcPr>
            <w:tcW w:w="1395" w:type="dxa"/>
            <w:shd w:val="clear" w:color="auto" w:fill="B4C6E7"/>
            <w:noWrap/>
            <w:vAlign w:val="center"/>
          </w:tcPr>
          <w:p w:rsidR="00863C99" w:rsidRPr="00174E0C" w:rsidRDefault="00863C99" w:rsidP="00CF6C6C">
            <w:pPr>
              <w:jc w:val="center"/>
              <w:rPr>
                <w:rFonts w:ascii="Verdana" w:hAnsi="Verdana" w:cs="Verdana"/>
                <w:b/>
                <w:bCs/>
                <w:sz w:val="20"/>
                <w:szCs w:val="20"/>
                <w:lang w:val="en-US" w:eastAsia="bg-BG"/>
              </w:rPr>
            </w:pPr>
            <w:r>
              <w:rPr>
                <w:rFonts w:ascii="Verdana" w:hAnsi="Verdana" w:cs="Verdana"/>
                <w:b/>
                <w:bCs/>
                <w:sz w:val="20"/>
                <w:szCs w:val="20"/>
                <w:lang w:val="en-US" w:eastAsia="bg-BG"/>
              </w:rPr>
              <w:t>2 759</w:t>
            </w:r>
          </w:p>
        </w:tc>
        <w:tc>
          <w:tcPr>
            <w:tcW w:w="1340" w:type="dxa"/>
            <w:shd w:val="clear" w:color="auto" w:fill="B4C6E7"/>
            <w:noWrap/>
            <w:vAlign w:val="center"/>
          </w:tcPr>
          <w:p w:rsidR="00863C99" w:rsidRPr="000E54EB" w:rsidRDefault="00863C99" w:rsidP="00174E0C">
            <w:pPr>
              <w:jc w:val="center"/>
              <w:rPr>
                <w:rFonts w:ascii="Verdana" w:hAnsi="Verdana" w:cs="Verdana"/>
                <w:b/>
                <w:bCs/>
                <w:sz w:val="20"/>
                <w:szCs w:val="20"/>
                <w:lang w:eastAsia="bg-BG"/>
              </w:rPr>
            </w:pPr>
            <w:r w:rsidRPr="000E54EB">
              <w:rPr>
                <w:rFonts w:ascii="Verdana" w:hAnsi="Verdana" w:cs="Verdana"/>
                <w:b/>
                <w:bCs/>
                <w:sz w:val="20"/>
                <w:szCs w:val="20"/>
                <w:lang w:eastAsia="bg-BG"/>
              </w:rPr>
              <w:t>(</w:t>
            </w:r>
            <w:r>
              <w:rPr>
                <w:rFonts w:ascii="Verdana" w:hAnsi="Verdana" w:cs="Verdana"/>
                <w:b/>
                <w:bCs/>
                <w:sz w:val="20"/>
                <w:szCs w:val="20"/>
                <w:lang w:val="en-US" w:eastAsia="bg-BG"/>
              </w:rPr>
              <w:t>22</w:t>
            </w:r>
            <w:r w:rsidRPr="000E54EB">
              <w:rPr>
                <w:rFonts w:ascii="Verdana" w:hAnsi="Verdana" w:cs="Verdana"/>
                <w:b/>
                <w:bCs/>
                <w:sz w:val="20"/>
                <w:szCs w:val="20"/>
                <w:lang w:eastAsia="bg-BG"/>
              </w:rPr>
              <w:t>)</w:t>
            </w:r>
          </w:p>
        </w:tc>
        <w:tc>
          <w:tcPr>
            <w:tcW w:w="1140" w:type="dxa"/>
            <w:shd w:val="clear" w:color="auto" w:fill="B4C6E7"/>
            <w:noWrap/>
            <w:vAlign w:val="center"/>
          </w:tcPr>
          <w:p w:rsidR="00863C99" w:rsidRPr="00174E0C" w:rsidRDefault="00863C99" w:rsidP="00CF6C6C">
            <w:pPr>
              <w:jc w:val="center"/>
              <w:rPr>
                <w:rFonts w:ascii="Verdana" w:hAnsi="Verdana" w:cs="Verdana"/>
                <w:b/>
                <w:bCs/>
                <w:sz w:val="20"/>
                <w:szCs w:val="20"/>
                <w:lang w:val="en-US" w:eastAsia="bg-BG"/>
              </w:rPr>
            </w:pPr>
            <w:r>
              <w:rPr>
                <w:rFonts w:ascii="Verdana" w:hAnsi="Verdana" w:cs="Verdana"/>
                <w:b/>
                <w:bCs/>
                <w:sz w:val="20"/>
                <w:szCs w:val="20"/>
                <w:lang w:val="en-US" w:eastAsia="bg-BG"/>
              </w:rPr>
              <w:t>2 828</w:t>
            </w:r>
          </w:p>
        </w:tc>
      </w:tr>
      <w:tr w:rsidR="001B14B6" w:rsidRPr="000E54EB">
        <w:trPr>
          <w:trHeight w:val="255"/>
        </w:trPr>
        <w:tc>
          <w:tcPr>
            <w:tcW w:w="4258" w:type="dxa"/>
            <w:shd w:val="clear" w:color="auto" w:fill="B4C6E7"/>
            <w:vAlign w:val="center"/>
          </w:tcPr>
          <w:p w:rsidR="001B14B6" w:rsidRPr="001B14B6" w:rsidRDefault="001B14B6" w:rsidP="001F3278">
            <w:pPr>
              <w:jc w:val="left"/>
              <w:rPr>
                <w:rFonts w:ascii="Verdana" w:hAnsi="Verdana" w:cs="Verdana"/>
                <w:b/>
                <w:bCs/>
                <w:sz w:val="20"/>
                <w:szCs w:val="20"/>
                <w:lang w:eastAsia="bg-BG"/>
              </w:rPr>
            </w:pPr>
            <w:proofErr w:type="spellStart"/>
            <w:r>
              <w:rPr>
                <w:rFonts w:ascii="Verdana" w:hAnsi="Verdana" w:cs="Verdana"/>
                <w:b/>
                <w:bCs/>
                <w:sz w:val="20"/>
                <w:szCs w:val="20"/>
                <w:lang w:val="en-US" w:eastAsia="bg-BG"/>
              </w:rPr>
              <w:t>Резерви</w:t>
            </w:r>
            <w:proofErr w:type="spellEnd"/>
            <w:r>
              <w:rPr>
                <w:rFonts w:ascii="Verdana" w:hAnsi="Verdana" w:cs="Verdana"/>
                <w:b/>
                <w:bCs/>
                <w:sz w:val="20"/>
                <w:szCs w:val="20"/>
                <w:lang w:val="en-US" w:eastAsia="bg-BG"/>
              </w:rPr>
              <w:t xml:space="preserve"> </w:t>
            </w:r>
            <w:proofErr w:type="spellStart"/>
            <w:r>
              <w:rPr>
                <w:rFonts w:ascii="Verdana" w:hAnsi="Verdana" w:cs="Verdana"/>
                <w:b/>
                <w:bCs/>
                <w:sz w:val="20"/>
                <w:szCs w:val="20"/>
                <w:lang w:val="en-US" w:eastAsia="bg-BG"/>
              </w:rPr>
              <w:t>към</w:t>
            </w:r>
            <w:proofErr w:type="spellEnd"/>
            <w:r>
              <w:rPr>
                <w:rFonts w:ascii="Verdana" w:hAnsi="Verdana" w:cs="Verdana"/>
                <w:b/>
                <w:bCs/>
                <w:sz w:val="20"/>
                <w:szCs w:val="20"/>
                <w:lang w:val="en-US" w:eastAsia="bg-BG"/>
              </w:rPr>
              <w:t xml:space="preserve"> 30.06.2020 г.</w:t>
            </w:r>
          </w:p>
        </w:tc>
        <w:tc>
          <w:tcPr>
            <w:tcW w:w="1300" w:type="dxa"/>
            <w:shd w:val="clear" w:color="auto" w:fill="B4C6E7"/>
            <w:noWrap/>
            <w:vAlign w:val="center"/>
          </w:tcPr>
          <w:p w:rsidR="001B14B6" w:rsidRPr="000E54EB" w:rsidRDefault="001B14B6" w:rsidP="00CF6C6C">
            <w:pPr>
              <w:jc w:val="center"/>
              <w:rPr>
                <w:rFonts w:ascii="Verdana" w:hAnsi="Verdana" w:cs="Verdana"/>
                <w:b/>
                <w:bCs/>
                <w:sz w:val="20"/>
                <w:szCs w:val="20"/>
                <w:lang w:eastAsia="bg-BG"/>
              </w:rPr>
            </w:pPr>
            <w:r>
              <w:rPr>
                <w:rFonts w:ascii="Verdana" w:hAnsi="Verdana" w:cs="Verdana"/>
                <w:b/>
                <w:bCs/>
                <w:sz w:val="20"/>
                <w:szCs w:val="20"/>
                <w:lang w:eastAsia="bg-BG"/>
              </w:rPr>
              <w:t>91</w:t>
            </w:r>
          </w:p>
        </w:tc>
        <w:tc>
          <w:tcPr>
            <w:tcW w:w="1395" w:type="dxa"/>
            <w:shd w:val="clear" w:color="auto" w:fill="B4C6E7"/>
            <w:noWrap/>
            <w:vAlign w:val="center"/>
          </w:tcPr>
          <w:p w:rsidR="001B14B6" w:rsidRPr="001B14B6" w:rsidRDefault="001B14B6" w:rsidP="00CF6C6C">
            <w:pPr>
              <w:jc w:val="center"/>
              <w:rPr>
                <w:rFonts w:ascii="Verdana" w:hAnsi="Verdana" w:cs="Verdana"/>
                <w:b/>
                <w:bCs/>
                <w:sz w:val="20"/>
                <w:szCs w:val="20"/>
                <w:lang w:eastAsia="bg-BG"/>
              </w:rPr>
            </w:pPr>
            <w:r>
              <w:rPr>
                <w:rFonts w:ascii="Verdana" w:hAnsi="Verdana" w:cs="Verdana"/>
                <w:b/>
                <w:bCs/>
                <w:sz w:val="20"/>
                <w:szCs w:val="20"/>
                <w:lang w:eastAsia="bg-BG"/>
              </w:rPr>
              <w:t>2 759</w:t>
            </w:r>
          </w:p>
        </w:tc>
        <w:tc>
          <w:tcPr>
            <w:tcW w:w="1340" w:type="dxa"/>
            <w:shd w:val="clear" w:color="auto" w:fill="B4C6E7"/>
            <w:noWrap/>
            <w:vAlign w:val="center"/>
          </w:tcPr>
          <w:p w:rsidR="001B14B6" w:rsidRPr="001B14B6" w:rsidRDefault="001B14B6" w:rsidP="00174E0C">
            <w:pPr>
              <w:jc w:val="center"/>
              <w:rPr>
                <w:rFonts w:ascii="Verdana" w:hAnsi="Verdana" w:cs="Verdana"/>
                <w:b/>
                <w:bCs/>
                <w:sz w:val="20"/>
                <w:szCs w:val="20"/>
                <w:lang w:val="en-US" w:eastAsia="bg-BG"/>
              </w:rPr>
            </w:pPr>
            <w:r>
              <w:rPr>
                <w:rFonts w:ascii="Verdana" w:hAnsi="Verdana" w:cs="Verdana"/>
                <w:b/>
                <w:bCs/>
                <w:sz w:val="20"/>
                <w:szCs w:val="20"/>
                <w:lang w:eastAsia="bg-BG"/>
              </w:rPr>
              <w:t>(</w:t>
            </w:r>
            <w:r>
              <w:rPr>
                <w:rFonts w:ascii="Verdana" w:hAnsi="Verdana" w:cs="Verdana"/>
                <w:b/>
                <w:bCs/>
                <w:sz w:val="20"/>
                <w:szCs w:val="20"/>
                <w:lang w:val="en-US" w:eastAsia="bg-BG"/>
              </w:rPr>
              <w:t>22</w:t>
            </w:r>
            <w:r>
              <w:rPr>
                <w:rFonts w:ascii="Verdana" w:hAnsi="Verdana" w:cs="Verdana"/>
                <w:b/>
                <w:bCs/>
                <w:sz w:val="20"/>
                <w:szCs w:val="20"/>
                <w:lang w:eastAsia="bg-BG"/>
              </w:rPr>
              <w:t>)</w:t>
            </w:r>
          </w:p>
        </w:tc>
        <w:tc>
          <w:tcPr>
            <w:tcW w:w="1140" w:type="dxa"/>
            <w:shd w:val="clear" w:color="auto" w:fill="B4C6E7"/>
            <w:noWrap/>
            <w:vAlign w:val="center"/>
          </w:tcPr>
          <w:p w:rsidR="001B14B6" w:rsidRDefault="001B14B6" w:rsidP="00CF6C6C">
            <w:pPr>
              <w:jc w:val="center"/>
              <w:rPr>
                <w:rFonts w:ascii="Verdana" w:hAnsi="Verdana" w:cs="Verdana"/>
                <w:b/>
                <w:bCs/>
                <w:sz w:val="20"/>
                <w:szCs w:val="20"/>
                <w:lang w:val="en-US" w:eastAsia="bg-BG"/>
              </w:rPr>
            </w:pPr>
            <w:r>
              <w:rPr>
                <w:rFonts w:ascii="Verdana" w:hAnsi="Verdana" w:cs="Verdana"/>
                <w:b/>
                <w:bCs/>
                <w:sz w:val="20"/>
                <w:szCs w:val="20"/>
                <w:lang w:val="en-US" w:eastAsia="bg-BG"/>
              </w:rPr>
              <w:t>2 828</w:t>
            </w:r>
          </w:p>
        </w:tc>
      </w:tr>
    </w:tbl>
    <w:p w:rsidR="00863C99" w:rsidRPr="000E54EB" w:rsidRDefault="00863C99" w:rsidP="00224EA9">
      <w:pPr>
        <w:rPr>
          <w:rFonts w:ascii="Verdana" w:hAnsi="Verdana" w:cs="Verdana"/>
          <w:sz w:val="20"/>
          <w:szCs w:val="20"/>
        </w:rPr>
      </w:pPr>
    </w:p>
    <w:p w:rsidR="00863C99" w:rsidRPr="000E54EB" w:rsidRDefault="00863C99" w:rsidP="00224EA9">
      <w:pPr>
        <w:rPr>
          <w:rFonts w:ascii="Verdana" w:hAnsi="Verdana" w:cs="Verdana"/>
          <w:sz w:val="20"/>
          <w:szCs w:val="20"/>
        </w:rPr>
      </w:pPr>
      <w:r w:rsidRPr="000E54EB">
        <w:rPr>
          <w:rFonts w:ascii="Verdana" w:hAnsi="Verdana" w:cs="Verdana"/>
          <w:sz w:val="20"/>
          <w:szCs w:val="20"/>
        </w:rPr>
        <w:t xml:space="preserve">Резервите включват актюерската загуба за предходня периода върху задължението </w:t>
      </w:r>
      <w:r w:rsidRPr="00A52D1E">
        <w:rPr>
          <w:rFonts w:ascii="Verdana" w:hAnsi="Verdana" w:cs="Verdana"/>
          <w:sz w:val="20"/>
          <w:szCs w:val="20"/>
          <w:lang w:val="ru-RU"/>
        </w:rPr>
        <w:t>на предприятието за изплащане на дефинирани доходи на персонала</w:t>
      </w:r>
      <w:r w:rsidRPr="000E54EB">
        <w:rPr>
          <w:rFonts w:ascii="Verdana" w:hAnsi="Verdana" w:cs="Verdana"/>
          <w:sz w:val="20"/>
          <w:szCs w:val="20"/>
        </w:rPr>
        <w:t>.</w:t>
      </w:r>
    </w:p>
    <w:p w:rsidR="00863C99" w:rsidRPr="000E54EB" w:rsidRDefault="00863C99" w:rsidP="00B66DF8">
      <w:pPr>
        <w:pStyle w:val="Heading4"/>
        <w:rPr>
          <w:rFonts w:ascii="Verdana" w:hAnsi="Verdana" w:cs="Verdana"/>
          <w:i w:val="0"/>
          <w:iCs w:val="0"/>
          <w:lang w:val="bg-BG"/>
        </w:rPr>
      </w:pPr>
      <w:bookmarkStart w:id="163" w:name="_Toc247959192"/>
      <w:bookmarkStart w:id="164" w:name="_Toc4328855"/>
      <w:r w:rsidRPr="000E54EB">
        <w:rPr>
          <w:rFonts w:ascii="Verdana" w:hAnsi="Verdana" w:cs="Verdana"/>
          <w:i w:val="0"/>
          <w:iCs w:val="0"/>
          <w:lang w:val="bg-BG"/>
        </w:rPr>
        <w:t>2.</w:t>
      </w:r>
      <w:r>
        <w:rPr>
          <w:rFonts w:ascii="Verdana" w:hAnsi="Verdana" w:cs="Verdana"/>
          <w:i w:val="0"/>
          <w:iCs w:val="0"/>
          <w:lang w:val="bg-BG"/>
        </w:rPr>
        <w:t>7</w:t>
      </w:r>
      <w:r w:rsidRPr="000E54EB">
        <w:rPr>
          <w:rFonts w:ascii="Verdana" w:hAnsi="Verdana" w:cs="Verdana"/>
          <w:i w:val="0"/>
          <w:iCs w:val="0"/>
          <w:lang w:val="bg-BG"/>
        </w:rPr>
        <w:t>.3. Финансов резултат</w:t>
      </w:r>
      <w:bookmarkEnd w:id="163"/>
      <w:bookmarkEnd w:id="164"/>
    </w:p>
    <w:tbl>
      <w:tblPr>
        <w:tblW w:w="95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6809"/>
        <w:gridCol w:w="2736"/>
      </w:tblGrid>
      <w:tr w:rsidR="00863C99" w:rsidRPr="000E54EB">
        <w:trPr>
          <w:trHeight w:val="300"/>
        </w:trPr>
        <w:tc>
          <w:tcPr>
            <w:tcW w:w="6809" w:type="dxa"/>
            <w:noWrap/>
            <w:vAlign w:val="center"/>
          </w:tcPr>
          <w:p w:rsidR="00863C99" w:rsidRPr="000E54EB" w:rsidRDefault="00863C99" w:rsidP="00757AE2">
            <w:pPr>
              <w:jc w:val="center"/>
              <w:rPr>
                <w:rFonts w:ascii="Verdana" w:hAnsi="Verdana" w:cs="Verdana"/>
                <w:b/>
                <w:bCs/>
                <w:sz w:val="20"/>
                <w:szCs w:val="20"/>
                <w:lang w:eastAsia="bg-BG"/>
              </w:rPr>
            </w:pPr>
            <w:r w:rsidRPr="000E54EB">
              <w:rPr>
                <w:rFonts w:ascii="Verdana" w:hAnsi="Verdana" w:cs="Verdana"/>
                <w:b/>
                <w:bCs/>
                <w:sz w:val="20"/>
                <w:szCs w:val="20"/>
                <w:lang w:eastAsia="bg-BG"/>
              </w:rPr>
              <w:t>Финансов резултат</w:t>
            </w:r>
          </w:p>
        </w:tc>
        <w:tc>
          <w:tcPr>
            <w:tcW w:w="2736" w:type="dxa"/>
            <w:noWrap/>
            <w:vAlign w:val="center"/>
          </w:tcPr>
          <w:p w:rsidR="00863C99" w:rsidRPr="000E54EB" w:rsidRDefault="00863C99" w:rsidP="00757AE2">
            <w:pPr>
              <w:jc w:val="center"/>
              <w:rPr>
                <w:rFonts w:ascii="Verdana" w:hAnsi="Verdana" w:cs="Verdana"/>
                <w:b/>
                <w:bCs/>
                <w:sz w:val="20"/>
                <w:szCs w:val="20"/>
                <w:lang w:eastAsia="bg-BG"/>
              </w:rPr>
            </w:pPr>
            <w:r w:rsidRPr="000E54EB">
              <w:rPr>
                <w:rFonts w:ascii="Verdana" w:hAnsi="Verdana" w:cs="Verdana"/>
                <w:b/>
                <w:bCs/>
                <w:sz w:val="20"/>
                <w:szCs w:val="20"/>
                <w:lang w:eastAsia="bg-BG"/>
              </w:rPr>
              <w:t>Стойност</w:t>
            </w:r>
          </w:p>
        </w:tc>
      </w:tr>
      <w:tr w:rsidR="00863C99" w:rsidRPr="000E54EB">
        <w:trPr>
          <w:trHeight w:val="225"/>
        </w:trPr>
        <w:tc>
          <w:tcPr>
            <w:tcW w:w="6809" w:type="dxa"/>
            <w:shd w:val="clear" w:color="000000" w:fill="C5D9F1"/>
            <w:noWrap/>
            <w:vAlign w:val="center"/>
          </w:tcPr>
          <w:p w:rsidR="00863C99" w:rsidRPr="000E54EB" w:rsidRDefault="00863C99" w:rsidP="00757AE2">
            <w:pPr>
              <w:jc w:val="left"/>
              <w:rPr>
                <w:rFonts w:ascii="Verdana" w:hAnsi="Verdana" w:cs="Verdana"/>
                <w:b/>
                <w:bCs/>
                <w:sz w:val="20"/>
                <w:szCs w:val="20"/>
                <w:lang w:eastAsia="bg-BG"/>
              </w:rPr>
            </w:pPr>
            <w:r w:rsidRPr="000E54EB">
              <w:rPr>
                <w:rFonts w:ascii="Verdana" w:hAnsi="Verdana" w:cs="Verdana"/>
                <w:b/>
                <w:bCs/>
                <w:sz w:val="20"/>
                <w:szCs w:val="20"/>
                <w:lang w:eastAsia="bg-BG"/>
              </w:rPr>
              <w:t>Печалба към</w:t>
            </w:r>
            <w:r>
              <w:rPr>
                <w:rFonts w:ascii="Verdana" w:hAnsi="Verdana" w:cs="Verdana"/>
                <w:b/>
                <w:bCs/>
                <w:sz w:val="20"/>
                <w:szCs w:val="20"/>
                <w:lang w:eastAsia="bg-BG"/>
              </w:rPr>
              <w:t xml:space="preserve"> 31.12.2018</w:t>
            </w:r>
            <w:r w:rsidRPr="000E54EB">
              <w:rPr>
                <w:rFonts w:ascii="Verdana" w:hAnsi="Verdana" w:cs="Verdana"/>
                <w:b/>
                <w:bCs/>
                <w:sz w:val="20"/>
                <w:szCs w:val="20"/>
                <w:lang w:eastAsia="bg-BG"/>
              </w:rPr>
              <w:t xml:space="preserve"> г.</w:t>
            </w:r>
          </w:p>
        </w:tc>
        <w:tc>
          <w:tcPr>
            <w:tcW w:w="2736" w:type="dxa"/>
            <w:shd w:val="clear" w:color="000000" w:fill="C5D9F1"/>
            <w:noWrap/>
            <w:vAlign w:val="center"/>
          </w:tcPr>
          <w:p w:rsidR="00863C99" w:rsidRPr="001867E1" w:rsidRDefault="00863C99" w:rsidP="00ED560C">
            <w:pPr>
              <w:jc w:val="center"/>
              <w:rPr>
                <w:rFonts w:ascii="Verdana" w:hAnsi="Verdana" w:cs="Verdana"/>
                <w:b/>
                <w:bCs/>
                <w:sz w:val="20"/>
                <w:szCs w:val="20"/>
                <w:lang w:val="en-US" w:eastAsia="bg-BG"/>
              </w:rPr>
            </w:pPr>
            <w:r>
              <w:rPr>
                <w:rFonts w:ascii="Verdana" w:hAnsi="Verdana" w:cs="Verdana"/>
                <w:b/>
                <w:bCs/>
                <w:sz w:val="20"/>
                <w:szCs w:val="20"/>
                <w:lang w:val="en-US" w:eastAsia="bg-BG"/>
              </w:rPr>
              <w:t>4</w:t>
            </w:r>
          </w:p>
        </w:tc>
      </w:tr>
      <w:tr w:rsidR="00863C99" w:rsidRPr="000E54EB">
        <w:trPr>
          <w:trHeight w:val="225"/>
        </w:trPr>
        <w:tc>
          <w:tcPr>
            <w:tcW w:w="6809" w:type="dxa"/>
            <w:shd w:val="clear" w:color="000000" w:fill="C5D9F1"/>
            <w:noWrap/>
            <w:vAlign w:val="center"/>
          </w:tcPr>
          <w:p w:rsidR="00863C99" w:rsidRPr="001867E1" w:rsidRDefault="00863C99" w:rsidP="00757AE2">
            <w:pPr>
              <w:jc w:val="left"/>
              <w:rPr>
                <w:rFonts w:ascii="Verdana" w:hAnsi="Verdana" w:cs="Verdana"/>
                <w:sz w:val="20"/>
                <w:szCs w:val="20"/>
                <w:lang w:eastAsia="bg-BG"/>
              </w:rPr>
            </w:pPr>
            <w:proofErr w:type="spellStart"/>
            <w:r w:rsidRPr="001867E1">
              <w:rPr>
                <w:rFonts w:ascii="Verdana" w:hAnsi="Verdana" w:cs="Verdana"/>
                <w:sz w:val="20"/>
                <w:szCs w:val="20"/>
                <w:lang w:val="en-US" w:eastAsia="bg-BG"/>
              </w:rPr>
              <w:t>От</w:t>
            </w:r>
            <w:proofErr w:type="spellEnd"/>
            <w:r w:rsidRPr="001867E1">
              <w:rPr>
                <w:rFonts w:ascii="Verdana" w:hAnsi="Verdana" w:cs="Verdana"/>
                <w:sz w:val="20"/>
                <w:szCs w:val="20"/>
                <w:lang w:val="en-US" w:eastAsia="bg-BG"/>
              </w:rPr>
              <w:t xml:space="preserve"> </w:t>
            </w:r>
            <w:proofErr w:type="spellStart"/>
            <w:r w:rsidRPr="001867E1">
              <w:rPr>
                <w:rFonts w:ascii="Verdana" w:hAnsi="Verdana" w:cs="Verdana"/>
                <w:sz w:val="20"/>
                <w:szCs w:val="20"/>
                <w:lang w:eastAsia="bg-BG"/>
              </w:rPr>
              <w:t>преоценъчен</w:t>
            </w:r>
            <w:proofErr w:type="spellEnd"/>
            <w:r w:rsidRPr="001867E1">
              <w:rPr>
                <w:rFonts w:ascii="Verdana" w:hAnsi="Verdana" w:cs="Verdana"/>
                <w:sz w:val="20"/>
                <w:szCs w:val="20"/>
                <w:lang w:eastAsia="bg-BG"/>
              </w:rPr>
              <w:t xml:space="preserve"> резерв</w:t>
            </w:r>
          </w:p>
        </w:tc>
        <w:tc>
          <w:tcPr>
            <w:tcW w:w="2736" w:type="dxa"/>
            <w:shd w:val="clear" w:color="000000" w:fill="C5D9F1"/>
            <w:noWrap/>
            <w:vAlign w:val="center"/>
          </w:tcPr>
          <w:p w:rsidR="00863C99" w:rsidRPr="001867E1" w:rsidRDefault="00863C99" w:rsidP="00ED560C">
            <w:pPr>
              <w:jc w:val="center"/>
              <w:rPr>
                <w:rFonts w:ascii="Verdana" w:hAnsi="Verdana" w:cs="Verdana"/>
                <w:sz w:val="20"/>
                <w:szCs w:val="20"/>
                <w:lang w:eastAsia="bg-BG"/>
              </w:rPr>
            </w:pPr>
            <w:r w:rsidRPr="001867E1">
              <w:rPr>
                <w:rFonts w:ascii="Verdana" w:hAnsi="Verdana" w:cs="Verdana"/>
                <w:sz w:val="20"/>
                <w:szCs w:val="20"/>
                <w:lang w:eastAsia="bg-BG"/>
              </w:rPr>
              <w:t>5</w:t>
            </w:r>
          </w:p>
        </w:tc>
      </w:tr>
      <w:tr w:rsidR="00863C99" w:rsidRPr="000E54EB">
        <w:trPr>
          <w:trHeight w:val="300"/>
        </w:trPr>
        <w:tc>
          <w:tcPr>
            <w:tcW w:w="6809" w:type="dxa"/>
            <w:shd w:val="clear" w:color="000000" w:fill="C5D9F1"/>
            <w:noWrap/>
            <w:vAlign w:val="center"/>
          </w:tcPr>
          <w:p w:rsidR="00863C99" w:rsidRPr="000E54EB" w:rsidRDefault="00863C99" w:rsidP="00757AE2">
            <w:pPr>
              <w:jc w:val="left"/>
              <w:rPr>
                <w:rFonts w:ascii="Verdana" w:hAnsi="Verdana" w:cs="Verdana"/>
                <w:b/>
                <w:bCs/>
                <w:sz w:val="20"/>
                <w:szCs w:val="20"/>
                <w:lang w:eastAsia="bg-BG"/>
              </w:rPr>
            </w:pPr>
            <w:r w:rsidRPr="000E54EB">
              <w:rPr>
                <w:rFonts w:ascii="Verdana" w:hAnsi="Verdana" w:cs="Verdana"/>
                <w:b/>
                <w:bCs/>
                <w:sz w:val="20"/>
                <w:szCs w:val="20"/>
                <w:lang w:eastAsia="bg-BG"/>
              </w:rPr>
              <w:t>Печалба към</w:t>
            </w:r>
            <w:r>
              <w:rPr>
                <w:rFonts w:ascii="Verdana" w:hAnsi="Verdana" w:cs="Verdana"/>
                <w:b/>
                <w:bCs/>
                <w:sz w:val="20"/>
                <w:szCs w:val="20"/>
                <w:lang w:eastAsia="bg-BG"/>
              </w:rPr>
              <w:t xml:space="preserve"> 31.12.2019</w:t>
            </w:r>
            <w:r w:rsidRPr="000E54EB">
              <w:rPr>
                <w:rFonts w:ascii="Verdana" w:hAnsi="Verdana" w:cs="Verdana"/>
                <w:b/>
                <w:bCs/>
                <w:sz w:val="20"/>
                <w:szCs w:val="20"/>
                <w:lang w:eastAsia="bg-BG"/>
              </w:rPr>
              <w:t xml:space="preserve"> г.</w:t>
            </w:r>
          </w:p>
        </w:tc>
        <w:tc>
          <w:tcPr>
            <w:tcW w:w="2736" w:type="dxa"/>
            <w:shd w:val="clear" w:color="000000" w:fill="C5D9F1"/>
            <w:noWrap/>
            <w:vAlign w:val="center"/>
          </w:tcPr>
          <w:p w:rsidR="00863C99" w:rsidRPr="000E54EB" w:rsidRDefault="00863C99" w:rsidP="00ED560C">
            <w:pPr>
              <w:jc w:val="center"/>
              <w:rPr>
                <w:rFonts w:ascii="Verdana" w:hAnsi="Verdana" w:cs="Verdana"/>
                <w:b/>
                <w:bCs/>
                <w:sz w:val="20"/>
                <w:szCs w:val="20"/>
                <w:lang w:eastAsia="bg-BG"/>
              </w:rPr>
            </w:pPr>
            <w:r>
              <w:rPr>
                <w:rFonts w:ascii="Verdana" w:hAnsi="Verdana" w:cs="Verdana"/>
                <w:b/>
                <w:bCs/>
                <w:sz w:val="20"/>
                <w:szCs w:val="20"/>
                <w:lang w:eastAsia="bg-BG"/>
              </w:rPr>
              <w:t>9</w:t>
            </w:r>
          </w:p>
        </w:tc>
      </w:tr>
      <w:tr w:rsidR="00C11AEF" w:rsidRPr="000E54EB">
        <w:trPr>
          <w:trHeight w:val="300"/>
        </w:trPr>
        <w:tc>
          <w:tcPr>
            <w:tcW w:w="6809" w:type="dxa"/>
            <w:shd w:val="clear" w:color="000000" w:fill="C5D9F1"/>
            <w:noWrap/>
            <w:vAlign w:val="center"/>
          </w:tcPr>
          <w:p w:rsidR="00C11AEF" w:rsidRPr="00C11AEF" w:rsidRDefault="00C11AEF" w:rsidP="00757AE2">
            <w:pPr>
              <w:jc w:val="left"/>
              <w:rPr>
                <w:rFonts w:ascii="Verdana" w:hAnsi="Verdana" w:cs="Verdana"/>
                <w:bCs/>
                <w:sz w:val="20"/>
                <w:szCs w:val="20"/>
                <w:lang w:eastAsia="bg-BG"/>
              </w:rPr>
            </w:pPr>
            <w:proofErr w:type="spellStart"/>
            <w:r w:rsidRPr="00C11AEF">
              <w:rPr>
                <w:rFonts w:ascii="Verdana" w:hAnsi="Verdana" w:cs="Verdana"/>
                <w:bCs/>
                <w:sz w:val="20"/>
                <w:szCs w:val="20"/>
                <w:lang w:val="en-US" w:eastAsia="bg-BG"/>
              </w:rPr>
              <w:t>От</w:t>
            </w:r>
            <w:proofErr w:type="spellEnd"/>
            <w:r w:rsidRPr="00C11AEF">
              <w:rPr>
                <w:rFonts w:ascii="Verdana" w:hAnsi="Verdana" w:cs="Verdana"/>
                <w:bCs/>
                <w:sz w:val="20"/>
                <w:szCs w:val="20"/>
                <w:lang w:val="en-US" w:eastAsia="bg-BG"/>
              </w:rPr>
              <w:t xml:space="preserve"> </w:t>
            </w:r>
            <w:proofErr w:type="spellStart"/>
            <w:r w:rsidRPr="00C11AEF">
              <w:rPr>
                <w:rFonts w:ascii="Verdana" w:hAnsi="Verdana" w:cs="Verdana"/>
                <w:bCs/>
                <w:sz w:val="20"/>
                <w:szCs w:val="20"/>
                <w:lang w:val="en-US" w:eastAsia="bg-BG"/>
              </w:rPr>
              <w:t>основна</w:t>
            </w:r>
            <w:proofErr w:type="spellEnd"/>
            <w:r w:rsidRPr="00C11AEF">
              <w:rPr>
                <w:rFonts w:ascii="Verdana" w:hAnsi="Verdana" w:cs="Verdana"/>
                <w:bCs/>
                <w:sz w:val="20"/>
                <w:szCs w:val="20"/>
                <w:lang w:val="en-US" w:eastAsia="bg-BG"/>
              </w:rPr>
              <w:t xml:space="preserve"> </w:t>
            </w:r>
            <w:proofErr w:type="spellStart"/>
            <w:r w:rsidRPr="00C11AEF">
              <w:rPr>
                <w:rFonts w:ascii="Verdana" w:hAnsi="Verdana" w:cs="Verdana"/>
                <w:bCs/>
                <w:sz w:val="20"/>
                <w:szCs w:val="20"/>
                <w:lang w:val="en-US" w:eastAsia="bg-BG"/>
              </w:rPr>
              <w:t>дейност</w:t>
            </w:r>
            <w:proofErr w:type="spellEnd"/>
          </w:p>
        </w:tc>
        <w:tc>
          <w:tcPr>
            <w:tcW w:w="2736" w:type="dxa"/>
            <w:shd w:val="clear" w:color="000000" w:fill="C5D9F1"/>
            <w:noWrap/>
            <w:vAlign w:val="center"/>
          </w:tcPr>
          <w:p w:rsidR="00C11AEF" w:rsidRPr="00C11AEF" w:rsidRDefault="00C11AEF" w:rsidP="00ED560C">
            <w:pPr>
              <w:jc w:val="center"/>
              <w:rPr>
                <w:rFonts w:ascii="Verdana" w:hAnsi="Verdana" w:cs="Verdana"/>
                <w:bCs/>
                <w:sz w:val="20"/>
                <w:szCs w:val="20"/>
                <w:lang w:eastAsia="bg-BG"/>
              </w:rPr>
            </w:pPr>
            <w:r w:rsidRPr="00C11AEF">
              <w:rPr>
                <w:rFonts w:ascii="Verdana" w:hAnsi="Verdana" w:cs="Verdana"/>
                <w:bCs/>
                <w:sz w:val="20"/>
                <w:szCs w:val="20"/>
                <w:lang w:eastAsia="bg-BG"/>
              </w:rPr>
              <w:t>105</w:t>
            </w:r>
          </w:p>
        </w:tc>
      </w:tr>
      <w:tr w:rsidR="00CE63BD" w:rsidRPr="000E54EB">
        <w:trPr>
          <w:trHeight w:val="300"/>
        </w:trPr>
        <w:tc>
          <w:tcPr>
            <w:tcW w:w="6809" w:type="dxa"/>
            <w:shd w:val="clear" w:color="000000" w:fill="C5D9F1"/>
            <w:noWrap/>
            <w:vAlign w:val="center"/>
          </w:tcPr>
          <w:p w:rsidR="00CE63BD" w:rsidRPr="000E54EB" w:rsidRDefault="00CE63BD" w:rsidP="00757AE2">
            <w:pPr>
              <w:jc w:val="left"/>
              <w:rPr>
                <w:rFonts w:ascii="Verdana" w:hAnsi="Verdana" w:cs="Verdana"/>
                <w:b/>
                <w:bCs/>
                <w:sz w:val="20"/>
                <w:szCs w:val="20"/>
                <w:lang w:eastAsia="bg-BG"/>
              </w:rPr>
            </w:pPr>
            <w:r>
              <w:rPr>
                <w:rFonts w:ascii="Verdana" w:hAnsi="Verdana" w:cs="Verdana"/>
                <w:b/>
                <w:bCs/>
                <w:sz w:val="20"/>
                <w:szCs w:val="20"/>
                <w:lang w:eastAsia="bg-BG"/>
              </w:rPr>
              <w:t>Печалба към 30.06.2020 г.</w:t>
            </w:r>
          </w:p>
        </w:tc>
        <w:tc>
          <w:tcPr>
            <w:tcW w:w="2736" w:type="dxa"/>
            <w:shd w:val="clear" w:color="000000" w:fill="C5D9F1"/>
            <w:noWrap/>
            <w:vAlign w:val="center"/>
          </w:tcPr>
          <w:p w:rsidR="00CE63BD" w:rsidRDefault="00CE63BD" w:rsidP="00ED560C">
            <w:pPr>
              <w:jc w:val="center"/>
              <w:rPr>
                <w:rFonts w:ascii="Verdana" w:hAnsi="Verdana" w:cs="Verdana"/>
                <w:b/>
                <w:bCs/>
                <w:sz w:val="20"/>
                <w:szCs w:val="20"/>
                <w:lang w:eastAsia="bg-BG"/>
              </w:rPr>
            </w:pPr>
            <w:r>
              <w:rPr>
                <w:rFonts w:ascii="Verdana" w:hAnsi="Verdana" w:cs="Verdana"/>
                <w:b/>
                <w:bCs/>
                <w:sz w:val="20"/>
                <w:szCs w:val="20"/>
                <w:lang w:eastAsia="bg-BG"/>
              </w:rPr>
              <w:t>1</w:t>
            </w:r>
            <w:r w:rsidR="00C11AEF">
              <w:rPr>
                <w:rFonts w:ascii="Verdana" w:hAnsi="Verdana" w:cs="Verdana"/>
                <w:b/>
                <w:bCs/>
                <w:sz w:val="20"/>
                <w:szCs w:val="20"/>
                <w:lang w:eastAsia="bg-BG"/>
              </w:rPr>
              <w:t>14</w:t>
            </w:r>
          </w:p>
        </w:tc>
      </w:tr>
      <w:tr w:rsidR="00863C99" w:rsidRPr="000E54EB">
        <w:trPr>
          <w:trHeight w:val="300"/>
        </w:trPr>
        <w:tc>
          <w:tcPr>
            <w:tcW w:w="6809" w:type="dxa"/>
            <w:shd w:val="clear" w:color="000000" w:fill="C5D9F1"/>
            <w:noWrap/>
            <w:vAlign w:val="center"/>
          </w:tcPr>
          <w:p w:rsidR="00863C99" w:rsidRPr="000E54EB" w:rsidRDefault="00863C99" w:rsidP="00ED560C">
            <w:pPr>
              <w:jc w:val="left"/>
              <w:rPr>
                <w:rFonts w:ascii="Verdana" w:hAnsi="Verdana" w:cs="Verdana"/>
                <w:b/>
                <w:bCs/>
                <w:sz w:val="20"/>
                <w:szCs w:val="20"/>
                <w:lang w:eastAsia="bg-BG"/>
              </w:rPr>
            </w:pPr>
            <w:r w:rsidRPr="000E54EB">
              <w:rPr>
                <w:rFonts w:ascii="Verdana" w:hAnsi="Verdana" w:cs="Verdana"/>
                <w:b/>
                <w:bCs/>
                <w:sz w:val="20"/>
                <w:szCs w:val="20"/>
                <w:lang w:eastAsia="bg-BG"/>
              </w:rPr>
              <w:t>Загуба към 31.12.201</w:t>
            </w:r>
            <w:r>
              <w:rPr>
                <w:rFonts w:ascii="Verdana" w:hAnsi="Verdana" w:cs="Verdana"/>
                <w:b/>
                <w:bCs/>
                <w:sz w:val="20"/>
                <w:szCs w:val="20"/>
                <w:lang w:eastAsia="bg-BG"/>
              </w:rPr>
              <w:t>8</w:t>
            </w:r>
            <w:r w:rsidRPr="000E54EB">
              <w:rPr>
                <w:rFonts w:ascii="Verdana" w:hAnsi="Verdana" w:cs="Verdana"/>
                <w:b/>
                <w:bCs/>
                <w:sz w:val="20"/>
                <w:szCs w:val="20"/>
                <w:lang w:eastAsia="bg-BG"/>
              </w:rPr>
              <w:t xml:space="preserve"> г.</w:t>
            </w:r>
          </w:p>
        </w:tc>
        <w:tc>
          <w:tcPr>
            <w:tcW w:w="2736" w:type="dxa"/>
            <w:shd w:val="clear" w:color="000000" w:fill="C5D9F1"/>
            <w:noWrap/>
            <w:vAlign w:val="center"/>
          </w:tcPr>
          <w:p w:rsidR="00863C99" w:rsidRPr="000E54EB" w:rsidRDefault="00863C99" w:rsidP="001F704A">
            <w:pPr>
              <w:jc w:val="center"/>
              <w:rPr>
                <w:rFonts w:ascii="Verdana" w:hAnsi="Verdana" w:cs="Verdana"/>
                <w:b/>
                <w:bCs/>
                <w:sz w:val="20"/>
                <w:szCs w:val="20"/>
                <w:lang w:eastAsia="bg-BG"/>
              </w:rPr>
            </w:pPr>
            <w:r w:rsidRPr="000E54EB">
              <w:rPr>
                <w:rFonts w:ascii="Verdana" w:hAnsi="Verdana" w:cs="Verdana"/>
                <w:b/>
                <w:bCs/>
                <w:sz w:val="20"/>
                <w:szCs w:val="20"/>
                <w:lang w:eastAsia="bg-BG"/>
              </w:rPr>
              <w:t>(5 065)</w:t>
            </w:r>
          </w:p>
        </w:tc>
      </w:tr>
      <w:tr w:rsidR="00863C99" w:rsidRPr="000E54EB">
        <w:trPr>
          <w:trHeight w:val="300"/>
        </w:trPr>
        <w:tc>
          <w:tcPr>
            <w:tcW w:w="6809" w:type="dxa"/>
            <w:noWrap/>
            <w:vAlign w:val="center"/>
          </w:tcPr>
          <w:p w:rsidR="00863C99" w:rsidRPr="000E54EB" w:rsidRDefault="00863C99" w:rsidP="00757AE2">
            <w:pPr>
              <w:jc w:val="left"/>
              <w:rPr>
                <w:rFonts w:ascii="Verdana" w:hAnsi="Verdana" w:cs="Verdana"/>
                <w:b/>
                <w:bCs/>
                <w:sz w:val="20"/>
                <w:szCs w:val="20"/>
                <w:lang w:eastAsia="bg-BG"/>
              </w:rPr>
            </w:pPr>
            <w:r w:rsidRPr="000E54EB">
              <w:rPr>
                <w:rFonts w:ascii="Verdana" w:hAnsi="Verdana" w:cs="Verdana"/>
                <w:b/>
                <w:bCs/>
                <w:sz w:val="20"/>
                <w:szCs w:val="20"/>
                <w:lang w:eastAsia="bg-BG"/>
              </w:rPr>
              <w:t>Увеличения от:</w:t>
            </w:r>
          </w:p>
        </w:tc>
        <w:tc>
          <w:tcPr>
            <w:tcW w:w="2736" w:type="dxa"/>
            <w:noWrap/>
            <w:vAlign w:val="center"/>
          </w:tcPr>
          <w:p w:rsidR="00863C99" w:rsidRPr="000E54EB" w:rsidRDefault="00863C99" w:rsidP="00757AE2">
            <w:pPr>
              <w:jc w:val="center"/>
              <w:rPr>
                <w:rFonts w:ascii="Verdana" w:hAnsi="Verdana" w:cs="Verdana"/>
                <w:b/>
                <w:bCs/>
                <w:sz w:val="20"/>
                <w:szCs w:val="20"/>
                <w:lang w:eastAsia="bg-BG"/>
              </w:rPr>
            </w:pPr>
          </w:p>
        </w:tc>
      </w:tr>
      <w:tr w:rsidR="00863C99" w:rsidRPr="000E54EB">
        <w:trPr>
          <w:trHeight w:val="300"/>
        </w:trPr>
        <w:tc>
          <w:tcPr>
            <w:tcW w:w="6809" w:type="dxa"/>
            <w:noWrap/>
            <w:vAlign w:val="center"/>
          </w:tcPr>
          <w:p w:rsidR="00863C99" w:rsidRPr="000E54EB" w:rsidRDefault="00863C99" w:rsidP="00ED560C">
            <w:pPr>
              <w:jc w:val="left"/>
              <w:rPr>
                <w:rFonts w:ascii="Verdana" w:hAnsi="Verdana" w:cs="Verdana"/>
                <w:sz w:val="20"/>
                <w:szCs w:val="20"/>
                <w:lang w:eastAsia="bg-BG"/>
              </w:rPr>
            </w:pPr>
            <w:r w:rsidRPr="000E54EB">
              <w:rPr>
                <w:rFonts w:ascii="Verdana" w:hAnsi="Verdana" w:cs="Verdana"/>
                <w:sz w:val="20"/>
                <w:szCs w:val="20"/>
                <w:lang w:eastAsia="bg-BG"/>
              </w:rPr>
              <w:t>Загуба за годината - 201</w:t>
            </w:r>
            <w:r>
              <w:rPr>
                <w:rFonts w:ascii="Verdana" w:hAnsi="Verdana" w:cs="Verdana"/>
                <w:sz w:val="20"/>
                <w:szCs w:val="20"/>
                <w:lang w:eastAsia="bg-BG"/>
              </w:rPr>
              <w:t>9</w:t>
            </w:r>
          </w:p>
        </w:tc>
        <w:tc>
          <w:tcPr>
            <w:tcW w:w="2736" w:type="dxa"/>
            <w:noWrap/>
            <w:vAlign w:val="center"/>
          </w:tcPr>
          <w:p w:rsidR="00863C99" w:rsidRPr="001867E1" w:rsidRDefault="00863C99" w:rsidP="00757AE2">
            <w:pPr>
              <w:jc w:val="center"/>
              <w:rPr>
                <w:rFonts w:ascii="Verdana" w:hAnsi="Verdana" w:cs="Verdana"/>
                <w:sz w:val="20"/>
                <w:szCs w:val="20"/>
                <w:lang w:val="en-US" w:eastAsia="bg-BG"/>
              </w:rPr>
            </w:pPr>
            <w:r>
              <w:rPr>
                <w:rFonts w:ascii="Verdana" w:hAnsi="Verdana" w:cs="Verdana"/>
                <w:sz w:val="20"/>
                <w:szCs w:val="20"/>
                <w:lang w:eastAsia="bg-BG"/>
              </w:rPr>
              <w:t>(</w:t>
            </w:r>
            <w:r>
              <w:rPr>
                <w:rFonts w:ascii="Verdana" w:hAnsi="Verdana" w:cs="Verdana"/>
                <w:sz w:val="20"/>
                <w:szCs w:val="20"/>
                <w:lang w:val="en-US" w:eastAsia="bg-BG"/>
              </w:rPr>
              <w:t>1 201</w:t>
            </w:r>
            <w:r>
              <w:rPr>
                <w:rFonts w:ascii="Verdana" w:hAnsi="Verdana" w:cs="Verdana"/>
                <w:sz w:val="20"/>
                <w:szCs w:val="20"/>
                <w:lang w:eastAsia="bg-BG"/>
              </w:rPr>
              <w:t>)</w:t>
            </w:r>
          </w:p>
        </w:tc>
      </w:tr>
      <w:tr w:rsidR="00863C99" w:rsidRPr="000E54EB">
        <w:trPr>
          <w:trHeight w:val="300"/>
        </w:trPr>
        <w:tc>
          <w:tcPr>
            <w:tcW w:w="6809" w:type="dxa"/>
            <w:shd w:val="clear" w:color="000000" w:fill="C5D9F1"/>
            <w:noWrap/>
            <w:vAlign w:val="center"/>
          </w:tcPr>
          <w:p w:rsidR="00863C99" w:rsidRPr="000E54EB" w:rsidRDefault="00863C99" w:rsidP="00ED560C">
            <w:pPr>
              <w:jc w:val="left"/>
              <w:rPr>
                <w:rFonts w:ascii="Verdana" w:hAnsi="Verdana" w:cs="Verdana"/>
                <w:b/>
                <w:bCs/>
                <w:sz w:val="20"/>
                <w:szCs w:val="20"/>
                <w:lang w:eastAsia="bg-BG"/>
              </w:rPr>
            </w:pPr>
            <w:r w:rsidRPr="000E54EB">
              <w:rPr>
                <w:rFonts w:ascii="Verdana" w:hAnsi="Verdana" w:cs="Verdana"/>
                <w:b/>
                <w:bCs/>
                <w:sz w:val="20"/>
                <w:szCs w:val="20"/>
                <w:lang w:eastAsia="bg-BG"/>
              </w:rPr>
              <w:t>Загуба към 31.12.201</w:t>
            </w:r>
            <w:r>
              <w:rPr>
                <w:rFonts w:ascii="Verdana" w:hAnsi="Verdana" w:cs="Verdana"/>
                <w:b/>
                <w:bCs/>
                <w:sz w:val="20"/>
                <w:szCs w:val="20"/>
                <w:lang w:eastAsia="bg-BG"/>
              </w:rPr>
              <w:t>9</w:t>
            </w:r>
            <w:r w:rsidRPr="000E54EB">
              <w:rPr>
                <w:rFonts w:ascii="Verdana" w:hAnsi="Verdana" w:cs="Verdana"/>
                <w:b/>
                <w:bCs/>
                <w:sz w:val="20"/>
                <w:szCs w:val="20"/>
                <w:lang w:eastAsia="bg-BG"/>
              </w:rPr>
              <w:t xml:space="preserve"> г.</w:t>
            </w:r>
          </w:p>
        </w:tc>
        <w:tc>
          <w:tcPr>
            <w:tcW w:w="2736" w:type="dxa"/>
            <w:shd w:val="clear" w:color="000000" w:fill="C5D9F1"/>
            <w:noWrap/>
            <w:vAlign w:val="center"/>
          </w:tcPr>
          <w:p w:rsidR="00863C99" w:rsidRPr="001867E1" w:rsidRDefault="00863C99" w:rsidP="00757AE2">
            <w:pPr>
              <w:jc w:val="center"/>
              <w:rPr>
                <w:rFonts w:ascii="Verdana" w:hAnsi="Verdana" w:cs="Verdana"/>
                <w:b/>
                <w:bCs/>
                <w:sz w:val="20"/>
                <w:szCs w:val="20"/>
                <w:lang w:val="en-US" w:eastAsia="bg-BG"/>
              </w:rPr>
            </w:pPr>
            <w:r>
              <w:rPr>
                <w:rFonts w:ascii="Verdana" w:hAnsi="Verdana" w:cs="Verdana"/>
                <w:b/>
                <w:bCs/>
                <w:sz w:val="20"/>
                <w:szCs w:val="20"/>
                <w:lang w:val="en-US" w:eastAsia="bg-BG"/>
              </w:rPr>
              <w:t>(6 266)</w:t>
            </w:r>
          </w:p>
        </w:tc>
      </w:tr>
      <w:tr w:rsidR="00C11AEF" w:rsidRPr="000E54EB">
        <w:trPr>
          <w:trHeight w:val="300"/>
        </w:trPr>
        <w:tc>
          <w:tcPr>
            <w:tcW w:w="6809" w:type="dxa"/>
            <w:shd w:val="clear" w:color="000000" w:fill="C5D9F1"/>
            <w:noWrap/>
            <w:vAlign w:val="center"/>
          </w:tcPr>
          <w:p w:rsidR="00C11AEF" w:rsidRPr="00C11AEF" w:rsidRDefault="00C11AEF" w:rsidP="00ED560C">
            <w:pPr>
              <w:jc w:val="left"/>
              <w:rPr>
                <w:rFonts w:ascii="Verdana" w:hAnsi="Verdana" w:cs="Verdana"/>
                <w:b/>
                <w:bCs/>
                <w:sz w:val="20"/>
                <w:szCs w:val="20"/>
                <w:lang w:eastAsia="bg-BG"/>
              </w:rPr>
            </w:pPr>
            <w:proofErr w:type="spellStart"/>
            <w:r>
              <w:rPr>
                <w:rFonts w:ascii="Verdana" w:hAnsi="Verdana" w:cs="Verdana"/>
                <w:b/>
                <w:bCs/>
                <w:sz w:val="20"/>
                <w:szCs w:val="20"/>
                <w:lang w:val="en-US" w:eastAsia="bg-BG"/>
              </w:rPr>
              <w:t>Загуба</w:t>
            </w:r>
            <w:proofErr w:type="spellEnd"/>
            <w:r>
              <w:rPr>
                <w:rFonts w:ascii="Verdana" w:hAnsi="Verdana" w:cs="Verdana"/>
                <w:b/>
                <w:bCs/>
                <w:sz w:val="20"/>
                <w:szCs w:val="20"/>
                <w:lang w:val="en-US" w:eastAsia="bg-BG"/>
              </w:rPr>
              <w:t xml:space="preserve"> </w:t>
            </w:r>
            <w:proofErr w:type="spellStart"/>
            <w:r>
              <w:rPr>
                <w:rFonts w:ascii="Verdana" w:hAnsi="Verdana" w:cs="Verdana"/>
                <w:b/>
                <w:bCs/>
                <w:sz w:val="20"/>
                <w:szCs w:val="20"/>
                <w:lang w:val="en-US" w:eastAsia="bg-BG"/>
              </w:rPr>
              <w:t>към</w:t>
            </w:r>
            <w:proofErr w:type="spellEnd"/>
            <w:r>
              <w:rPr>
                <w:rFonts w:ascii="Verdana" w:hAnsi="Verdana" w:cs="Verdana"/>
                <w:b/>
                <w:bCs/>
                <w:sz w:val="20"/>
                <w:szCs w:val="20"/>
                <w:lang w:val="en-US" w:eastAsia="bg-BG"/>
              </w:rPr>
              <w:t xml:space="preserve"> 30.06.2020 г.</w:t>
            </w:r>
          </w:p>
        </w:tc>
        <w:tc>
          <w:tcPr>
            <w:tcW w:w="2736" w:type="dxa"/>
            <w:shd w:val="clear" w:color="000000" w:fill="C5D9F1"/>
            <w:noWrap/>
            <w:vAlign w:val="center"/>
          </w:tcPr>
          <w:p w:rsidR="00C11AEF" w:rsidRPr="00C11AEF" w:rsidRDefault="00C11AEF" w:rsidP="00757AE2">
            <w:pPr>
              <w:jc w:val="center"/>
              <w:rPr>
                <w:rFonts w:ascii="Verdana" w:hAnsi="Verdana" w:cs="Verdana"/>
                <w:b/>
                <w:bCs/>
                <w:sz w:val="20"/>
                <w:szCs w:val="20"/>
                <w:lang w:val="en-US" w:eastAsia="bg-BG"/>
              </w:rPr>
            </w:pPr>
            <w:r>
              <w:rPr>
                <w:rFonts w:ascii="Verdana" w:hAnsi="Verdana" w:cs="Verdana"/>
                <w:b/>
                <w:bCs/>
                <w:sz w:val="20"/>
                <w:szCs w:val="20"/>
                <w:lang w:eastAsia="bg-BG"/>
              </w:rPr>
              <w:t>(</w:t>
            </w:r>
            <w:r>
              <w:rPr>
                <w:rFonts w:ascii="Verdana" w:hAnsi="Verdana" w:cs="Verdana"/>
                <w:b/>
                <w:bCs/>
                <w:sz w:val="20"/>
                <w:szCs w:val="20"/>
                <w:lang w:val="en-US" w:eastAsia="bg-BG"/>
              </w:rPr>
              <w:t>6 266</w:t>
            </w:r>
            <w:r>
              <w:rPr>
                <w:rFonts w:ascii="Verdana" w:hAnsi="Verdana" w:cs="Verdana"/>
                <w:b/>
                <w:bCs/>
                <w:sz w:val="20"/>
                <w:szCs w:val="20"/>
                <w:lang w:eastAsia="bg-BG"/>
              </w:rPr>
              <w:t>)</w:t>
            </w:r>
          </w:p>
        </w:tc>
      </w:tr>
      <w:tr w:rsidR="00863C99" w:rsidRPr="000E54EB">
        <w:trPr>
          <w:trHeight w:val="300"/>
        </w:trPr>
        <w:tc>
          <w:tcPr>
            <w:tcW w:w="6809" w:type="dxa"/>
            <w:shd w:val="clear" w:color="000000" w:fill="C5D9F1"/>
            <w:noWrap/>
            <w:vAlign w:val="center"/>
          </w:tcPr>
          <w:p w:rsidR="00863C99" w:rsidRPr="000E54EB" w:rsidRDefault="00863C99" w:rsidP="00757AE2">
            <w:pPr>
              <w:jc w:val="left"/>
              <w:rPr>
                <w:rFonts w:ascii="Verdana" w:hAnsi="Verdana" w:cs="Verdana"/>
                <w:b/>
                <w:bCs/>
                <w:sz w:val="20"/>
                <w:szCs w:val="20"/>
                <w:lang w:eastAsia="bg-BG"/>
              </w:rPr>
            </w:pPr>
            <w:r w:rsidRPr="000E54EB">
              <w:rPr>
                <w:rFonts w:ascii="Verdana" w:hAnsi="Verdana" w:cs="Verdana"/>
                <w:b/>
                <w:bCs/>
                <w:sz w:val="20"/>
                <w:szCs w:val="20"/>
                <w:lang w:eastAsia="bg-BG"/>
              </w:rPr>
              <w:t>Финансов резултат към</w:t>
            </w:r>
            <w:r>
              <w:rPr>
                <w:rFonts w:ascii="Verdana" w:hAnsi="Verdana" w:cs="Verdana"/>
                <w:b/>
                <w:bCs/>
                <w:sz w:val="20"/>
                <w:szCs w:val="20"/>
                <w:lang w:eastAsia="bg-BG"/>
              </w:rPr>
              <w:t xml:space="preserve"> 31.12.2018</w:t>
            </w:r>
            <w:r w:rsidRPr="000E54EB">
              <w:rPr>
                <w:rFonts w:ascii="Verdana" w:hAnsi="Verdana" w:cs="Verdana"/>
                <w:b/>
                <w:bCs/>
                <w:sz w:val="20"/>
                <w:szCs w:val="20"/>
                <w:lang w:eastAsia="bg-BG"/>
              </w:rPr>
              <w:t xml:space="preserve"> г.</w:t>
            </w:r>
          </w:p>
        </w:tc>
        <w:tc>
          <w:tcPr>
            <w:tcW w:w="2736" w:type="dxa"/>
            <w:shd w:val="clear" w:color="000000" w:fill="C5D9F1"/>
            <w:noWrap/>
            <w:vAlign w:val="center"/>
          </w:tcPr>
          <w:p w:rsidR="00863C99" w:rsidRPr="000E54EB" w:rsidRDefault="00863C99" w:rsidP="001F704A">
            <w:pPr>
              <w:jc w:val="center"/>
              <w:rPr>
                <w:rFonts w:ascii="Verdana" w:hAnsi="Verdana" w:cs="Verdana"/>
                <w:b/>
                <w:bCs/>
                <w:sz w:val="20"/>
                <w:szCs w:val="20"/>
                <w:lang w:eastAsia="bg-BG"/>
              </w:rPr>
            </w:pPr>
            <w:r w:rsidRPr="000E54EB">
              <w:rPr>
                <w:rFonts w:ascii="Verdana" w:hAnsi="Verdana" w:cs="Verdana"/>
                <w:b/>
                <w:bCs/>
                <w:sz w:val="20"/>
                <w:szCs w:val="20"/>
                <w:lang w:eastAsia="bg-BG"/>
              </w:rPr>
              <w:t>(5 061)</w:t>
            </w:r>
          </w:p>
        </w:tc>
      </w:tr>
      <w:tr w:rsidR="00863C99" w:rsidRPr="000E54EB">
        <w:trPr>
          <w:trHeight w:val="300"/>
        </w:trPr>
        <w:tc>
          <w:tcPr>
            <w:tcW w:w="6809" w:type="dxa"/>
            <w:shd w:val="clear" w:color="000000" w:fill="C5D9F1"/>
            <w:noWrap/>
            <w:vAlign w:val="center"/>
          </w:tcPr>
          <w:p w:rsidR="00863C99" w:rsidRPr="000E54EB" w:rsidRDefault="00863C99" w:rsidP="00757AE2">
            <w:pPr>
              <w:jc w:val="left"/>
              <w:rPr>
                <w:rFonts w:ascii="Verdana" w:hAnsi="Verdana" w:cs="Verdana"/>
                <w:b/>
                <w:bCs/>
                <w:sz w:val="20"/>
                <w:szCs w:val="20"/>
                <w:lang w:eastAsia="bg-BG"/>
              </w:rPr>
            </w:pPr>
            <w:r w:rsidRPr="000E54EB">
              <w:rPr>
                <w:rFonts w:ascii="Verdana" w:hAnsi="Verdana" w:cs="Verdana"/>
                <w:b/>
                <w:bCs/>
                <w:sz w:val="20"/>
                <w:szCs w:val="20"/>
                <w:lang w:eastAsia="bg-BG"/>
              </w:rPr>
              <w:t>Финансов резултат към</w:t>
            </w:r>
            <w:r>
              <w:rPr>
                <w:rFonts w:ascii="Verdana" w:hAnsi="Verdana" w:cs="Verdana"/>
                <w:b/>
                <w:bCs/>
                <w:sz w:val="20"/>
                <w:szCs w:val="20"/>
                <w:lang w:eastAsia="bg-BG"/>
              </w:rPr>
              <w:t xml:space="preserve"> 31.12.2019</w:t>
            </w:r>
            <w:r w:rsidRPr="000E54EB">
              <w:rPr>
                <w:rFonts w:ascii="Verdana" w:hAnsi="Verdana" w:cs="Verdana"/>
                <w:b/>
                <w:bCs/>
                <w:sz w:val="20"/>
                <w:szCs w:val="20"/>
                <w:lang w:eastAsia="bg-BG"/>
              </w:rPr>
              <w:t xml:space="preserve"> г.</w:t>
            </w:r>
          </w:p>
        </w:tc>
        <w:tc>
          <w:tcPr>
            <w:tcW w:w="2736" w:type="dxa"/>
            <w:shd w:val="clear" w:color="000000" w:fill="C5D9F1"/>
            <w:noWrap/>
            <w:vAlign w:val="center"/>
          </w:tcPr>
          <w:p w:rsidR="00863C99" w:rsidRPr="001867E1" w:rsidRDefault="00863C99" w:rsidP="00757AE2">
            <w:pPr>
              <w:jc w:val="center"/>
              <w:rPr>
                <w:rFonts w:ascii="Verdana" w:hAnsi="Verdana" w:cs="Verdana"/>
                <w:b/>
                <w:bCs/>
                <w:sz w:val="20"/>
                <w:szCs w:val="20"/>
                <w:lang w:val="en-US" w:eastAsia="bg-BG"/>
              </w:rPr>
            </w:pPr>
            <w:r>
              <w:rPr>
                <w:rFonts w:ascii="Verdana" w:hAnsi="Verdana" w:cs="Verdana"/>
                <w:b/>
                <w:bCs/>
                <w:sz w:val="20"/>
                <w:szCs w:val="20"/>
                <w:lang w:val="en-US" w:eastAsia="bg-BG"/>
              </w:rPr>
              <w:t>(6 257)</w:t>
            </w:r>
          </w:p>
        </w:tc>
      </w:tr>
      <w:tr w:rsidR="00C11AEF" w:rsidRPr="000E54EB">
        <w:trPr>
          <w:trHeight w:val="300"/>
        </w:trPr>
        <w:tc>
          <w:tcPr>
            <w:tcW w:w="6809" w:type="dxa"/>
            <w:shd w:val="clear" w:color="000000" w:fill="C5D9F1"/>
            <w:noWrap/>
            <w:vAlign w:val="center"/>
          </w:tcPr>
          <w:p w:rsidR="00C11AEF" w:rsidRPr="000E54EB" w:rsidRDefault="00C11AEF" w:rsidP="00757AE2">
            <w:pPr>
              <w:jc w:val="left"/>
              <w:rPr>
                <w:rFonts w:ascii="Verdana" w:hAnsi="Verdana" w:cs="Verdana"/>
                <w:b/>
                <w:bCs/>
                <w:sz w:val="20"/>
                <w:szCs w:val="20"/>
                <w:lang w:eastAsia="bg-BG"/>
              </w:rPr>
            </w:pPr>
            <w:r>
              <w:rPr>
                <w:rFonts w:ascii="Verdana" w:hAnsi="Verdana" w:cs="Verdana"/>
                <w:b/>
                <w:bCs/>
                <w:sz w:val="20"/>
                <w:szCs w:val="20"/>
                <w:lang w:eastAsia="bg-BG"/>
              </w:rPr>
              <w:t>Финансов резултат към 30.06.2020 г.</w:t>
            </w:r>
          </w:p>
        </w:tc>
        <w:tc>
          <w:tcPr>
            <w:tcW w:w="2736" w:type="dxa"/>
            <w:shd w:val="clear" w:color="000000" w:fill="C5D9F1"/>
            <w:noWrap/>
            <w:vAlign w:val="center"/>
          </w:tcPr>
          <w:p w:rsidR="00C11AEF" w:rsidRPr="00C11AEF" w:rsidRDefault="00C11AEF" w:rsidP="00757AE2">
            <w:pPr>
              <w:jc w:val="center"/>
              <w:rPr>
                <w:rFonts w:ascii="Verdana" w:hAnsi="Verdana" w:cs="Verdana"/>
                <w:b/>
                <w:bCs/>
                <w:sz w:val="20"/>
                <w:szCs w:val="20"/>
                <w:lang w:val="en-US" w:eastAsia="bg-BG"/>
              </w:rPr>
            </w:pPr>
            <w:r>
              <w:rPr>
                <w:rFonts w:ascii="Verdana" w:hAnsi="Verdana" w:cs="Verdana"/>
                <w:b/>
                <w:bCs/>
                <w:sz w:val="20"/>
                <w:szCs w:val="20"/>
                <w:lang w:eastAsia="bg-BG"/>
              </w:rPr>
              <w:t>(</w:t>
            </w:r>
            <w:r>
              <w:rPr>
                <w:rFonts w:ascii="Verdana" w:hAnsi="Verdana" w:cs="Verdana"/>
                <w:b/>
                <w:bCs/>
                <w:sz w:val="20"/>
                <w:szCs w:val="20"/>
                <w:lang w:val="en-US" w:eastAsia="bg-BG"/>
              </w:rPr>
              <w:t>6 152</w:t>
            </w:r>
            <w:r>
              <w:rPr>
                <w:rFonts w:ascii="Verdana" w:hAnsi="Verdana" w:cs="Verdana"/>
                <w:b/>
                <w:bCs/>
                <w:sz w:val="20"/>
                <w:szCs w:val="20"/>
                <w:lang w:eastAsia="bg-BG"/>
              </w:rPr>
              <w:t>)</w:t>
            </w:r>
          </w:p>
        </w:tc>
      </w:tr>
    </w:tbl>
    <w:p w:rsidR="00863C99" w:rsidRPr="000E54EB" w:rsidRDefault="00863C99" w:rsidP="00B66DF8">
      <w:pPr>
        <w:pStyle w:val="Heading3"/>
        <w:rPr>
          <w:rFonts w:ascii="Verdana" w:hAnsi="Verdana" w:cs="Verdana"/>
          <w:lang w:val="bg-BG"/>
        </w:rPr>
      </w:pPr>
      <w:bookmarkStart w:id="165" w:name="_Toc4328856"/>
      <w:r w:rsidRPr="000E54EB">
        <w:rPr>
          <w:rFonts w:ascii="Verdana" w:hAnsi="Verdana" w:cs="Verdana"/>
          <w:lang w:val="bg-BG"/>
        </w:rPr>
        <w:t>Нетекущи пасиви</w:t>
      </w:r>
      <w:bookmarkEnd w:id="165"/>
    </w:p>
    <w:p w:rsidR="00863C99" w:rsidRPr="000E54EB" w:rsidRDefault="00863C99" w:rsidP="00B66DF8">
      <w:pPr>
        <w:pStyle w:val="Heading4"/>
        <w:rPr>
          <w:rFonts w:ascii="Verdana" w:hAnsi="Verdana" w:cs="Verdana"/>
          <w:i w:val="0"/>
          <w:iCs w:val="0"/>
          <w:lang w:val="bg-BG"/>
        </w:rPr>
      </w:pPr>
      <w:bookmarkStart w:id="166" w:name="_Toc4328857"/>
      <w:r w:rsidRPr="000E54EB">
        <w:rPr>
          <w:rFonts w:ascii="Verdana" w:hAnsi="Verdana" w:cs="Verdana"/>
          <w:i w:val="0"/>
          <w:iCs w:val="0"/>
          <w:lang w:val="bg-BG"/>
        </w:rPr>
        <w:t>2.</w:t>
      </w:r>
      <w:r>
        <w:rPr>
          <w:rFonts w:ascii="Verdana" w:hAnsi="Verdana" w:cs="Verdana"/>
          <w:i w:val="0"/>
          <w:iCs w:val="0"/>
          <w:lang w:val="bg-BG"/>
        </w:rPr>
        <w:t>8</w:t>
      </w:r>
      <w:r w:rsidRPr="000E54EB">
        <w:rPr>
          <w:rFonts w:ascii="Verdana" w:hAnsi="Verdana" w:cs="Verdana"/>
          <w:i w:val="0"/>
          <w:iCs w:val="0"/>
          <w:lang w:val="bg-BG"/>
        </w:rPr>
        <w:t>. Нетекущи задължения към персонала и социалното осигуряване</w:t>
      </w:r>
      <w:bookmarkEnd w:id="166"/>
    </w:p>
    <w:tbl>
      <w:tblPr>
        <w:tblW w:w="9545" w:type="dxa"/>
        <w:tblInd w:w="-68" w:type="dxa"/>
        <w:tblCellMar>
          <w:left w:w="70" w:type="dxa"/>
          <w:right w:w="70" w:type="dxa"/>
        </w:tblCellMar>
        <w:tblLook w:val="00A0" w:firstRow="1" w:lastRow="0" w:firstColumn="1" w:lastColumn="0" w:noHBand="0" w:noVBand="0"/>
      </w:tblPr>
      <w:tblGrid>
        <w:gridCol w:w="6035"/>
        <w:gridCol w:w="1767"/>
        <w:gridCol w:w="1743"/>
      </w:tblGrid>
      <w:tr w:rsidR="00863C99" w:rsidRPr="000E54EB">
        <w:trPr>
          <w:trHeight w:val="300"/>
        </w:trPr>
        <w:tc>
          <w:tcPr>
            <w:tcW w:w="6035" w:type="dxa"/>
            <w:tcBorders>
              <w:top w:val="single" w:sz="4" w:space="0" w:color="auto"/>
              <w:left w:val="single" w:sz="4" w:space="0" w:color="auto"/>
              <w:bottom w:val="single" w:sz="4" w:space="0" w:color="auto"/>
              <w:right w:val="nil"/>
            </w:tcBorders>
            <w:noWrap/>
            <w:vAlign w:val="center"/>
          </w:tcPr>
          <w:p w:rsidR="00863C99" w:rsidRPr="000E54EB" w:rsidRDefault="00863C99" w:rsidP="009E060C">
            <w:pPr>
              <w:jc w:val="left"/>
              <w:rPr>
                <w:rFonts w:ascii="Verdana" w:hAnsi="Verdana" w:cs="Verdana"/>
                <w:b/>
                <w:bCs/>
                <w:sz w:val="20"/>
                <w:szCs w:val="20"/>
                <w:lang w:eastAsia="bg-BG"/>
              </w:rPr>
            </w:pPr>
            <w:r w:rsidRPr="000E54EB">
              <w:rPr>
                <w:rFonts w:ascii="Verdana" w:hAnsi="Verdana" w:cs="Verdana"/>
                <w:b/>
                <w:bCs/>
                <w:sz w:val="20"/>
                <w:szCs w:val="20"/>
                <w:lang w:eastAsia="bg-BG"/>
              </w:rPr>
              <w:t>Вид</w:t>
            </w:r>
          </w:p>
        </w:tc>
        <w:tc>
          <w:tcPr>
            <w:tcW w:w="1767" w:type="dxa"/>
            <w:tcBorders>
              <w:top w:val="single" w:sz="4" w:space="0" w:color="auto"/>
              <w:left w:val="single" w:sz="4" w:space="0" w:color="auto"/>
              <w:bottom w:val="single" w:sz="4" w:space="0" w:color="auto"/>
              <w:right w:val="single" w:sz="4" w:space="0" w:color="auto"/>
            </w:tcBorders>
            <w:noWrap/>
            <w:vAlign w:val="center"/>
          </w:tcPr>
          <w:p w:rsidR="00863C99" w:rsidRPr="000E54EB" w:rsidRDefault="00863C99" w:rsidP="00376939">
            <w:pPr>
              <w:jc w:val="center"/>
              <w:rPr>
                <w:rFonts w:ascii="Verdana" w:hAnsi="Verdana" w:cs="Verdana"/>
                <w:b/>
                <w:bCs/>
                <w:sz w:val="20"/>
                <w:szCs w:val="20"/>
                <w:lang w:eastAsia="bg-BG"/>
              </w:rPr>
            </w:pPr>
            <w:r w:rsidRPr="000E54EB">
              <w:rPr>
                <w:rFonts w:ascii="Verdana" w:hAnsi="Verdana" w:cs="Verdana"/>
                <w:b/>
                <w:bCs/>
                <w:sz w:val="20"/>
                <w:szCs w:val="20"/>
                <w:lang w:eastAsia="bg-BG"/>
              </w:rPr>
              <w:t>3</w:t>
            </w:r>
            <w:r w:rsidR="00376939">
              <w:rPr>
                <w:rFonts w:ascii="Verdana" w:hAnsi="Verdana" w:cs="Verdana"/>
                <w:b/>
                <w:bCs/>
                <w:sz w:val="20"/>
                <w:szCs w:val="20"/>
                <w:lang w:eastAsia="bg-BG"/>
              </w:rPr>
              <w:t>0.06.2020</w:t>
            </w:r>
            <w:r w:rsidRPr="000E54EB">
              <w:rPr>
                <w:rFonts w:ascii="Verdana" w:hAnsi="Verdana" w:cs="Verdana"/>
                <w:b/>
                <w:bCs/>
                <w:sz w:val="20"/>
                <w:szCs w:val="20"/>
                <w:lang w:eastAsia="bg-BG"/>
              </w:rPr>
              <w:t xml:space="preserve"> г.</w:t>
            </w:r>
          </w:p>
        </w:tc>
        <w:tc>
          <w:tcPr>
            <w:tcW w:w="1743" w:type="dxa"/>
            <w:tcBorders>
              <w:top w:val="single" w:sz="4" w:space="0" w:color="auto"/>
              <w:left w:val="nil"/>
              <w:bottom w:val="single" w:sz="4" w:space="0" w:color="auto"/>
              <w:right w:val="single" w:sz="4" w:space="0" w:color="auto"/>
            </w:tcBorders>
            <w:noWrap/>
            <w:vAlign w:val="center"/>
          </w:tcPr>
          <w:p w:rsidR="00863C99" w:rsidRPr="000E54EB" w:rsidRDefault="00863C99" w:rsidP="008335CF">
            <w:pPr>
              <w:jc w:val="center"/>
              <w:rPr>
                <w:rFonts w:ascii="Verdana" w:hAnsi="Verdana" w:cs="Verdana"/>
                <w:b/>
                <w:bCs/>
                <w:sz w:val="20"/>
                <w:szCs w:val="20"/>
                <w:lang w:eastAsia="bg-BG"/>
              </w:rPr>
            </w:pPr>
            <w:r w:rsidRPr="000E54EB">
              <w:rPr>
                <w:rFonts w:ascii="Verdana" w:hAnsi="Verdana" w:cs="Verdana"/>
                <w:b/>
                <w:bCs/>
                <w:sz w:val="20"/>
                <w:szCs w:val="20"/>
                <w:lang w:eastAsia="bg-BG"/>
              </w:rPr>
              <w:t>31.12.201</w:t>
            </w:r>
            <w:r w:rsidR="00376939">
              <w:rPr>
                <w:rFonts w:ascii="Verdana" w:hAnsi="Verdana" w:cs="Verdana"/>
                <w:b/>
                <w:bCs/>
                <w:sz w:val="20"/>
                <w:szCs w:val="20"/>
                <w:lang w:eastAsia="bg-BG"/>
              </w:rPr>
              <w:t>9</w:t>
            </w:r>
            <w:r w:rsidRPr="000E54EB">
              <w:rPr>
                <w:rFonts w:ascii="Verdana" w:hAnsi="Verdana" w:cs="Verdana"/>
                <w:b/>
                <w:bCs/>
                <w:sz w:val="20"/>
                <w:szCs w:val="20"/>
                <w:lang w:eastAsia="bg-BG"/>
              </w:rPr>
              <w:t xml:space="preserve"> г.</w:t>
            </w:r>
          </w:p>
        </w:tc>
      </w:tr>
      <w:tr w:rsidR="00863C99" w:rsidRPr="000E54EB">
        <w:trPr>
          <w:trHeight w:val="353"/>
        </w:trPr>
        <w:tc>
          <w:tcPr>
            <w:tcW w:w="6035" w:type="dxa"/>
            <w:tcBorders>
              <w:top w:val="nil"/>
              <w:left w:val="single" w:sz="4" w:space="0" w:color="auto"/>
              <w:bottom w:val="single" w:sz="4" w:space="0" w:color="auto"/>
              <w:right w:val="nil"/>
            </w:tcBorders>
            <w:vAlign w:val="center"/>
          </w:tcPr>
          <w:p w:rsidR="00863C99" w:rsidRPr="000E54EB" w:rsidRDefault="00863C99" w:rsidP="009E060C">
            <w:pPr>
              <w:jc w:val="left"/>
              <w:rPr>
                <w:rFonts w:ascii="Verdana" w:hAnsi="Verdana" w:cs="Verdana"/>
                <w:b/>
                <w:bCs/>
                <w:sz w:val="20"/>
                <w:szCs w:val="20"/>
                <w:lang w:eastAsia="bg-BG"/>
              </w:rPr>
            </w:pPr>
            <w:r w:rsidRPr="000E54EB">
              <w:rPr>
                <w:rFonts w:ascii="Verdana" w:hAnsi="Verdana" w:cs="Verdana"/>
                <w:b/>
                <w:bCs/>
                <w:sz w:val="20"/>
                <w:szCs w:val="20"/>
                <w:lang w:eastAsia="bg-BG"/>
              </w:rPr>
              <w:t>Задължения по доходи след напускане на наетите лица</w:t>
            </w:r>
          </w:p>
        </w:tc>
        <w:tc>
          <w:tcPr>
            <w:tcW w:w="1767" w:type="dxa"/>
            <w:tcBorders>
              <w:top w:val="nil"/>
              <w:left w:val="single" w:sz="4" w:space="0" w:color="auto"/>
              <w:bottom w:val="single" w:sz="4" w:space="0" w:color="auto"/>
              <w:right w:val="single" w:sz="4" w:space="0" w:color="auto"/>
            </w:tcBorders>
            <w:noWrap/>
            <w:vAlign w:val="center"/>
          </w:tcPr>
          <w:p w:rsidR="00863C99" w:rsidRPr="00D95CB5" w:rsidRDefault="00863C99" w:rsidP="009E060C">
            <w:pPr>
              <w:jc w:val="center"/>
              <w:rPr>
                <w:rFonts w:ascii="Verdana" w:hAnsi="Verdana" w:cs="Verdana"/>
                <w:b/>
                <w:bCs/>
                <w:sz w:val="20"/>
                <w:szCs w:val="20"/>
                <w:lang w:eastAsia="bg-BG"/>
              </w:rPr>
            </w:pPr>
            <w:r>
              <w:rPr>
                <w:rFonts w:ascii="Verdana" w:hAnsi="Verdana" w:cs="Verdana"/>
                <w:b/>
                <w:bCs/>
                <w:sz w:val="20"/>
                <w:szCs w:val="20"/>
                <w:lang w:eastAsia="bg-BG"/>
              </w:rPr>
              <w:t>28</w:t>
            </w:r>
          </w:p>
        </w:tc>
        <w:tc>
          <w:tcPr>
            <w:tcW w:w="1743" w:type="dxa"/>
            <w:tcBorders>
              <w:top w:val="nil"/>
              <w:left w:val="nil"/>
              <w:bottom w:val="single" w:sz="4" w:space="0" w:color="auto"/>
              <w:right w:val="single" w:sz="4" w:space="0" w:color="auto"/>
            </w:tcBorders>
            <w:noWrap/>
            <w:vAlign w:val="center"/>
          </w:tcPr>
          <w:p w:rsidR="00863C99" w:rsidRPr="000E54EB" w:rsidRDefault="00863C99" w:rsidP="009E060C">
            <w:pPr>
              <w:jc w:val="center"/>
              <w:rPr>
                <w:rFonts w:ascii="Verdana" w:hAnsi="Verdana" w:cs="Verdana"/>
                <w:b/>
                <w:bCs/>
                <w:sz w:val="20"/>
                <w:szCs w:val="20"/>
                <w:lang w:eastAsia="bg-BG"/>
              </w:rPr>
            </w:pPr>
            <w:r w:rsidRPr="000E54EB">
              <w:rPr>
                <w:rFonts w:ascii="Verdana" w:hAnsi="Verdana" w:cs="Verdana"/>
                <w:b/>
                <w:bCs/>
                <w:sz w:val="20"/>
                <w:szCs w:val="20"/>
                <w:lang w:eastAsia="bg-BG"/>
              </w:rPr>
              <w:t>28</w:t>
            </w:r>
          </w:p>
        </w:tc>
      </w:tr>
      <w:tr w:rsidR="00863C99" w:rsidRPr="000E54EB">
        <w:trPr>
          <w:trHeight w:val="240"/>
        </w:trPr>
        <w:tc>
          <w:tcPr>
            <w:tcW w:w="6035" w:type="dxa"/>
            <w:tcBorders>
              <w:top w:val="nil"/>
              <w:left w:val="single" w:sz="4" w:space="0" w:color="auto"/>
              <w:bottom w:val="single" w:sz="4" w:space="0" w:color="auto"/>
              <w:right w:val="nil"/>
            </w:tcBorders>
            <w:noWrap/>
            <w:vAlign w:val="center"/>
          </w:tcPr>
          <w:p w:rsidR="00863C99" w:rsidRPr="000E54EB" w:rsidRDefault="00863C99" w:rsidP="009E060C">
            <w:pPr>
              <w:jc w:val="left"/>
              <w:rPr>
                <w:rFonts w:ascii="Verdana" w:hAnsi="Verdana" w:cs="Verdana"/>
                <w:sz w:val="20"/>
                <w:szCs w:val="20"/>
                <w:lang w:eastAsia="bg-BG"/>
              </w:rPr>
            </w:pPr>
            <w:r w:rsidRPr="000E54EB">
              <w:rPr>
                <w:rFonts w:ascii="Verdana" w:hAnsi="Verdana" w:cs="Verdana"/>
                <w:sz w:val="20"/>
                <w:szCs w:val="20"/>
                <w:lang w:eastAsia="bg-BG"/>
              </w:rPr>
              <w:t>в т.ч. задължения по планове с дефинирани вноски</w:t>
            </w:r>
          </w:p>
        </w:tc>
        <w:tc>
          <w:tcPr>
            <w:tcW w:w="1767" w:type="dxa"/>
            <w:tcBorders>
              <w:top w:val="nil"/>
              <w:left w:val="single" w:sz="4" w:space="0" w:color="auto"/>
              <w:bottom w:val="single" w:sz="4" w:space="0" w:color="auto"/>
              <w:right w:val="single" w:sz="4" w:space="0" w:color="auto"/>
            </w:tcBorders>
            <w:noWrap/>
            <w:vAlign w:val="center"/>
          </w:tcPr>
          <w:p w:rsidR="00863C99" w:rsidRPr="00D95CB5" w:rsidRDefault="00863C99" w:rsidP="009E060C">
            <w:pPr>
              <w:jc w:val="center"/>
              <w:rPr>
                <w:rFonts w:ascii="Verdana" w:hAnsi="Verdana" w:cs="Verdana"/>
                <w:sz w:val="20"/>
                <w:szCs w:val="20"/>
                <w:lang w:eastAsia="bg-BG"/>
              </w:rPr>
            </w:pPr>
            <w:r>
              <w:rPr>
                <w:rFonts w:ascii="Verdana" w:hAnsi="Verdana" w:cs="Verdana"/>
                <w:sz w:val="20"/>
                <w:szCs w:val="20"/>
                <w:lang w:eastAsia="bg-BG"/>
              </w:rPr>
              <w:t>28</w:t>
            </w:r>
          </w:p>
        </w:tc>
        <w:tc>
          <w:tcPr>
            <w:tcW w:w="1743" w:type="dxa"/>
            <w:tcBorders>
              <w:top w:val="nil"/>
              <w:left w:val="nil"/>
              <w:bottom w:val="single" w:sz="4" w:space="0" w:color="auto"/>
              <w:right w:val="single" w:sz="4" w:space="0" w:color="auto"/>
            </w:tcBorders>
            <w:noWrap/>
            <w:vAlign w:val="center"/>
          </w:tcPr>
          <w:p w:rsidR="00863C99" w:rsidRPr="000E54EB" w:rsidRDefault="00863C99" w:rsidP="009E060C">
            <w:pPr>
              <w:jc w:val="center"/>
              <w:rPr>
                <w:rFonts w:ascii="Verdana" w:hAnsi="Verdana" w:cs="Verdana"/>
                <w:sz w:val="20"/>
                <w:szCs w:val="20"/>
                <w:lang w:eastAsia="bg-BG"/>
              </w:rPr>
            </w:pPr>
            <w:r w:rsidRPr="000E54EB">
              <w:rPr>
                <w:rFonts w:ascii="Verdana" w:hAnsi="Verdana" w:cs="Verdana"/>
                <w:sz w:val="20"/>
                <w:szCs w:val="20"/>
                <w:lang w:eastAsia="bg-BG"/>
              </w:rPr>
              <w:t>28</w:t>
            </w:r>
          </w:p>
        </w:tc>
      </w:tr>
      <w:tr w:rsidR="00863C99" w:rsidRPr="000E54EB">
        <w:trPr>
          <w:trHeight w:val="300"/>
        </w:trPr>
        <w:tc>
          <w:tcPr>
            <w:tcW w:w="6035" w:type="dxa"/>
            <w:tcBorders>
              <w:top w:val="nil"/>
              <w:left w:val="single" w:sz="4" w:space="0" w:color="auto"/>
              <w:bottom w:val="single" w:sz="4" w:space="0" w:color="auto"/>
              <w:right w:val="nil"/>
            </w:tcBorders>
            <w:shd w:val="clear" w:color="000000" w:fill="C5D9F1"/>
            <w:noWrap/>
            <w:vAlign w:val="center"/>
          </w:tcPr>
          <w:p w:rsidR="00863C99" w:rsidRPr="000E54EB" w:rsidRDefault="00863C99" w:rsidP="009E060C">
            <w:pPr>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1767" w:type="dxa"/>
            <w:tcBorders>
              <w:top w:val="nil"/>
              <w:left w:val="single" w:sz="4" w:space="0" w:color="auto"/>
              <w:bottom w:val="single" w:sz="4" w:space="0" w:color="auto"/>
              <w:right w:val="single" w:sz="4" w:space="0" w:color="auto"/>
            </w:tcBorders>
            <w:shd w:val="clear" w:color="000000" w:fill="C5D9F1"/>
            <w:noWrap/>
            <w:vAlign w:val="center"/>
          </w:tcPr>
          <w:p w:rsidR="00863C99" w:rsidRPr="00D95CB5" w:rsidRDefault="00863C99" w:rsidP="009E060C">
            <w:pPr>
              <w:jc w:val="center"/>
              <w:rPr>
                <w:rFonts w:ascii="Verdana" w:hAnsi="Verdana" w:cs="Verdana"/>
                <w:b/>
                <w:bCs/>
                <w:sz w:val="20"/>
                <w:szCs w:val="20"/>
                <w:lang w:eastAsia="bg-BG"/>
              </w:rPr>
            </w:pPr>
            <w:r>
              <w:rPr>
                <w:rFonts w:ascii="Verdana" w:hAnsi="Verdana" w:cs="Verdana"/>
                <w:b/>
                <w:bCs/>
                <w:sz w:val="20"/>
                <w:szCs w:val="20"/>
                <w:lang w:eastAsia="bg-BG"/>
              </w:rPr>
              <w:t>28</w:t>
            </w:r>
          </w:p>
        </w:tc>
        <w:tc>
          <w:tcPr>
            <w:tcW w:w="1743" w:type="dxa"/>
            <w:tcBorders>
              <w:top w:val="nil"/>
              <w:left w:val="nil"/>
              <w:bottom w:val="single" w:sz="4" w:space="0" w:color="auto"/>
              <w:right w:val="single" w:sz="4" w:space="0" w:color="auto"/>
            </w:tcBorders>
            <w:shd w:val="clear" w:color="000000" w:fill="C5D9F1"/>
            <w:noWrap/>
            <w:vAlign w:val="center"/>
          </w:tcPr>
          <w:p w:rsidR="00863C99" w:rsidRPr="000E54EB" w:rsidRDefault="00863C99" w:rsidP="009E060C">
            <w:pPr>
              <w:jc w:val="center"/>
              <w:rPr>
                <w:rFonts w:ascii="Verdana" w:hAnsi="Verdana" w:cs="Verdana"/>
                <w:b/>
                <w:bCs/>
                <w:sz w:val="20"/>
                <w:szCs w:val="20"/>
                <w:lang w:eastAsia="bg-BG"/>
              </w:rPr>
            </w:pPr>
            <w:r w:rsidRPr="000E54EB">
              <w:rPr>
                <w:rFonts w:ascii="Verdana" w:hAnsi="Verdana" w:cs="Verdana"/>
                <w:b/>
                <w:bCs/>
                <w:sz w:val="20"/>
                <w:szCs w:val="20"/>
                <w:lang w:eastAsia="bg-BG"/>
              </w:rPr>
              <w:t>28</w:t>
            </w:r>
          </w:p>
        </w:tc>
      </w:tr>
    </w:tbl>
    <w:p w:rsidR="00863C99" w:rsidRPr="000E54EB" w:rsidRDefault="00863C99" w:rsidP="009E060C">
      <w:pPr>
        <w:pStyle w:val="Heading4"/>
        <w:rPr>
          <w:rFonts w:ascii="Verdana" w:hAnsi="Verdana" w:cs="Verdana"/>
          <w:i w:val="0"/>
          <w:iCs w:val="0"/>
          <w:lang w:val="bg-BG"/>
        </w:rPr>
      </w:pPr>
      <w:bookmarkStart w:id="167" w:name="_Toc4328858"/>
      <w:r w:rsidRPr="000E54EB">
        <w:rPr>
          <w:rFonts w:ascii="Verdana" w:hAnsi="Verdana" w:cs="Verdana"/>
          <w:i w:val="0"/>
          <w:iCs w:val="0"/>
          <w:lang w:val="bg-BG"/>
        </w:rPr>
        <w:lastRenderedPageBreak/>
        <w:t>2.</w:t>
      </w:r>
      <w:r>
        <w:rPr>
          <w:rFonts w:ascii="Verdana" w:hAnsi="Verdana" w:cs="Verdana"/>
          <w:i w:val="0"/>
          <w:iCs w:val="0"/>
          <w:lang w:val="bg-BG"/>
        </w:rPr>
        <w:t>9</w:t>
      </w:r>
      <w:r w:rsidRPr="000E54EB">
        <w:rPr>
          <w:rFonts w:ascii="Verdana" w:hAnsi="Verdana" w:cs="Verdana"/>
          <w:i w:val="0"/>
          <w:iCs w:val="0"/>
          <w:lang w:val="bg-BG"/>
        </w:rPr>
        <w:t>. Пасиви по отсрочени данъци</w:t>
      </w:r>
      <w:bookmarkEnd w:id="167"/>
    </w:p>
    <w:tbl>
      <w:tblPr>
        <w:tblW w:w="9545" w:type="dxa"/>
        <w:tblInd w:w="-68" w:type="dxa"/>
        <w:tblCellMar>
          <w:left w:w="70" w:type="dxa"/>
          <w:right w:w="70" w:type="dxa"/>
        </w:tblCellMar>
        <w:tblLook w:val="00A0" w:firstRow="1" w:lastRow="0" w:firstColumn="1" w:lastColumn="0" w:noHBand="0" w:noVBand="0"/>
      </w:tblPr>
      <w:tblGrid>
        <w:gridCol w:w="6035"/>
        <w:gridCol w:w="1767"/>
        <w:gridCol w:w="1743"/>
      </w:tblGrid>
      <w:tr w:rsidR="00863C99" w:rsidRPr="000E54EB">
        <w:trPr>
          <w:trHeight w:val="435"/>
        </w:trPr>
        <w:tc>
          <w:tcPr>
            <w:tcW w:w="6035" w:type="dxa"/>
            <w:tcBorders>
              <w:top w:val="single" w:sz="4" w:space="0" w:color="auto"/>
              <w:left w:val="single" w:sz="4" w:space="0" w:color="auto"/>
              <w:bottom w:val="single" w:sz="4" w:space="0" w:color="auto"/>
              <w:right w:val="single" w:sz="4" w:space="0" w:color="auto"/>
            </w:tcBorders>
            <w:shd w:val="clear" w:color="000000" w:fill="FFFFFF"/>
            <w:vAlign w:val="center"/>
          </w:tcPr>
          <w:p w:rsidR="00863C99" w:rsidRPr="000E54EB" w:rsidRDefault="00863C99" w:rsidP="009E060C">
            <w:pPr>
              <w:jc w:val="left"/>
              <w:rPr>
                <w:rFonts w:ascii="Verdana" w:hAnsi="Verdana" w:cs="Verdana"/>
                <w:b/>
                <w:bCs/>
                <w:sz w:val="20"/>
                <w:szCs w:val="20"/>
                <w:lang w:eastAsia="bg-BG"/>
              </w:rPr>
            </w:pPr>
            <w:r w:rsidRPr="000E54EB">
              <w:rPr>
                <w:rFonts w:ascii="Verdana" w:hAnsi="Verdana" w:cs="Verdana"/>
                <w:b/>
                <w:bCs/>
                <w:sz w:val="20"/>
                <w:szCs w:val="20"/>
                <w:lang w:eastAsia="bg-BG"/>
              </w:rPr>
              <w:t>Отсрочени данъци за продължаващи дейности</w:t>
            </w:r>
          </w:p>
        </w:tc>
        <w:tc>
          <w:tcPr>
            <w:tcW w:w="1767" w:type="dxa"/>
            <w:tcBorders>
              <w:top w:val="single" w:sz="4" w:space="0" w:color="auto"/>
              <w:left w:val="nil"/>
              <w:bottom w:val="single" w:sz="4" w:space="0" w:color="auto"/>
              <w:right w:val="single" w:sz="4" w:space="0" w:color="auto"/>
            </w:tcBorders>
            <w:shd w:val="clear" w:color="000000" w:fill="FFFFFF"/>
            <w:noWrap/>
            <w:vAlign w:val="center"/>
          </w:tcPr>
          <w:p w:rsidR="00863C99" w:rsidRPr="000E54EB" w:rsidRDefault="00036D4E" w:rsidP="0050776F">
            <w:pPr>
              <w:jc w:val="center"/>
              <w:rPr>
                <w:rFonts w:ascii="Verdana" w:hAnsi="Verdana" w:cs="Verdana"/>
                <w:b/>
                <w:bCs/>
                <w:sz w:val="20"/>
                <w:szCs w:val="20"/>
                <w:lang w:eastAsia="bg-BG"/>
              </w:rPr>
            </w:pPr>
            <w:r>
              <w:rPr>
                <w:rFonts w:ascii="Verdana" w:hAnsi="Verdana" w:cs="Verdana"/>
                <w:b/>
                <w:bCs/>
                <w:sz w:val="20"/>
                <w:szCs w:val="20"/>
                <w:lang w:eastAsia="bg-BG"/>
              </w:rPr>
              <w:t>30.06.2020</w:t>
            </w:r>
            <w:r w:rsidR="00863C99" w:rsidRPr="000E54EB">
              <w:rPr>
                <w:rFonts w:ascii="Verdana" w:hAnsi="Verdana" w:cs="Verdana"/>
                <w:b/>
                <w:bCs/>
                <w:sz w:val="20"/>
                <w:szCs w:val="20"/>
                <w:lang w:eastAsia="bg-BG"/>
              </w:rPr>
              <w:t xml:space="preserve"> г.</w:t>
            </w:r>
          </w:p>
        </w:tc>
        <w:tc>
          <w:tcPr>
            <w:tcW w:w="1743" w:type="dxa"/>
            <w:tcBorders>
              <w:top w:val="single" w:sz="4" w:space="0" w:color="auto"/>
              <w:left w:val="nil"/>
              <w:bottom w:val="single" w:sz="4" w:space="0" w:color="auto"/>
              <w:right w:val="single" w:sz="4" w:space="0" w:color="auto"/>
            </w:tcBorders>
            <w:shd w:val="clear" w:color="000000" w:fill="FFFFFF"/>
            <w:noWrap/>
            <w:vAlign w:val="center"/>
          </w:tcPr>
          <w:p w:rsidR="00863C99" w:rsidRPr="000E54EB" w:rsidRDefault="00863C99" w:rsidP="00036D4E">
            <w:pPr>
              <w:jc w:val="center"/>
              <w:rPr>
                <w:rFonts w:ascii="Verdana" w:hAnsi="Verdana" w:cs="Verdana"/>
                <w:b/>
                <w:bCs/>
                <w:sz w:val="20"/>
                <w:szCs w:val="20"/>
                <w:lang w:eastAsia="bg-BG"/>
              </w:rPr>
            </w:pPr>
            <w:r w:rsidRPr="000E54EB">
              <w:rPr>
                <w:rFonts w:ascii="Verdana" w:hAnsi="Verdana" w:cs="Verdana"/>
                <w:b/>
                <w:bCs/>
                <w:sz w:val="20"/>
                <w:szCs w:val="20"/>
                <w:lang w:eastAsia="bg-BG"/>
              </w:rPr>
              <w:t>31.12.201</w:t>
            </w:r>
            <w:r w:rsidR="00036D4E">
              <w:rPr>
                <w:rFonts w:ascii="Verdana" w:hAnsi="Verdana" w:cs="Verdana"/>
                <w:b/>
                <w:bCs/>
                <w:sz w:val="20"/>
                <w:szCs w:val="20"/>
                <w:lang w:eastAsia="bg-BG"/>
              </w:rPr>
              <w:t>9</w:t>
            </w:r>
            <w:r w:rsidRPr="000E54EB">
              <w:rPr>
                <w:rFonts w:ascii="Verdana" w:hAnsi="Verdana" w:cs="Verdana"/>
                <w:b/>
                <w:bCs/>
                <w:sz w:val="20"/>
                <w:szCs w:val="20"/>
                <w:lang w:eastAsia="bg-BG"/>
              </w:rPr>
              <w:t xml:space="preserve"> г.</w:t>
            </w:r>
          </w:p>
        </w:tc>
      </w:tr>
      <w:tr w:rsidR="00036D4E" w:rsidRPr="000E54EB">
        <w:trPr>
          <w:trHeight w:val="300"/>
        </w:trPr>
        <w:tc>
          <w:tcPr>
            <w:tcW w:w="6035" w:type="dxa"/>
            <w:tcBorders>
              <w:top w:val="nil"/>
              <w:left w:val="single" w:sz="4" w:space="0" w:color="auto"/>
              <w:bottom w:val="single" w:sz="4" w:space="0" w:color="auto"/>
              <w:right w:val="single" w:sz="4" w:space="0" w:color="auto"/>
            </w:tcBorders>
            <w:shd w:val="clear" w:color="000000" w:fill="FFFFFF"/>
            <w:noWrap/>
            <w:vAlign w:val="center"/>
          </w:tcPr>
          <w:p w:rsidR="00036D4E" w:rsidRPr="000E54EB" w:rsidRDefault="00036D4E" w:rsidP="009E060C">
            <w:pPr>
              <w:jc w:val="left"/>
              <w:rPr>
                <w:rFonts w:ascii="Verdana" w:hAnsi="Verdana" w:cs="Verdana"/>
                <w:sz w:val="20"/>
                <w:szCs w:val="20"/>
                <w:lang w:eastAsia="bg-BG"/>
              </w:rPr>
            </w:pPr>
            <w:r w:rsidRPr="000E54EB">
              <w:rPr>
                <w:rFonts w:ascii="Verdana" w:hAnsi="Verdana" w:cs="Verdana"/>
                <w:sz w:val="20"/>
                <w:szCs w:val="20"/>
                <w:lang w:eastAsia="bg-BG"/>
              </w:rPr>
              <w:t>Отсрочени данъчни активи</w:t>
            </w:r>
          </w:p>
        </w:tc>
        <w:tc>
          <w:tcPr>
            <w:tcW w:w="1767" w:type="dxa"/>
            <w:tcBorders>
              <w:top w:val="nil"/>
              <w:left w:val="nil"/>
              <w:bottom w:val="single" w:sz="4" w:space="0" w:color="auto"/>
              <w:right w:val="single" w:sz="4" w:space="0" w:color="auto"/>
            </w:tcBorders>
            <w:shd w:val="clear" w:color="000000" w:fill="FFFFFF"/>
            <w:noWrap/>
            <w:vAlign w:val="center"/>
          </w:tcPr>
          <w:p w:rsidR="00036D4E" w:rsidRPr="003873B7" w:rsidRDefault="00036D4E" w:rsidP="009E060C">
            <w:pPr>
              <w:jc w:val="center"/>
              <w:rPr>
                <w:rFonts w:ascii="Verdana" w:hAnsi="Verdana" w:cs="Verdana"/>
                <w:sz w:val="20"/>
                <w:szCs w:val="20"/>
                <w:lang w:val="en-US" w:eastAsia="bg-BG"/>
              </w:rPr>
            </w:pPr>
            <w:r>
              <w:rPr>
                <w:rFonts w:ascii="Verdana" w:hAnsi="Verdana" w:cs="Verdana"/>
                <w:sz w:val="20"/>
                <w:szCs w:val="20"/>
                <w:lang w:val="en-US" w:eastAsia="bg-BG"/>
              </w:rPr>
              <w:t>57</w:t>
            </w:r>
          </w:p>
        </w:tc>
        <w:tc>
          <w:tcPr>
            <w:tcW w:w="1743" w:type="dxa"/>
            <w:tcBorders>
              <w:top w:val="nil"/>
              <w:left w:val="nil"/>
              <w:bottom w:val="single" w:sz="4" w:space="0" w:color="auto"/>
              <w:right w:val="single" w:sz="4" w:space="0" w:color="auto"/>
            </w:tcBorders>
            <w:shd w:val="clear" w:color="000000" w:fill="FFFFFF"/>
            <w:noWrap/>
            <w:vAlign w:val="center"/>
          </w:tcPr>
          <w:p w:rsidR="00036D4E" w:rsidRPr="003873B7" w:rsidRDefault="00036D4E" w:rsidP="00A77C33">
            <w:pPr>
              <w:jc w:val="center"/>
              <w:rPr>
                <w:rFonts w:ascii="Verdana" w:hAnsi="Verdana" w:cs="Verdana"/>
                <w:sz w:val="20"/>
                <w:szCs w:val="20"/>
                <w:lang w:val="en-US" w:eastAsia="bg-BG"/>
              </w:rPr>
            </w:pPr>
            <w:r>
              <w:rPr>
                <w:rFonts w:ascii="Verdana" w:hAnsi="Verdana" w:cs="Verdana"/>
                <w:sz w:val="20"/>
                <w:szCs w:val="20"/>
                <w:lang w:val="en-US" w:eastAsia="bg-BG"/>
              </w:rPr>
              <w:t>57</w:t>
            </w:r>
          </w:p>
        </w:tc>
      </w:tr>
      <w:tr w:rsidR="00036D4E" w:rsidRPr="000E54EB">
        <w:trPr>
          <w:trHeight w:val="300"/>
        </w:trPr>
        <w:tc>
          <w:tcPr>
            <w:tcW w:w="6035" w:type="dxa"/>
            <w:tcBorders>
              <w:top w:val="nil"/>
              <w:left w:val="single" w:sz="4" w:space="0" w:color="auto"/>
              <w:bottom w:val="single" w:sz="4" w:space="0" w:color="auto"/>
              <w:right w:val="single" w:sz="4" w:space="0" w:color="auto"/>
            </w:tcBorders>
            <w:shd w:val="clear" w:color="000000" w:fill="FFFFFF"/>
            <w:noWrap/>
            <w:vAlign w:val="center"/>
          </w:tcPr>
          <w:p w:rsidR="00036D4E" w:rsidRPr="000E54EB" w:rsidRDefault="00036D4E" w:rsidP="009E060C">
            <w:pPr>
              <w:jc w:val="left"/>
              <w:rPr>
                <w:rFonts w:ascii="Verdana" w:hAnsi="Verdana" w:cs="Verdana"/>
                <w:sz w:val="20"/>
                <w:szCs w:val="20"/>
                <w:lang w:eastAsia="bg-BG"/>
              </w:rPr>
            </w:pPr>
            <w:r w:rsidRPr="000E54EB">
              <w:rPr>
                <w:rFonts w:ascii="Verdana" w:hAnsi="Verdana" w:cs="Verdana"/>
                <w:sz w:val="20"/>
                <w:szCs w:val="20"/>
                <w:lang w:eastAsia="bg-BG"/>
              </w:rPr>
              <w:t>Отсрочени данъчни пасиви</w:t>
            </w:r>
          </w:p>
        </w:tc>
        <w:tc>
          <w:tcPr>
            <w:tcW w:w="1767" w:type="dxa"/>
            <w:tcBorders>
              <w:top w:val="nil"/>
              <w:left w:val="nil"/>
              <w:bottom w:val="single" w:sz="4" w:space="0" w:color="auto"/>
              <w:right w:val="single" w:sz="4" w:space="0" w:color="auto"/>
            </w:tcBorders>
            <w:shd w:val="clear" w:color="000000" w:fill="FFFFFF"/>
            <w:noWrap/>
            <w:vAlign w:val="center"/>
          </w:tcPr>
          <w:p w:rsidR="00036D4E" w:rsidRPr="000E54EB" w:rsidRDefault="00036D4E" w:rsidP="009E060C">
            <w:pPr>
              <w:jc w:val="center"/>
              <w:rPr>
                <w:rFonts w:ascii="Verdana" w:hAnsi="Verdana" w:cs="Verdana"/>
                <w:sz w:val="20"/>
                <w:szCs w:val="20"/>
                <w:lang w:val="en-US" w:eastAsia="bg-BG"/>
              </w:rPr>
            </w:pPr>
            <w:r w:rsidRPr="000E54EB">
              <w:rPr>
                <w:rFonts w:ascii="Verdana" w:hAnsi="Verdana" w:cs="Verdana"/>
                <w:sz w:val="20"/>
                <w:szCs w:val="20"/>
                <w:lang w:val="en-US" w:eastAsia="bg-BG"/>
              </w:rPr>
              <w:t>(</w:t>
            </w:r>
            <w:r>
              <w:rPr>
                <w:rFonts w:ascii="Verdana" w:hAnsi="Verdana" w:cs="Verdana"/>
                <w:sz w:val="20"/>
                <w:szCs w:val="20"/>
                <w:lang w:val="en-US" w:eastAsia="bg-BG"/>
              </w:rPr>
              <w:t>71</w:t>
            </w:r>
            <w:r w:rsidRPr="000E54EB">
              <w:rPr>
                <w:rFonts w:ascii="Verdana" w:hAnsi="Verdana" w:cs="Verdana"/>
                <w:sz w:val="20"/>
                <w:szCs w:val="20"/>
                <w:lang w:val="en-US" w:eastAsia="bg-BG"/>
              </w:rPr>
              <w:t>)</w:t>
            </w:r>
          </w:p>
        </w:tc>
        <w:tc>
          <w:tcPr>
            <w:tcW w:w="1743" w:type="dxa"/>
            <w:tcBorders>
              <w:top w:val="nil"/>
              <w:left w:val="nil"/>
              <w:bottom w:val="single" w:sz="4" w:space="0" w:color="auto"/>
              <w:right w:val="single" w:sz="4" w:space="0" w:color="auto"/>
            </w:tcBorders>
            <w:shd w:val="clear" w:color="000000" w:fill="FFFFFF"/>
            <w:noWrap/>
            <w:vAlign w:val="center"/>
          </w:tcPr>
          <w:p w:rsidR="00036D4E" w:rsidRPr="000E54EB" w:rsidRDefault="00036D4E" w:rsidP="00A77C33">
            <w:pPr>
              <w:jc w:val="center"/>
              <w:rPr>
                <w:rFonts w:ascii="Verdana" w:hAnsi="Verdana" w:cs="Verdana"/>
                <w:sz w:val="20"/>
                <w:szCs w:val="20"/>
                <w:lang w:val="en-US" w:eastAsia="bg-BG"/>
              </w:rPr>
            </w:pPr>
            <w:r w:rsidRPr="000E54EB">
              <w:rPr>
                <w:rFonts w:ascii="Verdana" w:hAnsi="Verdana" w:cs="Verdana"/>
                <w:sz w:val="20"/>
                <w:szCs w:val="20"/>
                <w:lang w:val="en-US" w:eastAsia="bg-BG"/>
              </w:rPr>
              <w:t>(</w:t>
            </w:r>
            <w:r>
              <w:rPr>
                <w:rFonts w:ascii="Verdana" w:hAnsi="Verdana" w:cs="Verdana"/>
                <w:sz w:val="20"/>
                <w:szCs w:val="20"/>
                <w:lang w:val="en-US" w:eastAsia="bg-BG"/>
              </w:rPr>
              <w:t>71</w:t>
            </w:r>
            <w:r w:rsidRPr="000E54EB">
              <w:rPr>
                <w:rFonts w:ascii="Verdana" w:hAnsi="Verdana" w:cs="Verdana"/>
                <w:sz w:val="20"/>
                <w:szCs w:val="20"/>
                <w:lang w:val="en-US" w:eastAsia="bg-BG"/>
              </w:rPr>
              <w:t>)</w:t>
            </w:r>
          </w:p>
        </w:tc>
      </w:tr>
      <w:tr w:rsidR="00036D4E" w:rsidRPr="000E54EB">
        <w:trPr>
          <w:trHeight w:val="300"/>
        </w:trPr>
        <w:tc>
          <w:tcPr>
            <w:tcW w:w="6035" w:type="dxa"/>
            <w:tcBorders>
              <w:top w:val="nil"/>
              <w:left w:val="single" w:sz="4" w:space="0" w:color="auto"/>
              <w:bottom w:val="single" w:sz="4" w:space="0" w:color="auto"/>
              <w:right w:val="single" w:sz="4" w:space="0" w:color="auto"/>
            </w:tcBorders>
            <w:shd w:val="clear" w:color="000000" w:fill="C5D9F1"/>
            <w:noWrap/>
            <w:vAlign w:val="center"/>
          </w:tcPr>
          <w:p w:rsidR="00036D4E" w:rsidRPr="000E54EB" w:rsidRDefault="00036D4E" w:rsidP="009E060C">
            <w:pPr>
              <w:jc w:val="left"/>
              <w:rPr>
                <w:rFonts w:ascii="Verdana" w:hAnsi="Verdana" w:cs="Verdana"/>
                <w:b/>
                <w:bCs/>
                <w:sz w:val="20"/>
                <w:szCs w:val="20"/>
                <w:lang w:eastAsia="bg-BG"/>
              </w:rPr>
            </w:pPr>
            <w:r w:rsidRPr="000E54EB">
              <w:rPr>
                <w:rFonts w:ascii="Verdana" w:hAnsi="Verdana" w:cs="Verdana"/>
                <w:b/>
                <w:bCs/>
                <w:sz w:val="20"/>
                <w:szCs w:val="20"/>
                <w:lang w:eastAsia="bg-BG"/>
              </w:rPr>
              <w:t>Отсрочени данъци (нето)</w:t>
            </w:r>
          </w:p>
        </w:tc>
        <w:tc>
          <w:tcPr>
            <w:tcW w:w="1767" w:type="dxa"/>
            <w:tcBorders>
              <w:top w:val="nil"/>
              <w:left w:val="nil"/>
              <w:bottom w:val="single" w:sz="4" w:space="0" w:color="auto"/>
              <w:right w:val="single" w:sz="4" w:space="0" w:color="auto"/>
            </w:tcBorders>
            <w:shd w:val="clear" w:color="000000" w:fill="C5D9F1"/>
            <w:noWrap/>
            <w:vAlign w:val="center"/>
          </w:tcPr>
          <w:p w:rsidR="00036D4E" w:rsidRPr="003873B7" w:rsidRDefault="00036D4E" w:rsidP="009E060C">
            <w:pPr>
              <w:jc w:val="center"/>
              <w:rPr>
                <w:rFonts w:ascii="Verdana" w:hAnsi="Verdana" w:cs="Verdana"/>
                <w:b/>
                <w:bCs/>
                <w:sz w:val="20"/>
                <w:szCs w:val="20"/>
                <w:lang w:val="en-US" w:eastAsia="bg-BG"/>
              </w:rPr>
            </w:pPr>
            <w:r>
              <w:rPr>
                <w:rFonts w:ascii="Verdana" w:hAnsi="Verdana" w:cs="Verdana"/>
                <w:b/>
                <w:bCs/>
                <w:sz w:val="20"/>
                <w:szCs w:val="20"/>
                <w:lang w:val="en-US" w:eastAsia="bg-BG"/>
              </w:rPr>
              <w:t>(14)</w:t>
            </w:r>
          </w:p>
        </w:tc>
        <w:tc>
          <w:tcPr>
            <w:tcW w:w="1743" w:type="dxa"/>
            <w:tcBorders>
              <w:top w:val="nil"/>
              <w:left w:val="nil"/>
              <w:bottom w:val="single" w:sz="4" w:space="0" w:color="auto"/>
              <w:right w:val="single" w:sz="4" w:space="0" w:color="auto"/>
            </w:tcBorders>
            <w:shd w:val="clear" w:color="000000" w:fill="C5D9F1"/>
            <w:noWrap/>
            <w:vAlign w:val="center"/>
          </w:tcPr>
          <w:p w:rsidR="00036D4E" w:rsidRPr="003873B7" w:rsidRDefault="00036D4E" w:rsidP="00A77C33">
            <w:pPr>
              <w:jc w:val="center"/>
              <w:rPr>
                <w:rFonts w:ascii="Verdana" w:hAnsi="Verdana" w:cs="Verdana"/>
                <w:b/>
                <w:bCs/>
                <w:sz w:val="20"/>
                <w:szCs w:val="20"/>
                <w:lang w:val="en-US" w:eastAsia="bg-BG"/>
              </w:rPr>
            </w:pPr>
            <w:r>
              <w:rPr>
                <w:rFonts w:ascii="Verdana" w:hAnsi="Verdana" w:cs="Verdana"/>
                <w:b/>
                <w:bCs/>
                <w:sz w:val="20"/>
                <w:szCs w:val="20"/>
                <w:lang w:val="en-US" w:eastAsia="bg-BG"/>
              </w:rPr>
              <w:t>(14)</w:t>
            </w:r>
          </w:p>
        </w:tc>
      </w:tr>
    </w:tbl>
    <w:p w:rsidR="00863C99" w:rsidRDefault="00863C99" w:rsidP="009E060C">
      <w:pPr>
        <w:pStyle w:val="Heading4"/>
        <w:rPr>
          <w:rFonts w:ascii="Verdana" w:hAnsi="Verdana" w:cs="Verdana"/>
          <w:i w:val="0"/>
          <w:iCs w:val="0"/>
          <w:lang w:val="bg-BG"/>
        </w:rPr>
      </w:pPr>
      <w:bookmarkStart w:id="168" w:name="_Toc4328859"/>
    </w:p>
    <w:p w:rsidR="00863C99" w:rsidRPr="000E54EB" w:rsidRDefault="00863C99" w:rsidP="009E060C">
      <w:pPr>
        <w:pStyle w:val="Heading4"/>
        <w:rPr>
          <w:rFonts w:ascii="Verdana" w:hAnsi="Verdana" w:cs="Verdana"/>
          <w:i w:val="0"/>
          <w:iCs w:val="0"/>
          <w:lang w:val="bg-BG"/>
        </w:rPr>
      </w:pPr>
      <w:r w:rsidRPr="000E54EB">
        <w:rPr>
          <w:rFonts w:ascii="Verdana" w:hAnsi="Verdana" w:cs="Verdana"/>
          <w:i w:val="0"/>
          <w:iCs w:val="0"/>
          <w:lang w:val="bg-BG"/>
        </w:rPr>
        <w:t>2.1</w:t>
      </w:r>
      <w:r>
        <w:rPr>
          <w:rFonts w:ascii="Verdana" w:hAnsi="Verdana" w:cs="Verdana"/>
          <w:i w:val="0"/>
          <w:iCs w:val="0"/>
          <w:lang w:val="bg-BG"/>
        </w:rPr>
        <w:t>0</w:t>
      </w:r>
      <w:r w:rsidRPr="000E54EB">
        <w:rPr>
          <w:rFonts w:ascii="Verdana" w:hAnsi="Verdana" w:cs="Verdana"/>
          <w:i w:val="0"/>
          <w:iCs w:val="0"/>
          <w:lang w:val="bg-BG"/>
        </w:rPr>
        <w:t>. Други нетекущи финансови пасиви</w:t>
      </w:r>
      <w:bookmarkEnd w:id="168"/>
    </w:p>
    <w:tbl>
      <w:tblPr>
        <w:tblW w:w="9860" w:type="dxa"/>
        <w:tblInd w:w="-68" w:type="dxa"/>
        <w:tblCellMar>
          <w:left w:w="70" w:type="dxa"/>
          <w:right w:w="70" w:type="dxa"/>
        </w:tblCellMar>
        <w:tblLook w:val="00A0" w:firstRow="1" w:lastRow="0" w:firstColumn="1" w:lastColumn="0" w:noHBand="0" w:noVBand="0"/>
      </w:tblPr>
      <w:tblGrid>
        <w:gridCol w:w="6049"/>
        <w:gridCol w:w="1753"/>
        <w:gridCol w:w="221"/>
        <w:gridCol w:w="1616"/>
        <w:gridCol w:w="221"/>
      </w:tblGrid>
      <w:tr w:rsidR="00863C99" w:rsidRPr="000E54EB">
        <w:trPr>
          <w:gridAfter w:val="1"/>
          <w:wAfter w:w="221" w:type="dxa"/>
          <w:trHeight w:val="255"/>
        </w:trPr>
        <w:tc>
          <w:tcPr>
            <w:tcW w:w="6049" w:type="dxa"/>
            <w:tcBorders>
              <w:top w:val="single" w:sz="4" w:space="0" w:color="auto"/>
              <w:left w:val="single" w:sz="4" w:space="0" w:color="auto"/>
              <w:bottom w:val="single" w:sz="4" w:space="0" w:color="auto"/>
              <w:right w:val="nil"/>
            </w:tcBorders>
            <w:shd w:val="clear" w:color="000000" w:fill="FFFFFF"/>
            <w:vAlign w:val="center"/>
          </w:tcPr>
          <w:p w:rsidR="00863C99" w:rsidRPr="000E54EB" w:rsidRDefault="00863C99" w:rsidP="00CF512C">
            <w:pPr>
              <w:jc w:val="left"/>
              <w:rPr>
                <w:rFonts w:ascii="Verdana" w:hAnsi="Verdana" w:cs="Verdana"/>
                <w:b/>
                <w:bCs/>
                <w:sz w:val="20"/>
                <w:szCs w:val="20"/>
                <w:lang w:eastAsia="bg-BG"/>
              </w:rPr>
            </w:pPr>
            <w:r w:rsidRPr="000E54EB">
              <w:rPr>
                <w:rFonts w:ascii="Verdana" w:hAnsi="Verdana" w:cs="Verdana"/>
                <w:b/>
                <w:bCs/>
                <w:sz w:val="20"/>
                <w:szCs w:val="20"/>
                <w:lang w:eastAsia="bg-BG"/>
              </w:rPr>
              <w:t>Нетекущи финансови пасиви</w:t>
            </w:r>
          </w:p>
        </w:tc>
        <w:tc>
          <w:tcPr>
            <w:tcW w:w="175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3C99" w:rsidRPr="000E54EB" w:rsidRDefault="00CC6471" w:rsidP="0050776F">
            <w:pPr>
              <w:jc w:val="center"/>
              <w:rPr>
                <w:rFonts w:ascii="Verdana" w:hAnsi="Verdana" w:cs="Verdana"/>
                <w:b/>
                <w:bCs/>
                <w:sz w:val="20"/>
                <w:szCs w:val="20"/>
                <w:lang w:eastAsia="bg-BG"/>
              </w:rPr>
            </w:pPr>
            <w:r>
              <w:rPr>
                <w:rFonts w:ascii="Verdana" w:hAnsi="Verdana" w:cs="Verdana"/>
                <w:b/>
                <w:bCs/>
                <w:sz w:val="20"/>
                <w:szCs w:val="20"/>
                <w:lang w:eastAsia="bg-BG"/>
              </w:rPr>
              <w:t>30.06.2020</w:t>
            </w:r>
            <w:r w:rsidR="00863C99" w:rsidRPr="000E54EB">
              <w:rPr>
                <w:rFonts w:ascii="Verdana" w:hAnsi="Verdana" w:cs="Verdana"/>
                <w:b/>
                <w:bCs/>
                <w:sz w:val="20"/>
                <w:szCs w:val="20"/>
                <w:lang w:eastAsia="bg-BG"/>
              </w:rPr>
              <w:t xml:space="preserve"> г.</w:t>
            </w:r>
          </w:p>
        </w:tc>
        <w:tc>
          <w:tcPr>
            <w:tcW w:w="1837" w:type="dxa"/>
            <w:gridSpan w:val="2"/>
            <w:tcBorders>
              <w:top w:val="single" w:sz="4" w:space="0" w:color="auto"/>
              <w:left w:val="nil"/>
              <w:bottom w:val="single" w:sz="4" w:space="0" w:color="auto"/>
              <w:right w:val="single" w:sz="4" w:space="0" w:color="auto"/>
            </w:tcBorders>
            <w:shd w:val="clear" w:color="000000" w:fill="FFFFFF"/>
            <w:noWrap/>
            <w:vAlign w:val="center"/>
          </w:tcPr>
          <w:p w:rsidR="00863C99" w:rsidRPr="000E54EB" w:rsidRDefault="00863C99" w:rsidP="0050776F">
            <w:pPr>
              <w:jc w:val="center"/>
              <w:rPr>
                <w:rFonts w:ascii="Verdana" w:hAnsi="Verdana" w:cs="Verdana"/>
                <w:b/>
                <w:bCs/>
                <w:sz w:val="20"/>
                <w:szCs w:val="20"/>
                <w:lang w:eastAsia="bg-BG"/>
              </w:rPr>
            </w:pPr>
            <w:r w:rsidRPr="000E54EB">
              <w:rPr>
                <w:rFonts w:ascii="Verdana" w:hAnsi="Verdana" w:cs="Verdana"/>
                <w:b/>
                <w:bCs/>
                <w:sz w:val="20"/>
                <w:szCs w:val="20"/>
                <w:lang w:eastAsia="bg-BG"/>
              </w:rPr>
              <w:t>31.12.201</w:t>
            </w:r>
            <w:r w:rsidR="00F677AE">
              <w:rPr>
                <w:rFonts w:ascii="Verdana" w:hAnsi="Verdana" w:cs="Verdana"/>
                <w:b/>
                <w:bCs/>
                <w:sz w:val="20"/>
                <w:szCs w:val="20"/>
                <w:lang w:eastAsia="bg-BG"/>
              </w:rPr>
              <w:t>9</w:t>
            </w:r>
            <w:r w:rsidRPr="000E54EB">
              <w:rPr>
                <w:rFonts w:ascii="Verdana" w:hAnsi="Verdana" w:cs="Verdana"/>
                <w:b/>
                <w:bCs/>
                <w:sz w:val="20"/>
                <w:szCs w:val="20"/>
                <w:lang w:eastAsia="bg-BG"/>
              </w:rPr>
              <w:t xml:space="preserve"> г.</w:t>
            </w:r>
          </w:p>
        </w:tc>
      </w:tr>
      <w:tr w:rsidR="00863C99" w:rsidRPr="000E54EB">
        <w:trPr>
          <w:gridAfter w:val="1"/>
          <w:wAfter w:w="221" w:type="dxa"/>
          <w:trHeight w:val="300"/>
        </w:trPr>
        <w:tc>
          <w:tcPr>
            <w:tcW w:w="6049" w:type="dxa"/>
            <w:tcBorders>
              <w:top w:val="single" w:sz="4" w:space="0" w:color="auto"/>
              <w:left w:val="single" w:sz="4" w:space="0" w:color="auto"/>
              <w:bottom w:val="single" w:sz="4" w:space="0" w:color="auto"/>
              <w:right w:val="nil"/>
            </w:tcBorders>
            <w:shd w:val="clear" w:color="000000" w:fill="FFFFFF"/>
            <w:noWrap/>
            <w:vAlign w:val="center"/>
          </w:tcPr>
          <w:p w:rsidR="00863C99" w:rsidRPr="000E54EB" w:rsidRDefault="00863C99" w:rsidP="00CF512C">
            <w:pPr>
              <w:jc w:val="left"/>
              <w:rPr>
                <w:rFonts w:ascii="Verdana" w:hAnsi="Verdana" w:cs="Verdana"/>
                <w:sz w:val="20"/>
                <w:szCs w:val="20"/>
                <w:lang w:eastAsia="bg-BG"/>
              </w:rPr>
            </w:pPr>
            <w:r w:rsidRPr="000E54EB">
              <w:rPr>
                <w:rFonts w:ascii="Verdana" w:hAnsi="Verdana" w:cs="Verdana"/>
                <w:sz w:val="20"/>
                <w:szCs w:val="20"/>
                <w:lang w:eastAsia="bg-BG"/>
              </w:rPr>
              <w:t>Финансови пасиви, отчитани по амортизирана стойност</w:t>
            </w:r>
          </w:p>
        </w:tc>
        <w:tc>
          <w:tcPr>
            <w:tcW w:w="175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3C99" w:rsidRPr="00D415ED" w:rsidRDefault="00F677AE" w:rsidP="00CF512C">
            <w:pPr>
              <w:jc w:val="center"/>
              <w:rPr>
                <w:rFonts w:ascii="Verdana" w:hAnsi="Verdana" w:cs="Verdana"/>
                <w:sz w:val="20"/>
                <w:szCs w:val="20"/>
                <w:lang w:val="en-US" w:eastAsia="bg-BG"/>
              </w:rPr>
            </w:pPr>
            <w:r>
              <w:rPr>
                <w:rFonts w:ascii="Verdana" w:hAnsi="Verdana" w:cs="Verdana"/>
                <w:sz w:val="20"/>
                <w:szCs w:val="20"/>
                <w:lang w:eastAsia="bg-BG"/>
              </w:rPr>
              <w:t>4</w:t>
            </w:r>
            <w:r w:rsidR="00E7545D">
              <w:rPr>
                <w:rFonts w:ascii="Verdana" w:hAnsi="Verdana" w:cs="Verdana"/>
                <w:sz w:val="20"/>
                <w:szCs w:val="20"/>
                <w:lang w:eastAsia="bg-BG"/>
              </w:rPr>
              <w:t>79</w:t>
            </w:r>
          </w:p>
        </w:tc>
        <w:tc>
          <w:tcPr>
            <w:tcW w:w="1837" w:type="dxa"/>
            <w:gridSpan w:val="2"/>
            <w:tcBorders>
              <w:top w:val="single" w:sz="4" w:space="0" w:color="auto"/>
              <w:left w:val="nil"/>
              <w:bottom w:val="single" w:sz="4" w:space="0" w:color="auto"/>
              <w:right w:val="single" w:sz="4" w:space="0" w:color="auto"/>
            </w:tcBorders>
            <w:shd w:val="clear" w:color="000000" w:fill="FFFFFF"/>
            <w:noWrap/>
            <w:vAlign w:val="center"/>
          </w:tcPr>
          <w:p w:rsidR="00863C99" w:rsidRPr="000E54EB" w:rsidRDefault="00863C99" w:rsidP="001F704A">
            <w:pPr>
              <w:jc w:val="center"/>
              <w:rPr>
                <w:rFonts w:ascii="Verdana" w:hAnsi="Verdana" w:cs="Verdana"/>
                <w:sz w:val="20"/>
                <w:szCs w:val="20"/>
                <w:lang w:eastAsia="bg-BG"/>
              </w:rPr>
            </w:pPr>
            <w:r w:rsidRPr="000E54EB">
              <w:rPr>
                <w:rFonts w:ascii="Verdana" w:hAnsi="Verdana" w:cs="Verdana"/>
                <w:sz w:val="20"/>
                <w:szCs w:val="20"/>
                <w:lang w:eastAsia="bg-BG"/>
              </w:rPr>
              <w:t>3</w:t>
            </w:r>
            <w:r w:rsidR="00F677AE">
              <w:rPr>
                <w:rFonts w:ascii="Verdana" w:hAnsi="Verdana" w:cs="Verdana"/>
                <w:sz w:val="20"/>
                <w:szCs w:val="20"/>
                <w:lang w:eastAsia="bg-BG"/>
              </w:rPr>
              <w:t>73</w:t>
            </w:r>
          </w:p>
        </w:tc>
      </w:tr>
      <w:tr w:rsidR="00F677AE" w:rsidRPr="000E54EB">
        <w:trPr>
          <w:gridAfter w:val="1"/>
          <w:wAfter w:w="221" w:type="dxa"/>
          <w:trHeight w:val="300"/>
        </w:trPr>
        <w:tc>
          <w:tcPr>
            <w:tcW w:w="6049" w:type="dxa"/>
            <w:tcBorders>
              <w:top w:val="single" w:sz="4" w:space="0" w:color="auto"/>
              <w:left w:val="single" w:sz="4" w:space="0" w:color="auto"/>
              <w:bottom w:val="single" w:sz="4" w:space="0" w:color="auto"/>
              <w:right w:val="nil"/>
            </w:tcBorders>
            <w:shd w:val="clear" w:color="000000" w:fill="FFFFFF"/>
            <w:noWrap/>
            <w:vAlign w:val="center"/>
          </w:tcPr>
          <w:p w:rsidR="00F677AE" w:rsidRPr="000E54EB" w:rsidRDefault="00F677AE" w:rsidP="00CF512C">
            <w:pPr>
              <w:jc w:val="left"/>
              <w:rPr>
                <w:rFonts w:ascii="Verdana" w:hAnsi="Verdana" w:cs="Verdana"/>
                <w:sz w:val="20"/>
                <w:szCs w:val="20"/>
                <w:lang w:eastAsia="bg-BG"/>
              </w:rPr>
            </w:pPr>
            <w:r>
              <w:rPr>
                <w:rFonts w:ascii="Verdana" w:hAnsi="Verdana" w:cs="Verdana"/>
                <w:sz w:val="20"/>
                <w:szCs w:val="20"/>
                <w:lang w:eastAsia="bg-BG"/>
              </w:rPr>
              <w:t>Задължения по лизингови договори</w:t>
            </w:r>
          </w:p>
        </w:tc>
        <w:tc>
          <w:tcPr>
            <w:tcW w:w="175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677AE" w:rsidRDefault="00F677AE" w:rsidP="00CF512C">
            <w:pPr>
              <w:jc w:val="center"/>
              <w:rPr>
                <w:rFonts w:ascii="Verdana" w:hAnsi="Verdana" w:cs="Verdana"/>
                <w:sz w:val="20"/>
                <w:szCs w:val="20"/>
                <w:lang w:eastAsia="bg-BG"/>
              </w:rPr>
            </w:pPr>
            <w:r>
              <w:rPr>
                <w:rFonts w:ascii="Verdana" w:hAnsi="Verdana" w:cs="Verdana"/>
                <w:sz w:val="20"/>
                <w:szCs w:val="20"/>
                <w:lang w:eastAsia="bg-BG"/>
              </w:rPr>
              <w:t>7</w:t>
            </w:r>
          </w:p>
        </w:tc>
        <w:tc>
          <w:tcPr>
            <w:tcW w:w="1837" w:type="dxa"/>
            <w:gridSpan w:val="2"/>
            <w:tcBorders>
              <w:top w:val="single" w:sz="4" w:space="0" w:color="auto"/>
              <w:left w:val="nil"/>
              <w:bottom w:val="single" w:sz="4" w:space="0" w:color="auto"/>
              <w:right w:val="single" w:sz="4" w:space="0" w:color="auto"/>
            </w:tcBorders>
            <w:shd w:val="clear" w:color="000000" w:fill="FFFFFF"/>
            <w:noWrap/>
            <w:vAlign w:val="center"/>
          </w:tcPr>
          <w:p w:rsidR="00F677AE" w:rsidRPr="000E54EB" w:rsidRDefault="00F677AE" w:rsidP="001F704A">
            <w:pPr>
              <w:jc w:val="center"/>
              <w:rPr>
                <w:rFonts w:ascii="Verdana" w:hAnsi="Verdana" w:cs="Verdana"/>
                <w:sz w:val="20"/>
                <w:szCs w:val="20"/>
                <w:lang w:eastAsia="bg-BG"/>
              </w:rPr>
            </w:pPr>
            <w:r>
              <w:rPr>
                <w:rFonts w:ascii="Verdana" w:hAnsi="Verdana" w:cs="Verdana"/>
                <w:sz w:val="20"/>
                <w:szCs w:val="20"/>
                <w:lang w:eastAsia="bg-BG"/>
              </w:rPr>
              <w:t>6</w:t>
            </w:r>
          </w:p>
        </w:tc>
      </w:tr>
      <w:tr w:rsidR="00863C99" w:rsidRPr="000E54EB">
        <w:trPr>
          <w:gridAfter w:val="1"/>
          <w:wAfter w:w="221" w:type="dxa"/>
          <w:trHeight w:val="300"/>
        </w:trPr>
        <w:tc>
          <w:tcPr>
            <w:tcW w:w="6049" w:type="dxa"/>
            <w:tcBorders>
              <w:top w:val="single" w:sz="4" w:space="0" w:color="auto"/>
              <w:left w:val="single" w:sz="4" w:space="0" w:color="auto"/>
              <w:bottom w:val="single" w:sz="4" w:space="0" w:color="auto"/>
              <w:right w:val="nil"/>
            </w:tcBorders>
            <w:shd w:val="clear" w:color="000000" w:fill="C5D9F1"/>
            <w:noWrap/>
            <w:vAlign w:val="center"/>
          </w:tcPr>
          <w:p w:rsidR="00863C99" w:rsidRPr="000E54EB" w:rsidRDefault="00863C99" w:rsidP="00CF512C">
            <w:pPr>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1753" w:type="dxa"/>
            <w:tcBorders>
              <w:top w:val="single" w:sz="4" w:space="0" w:color="auto"/>
              <w:left w:val="single" w:sz="4" w:space="0" w:color="auto"/>
              <w:bottom w:val="single" w:sz="4" w:space="0" w:color="auto"/>
              <w:right w:val="nil"/>
            </w:tcBorders>
            <w:shd w:val="clear" w:color="000000" w:fill="C5D9F1"/>
            <w:noWrap/>
            <w:vAlign w:val="center"/>
          </w:tcPr>
          <w:p w:rsidR="00863C99" w:rsidRPr="000E54EB" w:rsidRDefault="00F677AE" w:rsidP="00CF512C">
            <w:pPr>
              <w:jc w:val="center"/>
              <w:rPr>
                <w:rFonts w:ascii="Verdana" w:hAnsi="Verdana" w:cs="Verdana"/>
                <w:b/>
                <w:bCs/>
                <w:sz w:val="20"/>
                <w:szCs w:val="20"/>
                <w:lang w:eastAsia="bg-BG"/>
              </w:rPr>
            </w:pPr>
            <w:r>
              <w:rPr>
                <w:rFonts w:ascii="Verdana" w:hAnsi="Verdana" w:cs="Verdana"/>
                <w:b/>
                <w:bCs/>
                <w:sz w:val="20"/>
                <w:szCs w:val="20"/>
                <w:lang w:eastAsia="bg-BG"/>
              </w:rPr>
              <w:t>4</w:t>
            </w:r>
            <w:r w:rsidR="00E7545D">
              <w:rPr>
                <w:rFonts w:ascii="Verdana" w:hAnsi="Verdana" w:cs="Verdana"/>
                <w:b/>
                <w:bCs/>
                <w:sz w:val="20"/>
                <w:szCs w:val="20"/>
                <w:lang w:eastAsia="bg-BG"/>
              </w:rPr>
              <w:t>86</w:t>
            </w:r>
          </w:p>
        </w:tc>
        <w:tc>
          <w:tcPr>
            <w:tcW w:w="1837"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rsidR="00863C99" w:rsidRPr="000E54EB" w:rsidRDefault="00F677AE" w:rsidP="001F704A">
            <w:pPr>
              <w:jc w:val="center"/>
              <w:rPr>
                <w:rFonts w:ascii="Verdana" w:hAnsi="Verdana" w:cs="Verdana"/>
                <w:b/>
                <w:bCs/>
                <w:sz w:val="20"/>
                <w:szCs w:val="20"/>
                <w:lang w:eastAsia="bg-BG"/>
              </w:rPr>
            </w:pPr>
            <w:r>
              <w:rPr>
                <w:rFonts w:ascii="Verdana" w:hAnsi="Verdana" w:cs="Verdana"/>
                <w:b/>
                <w:bCs/>
                <w:sz w:val="20"/>
                <w:szCs w:val="20"/>
                <w:lang w:eastAsia="bg-BG"/>
              </w:rPr>
              <w:t>379</w:t>
            </w:r>
          </w:p>
        </w:tc>
      </w:tr>
      <w:tr w:rsidR="00863C99" w:rsidRPr="000E54EB">
        <w:trPr>
          <w:trHeight w:val="300"/>
        </w:trPr>
        <w:tc>
          <w:tcPr>
            <w:tcW w:w="6049" w:type="dxa"/>
            <w:tcBorders>
              <w:top w:val="nil"/>
              <w:left w:val="nil"/>
              <w:bottom w:val="nil"/>
              <w:right w:val="nil"/>
            </w:tcBorders>
            <w:noWrap/>
            <w:vAlign w:val="center"/>
          </w:tcPr>
          <w:p w:rsidR="00863C99" w:rsidRPr="000E54EB" w:rsidRDefault="00863C99" w:rsidP="00CF512C">
            <w:pPr>
              <w:jc w:val="left"/>
              <w:rPr>
                <w:rFonts w:ascii="Verdana" w:hAnsi="Verdana" w:cs="Verdana"/>
                <w:sz w:val="20"/>
                <w:szCs w:val="20"/>
                <w:lang w:eastAsia="bg-BG"/>
              </w:rPr>
            </w:pPr>
            <w:r w:rsidRPr="000E54EB">
              <w:rPr>
                <w:rFonts w:ascii="Verdana" w:hAnsi="Verdana" w:cs="Verdana"/>
                <w:sz w:val="20"/>
                <w:szCs w:val="20"/>
                <w:lang w:eastAsia="bg-BG"/>
              </w:rPr>
              <w:t> </w:t>
            </w:r>
          </w:p>
        </w:tc>
        <w:tc>
          <w:tcPr>
            <w:tcW w:w="1974" w:type="dxa"/>
            <w:gridSpan w:val="2"/>
            <w:tcBorders>
              <w:top w:val="nil"/>
              <w:left w:val="nil"/>
              <w:bottom w:val="nil"/>
              <w:right w:val="nil"/>
            </w:tcBorders>
            <w:noWrap/>
            <w:vAlign w:val="center"/>
          </w:tcPr>
          <w:p w:rsidR="00863C99" w:rsidRPr="000E54EB" w:rsidRDefault="00863C99" w:rsidP="00CF512C">
            <w:pPr>
              <w:jc w:val="left"/>
              <w:rPr>
                <w:rFonts w:ascii="Verdana" w:hAnsi="Verdana" w:cs="Verdana"/>
                <w:sz w:val="20"/>
                <w:szCs w:val="20"/>
                <w:lang w:eastAsia="bg-BG"/>
              </w:rPr>
            </w:pPr>
            <w:r w:rsidRPr="000E54EB">
              <w:rPr>
                <w:rFonts w:ascii="Verdana" w:hAnsi="Verdana" w:cs="Verdana"/>
                <w:sz w:val="20"/>
                <w:szCs w:val="20"/>
                <w:lang w:eastAsia="bg-BG"/>
              </w:rPr>
              <w:t> </w:t>
            </w:r>
          </w:p>
        </w:tc>
        <w:tc>
          <w:tcPr>
            <w:tcW w:w="1837" w:type="dxa"/>
            <w:gridSpan w:val="2"/>
            <w:tcBorders>
              <w:top w:val="nil"/>
              <w:left w:val="nil"/>
              <w:bottom w:val="nil"/>
              <w:right w:val="nil"/>
            </w:tcBorders>
            <w:noWrap/>
            <w:vAlign w:val="center"/>
          </w:tcPr>
          <w:p w:rsidR="00863C99" w:rsidRPr="000E54EB" w:rsidRDefault="00863C99" w:rsidP="00CF512C">
            <w:pPr>
              <w:jc w:val="left"/>
              <w:rPr>
                <w:rFonts w:ascii="Verdana" w:hAnsi="Verdana" w:cs="Verdana"/>
                <w:sz w:val="20"/>
                <w:szCs w:val="20"/>
                <w:lang w:eastAsia="bg-BG"/>
              </w:rPr>
            </w:pPr>
            <w:r w:rsidRPr="000E54EB">
              <w:rPr>
                <w:rFonts w:ascii="Verdana" w:hAnsi="Verdana" w:cs="Verdana"/>
                <w:sz w:val="20"/>
                <w:szCs w:val="20"/>
                <w:lang w:eastAsia="bg-BG"/>
              </w:rPr>
              <w:t> </w:t>
            </w:r>
          </w:p>
        </w:tc>
      </w:tr>
      <w:tr w:rsidR="00863C99" w:rsidRPr="000E54EB">
        <w:trPr>
          <w:gridAfter w:val="1"/>
          <w:wAfter w:w="221" w:type="dxa"/>
          <w:trHeight w:val="300"/>
        </w:trPr>
        <w:tc>
          <w:tcPr>
            <w:tcW w:w="9639"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863C99" w:rsidRPr="000E54EB" w:rsidRDefault="00863C99" w:rsidP="00CF512C">
            <w:pPr>
              <w:jc w:val="left"/>
              <w:rPr>
                <w:rFonts w:ascii="Verdana" w:hAnsi="Verdana" w:cs="Verdana"/>
                <w:b/>
                <w:bCs/>
                <w:sz w:val="20"/>
                <w:szCs w:val="20"/>
                <w:lang w:eastAsia="bg-BG"/>
              </w:rPr>
            </w:pPr>
            <w:r w:rsidRPr="000E54EB">
              <w:rPr>
                <w:rFonts w:ascii="Verdana" w:hAnsi="Verdana" w:cs="Verdana"/>
                <w:b/>
                <w:bCs/>
                <w:sz w:val="20"/>
                <w:szCs w:val="20"/>
                <w:lang w:eastAsia="bg-BG"/>
              </w:rPr>
              <w:t>Финансови пасиви, отчитани по амортизирана стойност - нетекущи</w:t>
            </w:r>
          </w:p>
        </w:tc>
      </w:tr>
      <w:tr w:rsidR="00863C99" w:rsidRPr="000E54EB">
        <w:trPr>
          <w:gridAfter w:val="1"/>
          <w:wAfter w:w="221" w:type="dxa"/>
          <w:trHeight w:val="255"/>
        </w:trPr>
        <w:tc>
          <w:tcPr>
            <w:tcW w:w="6049" w:type="dxa"/>
            <w:tcBorders>
              <w:top w:val="single" w:sz="4" w:space="0" w:color="auto"/>
              <w:left w:val="single" w:sz="4" w:space="0" w:color="auto"/>
              <w:bottom w:val="single" w:sz="4" w:space="0" w:color="auto"/>
              <w:right w:val="nil"/>
            </w:tcBorders>
            <w:shd w:val="clear" w:color="000000" w:fill="FFFFFF"/>
            <w:noWrap/>
            <w:vAlign w:val="center"/>
          </w:tcPr>
          <w:p w:rsidR="00863C99" w:rsidRPr="000E54EB" w:rsidRDefault="00863C99" w:rsidP="00CF512C">
            <w:pPr>
              <w:jc w:val="left"/>
              <w:rPr>
                <w:rFonts w:ascii="Verdana" w:hAnsi="Verdana" w:cs="Verdana"/>
                <w:b/>
                <w:bCs/>
                <w:sz w:val="20"/>
                <w:szCs w:val="20"/>
                <w:lang w:eastAsia="bg-BG"/>
              </w:rPr>
            </w:pPr>
            <w:r w:rsidRPr="000E54EB">
              <w:rPr>
                <w:rFonts w:ascii="Verdana" w:hAnsi="Verdana" w:cs="Verdana"/>
                <w:b/>
                <w:bCs/>
                <w:sz w:val="20"/>
                <w:szCs w:val="20"/>
                <w:lang w:eastAsia="bg-BG"/>
              </w:rPr>
              <w:t>Вид</w:t>
            </w:r>
          </w:p>
        </w:tc>
        <w:tc>
          <w:tcPr>
            <w:tcW w:w="175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3C99" w:rsidRPr="000E54EB" w:rsidRDefault="00CC6471" w:rsidP="0050776F">
            <w:pPr>
              <w:jc w:val="center"/>
              <w:rPr>
                <w:rFonts w:ascii="Verdana" w:hAnsi="Verdana" w:cs="Verdana"/>
                <w:b/>
                <w:bCs/>
                <w:sz w:val="20"/>
                <w:szCs w:val="20"/>
                <w:lang w:eastAsia="bg-BG"/>
              </w:rPr>
            </w:pPr>
            <w:r>
              <w:rPr>
                <w:rFonts w:ascii="Verdana" w:hAnsi="Verdana" w:cs="Verdana"/>
                <w:b/>
                <w:bCs/>
                <w:sz w:val="20"/>
                <w:szCs w:val="20"/>
                <w:lang w:eastAsia="bg-BG"/>
              </w:rPr>
              <w:t>30.06.2020</w:t>
            </w:r>
            <w:r w:rsidR="00863C99" w:rsidRPr="000E54EB">
              <w:rPr>
                <w:rFonts w:ascii="Verdana" w:hAnsi="Verdana" w:cs="Verdana"/>
                <w:b/>
                <w:bCs/>
                <w:sz w:val="20"/>
                <w:szCs w:val="20"/>
                <w:lang w:eastAsia="bg-BG"/>
              </w:rPr>
              <w:t xml:space="preserve"> г.</w:t>
            </w:r>
          </w:p>
        </w:tc>
        <w:tc>
          <w:tcPr>
            <w:tcW w:w="1837" w:type="dxa"/>
            <w:gridSpan w:val="2"/>
            <w:tcBorders>
              <w:top w:val="single" w:sz="4" w:space="0" w:color="auto"/>
              <w:left w:val="nil"/>
              <w:bottom w:val="single" w:sz="4" w:space="0" w:color="auto"/>
              <w:right w:val="single" w:sz="4" w:space="0" w:color="auto"/>
            </w:tcBorders>
            <w:shd w:val="clear" w:color="000000" w:fill="FFFFFF"/>
            <w:noWrap/>
            <w:vAlign w:val="center"/>
          </w:tcPr>
          <w:p w:rsidR="00863C99" w:rsidRPr="000E54EB" w:rsidRDefault="00CC6471" w:rsidP="001F704A">
            <w:pPr>
              <w:jc w:val="center"/>
              <w:rPr>
                <w:rFonts w:ascii="Verdana" w:hAnsi="Verdana" w:cs="Verdana"/>
                <w:b/>
                <w:bCs/>
                <w:sz w:val="20"/>
                <w:szCs w:val="20"/>
                <w:lang w:eastAsia="bg-BG"/>
              </w:rPr>
            </w:pPr>
            <w:r>
              <w:rPr>
                <w:rFonts w:ascii="Verdana" w:hAnsi="Verdana" w:cs="Verdana"/>
                <w:b/>
                <w:bCs/>
                <w:sz w:val="20"/>
                <w:szCs w:val="20"/>
                <w:lang w:eastAsia="bg-BG"/>
              </w:rPr>
              <w:t>31.12.2019</w:t>
            </w:r>
            <w:r w:rsidR="00863C99" w:rsidRPr="000E54EB">
              <w:rPr>
                <w:rFonts w:ascii="Verdana" w:hAnsi="Verdana" w:cs="Verdana"/>
                <w:b/>
                <w:bCs/>
                <w:sz w:val="20"/>
                <w:szCs w:val="20"/>
                <w:lang w:eastAsia="bg-BG"/>
              </w:rPr>
              <w:t xml:space="preserve"> г.</w:t>
            </w:r>
          </w:p>
        </w:tc>
      </w:tr>
      <w:tr w:rsidR="00863C99" w:rsidRPr="000E54EB">
        <w:trPr>
          <w:gridAfter w:val="1"/>
          <w:wAfter w:w="221" w:type="dxa"/>
          <w:trHeight w:val="255"/>
        </w:trPr>
        <w:tc>
          <w:tcPr>
            <w:tcW w:w="6049" w:type="dxa"/>
            <w:tcBorders>
              <w:top w:val="single" w:sz="4" w:space="0" w:color="auto"/>
              <w:left w:val="single" w:sz="4" w:space="0" w:color="auto"/>
              <w:bottom w:val="single" w:sz="4" w:space="0" w:color="auto"/>
              <w:right w:val="nil"/>
            </w:tcBorders>
            <w:shd w:val="clear" w:color="000000" w:fill="FFFFFF"/>
            <w:vAlign w:val="center"/>
          </w:tcPr>
          <w:p w:rsidR="00863C99" w:rsidRPr="000E54EB" w:rsidRDefault="00863C99" w:rsidP="00CF512C">
            <w:pPr>
              <w:jc w:val="left"/>
              <w:rPr>
                <w:rFonts w:ascii="Verdana" w:hAnsi="Verdana" w:cs="Verdana"/>
                <w:sz w:val="20"/>
                <w:szCs w:val="20"/>
                <w:lang w:eastAsia="bg-BG"/>
              </w:rPr>
            </w:pPr>
            <w:r w:rsidRPr="000E54EB">
              <w:rPr>
                <w:rFonts w:ascii="Verdana" w:hAnsi="Verdana" w:cs="Verdana"/>
                <w:sz w:val="20"/>
                <w:szCs w:val="20"/>
                <w:lang w:eastAsia="bg-BG"/>
              </w:rPr>
              <w:t>Кредити и заеми, отчитани по амортизирана стойност</w:t>
            </w:r>
          </w:p>
        </w:tc>
        <w:tc>
          <w:tcPr>
            <w:tcW w:w="1753" w:type="dxa"/>
            <w:tcBorders>
              <w:top w:val="single" w:sz="4" w:space="0" w:color="auto"/>
              <w:left w:val="single" w:sz="4" w:space="0" w:color="auto"/>
              <w:bottom w:val="single" w:sz="4" w:space="0" w:color="auto"/>
              <w:right w:val="nil"/>
            </w:tcBorders>
            <w:shd w:val="clear" w:color="000000" w:fill="FFFFFF"/>
            <w:noWrap/>
            <w:vAlign w:val="center"/>
          </w:tcPr>
          <w:p w:rsidR="00863C99" w:rsidRPr="000E54EB" w:rsidRDefault="00CC6471" w:rsidP="00CF512C">
            <w:pPr>
              <w:jc w:val="center"/>
              <w:rPr>
                <w:rFonts w:ascii="Verdana" w:hAnsi="Verdana" w:cs="Verdana"/>
                <w:sz w:val="20"/>
                <w:szCs w:val="20"/>
                <w:lang w:eastAsia="bg-BG"/>
              </w:rPr>
            </w:pPr>
            <w:r>
              <w:rPr>
                <w:rFonts w:ascii="Verdana" w:hAnsi="Verdana" w:cs="Verdana"/>
                <w:sz w:val="20"/>
                <w:szCs w:val="20"/>
                <w:lang w:eastAsia="bg-BG"/>
              </w:rPr>
              <w:t>4</w:t>
            </w:r>
            <w:r w:rsidR="00FC61FD">
              <w:rPr>
                <w:rFonts w:ascii="Verdana" w:hAnsi="Verdana" w:cs="Verdana"/>
                <w:sz w:val="20"/>
                <w:szCs w:val="20"/>
                <w:lang w:eastAsia="bg-BG"/>
              </w:rPr>
              <w:t>79</w:t>
            </w:r>
          </w:p>
        </w:tc>
        <w:tc>
          <w:tcPr>
            <w:tcW w:w="183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63C99" w:rsidRPr="000E54EB" w:rsidRDefault="00CC6471" w:rsidP="001F704A">
            <w:pPr>
              <w:jc w:val="center"/>
              <w:rPr>
                <w:rFonts w:ascii="Verdana" w:hAnsi="Verdana" w:cs="Verdana"/>
                <w:sz w:val="20"/>
                <w:szCs w:val="20"/>
                <w:lang w:eastAsia="bg-BG"/>
              </w:rPr>
            </w:pPr>
            <w:r>
              <w:rPr>
                <w:rFonts w:ascii="Verdana" w:hAnsi="Verdana" w:cs="Verdana"/>
                <w:sz w:val="20"/>
                <w:szCs w:val="20"/>
                <w:lang w:eastAsia="bg-BG"/>
              </w:rPr>
              <w:t>373</w:t>
            </w:r>
          </w:p>
        </w:tc>
      </w:tr>
      <w:tr w:rsidR="00863C99" w:rsidRPr="000E54EB">
        <w:trPr>
          <w:gridAfter w:val="1"/>
          <w:wAfter w:w="221" w:type="dxa"/>
          <w:trHeight w:val="300"/>
        </w:trPr>
        <w:tc>
          <w:tcPr>
            <w:tcW w:w="6049" w:type="dxa"/>
            <w:tcBorders>
              <w:top w:val="single" w:sz="4" w:space="0" w:color="auto"/>
              <w:left w:val="single" w:sz="4" w:space="0" w:color="auto"/>
              <w:bottom w:val="single" w:sz="4" w:space="0" w:color="auto"/>
              <w:right w:val="nil"/>
            </w:tcBorders>
            <w:shd w:val="clear" w:color="000000" w:fill="C5D9F1"/>
            <w:noWrap/>
            <w:vAlign w:val="center"/>
          </w:tcPr>
          <w:p w:rsidR="00863C99" w:rsidRPr="000E54EB" w:rsidRDefault="00863C99" w:rsidP="00CF512C">
            <w:pPr>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1753" w:type="dxa"/>
            <w:tcBorders>
              <w:top w:val="single" w:sz="4" w:space="0" w:color="auto"/>
              <w:left w:val="single" w:sz="4" w:space="0" w:color="auto"/>
              <w:bottom w:val="single" w:sz="4" w:space="0" w:color="auto"/>
              <w:right w:val="nil"/>
            </w:tcBorders>
            <w:shd w:val="clear" w:color="000000" w:fill="C5D9F1"/>
            <w:noWrap/>
            <w:vAlign w:val="center"/>
          </w:tcPr>
          <w:p w:rsidR="00863C99" w:rsidRPr="000E54EB" w:rsidRDefault="00CC6471" w:rsidP="00CF512C">
            <w:pPr>
              <w:jc w:val="center"/>
              <w:rPr>
                <w:rFonts w:ascii="Verdana" w:hAnsi="Verdana" w:cs="Verdana"/>
                <w:b/>
                <w:bCs/>
                <w:sz w:val="20"/>
                <w:szCs w:val="20"/>
                <w:lang w:eastAsia="bg-BG"/>
              </w:rPr>
            </w:pPr>
            <w:r>
              <w:rPr>
                <w:rFonts w:ascii="Verdana" w:hAnsi="Verdana" w:cs="Verdana"/>
                <w:b/>
                <w:bCs/>
                <w:sz w:val="20"/>
                <w:szCs w:val="20"/>
                <w:lang w:eastAsia="bg-BG"/>
              </w:rPr>
              <w:t>4</w:t>
            </w:r>
            <w:r w:rsidR="00FC61FD">
              <w:rPr>
                <w:rFonts w:ascii="Verdana" w:hAnsi="Verdana" w:cs="Verdana"/>
                <w:b/>
                <w:bCs/>
                <w:sz w:val="20"/>
                <w:szCs w:val="20"/>
                <w:lang w:eastAsia="bg-BG"/>
              </w:rPr>
              <w:t>79</w:t>
            </w:r>
          </w:p>
        </w:tc>
        <w:tc>
          <w:tcPr>
            <w:tcW w:w="1837"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rsidR="00863C99" w:rsidRPr="000E54EB" w:rsidRDefault="00CC6471" w:rsidP="001F704A">
            <w:pPr>
              <w:jc w:val="center"/>
              <w:rPr>
                <w:rFonts w:ascii="Verdana" w:hAnsi="Verdana" w:cs="Verdana"/>
                <w:b/>
                <w:bCs/>
                <w:sz w:val="20"/>
                <w:szCs w:val="20"/>
                <w:lang w:eastAsia="bg-BG"/>
              </w:rPr>
            </w:pPr>
            <w:r>
              <w:rPr>
                <w:rFonts w:ascii="Verdana" w:hAnsi="Verdana" w:cs="Verdana"/>
                <w:b/>
                <w:bCs/>
                <w:sz w:val="20"/>
                <w:szCs w:val="20"/>
                <w:lang w:eastAsia="bg-BG"/>
              </w:rPr>
              <w:t>373</w:t>
            </w:r>
          </w:p>
        </w:tc>
      </w:tr>
      <w:tr w:rsidR="00863C99" w:rsidRPr="000E54EB">
        <w:trPr>
          <w:trHeight w:val="300"/>
        </w:trPr>
        <w:tc>
          <w:tcPr>
            <w:tcW w:w="6049" w:type="dxa"/>
            <w:tcBorders>
              <w:top w:val="nil"/>
              <w:left w:val="nil"/>
              <w:bottom w:val="single" w:sz="4" w:space="0" w:color="auto"/>
              <w:right w:val="nil"/>
            </w:tcBorders>
            <w:noWrap/>
            <w:vAlign w:val="center"/>
          </w:tcPr>
          <w:p w:rsidR="00863C99" w:rsidRPr="000E54EB" w:rsidRDefault="00863C99" w:rsidP="00CF512C">
            <w:pPr>
              <w:jc w:val="left"/>
              <w:rPr>
                <w:rFonts w:ascii="Verdana" w:hAnsi="Verdana" w:cs="Verdana"/>
                <w:b/>
                <w:bCs/>
                <w:sz w:val="20"/>
                <w:szCs w:val="20"/>
                <w:lang w:eastAsia="bg-BG"/>
              </w:rPr>
            </w:pPr>
            <w:r w:rsidRPr="000E54EB">
              <w:rPr>
                <w:rFonts w:ascii="Verdana" w:hAnsi="Verdana" w:cs="Verdana"/>
                <w:b/>
                <w:bCs/>
                <w:sz w:val="20"/>
                <w:szCs w:val="20"/>
                <w:lang w:eastAsia="bg-BG"/>
              </w:rPr>
              <w:t> </w:t>
            </w:r>
          </w:p>
        </w:tc>
        <w:tc>
          <w:tcPr>
            <w:tcW w:w="1974" w:type="dxa"/>
            <w:gridSpan w:val="2"/>
            <w:tcBorders>
              <w:top w:val="nil"/>
              <w:left w:val="nil"/>
              <w:bottom w:val="single" w:sz="4" w:space="0" w:color="auto"/>
              <w:right w:val="nil"/>
            </w:tcBorders>
            <w:noWrap/>
            <w:vAlign w:val="center"/>
          </w:tcPr>
          <w:p w:rsidR="00863C99" w:rsidRPr="000E54EB" w:rsidRDefault="00863C99" w:rsidP="00CF512C">
            <w:pPr>
              <w:jc w:val="center"/>
              <w:rPr>
                <w:rFonts w:ascii="Verdana" w:hAnsi="Verdana" w:cs="Verdana"/>
                <w:b/>
                <w:bCs/>
                <w:sz w:val="20"/>
                <w:szCs w:val="20"/>
                <w:lang w:eastAsia="bg-BG"/>
              </w:rPr>
            </w:pPr>
            <w:r w:rsidRPr="000E54EB">
              <w:rPr>
                <w:rFonts w:ascii="Verdana" w:hAnsi="Verdana" w:cs="Verdana"/>
                <w:b/>
                <w:bCs/>
                <w:sz w:val="20"/>
                <w:szCs w:val="20"/>
                <w:lang w:eastAsia="bg-BG"/>
              </w:rPr>
              <w:t> </w:t>
            </w:r>
          </w:p>
        </w:tc>
        <w:tc>
          <w:tcPr>
            <w:tcW w:w="1837" w:type="dxa"/>
            <w:gridSpan w:val="2"/>
            <w:tcBorders>
              <w:top w:val="nil"/>
              <w:left w:val="nil"/>
              <w:bottom w:val="single" w:sz="4" w:space="0" w:color="auto"/>
              <w:right w:val="nil"/>
            </w:tcBorders>
            <w:noWrap/>
            <w:vAlign w:val="center"/>
          </w:tcPr>
          <w:p w:rsidR="00863C99" w:rsidRPr="000E54EB" w:rsidRDefault="00863C99" w:rsidP="00CF512C">
            <w:pPr>
              <w:jc w:val="center"/>
              <w:rPr>
                <w:rFonts w:ascii="Verdana" w:hAnsi="Verdana" w:cs="Verdana"/>
                <w:b/>
                <w:bCs/>
                <w:sz w:val="20"/>
                <w:szCs w:val="20"/>
                <w:lang w:eastAsia="bg-BG"/>
              </w:rPr>
            </w:pPr>
            <w:r w:rsidRPr="000E54EB">
              <w:rPr>
                <w:rFonts w:ascii="Verdana" w:hAnsi="Verdana" w:cs="Verdana"/>
                <w:b/>
                <w:bCs/>
                <w:sz w:val="20"/>
                <w:szCs w:val="20"/>
                <w:lang w:eastAsia="bg-BG"/>
              </w:rPr>
              <w:t> </w:t>
            </w:r>
          </w:p>
        </w:tc>
      </w:tr>
      <w:tr w:rsidR="00863C99" w:rsidRPr="000E54EB">
        <w:trPr>
          <w:gridAfter w:val="1"/>
          <w:wAfter w:w="221" w:type="dxa"/>
          <w:trHeight w:val="300"/>
        </w:trPr>
        <w:tc>
          <w:tcPr>
            <w:tcW w:w="9639"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rsidR="00863C99" w:rsidRPr="000E54EB" w:rsidRDefault="00863C99" w:rsidP="00CF512C">
            <w:pPr>
              <w:jc w:val="left"/>
              <w:rPr>
                <w:rFonts w:ascii="Verdana" w:hAnsi="Verdana" w:cs="Verdana"/>
                <w:b/>
                <w:bCs/>
                <w:sz w:val="20"/>
                <w:szCs w:val="20"/>
                <w:lang w:eastAsia="bg-BG"/>
              </w:rPr>
            </w:pPr>
            <w:r w:rsidRPr="000E54EB">
              <w:rPr>
                <w:rFonts w:ascii="Verdana" w:hAnsi="Verdana" w:cs="Verdana"/>
                <w:b/>
                <w:bCs/>
                <w:sz w:val="20"/>
                <w:szCs w:val="20"/>
                <w:lang w:eastAsia="bg-BG"/>
              </w:rPr>
              <w:t>Кредити и заеми, отчитани по амортизирана стойност - нетекущи</w:t>
            </w:r>
          </w:p>
        </w:tc>
      </w:tr>
      <w:tr w:rsidR="00863C99" w:rsidRPr="000E54EB">
        <w:trPr>
          <w:gridAfter w:val="1"/>
          <w:wAfter w:w="221" w:type="dxa"/>
          <w:trHeight w:val="255"/>
        </w:trPr>
        <w:tc>
          <w:tcPr>
            <w:tcW w:w="6049" w:type="dxa"/>
            <w:tcBorders>
              <w:top w:val="nil"/>
              <w:left w:val="single" w:sz="4" w:space="0" w:color="auto"/>
              <w:bottom w:val="single" w:sz="4" w:space="0" w:color="auto"/>
              <w:right w:val="nil"/>
            </w:tcBorders>
            <w:shd w:val="clear" w:color="000000" w:fill="FFFFFF"/>
            <w:vAlign w:val="center"/>
          </w:tcPr>
          <w:p w:rsidR="00863C99" w:rsidRPr="000E54EB" w:rsidRDefault="00863C99" w:rsidP="00CF512C">
            <w:pPr>
              <w:jc w:val="left"/>
              <w:rPr>
                <w:rFonts w:ascii="Verdana" w:hAnsi="Verdana" w:cs="Verdana"/>
                <w:b/>
                <w:bCs/>
                <w:sz w:val="20"/>
                <w:szCs w:val="20"/>
                <w:lang w:eastAsia="bg-BG"/>
              </w:rPr>
            </w:pPr>
            <w:r w:rsidRPr="000E54EB">
              <w:rPr>
                <w:rFonts w:ascii="Verdana" w:hAnsi="Verdana" w:cs="Verdana"/>
                <w:b/>
                <w:bCs/>
                <w:sz w:val="20"/>
                <w:szCs w:val="20"/>
                <w:lang w:eastAsia="bg-BG"/>
              </w:rPr>
              <w:t>Вид</w:t>
            </w:r>
          </w:p>
        </w:tc>
        <w:tc>
          <w:tcPr>
            <w:tcW w:w="1753" w:type="dxa"/>
            <w:tcBorders>
              <w:top w:val="nil"/>
              <w:left w:val="single" w:sz="4" w:space="0" w:color="auto"/>
              <w:bottom w:val="single" w:sz="4" w:space="0" w:color="auto"/>
              <w:right w:val="nil"/>
            </w:tcBorders>
            <w:shd w:val="clear" w:color="000000" w:fill="FFFFFF"/>
            <w:noWrap/>
            <w:vAlign w:val="center"/>
          </w:tcPr>
          <w:p w:rsidR="00863C99" w:rsidRPr="000E54EB" w:rsidRDefault="00CC6471" w:rsidP="0050776F">
            <w:pPr>
              <w:jc w:val="center"/>
              <w:rPr>
                <w:rFonts w:ascii="Verdana" w:hAnsi="Verdana" w:cs="Verdana"/>
                <w:b/>
                <w:bCs/>
                <w:sz w:val="20"/>
                <w:szCs w:val="20"/>
                <w:lang w:eastAsia="bg-BG"/>
              </w:rPr>
            </w:pPr>
            <w:r>
              <w:rPr>
                <w:rFonts w:ascii="Verdana" w:hAnsi="Verdana" w:cs="Verdana"/>
                <w:b/>
                <w:bCs/>
                <w:sz w:val="20"/>
                <w:szCs w:val="20"/>
                <w:lang w:eastAsia="bg-BG"/>
              </w:rPr>
              <w:t>30.06.2020</w:t>
            </w:r>
            <w:r w:rsidR="00863C99" w:rsidRPr="000E54EB">
              <w:rPr>
                <w:rFonts w:ascii="Verdana" w:hAnsi="Verdana" w:cs="Verdana"/>
                <w:b/>
                <w:bCs/>
                <w:sz w:val="20"/>
                <w:szCs w:val="20"/>
                <w:lang w:eastAsia="bg-BG"/>
              </w:rPr>
              <w:t xml:space="preserve"> г.</w:t>
            </w:r>
          </w:p>
        </w:tc>
        <w:tc>
          <w:tcPr>
            <w:tcW w:w="1837" w:type="dxa"/>
            <w:gridSpan w:val="2"/>
            <w:tcBorders>
              <w:top w:val="nil"/>
              <w:left w:val="single" w:sz="4" w:space="0" w:color="auto"/>
              <w:bottom w:val="single" w:sz="4" w:space="0" w:color="auto"/>
              <w:right w:val="single" w:sz="4" w:space="0" w:color="auto"/>
            </w:tcBorders>
            <w:shd w:val="clear" w:color="000000" w:fill="FFFFFF"/>
            <w:noWrap/>
            <w:vAlign w:val="center"/>
          </w:tcPr>
          <w:p w:rsidR="00863C99" w:rsidRPr="000E54EB" w:rsidRDefault="00CC6471" w:rsidP="001F704A">
            <w:pPr>
              <w:jc w:val="center"/>
              <w:rPr>
                <w:rFonts w:ascii="Verdana" w:hAnsi="Verdana" w:cs="Verdana"/>
                <w:b/>
                <w:bCs/>
                <w:sz w:val="20"/>
                <w:szCs w:val="20"/>
                <w:lang w:eastAsia="bg-BG"/>
              </w:rPr>
            </w:pPr>
            <w:r>
              <w:rPr>
                <w:rFonts w:ascii="Verdana" w:hAnsi="Verdana" w:cs="Verdana"/>
                <w:b/>
                <w:bCs/>
                <w:sz w:val="20"/>
                <w:szCs w:val="20"/>
                <w:lang w:eastAsia="bg-BG"/>
              </w:rPr>
              <w:t>31.12.2019</w:t>
            </w:r>
            <w:r w:rsidR="00863C99" w:rsidRPr="000E54EB">
              <w:rPr>
                <w:rFonts w:ascii="Verdana" w:hAnsi="Verdana" w:cs="Verdana"/>
                <w:b/>
                <w:bCs/>
                <w:sz w:val="20"/>
                <w:szCs w:val="20"/>
                <w:lang w:eastAsia="bg-BG"/>
              </w:rPr>
              <w:t xml:space="preserve"> г.</w:t>
            </w:r>
          </w:p>
        </w:tc>
      </w:tr>
      <w:tr w:rsidR="00863C99" w:rsidRPr="000E54EB">
        <w:trPr>
          <w:gridAfter w:val="1"/>
          <w:wAfter w:w="221" w:type="dxa"/>
          <w:trHeight w:val="460"/>
        </w:trPr>
        <w:tc>
          <w:tcPr>
            <w:tcW w:w="6049" w:type="dxa"/>
            <w:tcBorders>
              <w:top w:val="nil"/>
              <w:left w:val="single" w:sz="4" w:space="0" w:color="auto"/>
              <w:bottom w:val="single" w:sz="4" w:space="0" w:color="auto"/>
              <w:right w:val="nil"/>
            </w:tcBorders>
            <w:shd w:val="clear" w:color="000000" w:fill="FFFFFF"/>
            <w:vAlign w:val="center"/>
          </w:tcPr>
          <w:p w:rsidR="00863C99" w:rsidRPr="000E54EB" w:rsidRDefault="00863C99" w:rsidP="00CF512C">
            <w:pPr>
              <w:jc w:val="left"/>
              <w:rPr>
                <w:rFonts w:ascii="Verdana" w:hAnsi="Verdana" w:cs="Verdana"/>
                <w:sz w:val="20"/>
                <w:szCs w:val="20"/>
                <w:lang w:eastAsia="bg-BG"/>
              </w:rPr>
            </w:pPr>
            <w:r w:rsidRPr="000E54EB">
              <w:rPr>
                <w:rFonts w:ascii="Verdana" w:hAnsi="Verdana" w:cs="Verdana"/>
                <w:sz w:val="20"/>
                <w:szCs w:val="20"/>
                <w:lang w:eastAsia="bg-BG"/>
              </w:rPr>
              <w:t>Задължения за главници по кредити и заеми към свързани лица</w:t>
            </w:r>
          </w:p>
        </w:tc>
        <w:tc>
          <w:tcPr>
            <w:tcW w:w="1753" w:type="dxa"/>
            <w:tcBorders>
              <w:top w:val="nil"/>
              <w:left w:val="single" w:sz="4" w:space="0" w:color="auto"/>
              <w:bottom w:val="single" w:sz="4" w:space="0" w:color="auto"/>
              <w:right w:val="nil"/>
            </w:tcBorders>
            <w:shd w:val="clear" w:color="000000" w:fill="FFFFFF"/>
            <w:noWrap/>
            <w:vAlign w:val="center"/>
          </w:tcPr>
          <w:p w:rsidR="00863C99" w:rsidRDefault="00CC6471" w:rsidP="00CF512C">
            <w:pPr>
              <w:jc w:val="center"/>
              <w:rPr>
                <w:rFonts w:ascii="Verdana" w:hAnsi="Verdana" w:cs="Verdana"/>
                <w:sz w:val="20"/>
                <w:szCs w:val="20"/>
                <w:lang w:eastAsia="bg-BG"/>
              </w:rPr>
            </w:pPr>
            <w:r>
              <w:rPr>
                <w:rFonts w:ascii="Verdana" w:hAnsi="Verdana" w:cs="Verdana"/>
                <w:sz w:val="20"/>
                <w:szCs w:val="20"/>
                <w:lang w:eastAsia="bg-BG"/>
              </w:rPr>
              <w:t>4</w:t>
            </w:r>
            <w:r w:rsidR="00FC61FD">
              <w:rPr>
                <w:rFonts w:ascii="Verdana" w:hAnsi="Verdana" w:cs="Verdana"/>
                <w:sz w:val="20"/>
                <w:szCs w:val="20"/>
                <w:lang w:eastAsia="bg-BG"/>
              </w:rPr>
              <w:t>79</w:t>
            </w:r>
          </w:p>
        </w:tc>
        <w:tc>
          <w:tcPr>
            <w:tcW w:w="1837" w:type="dxa"/>
            <w:gridSpan w:val="2"/>
            <w:tcBorders>
              <w:top w:val="nil"/>
              <w:left w:val="single" w:sz="4" w:space="0" w:color="auto"/>
              <w:bottom w:val="single" w:sz="4" w:space="0" w:color="auto"/>
              <w:right w:val="single" w:sz="4" w:space="0" w:color="auto"/>
            </w:tcBorders>
            <w:shd w:val="clear" w:color="000000" w:fill="FFFFFF"/>
            <w:noWrap/>
            <w:vAlign w:val="center"/>
          </w:tcPr>
          <w:p w:rsidR="00863C99" w:rsidRPr="000E54EB" w:rsidRDefault="00CC6471" w:rsidP="001F704A">
            <w:pPr>
              <w:jc w:val="center"/>
              <w:rPr>
                <w:rFonts w:ascii="Verdana" w:hAnsi="Verdana" w:cs="Verdana"/>
                <w:sz w:val="20"/>
                <w:szCs w:val="20"/>
                <w:lang w:eastAsia="bg-BG"/>
              </w:rPr>
            </w:pPr>
            <w:r>
              <w:rPr>
                <w:rFonts w:ascii="Verdana" w:hAnsi="Verdana" w:cs="Verdana"/>
                <w:sz w:val="20"/>
                <w:szCs w:val="20"/>
                <w:lang w:eastAsia="bg-BG"/>
              </w:rPr>
              <w:t>373</w:t>
            </w:r>
          </w:p>
        </w:tc>
      </w:tr>
      <w:tr w:rsidR="00863C99" w:rsidRPr="000E54EB">
        <w:trPr>
          <w:gridAfter w:val="1"/>
          <w:wAfter w:w="221" w:type="dxa"/>
          <w:trHeight w:val="300"/>
        </w:trPr>
        <w:tc>
          <w:tcPr>
            <w:tcW w:w="6049" w:type="dxa"/>
            <w:tcBorders>
              <w:top w:val="nil"/>
              <w:left w:val="single" w:sz="4" w:space="0" w:color="auto"/>
              <w:bottom w:val="single" w:sz="4" w:space="0" w:color="auto"/>
              <w:right w:val="nil"/>
            </w:tcBorders>
            <w:shd w:val="clear" w:color="000000" w:fill="C5D9F1"/>
            <w:noWrap/>
            <w:vAlign w:val="center"/>
          </w:tcPr>
          <w:p w:rsidR="00863C99" w:rsidRPr="000E54EB" w:rsidRDefault="00863C99" w:rsidP="00CF512C">
            <w:pPr>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1753" w:type="dxa"/>
            <w:tcBorders>
              <w:top w:val="nil"/>
              <w:left w:val="single" w:sz="4" w:space="0" w:color="auto"/>
              <w:bottom w:val="single" w:sz="4" w:space="0" w:color="auto"/>
              <w:right w:val="nil"/>
            </w:tcBorders>
            <w:shd w:val="clear" w:color="000000" w:fill="C5D9F1"/>
            <w:noWrap/>
            <w:vAlign w:val="center"/>
          </w:tcPr>
          <w:p w:rsidR="00863C99" w:rsidRPr="000E54EB" w:rsidRDefault="00CC6471" w:rsidP="00CF512C">
            <w:pPr>
              <w:jc w:val="center"/>
              <w:rPr>
                <w:rFonts w:ascii="Verdana" w:hAnsi="Verdana" w:cs="Verdana"/>
                <w:b/>
                <w:bCs/>
                <w:sz w:val="20"/>
                <w:szCs w:val="20"/>
                <w:lang w:eastAsia="bg-BG"/>
              </w:rPr>
            </w:pPr>
            <w:r>
              <w:rPr>
                <w:rFonts w:ascii="Verdana" w:hAnsi="Verdana" w:cs="Verdana"/>
                <w:b/>
                <w:bCs/>
                <w:sz w:val="20"/>
                <w:szCs w:val="20"/>
                <w:lang w:eastAsia="bg-BG"/>
              </w:rPr>
              <w:t>4</w:t>
            </w:r>
            <w:r w:rsidR="00FC61FD">
              <w:rPr>
                <w:rFonts w:ascii="Verdana" w:hAnsi="Verdana" w:cs="Verdana"/>
                <w:b/>
                <w:bCs/>
                <w:sz w:val="20"/>
                <w:szCs w:val="20"/>
                <w:lang w:eastAsia="bg-BG"/>
              </w:rPr>
              <w:t>79</w:t>
            </w:r>
          </w:p>
        </w:tc>
        <w:tc>
          <w:tcPr>
            <w:tcW w:w="1837" w:type="dxa"/>
            <w:gridSpan w:val="2"/>
            <w:tcBorders>
              <w:top w:val="nil"/>
              <w:left w:val="single" w:sz="4" w:space="0" w:color="auto"/>
              <w:bottom w:val="single" w:sz="4" w:space="0" w:color="auto"/>
              <w:right w:val="single" w:sz="4" w:space="0" w:color="auto"/>
            </w:tcBorders>
            <w:shd w:val="clear" w:color="000000" w:fill="C5D9F1"/>
            <w:noWrap/>
            <w:vAlign w:val="center"/>
          </w:tcPr>
          <w:p w:rsidR="00863C99" w:rsidRPr="000E54EB" w:rsidRDefault="00863C99" w:rsidP="001F704A">
            <w:pPr>
              <w:jc w:val="center"/>
              <w:rPr>
                <w:rFonts w:ascii="Verdana" w:hAnsi="Verdana" w:cs="Verdana"/>
                <w:b/>
                <w:bCs/>
                <w:sz w:val="20"/>
                <w:szCs w:val="20"/>
                <w:lang w:eastAsia="bg-BG"/>
              </w:rPr>
            </w:pPr>
            <w:r w:rsidRPr="000E54EB">
              <w:rPr>
                <w:rFonts w:ascii="Verdana" w:hAnsi="Verdana" w:cs="Verdana"/>
                <w:b/>
                <w:bCs/>
                <w:sz w:val="20"/>
                <w:szCs w:val="20"/>
                <w:lang w:eastAsia="bg-BG"/>
              </w:rPr>
              <w:t>3</w:t>
            </w:r>
            <w:r w:rsidR="00CC6471">
              <w:rPr>
                <w:rFonts w:ascii="Verdana" w:hAnsi="Verdana" w:cs="Verdana"/>
                <w:b/>
                <w:bCs/>
                <w:sz w:val="20"/>
                <w:szCs w:val="20"/>
                <w:lang w:eastAsia="bg-BG"/>
              </w:rPr>
              <w:t>73</w:t>
            </w:r>
          </w:p>
        </w:tc>
      </w:tr>
      <w:tr w:rsidR="00863C99" w:rsidRPr="000E54EB">
        <w:trPr>
          <w:trHeight w:val="300"/>
        </w:trPr>
        <w:tc>
          <w:tcPr>
            <w:tcW w:w="6049" w:type="dxa"/>
            <w:tcBorders>
              <w:top w:val="nil"/>
              <w:left w:val="nil"/>
              <w:bottom w:val="nil"/>
              <w:right w:val="nil"/>
            </w:tcBorders>
            <w:noWrap/>
            <w:vAlign w:val="center"/>
          </w:tcPr>
          <w:p w:rsidR="00863C99" w:rsidRPr="000E54EB" w:rsidRDefault="00863C99" w:rsidP="00CF512C">
            <w:pPr>
              <w:jc w:val="left"/>
              <w:rPr>
                <w:rFonts w:ascii="Verdana" w:hAnsi="Verdana" w:cs="Verdana"/>
                <w:sz w:val="20"/>
                <w:szCs w:val="20"/>
                <w:lang w:eastAsia="bg-BG"/>
              </w:rPr>
            </w:pPr>
            <w:r w:rsidRPr="000E54EB">
              <w:rPr>
                <w:rFonts w:ascii="Verdana" w:hAnsi="Verdana" w:cs="Verdana"/>
                <w:sz w:val="20"/>
                <w:szCs w:val="20"/>
                <w:lang w:eastAsia="bg-BG"/>
              </w:rPr>
              <w:t> </w:t>
            </w:r>
          </w:p>
        </w:tc>
        <w:tc>
          <w:tcPr>
            <w:tcW w:w="1974" w:type="dxa"/>
            <w:gridSpan w:val="2"/>
            <w:tcBorders>
              <w:top w:val="nil"/>
              <w:left w:val="nil"/>
              <w:bottom w:val="nil"/>
              <w:right w:val="nil"/>
            </w:tcBorders>
            <w:noWrap/>
            <w:vAlign w:val="center"/>
          </w:tcPr>
          <w:p w:rsidR="00863C99" w:rsidRPr="000E54EB" w:rsidRDefault="00863C99" w:rsidP="00CF512C">
            <w:pPr>
              <w:jc w:val="left"/>
              <w:rPr>
                <w:rFonts w:ascii="Verdana" w:hAnsi="Verdana" w:cs="Verdana"/>
                <w:sz w:val="20"/>
                <w:szCs w:val="20"/>
                <w:lang w:eastAsia="bg-BG"/>
              </w:rPr>
            </w:pPr>
            <w:r w:rsidRPr="000E54EB">
              <w:rPr>
                <w:rFonts w:ascii="Verdana" w:hAnsi="Verdana" w:cs="Verdana"/>
                <w:sz w:val="20"/>
                <w:szCs w:val="20"/>
                <w:lang w:eastAsia="bg-BG"/>
              </w:rPr>
              <w:t> </w:t>
            </w:r>
          </w:p>
        </w:tc>
        <w:tc>
          <w:tcPr>
            <w:tcW w:w="1837" w:type="dxa"/>
            <w:gridSpan w:val="2"/>
            <w:tcBorders>
              <w:top w:val="nil"/>
              <w:left w:val="nil"/>
              <w:bottom w:val="nil"/>
              <w:right w:val="nil"/>
            </w:tcBorders>
            <w:noWrap/>
            <w:vAlign w:val="center"/>
          </w:tcPr>
          <w:p w:rsidR="00863C99" w:rsidRPr="000E54EB" w:rsidRDefault="00863C99" w:rsidP="00CF512C">
            <w:pPr>
              <w:jc w:val="left"/>
              <w:rPr>
                <w:rFonts w:ascii="Verdana" w:hAnsi="Verdana" w:cs="Verdana"/>
                <w:sz w:val="20"/>
                <w:szCs w:val="20"/>
                <w:lang w:eastAsia="bg-BG"/>
              </w:rPr>
            </w:pPr>
            <w:r w:rsidRPr="000E54EB">
              <w:rPr>
                <w:rFonts w:ascii="Verdana" w:hAnsi="Verdana" w:cs="Verdana"/>
                <w:sz w:val="20"/>
                <w:szCs w:val="20"/>
                <w:lang w:eastAsia="bg-BG"/>
              </w:rPr>
              <w:t> </w:t>
            </w:r>
          </w:p>
        </w:tc>
      </w:tr>
      <w:tr w:rsidR="00863C99" w:rsidRPr="000E54EB">
        <w:trPr>
          <w:gridAfter w:val="1"/>
          <w:wAfter w:w="221" w:type="dxa"/>
          <w:trHeight w:val="300"/>
        </w:trPr>
        <w:tc>
          <w:tcPr>
            <w:tcW w:w="9639" w:type="dxa"/>
            <w:gridSpan w:val="4"/>
            <w:tcBorders>
              <w:top w:val="single" w:sz="4" w:space="0" w:color="auto"/>
              <w:left w:val="single" w:sz="4" w:space="0" w:color="auto"/>
              <w:bottom w:val="single" w:sz="4" w:space="0" w:color="auto"/>
              <w:right w:val="single" w:sz="4" w:space="0" w:color="000000"/>
            </w:tcBorders>
            <w:noWrap/>
            <w:vAlign w:val="center"/>
          </w:tcPr>
          <w:p w:rsidR="00863C99" w:rsidRPr="000E54EB" w:rsidRDefault="00863C99" w:rsidP="00CF512C">
            <w:pPr>
              <w:jc w:val="left"/>
              <w:rPr>
                <w:rFonts w:ascii="Verdana" w:hAnsi="Verdana" w:cs="Verdana"/>
                <w:b/>
                <w:bCs/>
                <w:sz w:val="20"/>
                <w:szCs w:val="20"/>
                <w:lang w:eastAsia="bg-BG"/>
              </w:rPr>
            </w:pPr>
            <w:r w:rsidRPr="000E54EB">
              <w:rPr>
                <w:rFonts w:ascii="Verdana" w:hAnsi="Verdana" w:cs="Verdana"/>
                <w:b/>
                <w:bCs/>
                <w:sz w:val="20"/>
                <w:szCs w:val="20"/>
                <w:lang w:eastAsia="bg-BG"/>
              </w:rPr>
              <w:t>Балансова стойност на нетекущи финансови пасиви по валути (сумите са в BGN)</w:t>
            </w:r>
          </w:p>
        </w:tc>
      </w:tr>
      <w:tr w:rsidR="00863C99" w:rsidRPr="000E54EB">
        <w:trPr>
          <w:gridAfter w:val="1"/>
          <w:wAfter w:w="221" w:type="dxa"/>
          <w:trHeight w:val="300"/>
        </w:trPr>
        <w:tc>
          <w:tcPr>
            <w:tcW w:w="6049" w:type="dxa"/>
            <w:tcBorders>
              <w:top w:val="nil"/>
              <w:left w:val="single" w:sz="4" w:space="0" w:color="auto"/>
              <w:bottom w:val="single" w:sz="4" w:space="0" w:color="auto"/>
              <w:right w:val="nil"/>
            </w:tcBorders>
            <w:noWrap/>
            <w:vAlign w:val="center"/>
          </w:tcPr>
          <w:p w:rsidR="00863C99" w:rsidRPr="000E54EB" w:rsidRDefault="00863C99" w:rsidP="00CF512C">
            <w:pPr>
              <w:jc w:val="left"/>
              <w:rPr>
                <w:rFonts w:ascii="Verdana" w:hAnsi="Verdana" w:cs="Verdana"/>
                <w:b/>
                <w:bCs/>
                <w:sz w:val="20"/>
                <w:szCs w:val="20"/>
                <w:lang w:eastAsia="bg-BG"/>
              </w:rPr>
            </w:pPr>
            <w:r w:rsidRPr="000E54EB">
              <w:rPr>
                <w:rFonts w:ascii="Verdana" w:hAnsi="Verdana" w:cs="Verdana"/>
                <w:b/>
                <w:bCs/>
                <w:sz w:val="20"/>
                <w:szCs w:val="20"/>
                <w:lang w:eastAsia="bg-BG"/>
              </w:rPr>
              <w:t>Валута</w:t>
            </w:r>
          </w:p>
        </w:tc>
        <w:tc>
          <w:tcPr>
            <w:tcW w:w="1753" w:type="dxa"/>
            <w:tcBorders>
              <w:top w:val="nil"/>
              <w:left w:val="single" w:sz="4" w:space="0" w:color="auto"/>
              <w:bottom w:val="single" w:sz="4" w:space="0" w:color="auto"/>
              <w:right w:val="single" w:sz="4" w:space="0" w:color="auto"/>
            </w:tcBorders>
            <w:shd w:val="clear" w:color="000000" w:fill="FFFFFF"/>
            <w:noWrap/>
            <w:vAlign w:val="center"/>
          </w:tcPr>
          <w:p w:rsidR="00863C99" w:rsidRPr="000E54EB" w:rsidRDefault="004A4ACA" w:rsidP="0050776F">
            <w:pPr>
              <w:jc w:val="center"/>
              <w:rPr>
                <w:rFonts w:ascii="Verdana" w:hAnsi="Verdana" w:cs="Verdana"/>
                <w:b/>
                <w:bCs/>
                <w:sz w:val="20"/>
                <w:szCs w:val="20"/>
                <w:lang w:eastAsia="bg-BG"/>
              </w:rPr>
            </w:pPr>
            <w:r>
              <w:rPr>
                <w:rFonts w:ascii="Verdana" w:hAnsi="Verdana" w:cs="Verdana"/>
                <w:b/>
                <w:bCs/>
                <w:sz w:val="20"/>
                <w:szCs w:val="20"/>
                <w:lang w:eastAsia="bg-BG"/>
              </w:rPr>
              <w:t>30.06.2020</w:t>
            </w:r>
            <w:r w:rsidR="00863C99" w:rsidRPr="000E54EB">
              <w:rPr>
                <w:rFonts w:ascii="Verdana" w:hAnsi="Verdana" w:cs="Verdana"/>
                <w:b/>
                <w:bCs/>
                <w:sz w:val="20"/>
                <w:szCs w:val="20"/>
                <w:lang w:eastAsia="bg-BG"/>
              </w:rPr>
              <w:t xml:space="preserve"> г.</w:t>
            </w:r>
          </w:p>
        </w:tc>
        <w:tc>
          <w:tcPr>
            <w:tcW w:w="1837" w:type="dxa"/>
            <w:gridSpan w:val="2"/>
            <w:tcBorders>
              <w:top w:val="nil"/>
              <w:left w:val="nil"/>
              <w:bottom w:val="single" w:sz="4" w:space="0" w:color="auto"/>
              <w:right w:val="single" w:sz="4" w:space="0" w:color="auto"/>
            </w:tcBorders>
            <w:shd w:val="clear" w:color="000000" w:fill="FFFFFF"/>
            <w:noWrap/>
            <w:vAlign w:val="center"/>
          </w:tcPr>
          <w:p w:rsidR="00863C99" w:rsidRPr="000E54EB" w:rsidRDefault="00863C99" w:rsidP="004A4ACA">
            <w:pPr>
              <w:jc w:val="center"/>
              <w:rPr>
                <w:rFonts w:ascii="Verdana" w:hAnsi="Verdana" w:cs="Verdana"/>
                <w:b/>
                <w:bCs/>
                <w:sz w:val="20"/>
                <w:szCs w:val="20"/>
                <w:lang w:eastAsia="bg-BG"/>
              </w:rPr>
            </w:pPr>
            <w:r w:rsidRPr="000E54EB">
              <w:rPr>
                <w:rFonts w:ascii="Verdana" w:hAnsi="Verdana" w:cs="Verdana"/>
                <w:b/>
                <w:bCs/>
                <w:sz w:val="20"/>
                <w:szCs w:val="20"/>
                <w:lang w:eastAsia="bg-BG"/>
              </w:rPr>
              <w:t>31.12.201</w:t>
            </w:r>
            <w:r w:rsidR="004A4ACA">
              <w:rPr>
                <w:rFonts w:ascii="Verdana" w:hAnsi="Verdana" w:cs="Verdana"/>
                <w:b/>
                <w:bCs/>
                <w:sz w:val="20"/>
                <w:szCs w:val="20"/>
                <w:lang w:eastAsia="bg-BG"/>
              </w:rPr>
              <w:t>9</w:t>
            </w:r>
            <w:r w:rsidRPr="000E54EB">
              <w:rPr>
                <w:rFonts w:ascii="Verdana" w:hAnsi="Verdana" w:cs="Verdana"/>
                <w:b/>
                <w:bCs/>
                <w:sz w:val="20"/>
                <w:szCs w:val="20"/>
                <w:lang w:eastAsia="bg-BG"/>
              </w:rPr>
              <w:t xml:space="preserve"> г.</w:t>
            </w:r>
          </w:p>
        </w:tc>
      </w:tr>
      <w:tr w:rsidR="00863C99" w:rsidRPr="000E54EB">
        <w:trPr>
          <w:gridAfter w:val="1"/>
          <w:wAfter w:w="221" w:type="dxa"/>
          <w:trHeight w:val="300"/>
        </w:trPr>
        <w:tc>
          <w:tcPr>
            <w:tcW w:w="6049" w:type="dxa"/>
            <w:tcBorders>
              <w:top w:val="nil"/>
              <w:left w:val="single" w:sz="4" w:space="0" w:color="auto"/>
              <w:bottom w:val="single" w:sz="4" w:space="0" w:color="auto"/>
              <w:right w:val="nil"/>
            </w:tcBorders>
            <w:noWrap/>
            <w:vAlign w:val="center"/>
          </w:tcPr>
          <w:p w:rsidR="00863C99" w:rsidRPr="000E54EB" w:rsidRDefault="00863C99" w:rsidP="00CF512C">
            <w:pPr>
              <w:jc w:val="left"/>
              <w:rPr>
                <w:rFonts w:ascii="Verdana" w:hAnsi="Verdana" w:cs="Verdana"/>
                <w:sz w:val="20"/>
                <w:szCs w:val="20"/>
                <w:lang w:eastAsia="bg-BG"/>
              </w:rPr>
            </w:pPr>
            <w:r>
              <w:rPr>
                <w:rFonts w:ascii="Verdana" w:hAnsi="Verdana" w:cs="Verdana"/>
                <w:sz w:val="20"/>
                <w:szCs w:val="20"/>
                <w:lang w:eastAsia="bg-BG"/>
              </w:rPr>
              <w:t>ЛЕВА</w:t>
            </w:r>
          </w:p>
        </w:tc>
        <w:tc>
          <w:tcPr>
            <w:tcW w:w="1753" w:type="dxa"/>
            <w:tcBorders>
              <w:top w:val="nil"/>
              <w:left w:val="single" w:sz="4" w:space="0" w:color="auto"/>
              <w:bottom w:val="single" w:sz="4" w:space="0" w:color="auto"/>
              <w:right w:val="single" w:sz="4" w:space="0" w:color="auto"/>
            </w:tcBorders>
            <w:noWrap/>
            <w:vAlign w:val="center"/>
          </w:tcPr>
          <w:p w:rsidR="00863C99" w:rsidRDefault="004A4ACA" w:rsidP="00CF512C">
            <w:pPr>
              <w:jc w:val="center"/>
              <w:rPr>
                <w:rFonts w:ascii="Verdana" w:hAnsi="Verdana" w:cs="Verdana"/>
                <w:sz w:val="20"/>
                <w:szCs w:val="20"/>
                <w:lang w:eastAsia="bg-BG"/>
              </w:rPr>
            </w:pPr>
            <w:r>
              <w:rPr>
                <w:rFonts w:ascii="Verdana" w:hAnsi="Verdana" w:cs="Verdana"/>
                <w:sz w:val="20"/>
                <w:szCs w:val="20"/>
                <w:lang w:eastAsia="bg-BG"/>
              </w:rPr>
              <w:t>4</w:t>
            </w:r>
            <w:r w:rsidR="00FC61FD">
              <w:rPr>
                <w:rFonts w:ascii="Verdana" w:hAnsi="Verdana" w:cs="Verdana"/>
                <w:sz w:val="20"/>
                <w:szCs w:val="20"/>
                <w:lang w:eastAsia="bg-BG"/>
              </w:rPr>
              <w:t>79</w:t>
            </w:r>
          </w:p>
        </w:tc>
        <w:tc>
          <w:tcPr>
            <w:tcW w:w="1837" w:type="dxa"/>
            <w:gridSpan w:val="2"/>
            <w:tcBorders>
              <w:top w:val="nil"/>
              <w:left w:val="nil"/>
              <w:bottom w:val="single" w:sz="4" w:space="0" w:color="auto"/>
              <w:right w:val="single" w:sz="4" w:space="0" w:color="auto"/>
            </w:tcBorders>
            <w:noWrap/>
            <w:vAlign w:val="center"/>
          </w:tcPr>
          <w:p w:rsidR="00863C99" w:rsidRPr="000E54EB" w:rsidRDefault="00863C99" w:rsidP="001F704A">
            <w:pPr>
              <w:jc w:val="center"/>
              <w:rPr>
                <w:rFonts w:ascii="Verdana" w:hAnsi="Verdana" w:cs="Verdana"/>
                <w:sz w:val="20"/>
                <w:szCs w:val="20"/>
                <w:lang w:eastAsia="bg-BG"/>
              </w:rPr>
            </w:pPr>
            <w:r>
              <w:rPr>
                <w:rFonts w:ascii="Verdana" w:hAnsi="Verdana" w:cs="Verdana"/>
                <w:sz w:val="20"/>
                <w:szCs w:val="20"/>
                <w:lang w:eastAsia="bg-BG"/>
              </w:rPr>
              <w:t>373</w:t>
            </w:r>
          </w:p>
        </w:tc>
      </w:tr>
      <w:tr w:rsidR="00863C99" w:rsidRPr="000E54EB">
        <w:trPr>
          <w:gridAfter w:val="1"/>
          <w:wAfter w:w="221" w:type="dxa"/>
          <w:trHeight w:val="300"/>
        </w:trPr>
        <w:tc>
          <w:tcPr>
            <w:tcW w:w="6049" w:type="dxa"/>
            <w:tcBorders>
              <w:top w:val="nil"/>
              <w:left w:val="single" w:sz="4" w:space="0" w:color="auto"/>
              <w:bottom w:val="single" w:sz="4" w:space="0" w:color="auto"/>
              <w:right w:val="nil"/>
            </w:tcBorders>
            <w:shd w:val="clear" w:color="000000" w:fill="C5D9F1"/>
            <w:noWrap/>
            <w:vAlign w:val="center"/>
          </w:tcPr>
          <w:p w:rsidR="00863C99" w:rsidRPr="000E54EB" w:rsidRDefault="00863C99" w:rsidP="00CF512C">
            <w:pPr>
              <w:jc w:val="left"/>
              <w:rPr>
                <w:rFonts w:ascii="Verdana" w:hAnsi="Verdana" w:cs="Verdana"/>
                <w:b/>
                <w:bCs/>
                <w:sz w:val="20"/>
                <w:szCs w:val="20"/>
                <w:lang w:eastAsia="bg-BG"/>
              </w:rPr>
            </w:pPr>
            <w:r w:rsidRPr="000E54EB">
              <w:rPr>
                <w:rFonts w:ascii="Verdana" w:hAnsi="Verdana" w:cs="Verdana"/>
                <w:b/>
                <w:bCs/>
                <w:sz w:val="20"/>
                <w:szCs w:val="20"/>
                <w:lang w:eastAsia="bg-BG"/>
              </w:rPr>
              <w:t xml:space="preserve">Общо </w:t>
            </w:r>
          </w:p>
        </w:tc>
        <w:tc>
          <w:tcPr>
            <w:tcW w:w="1753" w:type="dxa"/>
            <w:tcBorders>
              <w:top w:val="nil"/>
              <w:left w:val="single" w:sz="4" w:space="0" w:color="auto"/>
              <w:bottom w:val="single" w:sz="4" w:space="0" w:color="auto"/>
              <w:right w:val="single" w:sz="4" w:space="0" w:color="auto"/>
            </w:tcBorders>
            <w:shd w:val="clear" w:color="000000" w:fill="C5D9F1"/>
            <w:noWrap/>
            <w:vAlign w:val="center"/>
          </w:tcPr>
          <w:p w:rsidR="00863C99" w:rsidRPr="000E54EB" w:rsidRDefault="004A4ACA" w:rsidP="00CF512C">
            <w:pPr>
              <w:jc w:val="center"/>
              <w:rPr>
                <w:rFonts w:ascii="Verdana" w:hAnsi="Verdana" w:cs="Verdana"/>
                <w:b/>
                <w:bCs/>
                <w:sz w:val="20"/>
                <w:szCs w:val="20"/>
                <w:lang w:eastAsia="bg-BG"/>
              </w:rPr>
            </w:pPr>
            <w:r>
              <w:rPr>
                <w:rFonts w:ascii="Verdana" w:hAnsi="Verdana" w:cs="Verdana"/>
                <w:b/>
                <w:bCs/>
                <w:sz w:val="20"/>
                <w:szCs w:val="20"/>
                <w:lang w:eastAsia="bg-BG"/>
              </w:rPr>
              <w:t>4</w:t>
            </w:r>
            <w:r w:rsidR="00FC61FD">
              <w:rPr>
                <w:rFonts w:ascii="Verdana" w:hAnsi="Verdana" w:cs="Verdana"/>
                <w:b/>
                <w:bCs/>
                <w:sz w:val="20"/>
                <w:szCs w:val="20"/>
                <w:lang w:eastAsia="bg-BG"/>
              </w:rPr>
              <w:t>79</w:t>
            </w:r>
          </w:p>
        </w:tc>
        <w:tc>
          <w:tcPr>
            <w:tcW w:w="1837" w:type="dxa"/>
            <w:gridSpan w:val="2"/>
            <w:tcBorders>
              <w:top w:val="nil"/>
              <w:left w:val="nil"/>
              <w:bottom w:val="single" w:sz="4" w:space="0" w:color="auto"/>
              <w:right w:val="single" w:sz="4" w:space="0" w:color="auto"/>
            </w:tcBorders>
            <w:shd w:val="clear" w:color="000000" w:fill="C5D9F1"/>
            <w:noWrap/>
            <w:vAlign w:val="center"/>
          </w:tcPr>
          <w:p w:rsidR="00863C99" w:rsidRPr="000E54EB" w:rsidRDefault="004A4ACA" w:rsidP="001F704A">
            <w:pPr>
              <w:jc w:val="center"/>
              <w:rPr>
                <w:rFonts w:ascii="Verdana" w:hAnsi="Verdana" w:cs="Verdana"/>
                <w:b/>
                <w:bCs/>
                <w:sz w:val="20"/>
                <w:szCs w:val="20"/>
                <w:lang w:eastAsia="bg-BG"/>
              </w:rPr>
            </w:pPr>
            <w:r>
              <w:rPr>
                <w:rFonts w:ascii="Verdana" w:hAnsi="Verdana" w:cs="Verdana"/>
                <w:b/>
                <w:bCs/>
                <w:sz w:val="20"/>
                <w:szCs w:val="20"/>
                <w:lang w:eastAsia="bg-BG"/>
              </w:rPr>
              <w:t>373</w:t>
            </w:r>
          </w:p>
        </w:tc>
      </w:tr>
    </w:tbl>
    <w:p w:rsidR="00863C99" w:rsidRPr="000E54EB" w:rsidRDefault="00863C99" w:rsidP="00B66DF8">
      <w:pPr>
        <w:pStyle w:val="Heading3"/>
        <w:rPr>
          <w:rFonts w:ascii="Verdana" w:hAnsi="Verdana" w:cs="Verdana"/>
          <w:lang w:val="bg-BG"/>
        </w:rPr>
      </w:pPr>
      <w:bookmarkStart w:id="169" w:name="_Toc4328860"/>
      <w:r w:rsidRPr="000E54EB">
        <w:rPr>
          <w:rFonts w:ascii="Verdana" w:hAnsi="Verdana" w:cs="Verdana"/>
          <w:lang w:val="bg-BG"/>
        </w:rPr>
        <w:t>Текущи пасиви</w:t>
      </w:r>
      <w:bookmarkEnd w:id="169"/>
    </w:p>
    <w:p w:rsidR="00863C99" w:rsidRPr="000E54EB" w:rsidRDefault="00863C99" w:rsidP="00B66DF8">
      <w:pPr>
        <w:pStyle w:val="Heading4"/>
        <w:rPr>
          <w:rFonts w:ascii="Verdana" w:hAnsi="Verdana" w:cs="Verdana"/>
          <w:i w:val="0"/>
          <w:iCs w:val="0"/>
          <w:lang w:val="bg-BG"/>
        </w:rPr>
      </w:pPr>
      <w:bookmarkStart w:id="170" w:name="_Toc4328861"/>
      <w:r w:rsidRPr="000E54EB">
        <w:rPr>
          <w:rFonts w:ascii="Verdana" w:hAnsi="Verdana" w:cs="Verdana"/>
          <w:i w:val="0"/>
          <w:iCs w:val="0"/>
          <w:lang w:val="bg-BG"/>
        </w:rPr>
        <w:t>2.1</w:t>
      </w:r>
      <w:r>
        <w:rPr>
          <w:rFonts w:ascii="Verdana" w:hAnsi="Verdana" w:cs="Verdana"/>
          <w:i w:val="0"/>
          <w:iCs w:val="0"/>
          <w:lang w:val="bg-BG"/>
        </w:rPr>
        <w:t>1</w:t>
      </w:r>
      <w:r w:rsidRPr="000E54EB">
        <w:rPr>
          <w:rFonts w:ascii="Verdana" w:hAnsi="Verdana" w:cs="Verdana"/>
          <w:i w:val="0"/>
          <w:iCs w:val="0"/>
          <w:lang w:val="bg-BG"/>
        </w:rPr>
        <w:t>. Текущи търговски и други задължения</w:t>
      </w:r>
      <w:bookmarkEnd w:id="170"/>
    </w:p>
    <w:tbl>
      <w:tblPr>
        <w:tblW w:w="9644" w:type="dxa"/>
        <w:tblInd w:w="-68" w:type="dxa"/>
        <w:tblCellMar>
          <w:left w:w="70" w:type="dxa"/>
          <w:right w:w="70" w:type="dxa"/>
        </w:tblCellMar>
        <w:tblLook w:val="00A0" w:firstRow="1" w:lastRow="0" w:firstColumn="1" w:lastColumn="0" w:noHBand="0" w:noVBand="0"/>
      </w:tblPr>
      <w:tblGrid>
        <w:gridCol w:w="6035"/>
        <w:gridCol w:w="1767"/>
        <w:gridCol w:w="1842"/>
      </w:tblGrid>
      <w:tr w:rsidR="00863C99" w:rsidRPr="000E54EB">
        <w:trPr>
          <w:trHeight w:val="300"/>
        </w:trPr>
        <w:tc>
          <w:tcPr>
            <w:tcW w:w="6035" w:type="dxa"/>
            <w:tcBorders>
              <w:top w:val="single" w:sz="4" w:space="0" w:color="auto"/>
              <w:left w:val="single" w:sz="4" w:space="0" w:color="auto"/>
              <w:bottom w:val="single" w:sz="4" w:space="0" w:color="auto"/>
              <w:right w:val="nil"/>
            </w:tcBorders>
            <w:noWrap/>
            <w:vAlign w:val="center"/>
          </w:tcPr>
          <w:p w:rsidR="00863C99" w:rsidRPr="000E54EB" w:rsidRDefault="00863C99" w:rsidP="00D73397">
            <w:pPr>
              <w:jc w:val="left"/>
              <w:rPr>
                <w:rFonts w:ascii="Verdana" w:hAnsi="Verdana" w:cs="Verdana"/>
                <w:b/>
                <w:bCs/>
                <w:sz w:val="20"/>
                <w:szCs w:val="20"/>
                <w:lang w:eastAsia="bg-BG"/>
              </w:rPr>
            </w:pPr>
            <w:r w:rsidRPr="000E54EB">
              <w:rPr>
                <w:rFonts w:ascii="Verdana" w:hAnsi="Verdana" w:cs="Verdana"/>
                <w:b/>
                <w:bCs/>
                <w:sz w:val="20"/>
                <w:szCs w:val="20"/>
                <w:lang w:eastAsia="bg-BG"/>
              </w:rPr>
              <w:t>Вид текущи задължения</w:t>
            </w:r>
          </w:p>
        </w:tc>
        <w:tc>
          <w:tcPr>
            <w:tcW w:w="1767" w:type="dxa"/>
            <w:tcBorders>
              <w:top w:val="single" w:sz="4" w:space="0" w:color="auto"/>
              <w:left w:val="single" w:sz="4" w:space="0" w:color="auto"/>
              <w:bottom w:val="single" w:sz="4" w:space="0" w:color="auto"/>
              <w:right w:val="single" w:sz="4" w:space="0" w:color="auto"/>
            </w:tcBorders>
            <w:noWrap/>
            <w:vAlign w:val="center"/>
          </w:tcPr>
          <w:p w:rsidR="00863C99" w:rsidRPr="000E54EB" w:rsidRDefault="003B3EE9" w:rsidP="0050776F">
            <w:pPr>
              <w:jc w:val="center"/>
              <w:rPr>
                <w:rFonts w:ascii="Verdana" w:hAnsi="Verdana" w:cs="Verdana"/>
                <w:b/>
                <w:bCs/>
                <w:sz w:val="20"/>
                <w:szCs w:val="20"/>
                <w:lang w:eastAsia="bg-BG"/>
              </w:rPr>
            </w:pPr>
            <w:r>
              <w:rPr>
                <w:rFonts w:ascii="Verdana" w:hAnsi="Verdana" w:cs="Verdana"/>
                <w:b/>
                <w:bCs/>
                <w:sz w:val="20"/>
                <w:szCs w:val="20"/>
                <w:lang w:eastAsia="bg-BG"/>
              </w:rPr>
              <w:t>30.06.2020</w:t>
            </w:r>
            <w:r w:rsidR="00863C99" w:rsidRPr="000E54EB">
              <w:rPr>
                <w:rFonts w:ascii="Verdana" w:hAnsi="Verdana" w:cs="Verdana"/>
                <w:b/>
                <w:bCs/>
                <w:sz w:val="20"/>
                <w:szCs w:val="20"/>
                <w:lang w:eastAsia="bg-BG"/>
              </w:rPr>
              <w:t xml:space="preserve"> г.</w:t>
            </w:r>
          </w:p>
        </w:tc>
        <w:tc>
          <w:tcPr>
            <w:tcW w:w="1842" w:type="dxa"/>
            <w:tcBorders>
              <w:top w:val="single" w:sz="4" w:space="0" w:color="auto"/>
              <w:left w:val="nil"/>
              <w:bottom w:val="single" w:sz="4" w:space="0" w:color="auto"/>
              <w:right w:val="single" w:sz="4" w:space="0" w:color="auto"/>
            </w:tcBorders>
            <w:noWrap/>
            <w:vAlign w:val="center"/>
          </w:tcPr>
          <w:p w:rsidR="00863C99" w:rsidRPr="000E54EB" w:rsidRDefault="00863C99" w:rsidP="0050776F">
            <w:pPr>
              <w:jc w:val="center"/>
              <w:rPr>
                <w:rFonts w:ascii="Verdana" w:hAnsi="Verdana" w:cs="Verdana"/>
                <w:b/>
                <w:bCs/>
                <w:sz w:val="20"/>
                <w:szCs w:val="20"/>
                <w:lang w:eastAsia="bg-BG"/>
              </w:rPr>
            </w:pPr>
            <w:r w:rsidRPr="000E54EB">
              <w:rPr>
                <w:rFonts w:ascii="Verdana" w:hAnsi="Verdana" w:cs="Verdana"/>
                <w:b/>
                <w:bCs/>
                <w:sz w:val="20"/>
                <w:szCs w:val="20"/>
                <w:lang w:eastAsia="bg-BG"/>
              </w:rPr>
              <w:t>31.12.201</w:t>
            </w:r>
            <w:r w:rsidR="0023433E">
              <w:rPr>
                <w:rFonts w:ascii="Verdana" w:hAnsi="Verdana" w:cs="Verdana"/>
                <w:b/>
                <w:bCs/>
                <w:sz w:val="20"/>
                <w:szCs w:val="20"/>
                <w:lang w:eastAsia="bg-BG"/>
              </w:rPr>
              <w:t>9</w:t>
            </w:r>
            <w:r w:rsidRPr="000E54EB">
              <w:rPr>
                <w:rFonts w:ascii="Verdana" w:hAnsi="Verdana" w:cs="Verdana"/>
                <w:b/>
                <w:bCs/>
                <w:sz w:val="20"/>
                <w:szCs w:val="20"/>
                <w:lang w:eastAsia="bg-BG"/>
              </w:rPr>
              <w:t xml:space="preserve"> г.</w:t>
            </w:r>
          </w:p>
        </w:tc>
      </w:tr>
      <w:tr w:rsidR="0023433E" w:rsidRPr="000E54EB">
        <w:trPr>
          <w:trHeight w:val="300"/>
        </w:trPr>
        <w:tc>
          <w:tcPr>
            <w:tcW w:w="6035" w:type="dxa"/>
            <w:tcBorders>
              <w:top w:val="nil"/>
              <w:left w:val="single" w:sz="4" w:space="0" w:color="auto"/>
              <w:bottom w:val="single" w:sz="4" w:space="0" w:color="auto"/>
              <w:right w:val="nil"/>
            </w:tcBorders>
            <w:noWrap/>
            <w:vAlign w:val="center"/>
          </w:tcPr>
          <w:p w:rsidR="0023433E" w:rsidRPr="000E54EB" w:rsidRDefault="0023433E" w:rsidP="00D73397">
            <w:pPr>
              <w:jc w:val="left"/>
              <w:rPr>
                <w:rFonts w:ascii="Verdana" w:hAnsi="Verdana" w:cs="Verdana"/>
                <w:b/>
                <w:bCs/>
                <w:sz w:val="20"/>
                <w:szCs w:val="20"/>
                <w:lang w:eastAsia="bg-BG"/>
              </w:rPr>
            </w:pPr>
            <w:r w:rsidRPr="000E54EB">
              <w:rPr>
                <w:rFonts w:ascii="Verdana" w:hAnsi="Verdana" w:cs="Verdana"/>
                <w:b/>
                <w:bCs/>
                <w:sz w:val="20"/>
                <w:szCs w:val="20"/>
                <w:lang w:eastAsia="bg-BG"/>
              </w:rPr>
              <w:t>Задължения към свързани предприятия, в т.ч.:</w:t>
            </w:r>
          </w:p>
        </w:tc>
        <w:tc>
          <w:tcPr>
            <w:tcW w:w="1767" w:type="dxa"/>
            <w:tcBorders>
              <w:top w:val="nil"/>
              <w:left w:val="single" w:sz="4" w:space="0" w:color="auto"/>
              <w:bottom w:val="single" w:sz="4" w:space="0" w:color="auto"/>
              <w:right w:val="single" w:sz="4" w:space="0" w:color="auto"/>
            </w:tcBorders>
            <w:noWrap/>
            <w:vAlign w:val="center"/>
          </w:tcPr>
          <w:p w:rsidR="0023433E" w:rsidRPr="000E54EB" w:rsidRDefault="00143E0F" w:rsidP="00D73397">
            <w:pPr>
              <w:jc w:val="center"/>
              <w:rPr>
                <w:rFonts w:ascii="Verdana" w:hAnsi="Verdana" w:cs="Verdana"/>
                <w:b/>
                <w:bCs/>
                <w:sz w:val="20"/>
                <w:szCs w:val="20"/>
                <w:lang w:eastAsia="bg-BG"/>
              </w:rPr>
            </w:pPr>
            <w:r>
              <w:rPr>
                <w:rFonts w:ascii="Verdana" w:hAnsi="Verdana" w:cs="Verdana"/>
                <w:b/>
                <w:bCs/>
                <w:sz w:val="20"/>
                <w:szCs w:val="20"/>
                <w:lang w:eastAsia="bg-BG"/>
              </w:rPr>
              <w:t xml:space="preserve">1 </w:t>
            </w:r>
            <w:r w:rsidR="00D3689E">
              <w:rPr>
                <w:rFonts w:ascii="Verdana" w:hAnsi="Verdana" w:cs="Verdana"/>
                <w:b/>
                <w:bCs/>
                <w:sz w:val="20"/>
                <w:szCs w:val="20"/>
                <w:lang w:eastAsia="bg-BG"/>
              </w:rPr>
              <w:t>189</w:t>
            </w:r>
          </w:p>
        </w:tc>
        <w:tc>
          <w:tcPr>
            <w:tcW w:w="1842" w:type="dxa"/>
            <w:tcBorders>
              <w:top w:val="nil"/>
              <w:left w:val="nil"/>
              <w:bottom w:val="single" w:sz="4" w:space="0" w:color="auto"/>
              <w:right w:val="single" w:sz="4" w:space="0" w:color="auto"/>
            </w:tcBorders>
            <w:noWrap/>
            <w:vAlign w:val="center"/>
          </w:tcPr>
          <w:p w:rsidR="0023433E" w:rsidRPr="000E54EB" w:rsidRDefault="0023433E" w:rsidP="00A77C33">
            <w:pPr>
              <w:jc w:val="center"/>
              <w:rPr>
                <w:rFonts w:ascii="Verdana" w:hAnsi="Verdana" w:cs="Verdana"/>
                <w:b/>
                <w:bCs/>
                <w:sz w:val="20"/>
                <w:szCs w:val="20"/>
                <w:lang w:eastAsia="bg-BG"/>
              </w:rPr>
            </w:pPr>
            <w:r>
              <w:rPr>
                <w:rFonts w:ascii="Verdana" w:hAnsi="Verdana" w:cs="Verdana"/>
                <w:b/>
                <w:bCs/>
                <w:sz w:val="20"/>
                <w:szCs w:val="20"/>
                <w:lang w:eastAsia="bg-BG"/>
              </w:rPr>
              <w:t>1 414</w:t>
            </w:r>
          </w:p>
        </w:tc>
      </w:tr>
      <w:tr w:rsidR="0023433E" w:rsidRPr="000E54EB">
        <w:trPr>
          <w:trHeight w:val="300"/>
        </w:trPr>
        <w:tc>
          <w:tcPr>
            <w:tcW w:w="6035" w:type="dxa"/>
            <w:tcBorders>
              <w:top w:val="nil"/>
              <w:left w:val="single" w:sz="4" w:space="0" w:color="auto"/>
              <w:bottom w:val="single" w:sz="4" w:space="0" w:color="auto"/>
              <w:right w:val="nil"/>
            </w:tcBorders>
            <w:noWrap/>
            <w:vAlign w:val="center"/>
          </w:tcPr>
          <w:p w:rsidR="0023433E" w:rsidRPr="000E54EB" w:rsidRDefault="0023433E" w:rsidP="00D73397">
            <w:pPr>
              <w:jc w:val="left"/>
              <w:rPr>
                <w:rFonts w:ascii="Verdana" w:hAnsi="Verdana" w:cs="Verdana"/>
                <w:sz w:val="20"/>
                <w:szCs w:val="20"/>
                <w:lang w:eastAsia="bg-BG"/>
              </w:rPr>
            </w:pPr>
            <w:r w:rsidRPr="000E54EB">
              <w:rPr>
                <w:rFonts w:ascii="Verdana" w:hAnsi="Verdana" w:cs="Verdana"/>
                <w:sz w:val="20"/>
                <w:szCs w:val="20"/>
                <w:lang w:eastAsia="bg-BG"/>
              </w:rPr>
              <w:t>Задължения по доставки</w:t>
            </w:r>
          </w:p>
        </w:tc>
        <w:tc>
          <w:tcPr>
            <w:tcW w:w="1767" w:type="dxa"/>
            <w:tcBorders>
              <w:top w:val="nil"/>
              <w:left w:val="single" w:sz="4" w:space="0" w:color="auto"/>
              <w:bottom w:val="single" w:sz="4" w:space="0" w:color="auto"/>
              <w:right w:val="single" w:sz="4" w:space="0" w:color="auto"/>
            </w:tcBorders>
            <w:noWrap/>
            <w:vAlign w:val="center"/>
          </w:tcPr>
          <w:p w:rsidR="0023433E" w:rsidRPr="000E54EB" w:rsidRDefault="00143E0F" w:rsidP="00273B1A">
            <w:pPr>
              <w:jc w:val="center"/>
              <w:rPr>
                <w:rFonts w:ascii="Verdana" w:hAnsi="Verdana" w:cs="Verdana"/>
                <w:sz w:val="20"/>
                <w:szCs w:val="20"/>
                <w:lang w:eastAsia="bg-BG"/>
              </w:rPr>
            </w:pPr>
            <w:r>
              <w:rPr>
                <w:rFonts w:ascii="Verdana" w:hAnsi="Verdana" w:cs="Verdana"/>
                <w:sz w:val="20"/>
                <w:szCs w:val="20"/>
                <w:lang w:eastAsia="bg-BG"/>
              </w:rPr>
              <w:t xml:space="preserve">1 </w:t>
            </w:r>
            <w:r w:rsidR="00D3689E">
              <w:rPr>
                <w:rFonts w:ascii="Verdana" w:hAnsi="Verdana" w:cs="Verdana"/>
                <w:sz w:val="20"/>
                <w:szCs w:val="20"/>
                <w:lang w:eastAsia="bg-BG"/>
              </w:rPr>
              <w:t>182</w:t>
            </w:r>
          </w:p>
        </w:tc>
        <w:tc>
          <w:tcPr>
            <w:tcW w:w="1842" w:type="dxa"/>
            <w:tcBorders>
              <w:top w:val="nil"/>
              <w:left w:val="nil"/>
              <w:bottom w:val="single" w:sz="4" w:space="0" w:color="auto"/>
              <w:right w:val="single" w:sz="4" w:space="0" w:color="auto"/>
            </w:tcBorders>
            <w:noWrap/>
            <w:vAlign w:val="center"/>
          </w:tcPr>
          <w:p w:rsidR="0023433E" w:rsidRPr="001424F9" w:rsidRDefault="0023433E" w:rsidP="00A77C33">
            <w:pPr>
              <w:jc w:val="center"/>
              <w:rPr>
                <w:rFonts w:ascii="Verdana" w:hAnsi="Verdana" w:cs="Verdana"/>
                <w:sz w:val="20"/>
                <w:szCs w:val="20"/>
                <w:lang w:val="en-US" w:eastAsia="bg-BG"/>
              </w:rPr>
            </w:pPr>
            <w:r>
              <w:rPr>
                <w:rFonts w:ascii="Verdana" w:hAnsi="Verdana" w:cs="Verdana"/>
                <w:sz w:val="20"/>
                <w:szCs w:val="20"/>
                <w:lang w:eastAsia="bg-BG"/>
              </w:rPr>
              <w:t xml:space="preserve"> 1 </w:t>
            </w:r>
            <w:r w:rsidRPr="000E54EB">
              <w:rPr>
                <w:rFonts w:ascii="Verdana" w:hAnsi="Verdana" w:cs="Verdana"/>
                <w:sz w:val="20"/>
                <w:szCs w:val="20"/>
                <w:lang w:eastAsia="bg-BG"/>
              </w:rPr>
              <w:t>4</w:t>
            </w:r>
            <w:r w:rsidR="00E7545D">
              <w:rPr>
                <w:rFonts w:ascii="Verdana" w:hAnsi="Verdana" w:cs="Verdana"/>
                <w:sz w:val="20"/>
                <w:szCs w:val="20"/>
                <w:lang w:eastAsia="bg-BG"/>
              </w:rPr>
              <w:t>1</w:t>
            </w:r>
            <w:r w:rsidR="001424F9">
              <w:rPr>
                <w:rFonts w:ascii="Verdana" w:hAnsi="Verdana" w:cs="Verdana"/>
                <w:sz w:val="20"/>
                <w:szCs w:val="20"/>
                <w:lang w:val="en-US" w:eastAsia="bg-BG"/>
              </w:rPr>
              <w:t>0</w:t>
            </w:r>
          </w:p>
        </w:tc>
      </w:tr>
      <w:tr w:rsidR="0023433E" w:rsidRPr="000E54EB">
        <w:trPr>
          <w:trHeight w:val="300"/>
        </w:trPr>
        <w:tc>
          <w:tcPr>
            <w:tcW w:w="6035" w:type="dxa"/>
            <w:tcBorders>
              <w:top w:val="nil"/>
              <w:left w:val="single" w:sz="4" w:space="0" w:color="auto"/>
              <w:bottom w:val="single" w:sz="4" w:space="0" w:color="auto"/>
              <w:right w:val="nil"/>
            </w:tcBorders>
            <w:noWrap/>
            <w:vAlign w:val="center"/>
          </w:tcPr>
          <w:p w:rsidR="0023433E" w:rsidRPr="000E54EB" w:rsidRDefault="0023433E" w:rsidP="00D73397">
            <w:pPr>
              <w:jc w:val="left"/>
              <w:rPr>
                <w:rFonts w:ascii="Verdana" w:hAnsi="Verdana" w:cs="Verdana"/>
                <w:sz w:val="20"/>
                <w:szCs w:val="20"/>
                <w:lang w:eastAsia="bg-BG"/>
              </w:rPr>
            </w:pPr>
            <w:r w:rsidRPr="000E54EB">
              <w:rPr>
                <w:rFonts w:ascii="Verdana" w:hAnsi="Verdana" w:cs="Verdana"/>
                <w:sz w:val="20"/>
                <w:szCs w:val="20"/>
                <w:lang w:eastAsia="bg-BG"/>
              </w:rPr>
              <w:t xml:space="preserve">Други задължения </w:t>
            </w:r>
          </w:p>
        </w:tc>
        <w:tc>
          <w:tcPr>
            <w:tcW w:w="1767" w:type="dxa"/>
            <w:tcBorders>
              <w:top w:val="nil"/>
              <w:left w:val="single" w:sz="4" w:space="0" w:color="auto"/>
              <w:bottom w:val="single" w:sz="4" w:space="0" w:color="auto"/>
              <w:right w:val="single" w:sz="4" w:space="0" w:color="auto"/>
            </w:tcBorders>
            <w:noWrap/>
            <w:vAlign w:val="center"/>
          </w:tcPr>
          <w:p w:rsidR="0023433E" w:rsidRPr="000E54EB" w:rsidRDefault="0050563E" w:rsidP="00D73397">
            <w:pPr>
              <w:jc w:val="center"/>
              <w:rPr>
                <w:rFonts w:ascii="Verdana" w:hAnsi="Verdana" w:cs="Verdana"/>
                <w:sz w:val="20"/>
                <w:szCs w:val="20"/>
                <w:lang w:eastAsia="bg-BG"/>
              </w:rPr>
            </w:pPr>
            <w:r>
              <w:rPr>
                <w:rFonts w:ascii="Verdana" w:hAnsi="Verdana" w:cs="Verdana"/>
                <w:sz w:val="20"/>
                <w:szCs w:val="20"/>
                <w:lang w:eastAsia="bg-BG"/>
              </w:rPr>
              <w:t>7</w:t>
            </w:r>
          </w:p>
        </w:tc>
        <w:tc>
          <w:tcPr>
            <w:tcW w:w="1842" w:type="dxa"/>
            <w:tcBorders>
              <w:top w:val="nil"/>
              <w:left w:val="nil"/>
              <w:bottom w:val="single" w:sz="4" w:space="0" w:color="auto"/>
              <w:right w:val="single" w:sz="4" w:space="0" w:color="auto"/>
            </w:tcBorders>
            <w:noWrap/>
            <w:vAlign w:val="center"/>
          </w:tcPr>
          <w:p w:rsidR="0023433E" w:rsidRPr="000E54EB" w:rsidRDefault="0050563E" w:rsidP="00A77C33">
            <w:pPr>
              <w:jc w:val="center"/>
              <w:rPr>
                <w:rFonts w:ascii="Verdana" w:hAnsi="Verdana" w:cs="Verdana"/>
                <w:sz w:val="20"/>
                <w:szCs w:val="20"/>
                <w:lang w:eastAsia="bg-BG"/>
              </w:rPr>
            </w:pPr>
            <w:r>
              <w:rPr>
                <w:rFonts w:ascii="Verdana" w:hAnsi="Verdana" w:cs="Verdana"/>
                <w:sz w:val="20"/>
                <w:szCs w:val="20"/>
                <w:lang w:eastAsia="bg-BG"/>
              </w:rPr>
              <w:t>4</w:t>
            </w:r>
          </w:p>
        </w:tc>
      </w:tr>
      <w:tr w:rsidR="0023433E" w:rsidRPr="000E54EB">
        <w:trPr>
          <w:trHeight w:val="300"/>
        </w:trPr>
        <w:tc>
          <w:tcPr>
            <w:tcW w:w="6035" w:type="dxa"/>
            <w:tcBorders>
              <w:top w:val="nil"/>
              <w:left w:val="single" w:sz="4" w:space="0" w:color="auto"/>
              <w:bottom w:val="single" w:sz="4" w:space="0" w:color="auto"/>
              <w:right w:val="nil"/>
            </w:tcBorders>
            <w:noWrap/>
            <w:vAlign w:val="center"/>
          </w:tcPr>
          <w:p w:rsidR="0023433E" w:rsidRPr="000E54EB" w:rsidRDefault="0023433E" w:rsidP="00D73397">
            <w:pPr>
              <w:jc w:val="left"/>
              <w:rPr>
                <w:rFonts w:ascii="Verdana" w:hAnsi="Verdana" w:cs="Verdana"/>
                <w:b/>
                <w:bCs/>
                <w:sz w:val="20"/>
                <w:szCs w:val="20"/>
                <w:lang w:eastAsia="bg-BG"/>
              </w:rPr>
            </w:pPr>
            <w:r w:rsidRPr="000E54EB">
              <w:rPr>
                <w:rFonts w:ascii="Verdana" w:hAnsi="Verdana" w:cs="Verdana"/>
                <w:b/>
                <w:bCs/>
                <w:sz w:val="20"/>
                <w:szCs w:val="20"/>
                <w:lang w:eastAsia="bg-BG"/>
              </w:rPr>
              <w:t>Задължения по доставки</w:t>
            </w:r>
          </w:p>
        </w:tc>
        <w:tc>
          <w:tcPr>
            <w:tcW w:w="1767" w:type="dxa"/>
            <w:tcBorders>
              <w:top w:val="nil"/>
              <w:left w:val="single" w:sz="4" w:space="0" w:color="auto"/>
              <w:bottom w:val="single" w:sz="4" w:space="0" w:color="auto"/>
              <w:right w:val="single" w:sz="4" w:space="0" w:color="auto"/>
            </w:tcBorders>
            <w:noWrap/>
            <w:vAlign w:val="center"/>
          </w:tcPr>
          <w:p w:rsidR="0023433E" w:rsidRPr="000E54EB" w:rsidRDefault="00D3689E" w:rsidP="00D73397">
            <w:pPr>
              <w:jc w:val="center"/>
              <w:rPr>
                <w:rFonts w:ascii="Verdana" w:hAnsi="Verdana" w:cs="Verdana"/>
                <w:b/>
                <w:bCs/>
                <w:sz w:val="20"/>
                <w:szCs w:val="20"/>
                <w:lang w:eastAsia="bg-BG"/>
              </w:rPr>
            </w:pPr>
            <w:r>
              <w:rPr>
                <w:rFonts w:ascii="Verdana" w:hAnsi="Verdana" w:cs="Verdana"/>
                <w:b/>
                <w:bCs/>
                <w:sz w:val="20"/>
                <w:szCs w:val="20"/>
                <w:lang w:eastAsia="bg-BG"/>
              </w:rPr>
              <w:t>6</w:t>
            </w:r>
            <w:r w:rsidR="00143E0F">
              <w:rPr>
                <w:rFonts w:ascii="Verdana" w:hAnsi="Verdana" w:cs="Verdana"/>
                <w:b/>
                <w:bCs/>
                <w:sz w:val="20"/>
                <w:szCs w:val="20"/>
                <w:lang w:eastAsia="bg-BG"/>
              </w:rPr>
              <w:t>9</w:t>
            </w:r>
          </w:p>
        </w:tc>
        <w:tc>
          <w:tcPr>
            <w:tcW w:w="1842" w:type="dxa"/>
            <w:tcBorders>
              <w:top w:val="nil"/>
              <w:left w:val="nil"/>
              <w:bottom w:val="single" w:sz="4" w:space="0" w:color="auto"/>
              <w:right w:val="single" w:sz="4" w:space="0" w:color="auto"/>
            </w:tcBorders>
            <w:noWrap/>
            <w:vAlign w:val="center"/>
          </w:tcPr>
          <w:p w:rsidR="0023433E" w:rsidRPr="000E54EB" w:rsidRDefault="0023433E" w:rsidP="00A77C33">
            <w:pPr>
              <w:jc w:val="center"/>
              <w:rPr>
                <w:rFonts w:ascii="Verdana" w:hAnsi="Verdana" w:cs="Verdana"/>
                <w:b/>
                <w:bCs/>
                <w:sz w:val="20"/>
                <w:szCs w:val="20"/>
                <w:lang w:eastAsia="bg-BG"/>
              </w:rPr>
            </w:pPr>
            <w:r>
              <w:rPr>
                <w:rFonts w:ascii="Verdana" w:hAnsi="Verdana" w:cs="Verdana"/>
                <w:b/>
                <w:bCs/>
                <w:sz w:val="20"/>
                <w:szCs w:val="20"/>
                <w:lang w:eastAsia="bg-BG"/>
              </w:rPr>
              <w:t>596</w:t>
            </w:r>
          </w:p>
        </w:tc>
      </w:tr>
      <w:tr w:rsidR="0023433E" w:rsidRPr="000E54EB">
        <w:trPr>
          <w:trHeight w:val="300"/>
        </w:trPr>
        <w:tc>
          <w:tcPr>
            <w:tcW w:w="6035" w:type="dxa"/>
            <w:tcBorders>
              <w:top w:val="nil"/>
              <w:left w:val="single" w:sz="4" w:space="0" w:color="auto"/>
              <w:bottom w:val="single" w:sz="4" w:space="0" w:color="auto"/>
              <w:right w:val="nil"/>
            </w:tcBorders>
            <w:noWrap/>
            <w:vAlign w:val="center"/>
          </w:tcPr>
          <w:p w:rsidR="0023433E" w:rsidRPr="000E54EB" w:rsidRDefault="0023433E" w:rsidP="00D73397">
            <w:pPr>
              <w:jc w:val="left"/>
              <w:rPr>
                <w:rFonts w:ascii="Verdana" w:hAnsi="Verdana" w:cs="Verdana"/>
                <w:b/>
                <w:bCs/>
                <w:sz w:val="20"/>
                <w:szCs w:val="20"/>
                <w:lang w:eastAsia="bg-BG"/>
              </w:rPr>
            </w:pPr>
            <w:r w:rsidRPr="000E54EB">
              <w:rPr>
                <w:rFonts w:ascii="Verdana" w:hAnsi="Verdana" w:cs="Verdana"/>
                <w:b/>
                <w:bCs/>
                <w:sz w:val="20"/>
                <w:szCs w:val="20"/>
                <w:lang w:eastAsia="bg-BG"/>
              </w:rPr>
              <w:t>Задължения по получени аванси</w:t>
            </w:r>
          </w:p>
        </w:tc>
        <w:tc>
          <w:tcPr>
            <w:tcW w:w="1767" w:type="dxa"/>
            <w:tcBorders>
              <w:top w:val="nil"/>
              <w:left w:val="single" w:sz="4" w:space="0" w:color="auto"/>
              <w:bottom w:val="single" w:sz="4" w:space="0" w:color="auto"/>
              <w:right w:val="single" w:sz="4" w:space="0" w:color="auto"/>
            </w:tcBorders>
            <w:noWrap/>
            <w:vAlign w:val="center"/>
          </w:tcPr>
          <w:p w:rsidR="0023433E" w:rsidRPr="000E54EB" w:rsidRDefault="00143E0F" w:rsidP="00D73397">
            <w:pPr>
              <w:jc w:val="center"/>
              <w:rPr>
                <w:rFonts w:ascii="Verdana" w:hAnsi="Verdana" w:cs="Verdana"/>
                <w:b/>
                <w:bCs/>
                <w:sz w:val="20"/>
                <w:szCs w:val="20"/>
                <w:lang w:eastAsia="bg-BG"/>
              </w:rPr>
            </w:pPr>
            <w:r>
              <w:rPr>
                <w:rFonts w:ascii="Verdana" w:hAnsi="Verdana" w:cs="Verdana"/>
                <w:b/>
                <w:bCs/>
                <w:sz w:val="20"/>
                <w:szCs w:val="20"/>
                <w:lang w:eastAsia="bg-BG"/>
              </w:rPr>
              <w:t>2</w:t>
            </w:r>
          </w:p>
        </w:tc>
        <w:tc>
          <w:tcPr>
            <w:tcW w:w="1842" w:type="dxa"/>
            <w:tcBorders>
              <w:top w:val="nil"/>
              <w:left w:val="nil"/>
              <w:bottom w:val="single" w:sz="4" w:space="0" w:color="auto"/>
              <w:right w:val="single" w:sz="4" w:space="0" w:color="auto"/>
            </w:tcBorders>
            <w:noWrap/>
            <w:vAlign w:val="center"/>
          </w:tcPr>
          <w:p w:rsidR="0023433E" w:rsidRPr="000E54EB" w:rsidRDefault="0023433E" w:rsidP="00A77C33">
            <w:pPr>
              <w:jc w:val="center"/>
              <w:rPr>
                <w:rFonts w:ascii="Verdana" w:hAnsi="Verdana" w:cs="Verdana"/>
                <w:b/>
                <w:bCs/>
                <w:sz w:val="20"/>
                <w:szCs w:val="20"/>
                <w:lang w:eastAsia="bg-BG"/>
              </w:rPr>
            </w:pPr>
            <w:r>
              <w:rPr>
                <w:rFonts w:ascii="Verdana" w:hAnsi="Verdana" w:cs="Verdana"/>
                <w:b/>
                <w:bCs/>
                <w:sz w:val="20"/>
                <w:szCs w:val="20"/>
                <w:lang w:eastAsia="bg-BG"/>
              </w:rPr>
              <w:t>4</w:t>
            </w:r>
          </w:p>
        </w:tc>
      </w:tr>
      <w:tr w:rsidR="0023433E" w:rsidRPr="000E54EB">
        <w:trPr>
          <w:trHeight w:val="300"/>
        </w:trPr>
        <w:tc>
          <w:tcPr>
            <w:tcW w:w="6035" w:type="dxa"/>
            <w:tcBorders>
              <w:top w:val="nil"/>
              <w:left w:val="single" w:sz="4" w:space="0" w:color="auto"/>
              <w:bottom w:val="single" w:sz="4" w:space="0" w:color="auto"/>
              <w:right w:val="nil"/>
            </w:tcBorders>
            <w:noWrap/>
            <w:vAlign w:val="center"/>
          </w:tcPr>
          <w:p w:rsidR="0023433E" w:rsidRPr="000E54EB" w:rsidRDefault="0023433E" w:rsidP="00D73397">
            <w:pPr>
              <w:jc w:val="left"/>
              <w:rPr>
                <w:rFonts w:ascii="Verdana" w:hAnsi="Verdana" w:cs="Verdana"/>
                <w:b/>
                <w:bCs/>
                <w:sz w:val="20"/>
                <w:szCs w:val="20"/>
                <w:lang w:eastAsia="bg-BG"/>
              </w:rPr>
            </w:pPr>
            <w:r w:rsidRPr="000E54EB">
              <w:rPr>
                <w:rFonts w:ascii="Verdana" w:hAnsi="Verdana" w:cs="Verdana"/>
                <w:b/>
                <w:bCs/>
                <w:sz w:val="20"/>
                <w:szCs w:val="20"/>
                <w:lang w:eastAsia="bg-BG"/>
              </w:rPr>
              <w:t>Други задължения, в т.ч.:</w:t>
            </w:r>
          </w:p>
        </w:tc>
        <w:tc>
          <w:tcPr>
            <w:tcW w:w="1767" w:type="dxa"/>
            <w:tcBorders>
              <w:top w:val="nil"/>
              <w:left w:val="single" w:sz="4" w:space="0" w:color="auto"/>
              <w:bottom w:val="single" w:sz="4" w:space="0" w:color="auto"/>
              <w:right w:val="single" w:sz="4" w:space="0" w:color="auto"/>
            </w:tcBorders>
            <w:noWrap/>
            <w:vAlign w:val="center"/>
          </w:tcPr>
          <w:p w:rsidR="0023433E" w:rsidRPr="000E54EB" w:rsidRDefault="00143E0F" w:rsidP="00D73397">
            <w:pPr>
              <w:jc w:val="center"/>
              <w:rPr>
                <w:rFonts w:ascii="Verdana" w:hAnsi="Verdana" w:cs="Verdana"/>
                <w:b/>
                <w:bCs/>
                <w:sz w:val="20"/>
                <w:szCs w:val="20"/>
                <w:lang w:eastAsia="bg-BG"/>
              </w:rPr>
            </w:pPr>
            <w:r>
              <w:rPr>
                <w:rFonts w:ascii="Verdana" w:hAnsi="Verdana" w:cs="Verdana"/>
                <w:b/>
                <w:bCs/>
                <w:sz w:val="20"/>
                <w:szCs w:val="20"/>
                <w:lang w:eastAsia="bg-BG"/>
              </w:rPr>
              <w:t>1</w:t>
            </w:r>
            <w:r w:rsidR="00933344">
              <w:rPr>
                <w:rFonts w:ascii="Verdana" w:hAnsi="Verdana" w:cs="Verdana"/>
                <w:b/>
                <w:bCs/>
                <w:sz w:val="20"/>
                <w:szCs w:val="20"/>
                <w:lang w:eastAsia="bg-BG"/>
              </w:rPr>
              <w:t>0</w:t>
            </w:r>
          </w:p>
        </w:tc>
        <w:tc>
          <w:tcPr>
            <w:tcW w:w="1842" w:type="dxa"/>
            <w:tcBorders>
              <w:top w:val="nil"/>
              <w:left w:val="nil"/>
              <w:bottom w:val="single" w:sz="4" w:space="0" w:color="auto"/>
              <w:right w:val="single" w:sz="4" w:space="0" w:color="auto"/>
            </w:tcBorders>
            <w:noWrap/>
            <w:vAlign w:val="center"/>
          </w:tcPr>
          <w:p w:rsidR="0023433E" w:rsidRPr="000E54EB" w:rsidRDefault="0023433E" w:rsidP="00A77C33">
            <w:pPr>
              <w:jc w:val="center"/>
              <w:rPr>
                <w:rFonts w:ascii="Verdana" w:hAnsi="Verdana" w:cs="Verdana"/>
                <w:b/>
                <w:bCs/>
                <w:sz w:val="20"/>
                <w:szCs w:val="20"/>
                <w:lang w:eastAsia="bg-BG"/>
              </w:rPr>
            </w:pPr>
            <w:r>
              <w:rPr>
                <w:rFonts w:ascii="Verdana" w:hAnsi="Verdana" w:cs="Verdana"/>
                <w:b/>
                <w:bCs/>
                <w:sz w:val="20"/>
                <w:szCs w:val="20"/>
                <w:lang w:eastAsia="bg-BG"/>
              </w:rPr>
              <w:t>4</w:t>
            </w:r>
          </w:p>
        </w:tc>
      </w:tr>
      <w:tr w:rsidR="0023433E" w:rsidRPr="000E54EB">
        <w:trPr>
          <w:trHeight w:val="300"/>
        </w:trPr>
        <w:tc>
          <w:tcPr>
            <w:tcW w:w="6035" w:type="dxa"/>
            <w:tcBorders>
              <w:top w:val="nil"/>
              <w:left w:val="single" w:sz="4" w:space="0" w:color="auto"/>
              <w:bottom w:val="single" w:sz="4" w:space="0" w:color="auto"/>
              <w:right w:val="nil"/>
            </w:tcBorders>
            <w:noWrap/>
            <w:vAlign w:val="center"/>
          </w:tcPr>
          <w:p w:rsidR="0023433E" w:rsidRPr="000E54EB" w:rsidRDefault="0023433E" w:rsidP="00D73397">
            <w:pPr>
              <w:jc w:val="left"/>
              <w:rPr>
                <w:rFonts w:ascii="Verdana" w:hAnsi="Verdana" w:cs="Verdana"/>
                <w:sz w:val="20"/>
                <w:szCs w:val="20"/>
                <w:lang w:eastAsia="bg-BG"/>
              </w:rPr>
            </w:pPr>
            <w:r w:rsidRPr="000E54EB">
              <w:rPr>
                <w:rFonts w:ascii="Verdana" w:hAnsi="Verdana" w:cs="Verdana"/>
                <w:sz w:val="20"/>
                <w:szCs w:val="20"/>
                <w:lang w:eastAsia="bg-BG"/>
              </w:rPr>
              <w:t>Задължения по гаранции и депозити</w:t>
            </w:r>
          </w:p>
        </w:tc>
        <w:tc>
          <w:tcPr>
            <w:tcW w:w="1767" w:type="dxa"/>
            <w:tcBorders>
              <w:top w:val="nil"/>
              <w:left w:val="single" w:sz="4" w:space="0" w:color="auto"/>
              <w:bottom w:val="single" w:sz="4" w:space="0" w:color="auto"/>
              <w:right w:val="single" w:sz="4" w:space="0" w:color="auto"/>
            </w:tcBorders>
            <w:noWrap/>
            <w:vAlign w:val="center"/>
          </w:tcPr>
          <w:p w:rsidR="0023433E" w:rsidRPr="000E54EB" w:rsidRDefault="00143E0F" w:rsidP="00D73397">
            <w:pPr>
              <w:jc w:val="center"/>
              <w:rPr>
                <w:rFonts w:ascii="Verdana" w:hAnsi="Verdana" w:cs="Verdana"/>
                <w:sz w:val="20"/>
                <w:szCs w:val="20"/>
                <w:lang w:eastAsia="bg-BG"/>
              </w:rPr>
            </w:pPr>
            <w:r>
              <w:rPr>
                <w:rFonts w:ascii="Verdana" w:hAnsi="Verdana" w:cs="Verdana"/>
                <w:sz w:val="20"/>
                <w:szCs w:val="20"/>
                <w:lang w:eastAsia="bg-BG"/>
              </w:rPr>
              <w:t>7</w:t>
            </w:r>
          </w:p>
        </w:tc>
        <w:tc>
          <w:tcPr>
            <w:tcW w:w="1842" w:type="dxa"/>
            <w:tcBorders>
              <w:top w:val="nil"/>
              <w:left w:val="nil"/>
              <w:bottom w:val="single" w:sz="4" w:space="0" w:color="auto"/>
              <w:right w:val="single" w:sz="4" w:space="0" w:color="auto"/>
            </w:tcBorders>
            <w:noWrap/>
            <w:vAlign w:val="center"/>
          </w:tcPr>
          <w:p w:rsidR="0023433E" w:rsidRPr="000E54EB" w:rsidRDefault="0023433E" w:rsidP="00A77C33">
            <w:pPr>
              <w:jc w:val="center"/>
              <w:rPr>
                <w:rFonts w:ascii="Verdana" w:hAnsi="Verdana" w:cs="Verdana"/>
                <w:sz w:val="20"/>
                <w:szCs w:val="20"/>
                <w:lang w:eastAsia="bg-BG"/>
              </w:rPr>
            </w:pPr>
            <w:r>
              <w:rPr>
                <w:rFonts w:ascii="Verdana" w:hAnsi="Verdana" w:cs="Verdana"/>
                <w:sz w:val="20"/>
                <w:szCs w:val="20"/>
                <w:lang w:eastAsia="bg-BG"/>
              </w:rPr>
              <w:t>4</w:t>
            </w:r>
          </w:p>
        </w:tc>
      </w:tr>
      <w:tr w:rsidR="0023433E" w:rsidRPr="000E54EB">
        <w:trPr>
          <w:trHeight w:val="300"/>
        </w:trPr>
        <w:tc>
          <w:tcPr>
            <w:tcW w:w="6035" w:type="dxa"/>
            <w:tcBorders>
              <w:top w:val="nil"/>
              <w:left w:val="single" w:sz="4" w:space="0" w:color="auto"/>
              <w:bottom w:val="single" w:sz="4" w:space="0" w:color="auto"/>
              <w:right w:val="nil"/>
            </w:tcBorders>
            <w:noWrap/>
            <w:vAlign w:val="center"/>
          </w:tcPr>
          <w:p w:rsidR="0023433E" w:rsidRPr="000E54EB" w:rsidRDefault="0023433E" w:rsidP="00D73397">
            <w:pPr>
              <w:jc w:val="left"/>
              <w:rPr>
                <w:rFonts w:ascii="Verdana" w:hAnsi="Verdana" w:cs="Verdana"/>
                <w:sz w:val="20"/>
                <w:szCs w:val="20"/>
                <w:lang w:eastAsia="bg-BG"/>
              </w:rPr>
            </w:pPr>
            <w:r w:rsidRPr="000E54EB">
              <w:rPr>
                <w:rFonts w:ascii="Verdana" w:hAnsi="Verdana" w:cs="Verdana"/>
                <w:sz w:val="20"/>
                <w:szCs w:val="20"/>
                <w:lang w:eastAsia="bg-BG"/>
              </w:rPr>
              <w:t>Други задължения</w:t>
            </w:r>
          </w:p>
        </w:tc>
        <w:tc>
          <w:tcPr>
            <w:tcW w:w="1767" w:type="dxa"/>
            <w:tcBorders>
              <w:top w:val="nil"/>
              <w:left w:val="single" w:sz="4" w:space="0" w:color="auto"/>
              <w:bottom w:val="single" w:sz="4" w:space="0" w:color="auto"/>
              <w:right w:val="single" w:sz="4" w:space="0" w:color="auto"/>
            </w:tcBorders>
            <w:noWrap/>
            <w:vAlign w:val="center"/>
          </w:tcPr>
          <w:p w:rsidR="0023433E" w:rsidRPr="000E54EB" w:rsidRDefault="00933344" w:rsidP="00D73397">
            <w:pPr>
              <w:jc w:val="center"/>
              <w:rPr>
                <w:rFonts w:ascii="Verdana" w:hAnsi="Verdana" w:cs="Verdana"/>
                <w:sz w:val="20"/>
                <w:szCs w:val="20"/>
                <w:lang w:eastAsia="bg-BG"/>
              </w:rPr>
            </w:pPr>
            <w:r>
              <w:rPr>
                <w:rFonts w:ascii="Verdana" w:hAnsi="Verdana" w:cs="Verdana"/>
                <w:sz w:val="20"/>
                <w:szCs w:val="20"/>
                <w:lang w:eastAsia="bg-BG"/>
              </w:rPr>
              <w:t>3</w:t>
            </w:r>
          </w:p>
        </w:tc>
        <w:tc>
          <w:tcPr>
            <w:tcW w:w="1842" w:type="dxa"/>
            <w:tcBorders>
              <w:top w:val="nil"/>
              <w:left w:val="nil"/>
              <w:bottom w:val="single" w:sz="4" w:space="0" w:color="auto"/>
              <w:right w:val="single" w:sz="4" w:space="0" w:color="auto"/>
            </w:tcBorders>
            <w:noWrap/>
            <w:vAlign w:val="center"/>
          </w:tcPr>
          <w:p w:rsidR="0023433E" w:rsidRPr="000E54EB" w:rsidRDefault="0023433E" w:rsidP="00A77C33">
            <w:pPr>
              <w:jc w:val="center"/>
              <w:rPr>
                <w:rFonts w:ascii="Verdana" w:hAnsi="Verdana" w:cs="Verdana"/>
                <w:sz w:val="20"/>
                <w:szCs w:val="20"/>
                <w:lang w:eastAsia="bg-BG"/>
              </w:rPr>
            </w:pPr>
            <w:r>
              <w:rPr>
                <w:rFonts w:ascii="Verdana" w:hAnsi="Verdana" w:cs="Verdana"/>
                <w:sz w:val="20"/>
                <w:szCs w:val="20"/>
                <w:lang w:eastAsia="bg-BG"/>
              </w:rPr>
              <w:t>-</w:t>
            </w:r>
          </w:p>
        </w:tc>
      </w:tr>
      <w:tr w:rsidR="0023433E" w:rsidRPr="000E54EB">
        <w:trPr>
          <w:trHeight w:val="300"/>
        </w:trPr>
        <w:tc>
          <w:tcPr>
            <w:tcW w:w="6035" w:type="dxa"/>
            <w:tcBorders>
              <w:top w:val="nil"/>
              <w:left w:val="single" w:sz="4" w:space="0" w:color="auto"/>
              <w:bottom w:val="single" w:sz="4" w:space="0" w:color="auto"/>
              <w:right w:val="nil"/>
            </w:tcBorders>
            <w:shd w:val="clear" w:color="000000" w:fill="C5D9F1"/>
            <w:noWrap/>
            <w:vAlign w:val="center"/>
          </w:tcPr>
          <w:p w:rsidR="0023433E" w:rsidRPr="000E54EB" w:rsidRDefault="0023433E" w:rsidP="00D73397">
            <w:pPr>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1767" w:type="dxa"/>
            <w:tcBorders>
              <w:top w:val="nil"/>
              <w:left w:val="single" w:sz="4" w:space="0" w:color="auto"/>
              <w:bottom w:val="single" w:sz="4" w:space="0" w:color="auto"/>
              <w:right w:val="single" w:sz="4" w:space="0" w:color="auto"/>
            </w:tcBorders>
            <w:shd w:val="clear" w:color="000000" w:fill="C5D9F1"/>
            <w:noWrap/>
            <w:vAlign w:val="center"/>
          </w:tcPr>
          <w:p w:rsidR="0023433E" w:rsidRPr="000E54EB" w:rsidRDefault="003B3EE9" w:rsidP="00273B1A">
            <w:pPr>
              <w:jc w:val="center"/>
              <w:rPr>
                <w:rFonts w:ascii="Verdana" w:hAnsi="Verdana" w:cs="Verdana"/>
                <w:b/>
                <w:bCs/>
                <w:sz w:val="20"/>
                <w:szCs w:val="20"/>
                <w:lang w:eastAsia="bg-BG"/>
              </w:rPr>
            </w:pPr>
            <w:r>
              <w:rPr>
                <w:rFonts w:ascii="Verdana" w:hAnsi="Verdana" w:cs="Verdana"/>
                <w:b/>
                <w:bCs/>
                <w:sz w:val="20"/>
                <w:szCs w:val="20"/>
                <w:lang w:eastAsia="bg-BG"/>
              </w:rPr>
              <w:t>1 2</w:t>
            </w:r>
            <w:r w:rsidR="00E7545D">
              <w:rPr>
                <w:rFonts w:ascii="Verdana" w:hAnsi="Verdana" w:cs="Verdana"/>
                <w:b/>
                <w:bCs/>
                <w:sz w:val="20"/>
                <w:szCs w:val="20"/>
                <w:lang w:eastAsia="bg-BG"/>
              </w:rPr>
              <w:t>70</w:t>
            </w:r>
          </w:p>
        </w:tc>
        <w:tc>
          <w:tcPr>
            <w:tcW w:w="1842" w:type="dxa"/>
            <w:tcBorders>
              <w:top w:val="nil"/>
              <w:left w:val="nil"/>
              <w:bottom w:val="single" w:sz="4" w:space="0" w:color="auto"/>
              <w:right w:val="single" w:sz="4" w:space="0" w:color="auto"/>
            </w:tcBorders>
            <w:shd w:val="clear" w:color="000000" w:fill="C5D9F1"/>
            <w:noWrap/>
            <w:vAlign w:val="center"/>
          </w:tcPr>
          <w:p w:rsidR="0023433E" w:rsidRPr="000E54EB" w:rsidRDefault="0023433E" w:rsidP="00A77C33">
            <w:pPr>
              <w:jc w:val="center"/>
              <w:rPr>
                <w:rFonts w:ascii="Verdana" w:hAnsi="Verdana" w:cs="Verdana"/>
                <w:b/>
                <w:bCs/>
                <w:sz w:val="20"/>
                <w:szCs w:val="20"/>
                <w:lang w:eastAsia="bg-BG"/>
              </w:rPr>
            </w:pPr>
            <w:r>
              <w:rPr>
                <w:rFonts w:ascii="Verdana" w:hAnsi="Verdana" w:cs="Verdana"/>
                <w:b/>
                <w:bCs/>
                <w:sz w:val="20"/>
                <w:szCs w:val="20"/>
                <w:lang w:eastAsia="bg-BG"/>
              </w:rPr>
              <w:t>2</w:t>
            </w:r>
            <w:r w:rsidRPr="000E54EB">
              <w:rPr>
                <w:rFonts w:ascii="Verdana" w:hAnsi="Verdana" w:cs="Verdana"/>
                <w:b/>
                <w:bCs/>
                <w:sz w:val="20"/>
                <w:szCs w:val="20"/>
                <w:lang w:eastAsia="bg-BG"/>
              </w:rPr>
              <w:t xml:space="preserve"> </w:t>
            </w:r>
            <w:r>
              <w:rPr>
                <w:rFonts w:ascii="Verdana" w:hAnsi="Verdana" w:cs="Verdana"/>
                <w:b/>
                <w:bCs/>
                <w:sz w:val="20"/>
                <w:szCs w:val="20"/>
                <w:lang w:eastAsia="bg-BG"/>
              </w:rPr>
              <w:t>018</w:t>
            </w:r>
          </w:p>
        </w:tc>
      </w:tr>
    </w:tbl>
    <w:p w:rsidR="00863C99" w:rsidRDefault="00863C99" w:rsidP="00D73397">
      <w:pPr>
        <w:rPr>
          <w:rFonts w:ascii="Verdana" w:hAnsi="Verdana" w:cs="Verdana"/>
          <w:sz w:val="20"/>
          <w:szCs w:val="20"/>
        </w:rPr>
      </w:pPr>
    </w:p>
    <w:p w:rsidR="003B3EE9" w:rsidRDefault="003B3EE9" w:rsidP="00D73397">
      <w:pPr>
        <w:rPr>
          <w:rFonts w:ascii="Verdana" w:hAnsi="Verdana" w:cs="Verdana"/>
          <w:sz w:val="20"/>
          <w:szCs w:val="20"/>
        </w:rPr>
      </w:pPr>
    </w:p>
    <w:p w:rsidR="003B3EE9" w:rsidRDefault="003B3EE9" w:rsidP="00D73397">
      <w:pPr>
        <w:rPr>
          <w:rFonts w:ascii="Verdana" w:hAnsi="Verdana" w:cs="Verdana"/>
          <w:sz w:val="20"/>
          <w:szCs w:val="20"/>
        </w:rPr>
      </w:pPr>
    </w:p>
    <w:p w:rsidR="003B3EE9" w:rsidRPr="000E54EB" w:rsidRDefault="003B3EE9" w:rsidP="00D73397">
      <w:pPr>
        <w:rPr>
          <w:rFonts w:ascii="Verdana" w:hAnsi="Verdana" w:cs="Verdana"/>
          <w:sz w:val="20"/>
          <w:szCs w:val="20"/>
        </w:rPr>
      </w:pPr>
    </w:p>
    <w:tbl>
      <w:tblPr>
        <w:tblW w:w="9644" w:type="dxa"/>
        <w:tblInd w:w="-68" w:type="dxa"/>
        <w:tblCellMar>
          <w:left w:w="70" w:type="dxa"/>
          <w:right w:w="70" w:type="dxa"/>
        </w:tblCellMar>
        <w:tblLook w:val="00A0" w:firstRow="1" w:lastRow="0" w:firstColumn="1" w:lastColumn="0" w:noHBand="0" w:noVBand="0"/>
      </w:tblPr>
      <w:tblGrid>
        <w:gridCol w:w="2273"/>
        <w:gridCol w:w="3762"/>
        <w:gridCol w:w="3609"/>
      </w:tblGrid>
      <w:tr w:rsidR="00863C99" w:rsidRPr="000E54EB">
        <w:trPr>
          <w:trHeight w:val="300"/>
        </w:trPr>
        <w:tc>
          <w:tcPr>
            <w:tcW w:w="9644" w:type="dxa"/>
            <w:gridSpan w:val="3"/>
            <w:tcBorders>
              <w:top w:val="single" w:sz="4" w:space="0" w:color="auto"/>
              <w:left w:val="single" w:sz="4" w:space="0" w:color="auto"/>
              <w:bottom w:val="single" w:sz="4" w:space="0" w:color="auto"/>
              <w:right w:val="single" w:sz="4" w:space="0" w:color="000000"/>
            </w:tcBorders>
            <w:noWrap/>
            <w:vAlign w:val="center"/>
          </w:tcPr>
          <w:p w:rsidR="00863C99" w:rsidRPr="00A52D1E" w:rsidRDefault="00863C99" w:rsidP="00D73397">
            <w:pPr>
              <w:ind w:right="-454"/>
              <w:jc w:val="left"/>
              <w:rPr>
                <w:rFonts w:ascii="Verdana" w:hAnsi="Verdana" w:cs="Verdana"/>
                <w:b/>
                <w:bCs/>
                <w:sz w:val="20"/>
                <w:szCs w:val="20"/>
                <w:lang w:val="ru-RU" w:eastAsia="bg-BG"/>
              </w:rPr>
            </w:pPr>
            <w:r w:rsidRPr="000E54EB">
              <w:rPr>
                <w:rFonts w:ascii="Verdana" w:hAnsi="Verdana" w:cs="Verdana"/>
                <w:b/>
                <w:bCs/>
                <w:sz w:val="20"/>
                <w:szCs w:val="20"/>
                <w:lang w:eastAsia="bg-BG"/>
              </w:rPr>
              <w:lastRenderedPageBreak/>
              <w:t xml:space="preserve">Балансова стойност на текущи търговски и други задължения по валути </w:t>
            </w:r>
          </w:p>
          <w:p w:rsidR="00863C99" w:rsidRPr="000E54EB" w:rsidRDefault="00863C99" w:rsidP="00D73397">
            <w:pPr>
              <w:ind w:right="-454"/>
              <w:jc w:val="left"/>
              <w:rPr>
                <w:rFonts w:ascii="Verdana" w:hAnsi="Verdana" w:cs="Verdana"/>
                <w:b/>
                <w:bCs/>
                <w:sz w:val="20"/>
                <w:szCs w:val="20"/>
                <w:lang w:eastAsia="bg-BG"/>
              </w:rPr>
            </w:pPr>
            <w:r w:rsidRPr="000E54EB">
              <w:rPr>
                <w:rFonts w:ascii="Verdana" w:hAnsi="Verdana" w:cs="Verdana"/>
                <w:b/>
                <w:bCs/>
                <w:sz w:val="20"/>
                <w:szCs w:val="20"/>
                <w:lang w:eastAsia="bg-BG"/>
              </w:rPr>
              <w:t>(сумите са в BGN)</w:t>
            </w:r>
          </w:p>
        </w:tc>
      </w:tr>
      <w:tr w:rsidR="00863C99" w:rsidRPr="000E54EB">
        <w:trPr>
          <w:trHeight w:val="300"/>
        </w:trPr>
        <w:tc>
          <w:tcPr>
            <w:tcW w:w="2273" w:type="dxa"/>
            <w:tcBorders>
              <w:top w:val="nil"/>
              <w:left w:val="single" w:sz="4" w:space="0" w:color="auto"/>
              <w:bottom w:val="single" w:sz="4" w:space="0" w:color="auto"/>
              <w:right w:val="nil"/>
            </w:tcBorders>
            <w:noWrap/>
            <w:vAlign w:val="center"/>
          </w:tcPr>
          <w:p w:rsidR="00863C99" w:rsidRPr="000E54EB" w:rsidRDefault="00863C99" w:rsidP="00D73397">
            <w:pPr>
              <w:jc w:val="left"/>
              <w:rPr>
                <w:rFonts w:ascii="Verdana" w:hAnsi="Verdana" w:cs="Verdana"/>
                <w:b/>
                <w:bCs/>
                <w:sz w:val="20"/>
                <w:szCs w:val="20"/>
                <w:lang w:eastAsia="bg-BG"/>
              </w:rPr>
            </w:pPr>
            <w:r w:rsidRPr="000E54EB">
              <w:rPr>
                <w:rFonts w:ascii="Verdana" w:hAnsi="Verdana" w:cs="Verdana"/>
                <w:b/>
                <w:bCs/>
                <w:sz w:val="20"/>
                <w:szCs w:val="20"/>
                <w:lang w:eastAsia="bg-BG"/>
              </w:rPr>
              <w:t>Валута</w:t>
            </w:r>
          </w:p>
        </w:tc>
        <w:tc>
          <w:tcPr>
            <w:tcW w:w="3762" w:type="dxa"/>
            <w:tcBorders>
              <w:top w:val="nil"/>
              <w:left w:val="single" w:sz="4" w:space="0" w:color="auto"/>
              <w:bottom w:val="single" w:sz="4" w:space="0" w:color="auto"/>
              <w:right w:val="single" w:sz="4" w:space="0" w:color="auto"/>
            </w:tcBorders>
            <w:noWrap/>
            <w:vAlign w:val="center"/>
          </w:tcPr>
          <w:p w:rsidR="00863C99" w:rsidRPr="000E54EB" w:rsidRDefault="00DC01A7" w:rsidP="0050776F">
            <w:pPr>
              <w:jc w:val="center"/>
              <w:rPr>
                <w:rFonts w:ascii="Verdana" w:hAnsi="Verdana" w:cs="Verdana"/>
                <w:b/>
                <w:bCs/>
                <w:sz w:val="20"/>
                <w:szCs w:val="20"/>
                <w:lang w:eastAsia="bg-BG"/>
              </w:rPr>
            </w:pPr>
            <w:r>
              <w:rPr>
                <w:rFonts w:ascii="Verdana" w:hAnsi="Verdana" w:cs="Verdana"/>
                <w:b/>
                <w:bCs/>
                <w:sz w:val="20"/>
                <w:szCs w:val="20"/>
                <w:lang w:eastAsia="bg-BG"/>
              </w:rPr>
              <w:t>30.06.2020</w:t>
            </w:r>
            <w:r w:rsidR="00863C99" w:rsidRPr="000E54EB">
              <w:rPr>
                <w:rFonts w:ascii="Verdana" w:hAnsi="Verdana" w:cs="Verdana"/>
                <w:b/>
                <w:bCs/>
                <w:sz w:val="20"/>
                <w:szCs w:val="20"/>
                <w:lang w:eastAsia="bg-BG"/>
              </w:rPr>
              <w:t xml:space="preserve"> г.</w:t>
            </w:r>
          </w:p>
        </w:tc>
        <w:tc>
          <w:tcPr>
            <w:tcW w:w="3609" w:type="dxa"/>
            <w:tcBorders>
              <w:top w:val="nil"/>
              <w:left w:val="nil"/>
              <w:bottom w:val="single" w:sz="4" w:space="0" w:color="auto"/>
              <w:right w:val="single" w:sz="4" w:space="0" w:color="auto"/>
            </w:tcBorders>
            <w:noWrap/>
            <w:vAlign w:val="center"/>
          </w:tcPr>
          <w:p w:rsidR="00863C99" w:rsidRPr="000E54EB" w:rsidRDefault="00DC01A7" w:rsidP="001F704A">
            <w:pPr>
              <w:jc w:val="center"/>
              <w:rPr>
                <w:rFonts w:ascii="Verdana" w:hAnsi="Verdana" w:cs="Verdana"/>
                <w:b/>
                <w:bCs/>
                <w:sz w:val="20"/>
                <w:szCs w:val="20"/>
                <w:lang w:eastAsia="bg-BG"/>
              </w:rPr>
            </w:pPr>
            <w:r>
              <w:rPr>
                <w:rFonts w:ascii="Verdana" w:hAnsi="Verdana" w:cs="Verdana"/>
                <w:b/>
                <w:bCs/>
                <w:sz w:val="20"/>
                <w:szCs w:val="20"/>
                <w:lang w:eastAsia="bg-BG"/>
              </w:rPr>
              <w:t>31.12.2019</w:t>
            </w:r>
            <w:r w:rsidR="00863C99" w:rsidRPr="000E54EB">
              <w:rPr>
                <w:rFonts w:ascii="Verdana" w:hAnsi="Verdana" w:cs="Verdana"/>
                <w:b/>
                <w:bCs/>
                <w:sz w:val="20"/>
                <w:szCs w:val="20"/>
                <w:lang w:eastAsia="bg-BG"/>
              </w:rPr>
              <w:t xml:space="preserve"> г.</w:t>
            </w:r>
          </w:p>
        </w:tc>
      </w:tr>
      <w:tr w:rsidR="00863C99" w:rsidRPr="000E54EB">
        <w:trPr>
          <w:trHeight w:val="300"/>
        </w:trPr>
        <w:tc>
          <w:tcPr>
            <w:tcW w:w="2273" w:type="dxa"/>
            <w:tcBorders>
              <w:top w:val="nil"/>
              <w:left w:val="single" w:sz="4" w:space="0" w:color="auto"/>
              <w:bottom w:val="single" w:sz="4" w:space="0" w:color="auto"/>
              <w:right w:val="nil"/>
            </w:tcBorders>
            <w:noWrap/>
            <w:vAlign w:val="center"/>
          </w:tcPr>
          <w:p w:rsidR="00863C99" w:rsidRPr="000E54EB" w:rsidRDefault="00863C99" w:rsidP="00D73397">
            <w:pPr>
              <w:jc w:val="left"/>
              <w:rPr>
                <w:rFonts w:ascii="Verdana" w:hAnsi="Verdana" w:cs="Verdana"/>
                <w:sz w:val="20"/>
                <w:szCs w:val="20"/>
                <w:lang w:eastAsia="bg-BG"/>
              </w:rPr>
            </w:pPr>
            <w:r w:rsidRPr="000E54EB">
              <w:rPr>
                <w:rFonts w:ascii="Verdana" w:hAnsi="Verdana" w:cs="Verdana"/>
                <w:sz w:val="20"/>
                <w:szCs w:val="20"/>
                <w:lang w:eastAsia="bg-BG"/>
              </w:rPr>
              <w:t>BGN</w:t>
            </w:r>
          </w:p>
        </w:tc>
        <w:tc>
          <w:tcPr>
            <w:tcW w:w="3762" w:type="dxa"/>
            <w:tcBorders>
              <w:top w:val="nil"/>
              <w:left w:val="single" w:sz="4" w:space="0" w:color="auto"/>
              <w:bottom w:val="single" w:sz="4" w:space="0" w:color="auto"/>
              <w:right w:val="single" w:sz="4" w:space="0" w:color="auto"/>
            </w:tcBorders>
            <w:noWrap/>
            <w:vAlign w:val="center"/>
          </w:tcPr>
          <w:p w:rsidR="00863C99" w:rsidRPr="000E54EB" w:rsidRDefault="00DC01A7" w:rsidP="003F7FC6">
            <w:pPr>
              <w:jc w:val="center"/>
              <w:rPr>
                <w:rFonts w:ascii="Verdana" w:hAnsi="Verdana" w:cs="Verdana"/>
                <w:sz w:val="20"/>
                <w:szCs w:val="20"/>
                <w:lang w:eastAsia="bg-BG"/>
              </w:rPr>
            </w:pPr>
            <w:r>
              <w:rPr>
                <w:rFonts w:ascii="Verdana" w:hAnsi="Verdana" w:cs="Verdana"/>
                <w:sz w:val="20"/>
                <w:szCs w:val="20"/>
                <w:lang w:eastAsia="bg-BG"/>
              </w:rPr>
              <w:t>1 2</w:t>
            </w:r>
            <w:r w:rsidR="006E76CB">
              <w:rPr>
                <w:rFonts w:ascii="Verdana" w:hAnsi="Verdana" w:cs="Verdana"/>
                <w:sz w:val="20"/>
                <w:szCs w:val="20"/>
                <w:lang w:eastAsia="bg-BG"/>
              </w:rPr>
              <w:t>70</w:t>
            </w:r>
          </w:p>
        </w:tc>
        <w:tc>
          <w:tcPr>
            <w:tcW w:w="3609" w:type="dxa"/>
            <w:tcBorders>
              <w:top w:val="nil"/>
              <w:left w:val="nil"/>
              <w:bottom w:val="single" w:sz="4" w:space="0" w:color="auto"/>
              <w:right w:val="single" w:sz="4" w:space="0" w:color="auto"/>
            </w:tcBorders>
            <w:noWrap/>
            <w:vAlign w:val="center"/>
          </w:tcPr>
          <w:p w:rsidR="00863C99" w:rsidRPr="000E54EB" w:rsidRDefault="00DC01A7" w:rsidP="001F704A">
            <w:pPr>
              <w:jc w:val="center"/>
              <w:rPr>
                <w:rFonts w:ascii="Verdana" w:hAnsi="Verdana" w:cs="Verdana"/>
                <w:sz w:val="20"/>
                <w:szCs w:val="20"/>
                <w:lang w:eastAsia="bg-BG"/>
              </w:rPr>
            </w:pPr>
            <w:r>
              <w:rPr>
                <w:rFonts w:ascii="Verdana" w:hAnsi="Verdana" w:cs="Verdana"/>
                <w:sz w:val="20"/>
                <w:szCs w:val="20"/>
                <w:lang w:eastAsia="bg-BG"/>
              </w:rPr>
              <w:t>2 018</w:t>
            </w:r>
          </w:p>
        </w:tc>
      </w:tr>
      <w:tr w:rsidR="00863C99" w:rsidRPr="000E54EB">
        <w:trPr>
          <w:trHeight w:val="300"/>
        </w:trPr>
        <w:tc>
          <w:tcPr>
            <w:tcW w:w="2273" w:type="dxa"/>
            <w:tcBorders>
              <w:top w:val="nil"/>
              <w:left w:val="single" w:sz="4" w:space="0" w:color="auto"/>
              <w:bottom w:val="single" w:sz="4" w:space="0" w:color="auto"/>
              <w:right w:val="nil"/>
            </w:tcBorders>
            <w:noWrap/>
            <w:vAlign w:val="center"/>
          </w:tcPr>
          <w:p w:rsidR="00863C99" w:rsidRPr="000E54EB" w:rsidRDefault="00863C99" w:rsidP="00D73397">
            <w:pPr>
              <w:jc w:val="left"/>
              <w:rPr>
                <w:rFonts w:ascii="Verdana" w:hAnsi="Verdana" w:cs="Verdana"/>
                <w:sz w:val="20"/>
                <w:szCs w:val="20"/>
                <w:lang w:eastAsia="bg-BG"/>
              </w:rPr>
            </w:pPr>
            <w:r w:rsidRPr="000E54EB">
              <w:rPr>
                <w:rFonts w:ascii="Verdana" w:hAnsi="Verdana" w:cs="Verdana"/>
                <w:sz w:val="20"/>
                <w:szCs w:val="20"/>
                <w:lang w:eastAsia="bg-BG"/>
              </w:rPr>
              <w:t>EUR</w:t>
            </w:r>
          </w:p>
        </w:tc>
        <w:tc>
          <w:tcPr>
            <w:tcW w:w="3762" w:type="dxa"/>
            <w:tcBorders>
              <w:top w:val="nil"/>
              <w:left w:val="single" w:sz="4" w:space="0" w:color="auto"/>
              <w:bottom w:val="single" w:sz="4" w:space="0" w:color="auto"/>
              <w:right w:val="single" w:sz="4" w:space="0" w:color="auto"/>
            </w:tcBorders>
            <w:noWrap/>
            <w:vAlign w:val="center"/>
          </w:tcPr>
          <w:p w:rsidR="00863C99" w:rsidRPr="000E54EB" w:rsidRDefault="00863C99" w:rsidP="003F7FC6">
            <w:pPr>
              <w:jc w:val="center"/>
              <w:rPr>
                <w:rFonts w:ascii="Verdana" w:hAnsi="Verdana" w:cs="Verdana"/>
                <w:sz w:val="20"/>
                <w:szCs w:val="20"/>
                <w:lang w:eastAsia="bg-BG"/>
              </w:rPr>
            </w:pPr>
            <w:r>
              <w:rPr>
                <w:rFonts w:ascii="Verdana" w:hAnsi="Verdana" w:cs="Verdana"/>
                <w:sz w:val="20"/>
                <w:szCs w:val="20"/>
                <w:lang w:eastAsia="bg-BG"/>
              </w:rPr>
              <w:t>-</w:t>
            </w:r>
          </w:p>
        </w:tc>
        <w:tc>
          <w:tcPr>
            <w:tcW w:w="3609" w:type="dxa"/>
            <w:tcBorders>
              <w:top w:val="nil"/>
              <w:left w:val="nil"/>
              <w:bottom w:val="single" w:sz="4" w:space="0" w:color="auto"/>
              <w:right w:val="single" w:sz="4" w:space="0" w:color="auto"/>
            </w:tcBorders>
            <w:noWrap/>
            <w:vAlign w:val="center"/>
          </w:tcPr>
          <w:p w:rsidR="00863C99" w:rsidRPr="000E54EB" w:rsidRDefault="00DC01A7" w:rsidP="001F704A">
            <w:pPr>
              <w:jc w:val="center"/>
              <w:rPr>
                <w:rFonts w:ascii="Verdana" w:hAnsi="Verdana" w:cs="Verdana"/>
                <w:sz w:val="20"/>
                <w:szCs w:val="20"/>
                <w:lang w:eastAsia="bg-BG"/>
              </w:rPr>
            </w:pPr>
            <w:r>
              <w:rPr>
                <w:rFonts w:ascii="Verdana" w:hAnsi="Verdana" w:cs="Verdana"/>
                <w:sz w:val="20"/>
                <w:szCs w:val="20"/>
                <w:lang w:eastAsia="bg-BG"/>
              </w:rPr>
              <w:t>-</w:t>
            </w:r>
          </w:p>
        </w:tc>
      </w:tr>
      <w:tr w:rsidR="00863C99" w:rsidRPr="000E54EB">
        <w:trPr>
          <w:trHeight w:val="300"/>
        </w:trPr>
        <w:tc>
          <w:tcPr>
            <w:tcW w:w="2273" w:type="dxa"/>
            <w:tcBorders>
              <w:top w:val="nil"/>
              <w:left w:val="single" w:sz="4" w:space="0" w:color="auto"/>
              <w:bottom w:val="single" w:sz="4" w:space="0" w:color="auto"/>
              <w:right w:val="nil"/>
            </w:tcBorders>
            <w:shd w:val="clear" w:color="000000" w:fill="C5D9F1"/>
            <w:noWrap/>
            <w:vAlign w:val="center"/>
          </w:tcPr>
          <w:p w:rsidR="00863C99" w:rsidRPr="000E54EB" w:rsidRDefault="00863C99" w:rsidP="00D73397">
            <w:pPr>
              <w:jc w:val="left"/>
              <w:rPr>
                <w:rFonts w:ascii="Verdana" w:hAnsi="Verdana" w:cs="Verdana"/>
                <w:b/>
                <w:bCs/>
                <w:sz w:val="20"/>
                <w:szCs w:val="20"/>
                <w:lang w:eastAsia="bg-BG"/>
              </w:rPr>
            </w:pPr>
            <w:r w:rsidRPr="000E54EB">
              <w:rPr>
                <w:rFonts w:ascii="Verdana" w:hAnsi="Verdana" w:cs="Verdana"/>
                <w:b/>
                <w:bCs/>
                <w:sz w:val="20"/>
                <w:szCs w:val="20"/>
                <w:lang w:eastAsia="bg-BG"/>
              </w:rPr>
              <w:t xml:space="preserve">Общо </w:t>
            </w:r>
          </w:p>
        </w:tc>
        <w:tc>
          <w:tcPr>
            <w:tcW w:w="3762" w:type="dxa"/>
            <w:tcBorders>
              <w:top w:val="nil"/>
              <w:left w:val="single" w:sz="4" w:space="0" w:color="auto"/>
              <w:bottom w:val="single" w:sz="4" w:space="0" w:color="auto"/>
              <w:right w:val="single" w:sz="4" w:space="0" w:color="auto"/>
            </w:tcBorders>
            <w:shd w:val="clear" w:color="000000" w:fill="C5D9F1"/>
            <w:noWrap/>
            <w:vAlign w:val="center"/>
          </w:tcPr>
          <w:p w:rsidR="00863C99" w:rsidRPr="000E54EB" w:rsidRDefault="00DC01A7" w:rsidP="003F7FC6">
            <w:pPr>
              <w:jc w:val="center"/>
              <w:rPr>
                <w:rFonts w:ascii="Verdana" w:hAnsi="Verdana" w:cs="Verdana"/>
                <w:b/>
                <w:bCs/>
                <w:sz w:val="20"/>
                <w:szCs w:val="20"/>
                <w:lang w:eastAsia="bg-BG"/>
              </w:rPr>
            </w:pPr>
            <w:r>
              <w:rPr>
                <w:rFonts w:ascii="Verdana" w:hAnsi="Verdana" w:cs="Verdana"/>
                <w:b/>
                <w:bCs/>
                <w:sz w:val="20"/>
                <w:szCs w:val="20"/>
                <w:lang w:eastAsia="bg-BG"/>
              </w:rPr>
              <w:t>1 2</w:t>
            </w:r>
            <w:r w:rsidR="006E76CB">
              <w:rPr>
                <w:rFonts w:ascii="Verdana" w:hAnsi="Verdana" w:cs="Verdana"/>
                <w:b/>
                <w:bCs/>
                <w:sz w:val="20"/>
                <w:szCs w:val="20"/>
                <w:lang w:eastAsia="bg-BG"/>
              </w:rPr>
              <w:t>70</w:t>
            </w:r>
          </w:p>
        </w:tc>
        <w:tc>
          <w:tcPr>
            <w:tcW w:w="3609" w:type="dxa"/>
            <w:tcBorders>
              <w:top w:val="nil"/>
              <w:left w:val="nil"/>
              <w:bottom w:val="single" w:sz="4" w:space="0" w:color="auto"/>
              <w:right w:val="single" w:sz="4" w:space="0" w:color="auto"/>
            </w:tcBorders>
            <w:shd w:val="clear" w:color="000000" w:fill="C5D9F1"/>
            <w:noWrap/>
            <w:vAlign w:val="center"/>
          </w:tcPr>
          <w:p w:rsidR="00863C99" w:rsidRPr="000E54EB" w:rsidRDefault="00DC01A7" w:rsidP="003F7FC6">
            <w:pPr>
              <w:jc w:val="center"/>
              <w:rPr>
                <w:rFonts w:ascii="Verdana" w:hAnsi="Verdana" w:cs="Verdana"/>
                <w:b/>
                <w:bCs/>
                <w:sz w:val="20"/>
                <w:szCs w:val="20"/>
                <w:lang w:eastAsia="bg-BG"/>
              </w:rPr>
            </w:pPr>
            <w:r>
              <w:rPr>
                <w:rFonts w:ascii="Verdana" w:hAnsi="Verdana" w:cs="Verdana"/>
                <w:b/>
                <w:bCs/>
                <w:sz w:val="20"/>
                <w:szCs w:val="20"/>
                <w:lang w:eastAsia="bg-BG"/>
              </w:rPr>
              <w:t>2 018</w:t>
            </w:r>
          </w:p>
        </w:tc>
      </w:tr>
    </w:tbl>
    <w:p w:rsidR="00863C99" w:rsidRPr="000E54EB" w:rsidRDefault="00863C99" w:rsidP="00B66DF8">
      <w:pPr>
        <w:pStyle w:val="Heading4"/>
        <w:rPr>
          <w:rFonts w:ascii="Verdana" w:hAnsi="Verdana" w:cs="Verdana"/>
          <w:i w:val="0"/>
          <w:iCs w:val="0"/>
          <w:lang w:val="bg-BG"/>
        </w:rPr>
      </w:pPr>
      <w:bookmarkStart w:id="171" w:name="_Toc4328862"/>
      <w:r w:rsidRPr="000E54EB">
        <w:rPr>
          <w:rFonts w:ascii="Verdana" w:hAnsi="Verdana" w:cs="Verdana"/>
          <w:i w:val="0"/>
          <w:iCs w:val="0"/>
          <w:lang w:val="bg-BG"/>
        </w:rPr>
        <w:t>2.1</w:t>
      </w:r>
      <w:r>
        <w:rPr>
          <w:rFonts w:ascii="Verdana" w:hAnsi="Verdana" w:cs="Verdana"/>
          <w:i w:val="0"/>
          <w:iCs w:val="0"/>
          <w:lang w:val="bg-BG"/>
        </w:rPr>
        <w:t>2</w:t>
      </w:r>
      <w:r w:rsidRPr="000E54EB">
        <w:rPr>
          <w:rFonts w:ascii="Verdana" w:hAnsi="Verdana" w:cs="Verdana"/>
          <w:i w:val="0"/>
          <w:iCs w:val="0"/>
          <w:lang w:val="bg-BG"/>
        </w:rPr>
        <w:t>. Текущи задължения към персонала и социалното осигуряване</w:t>
      </w:r>
      <w:bookmarkEnd w:id="171"/>
    </w:p>
    <w:tbl>
      <w:tblPr>
        <w:tblW w:w="9644" w:type="dxa"/>
        <w:tblInd w:w="-68" w:type="dxa"/>
        <w:tblCellMar>
          <w:left w:w="70" w:type="dxa"/>
          <w:right w:w="70" w:type="dxa"/>
        </w:tblCellMar>
        <w:tblLook w:val="00A0" w:firstRow="1" w:lastRow="0" w:firstColumn="1" w:lastColumn="0" w:noHBand="0" w:noVBand="0"/>
      </w:tblPr>
      <w:tblGrid>
        <w:gridCol w:w="6035"/>
        <w:gridCol w:w="1767"/>
        <w:gridCol w:w="1842"/>
      </w:tblGrid>
      <w:tr w:rsidR="00863C99" w:rsidRPr="000E54EB">
        <w:trPr>
          <w:trHeight w:val="300"/>
        </w:trPr>
        <w:tc>
          <w:tcPr>
            <w:tcW w:w="6035" w:type="dxa"/>
            <w:tcBorders>
              <w:top w:val="single" w:sz="4" w:space="0" w:color="auto"/>
              <w:left w:val="single" w:sz="4" w:space="0" w:color="auto"/>
              <w:bottom w:val="single" w:sz="4" w:space="0" w:color="auto"/>
              <w:right w:val="nil"/>
            </w:tcBorders>
            <w:noWrap/>
            <w:vAlign w:val="center"/>
          </w:tcPr>
          <w:p w:rsidR="00863C99" w:rsidRPr="000E54EB" w:rsidRDefault="00863C99" w:rsidP="00D73397">
            <w:pPr>
              <w:jc w:val="left"/>
              <w:rPr>
                <w:rFonts w:ascii="Verdana" w:hAnsi="Verdana" w:cs="Verdana"/>
                <w:b/>
                <w:bCs/>
                <w:sz w:val="20"/>
                <w:szCs w:val="20"/>
                <w:lang w:eastAsia="bg-BG"/>
              </w:rPr>
            </w:pPr>
            <w:r w:rsidRPr="000E54EB">
              <w:rPr>
                <w:rFonts w:ascii="Verdana" w:hAnsi="Verdana" w:cs="Verdana"/>
                <w:b/>
                <w:bCs/>
                <w:sz w:val="20"/>
                <w:szCs w:val="20"/>
                <w:lang w:eastAsia="bg-BG"/>
              </w:rPr>
              <w:t>Вид</w:t>
            </w:r>
          </w:p>
        </w:tc>
        <w:tc>
          <w:tcPr>
            <w:tcW w:w="1767" w:type="dxa"/>
            <w:tcBorders>
              <w:top w:val="single" w:sz="4" w:space="0" w:color="auto"/>
              <w:left w:val="single" w:sz="4" w:space="0" w:color="auto"/>
              <w:bottom w:val="single" w:sz="4" w:space="0" w:color="auto"/>
              <w:right w:val="single" w:sz="4" w:space="0" w:color="auto"/>
            </w:tcBorders>
            <w:noWrap/>
            <w:vAlign w:val="center"/>
          </w:tcPr>
          <w:p w:rsidR="00863C99" w:rsidRPr="000E54EB" w:rsidRDefault="00D31330" w:rsidP="00D31330">
            <w:pPr>
              <w:jc w:val="center"/>
              <w:rPr>
                <w:rFonts w:ascii="Verdana" w:hAnsi="Verdana" w:cs="Verdana"/>
                <w:b/>
                <w:bCs/>
                <w:sz w:val="20"/>
                <w:szCs w:val="20"/>
                <w:lang w:eastAsia="bg-BG"/>
              </w:rPr>
            </w:pPr>
            <w:r>
              <w:rPr>
                <w:rFonts w:ascii="Verdana" w:hAnsi="Verdana" w:cs="Verdana"/>
                <w:b/>
                <w:bCs/>
                <w:sz w:val="20"/>
                <w:szCs w:val="20"/>
                <w:lang w:eastAsia="bg-BG"/>
              </w:rPr>
              <w:t>30.06</w:t>
            </w:r>
            <w:r w:rsidR="00863C99" w:rsidRPr="000E54EB">
              <w:rPr>
                <w:rFonts w:ascii="Verdana" w:hAnsi="Verdana" w:cs="Verdana"/>
                <w:b/>
                <w:bCs/>
                <w:sz w:val="20"/>
                <w:szCs w:val="20"/>
                <w:lang w:eastAsia="bg-BG"/>
              </w:rPr>
              <w:t>.20</w:t>
            </w:r>
            <w:r>
              <w:rPr>
                <w:rFonts w:ascii="Verdana" w:hAnsi="Verdana" w:cs="Verdana"/>
                <w:b/>
                <w:bCs/>
                <w:sz w:val="20"/>
                <w:szCs w:val="20"/>
                <w:lang w:eastAsia="bg-BG"/>
              </w:rPr>
              <w:t>20</w:t>
            </w:r>
            <w:r w:rsidR="00863C99" w:rsidRPr="000E54EB">
              <w:rPr>
                <w:rFonts w:ascii="Verdana" w:hAnsi="Verdana" w:cs="Verdana"/>
                <w:b/>
                <w:bCs/>
                <w:sz w:val="20"/>
                <w:szCs w:val="20"/>
                <w:lang w:eastAsia="bg-BG"/>
              </w:rPr>
              <w:t xml:space="preserve"> г.</w:t>
            </w:r>
          </w:p>
        </w:tc>
        <w:tc>
          <w:tcPr>
            <w:tcW w:w="1842" w:type="dxa"/>
            <w:tcBorders>
              <w:top w:val="single" w:sz="4" w:space="0" w:color="auto"/>
              <w:left w:val="nil"/>
              <w:bottom w:val="single" w:sz="4" w:space="0" w:color="auto"/>
              <w:right w:val="single" w:sz="4" w:space="0" w:color="auto"/>
            </w:tcBorders>
            <w:noWrap/>
            <w:vAlign w:val="center"/>
          </w:tcPr>
          <w:p w:rsidR="00863C99" w:rsidRPr="000E54EB" w:rsidRDefault="00863C99" w:rsidP="00D31330">
            <w:pPr>
              <w:jc w:val="center"/>
              <w:rPr>
                <w:rFonts w:ascii="Verdana" w:hAnsi="Verdana" w:cs="Verdana"/>
                <w:b/>
                <w:bCs/>
                <w:sz w:val="20"/>
                <w:szCs w:val="20"/>
                <w:lang w:eastAsia="bg-BG"/>
              </w:rPr>
            </w:pPr>
            <w:r w:rsidRPr="000E54EB">
              <w:rPr>
                <w:rFonts w:ascii="Verdana" w:hAnsi="Verdana" w:cs="Verdana"/>
                <w:b/>
                <w:bCs/>
                <w:sz w:val="20"/>
                <w:szCs w:val="20"/>
                <w:lang w:eastAsia="bg-BG"/>
              </w:rPr>
              <w:t>31.12.201</w:t>
            </w:r>
            <w:r w:rsidR="00D31330">
              <w:rPr>
                <w:rFonts w:ascii="Verdana" w:hAnsi="Verdana" w:cs="Verdana"/>
                <w:b/>
                <w:bCs/>
                <w:sz w:val="20"/>
                <w:szCs w:val="20"/>
                <w:lang w:eastAsia="bg-BG"/>
              </w:rPr>
              <w:t>9</w:t>
            </w:r>
            <w:r w:rsidRPr="000E54EB">
              <w:rPr>
                <w:rFonts w:ascii="Verdana" w:hAnsi="Verdana" w:cs="Verdana"/>
                <w:b/>
                <w:bCs/>
                <w:sz w:val="20"/>
                <w:szCs w:val="20"/>
                <w:lang w:eastAsia="bg-BG"/>
              </w:rPr>
              <w:t xml:space="preserve"> г.</w:t>
            </w:r>
          </w:p>
        </w:tc>
      </w:tr>
      <w:tr w:rsidR="00D31330" w:rsidRPr="000E54EB">
        <w:trPr>
          <w:trHeight w:val="300"/>
        </w:trPr>
        <w:tc>
          <w:tcPr>
            <w:tcW w:w="6035" w:type="dxa"/>
            <w:tcBorders>
              <w:top w:val="nil"/>
              <w:left w:val="single" w:sz="4" w:space="0" w:color="auto"/>
              <w:bottom w:val="single" w:sz="4" w:space="0" w:color="auto"/>
              <w:right w:val="nil"/>
            </w:tcBorders>
            <w:noWrap/>
            <w:vAlign w:val="center"/>
          </w:tcPr>
          <w:p w:rsidR="00D31330" w:rsidRPr="000E54EB" w:rsidRDefault="00D31330" w:rsidP="00D73397">
            <w:pPr>
              <w:jc w:val="left"/>
              <w:rPr>
                <w:rFonts w:ascii="Verdana" w:hAnsi="Verdana" w:cs="Verdana"/>
                <w:b/>
                <w:bCs/>
                <w:sz w:val="20"/>
                <w:szCs w:val="20"/>
                <w:lang w:eastAsia="bg-BG"/>
              </w:rPr>
            </w:pPr>
            <w:r w:rsidRPr="000E54EB">
              <w:rPr>
                <w:rFonts w:ascii="Verdana" w:hAnsi="Verdana" w:cs="Verdana"/>
                <w:b/>
                <w:bCs/>
                <w:sz w:val="20"/>
                <w:szCs w:val="20"/>
                <w:lang w:eastAsia="bg-BG"/>
              </w:rPr>
              <w:t>Задължения към персонала</w:t>
            </w:r>
          </w:p>
        </w:tc>
        <w:tc>
          <w:tcPr>
            <w:tcW w:w="1767" w:type="dxa"/>
            <w:tcBorders>
              <w:top w:val="nil"/>
              <w:left w:val="single" w:sz="4" w:space="0" w:color="auto"/>
              <w:bottom w:val="single" w:sz="4" w:space="0" w:color="auto"/>
              <w:right w:val="single" w:sz="4" w:space="0" w:color="auto"/>
            </w:tcBorders>
            <w:noWrap/>
            <w:vAlign w:val="center"/>
          </w:tcPr>
          <w:p w:rsidR="00D31330" w:rsidRPr="000E54EB" w:rsidRDefault="00D31330" w:rsidP="00D73397">
            <w:pPr>
              <w:jc w:val="center"/>
              <w:rPr>
                <w:rFonts w:ascii="Verdana" w:hAnsi="Verdana" w:cs="Verdana"/>
                <w:b/>
                <w:bCs/>
                <w:sz w:val="20"/>
                <w:szCs w:val="20"/>
                <w:lang w:eastAsia="bg-BG"/>
              </w:rPr>
            </w:pPr>
            <w:r>
              <w:rPr>
                <w:rFonts w:ascii="Verdana" w:hAnsi="Verdana" w:cs="Verdana"/>
                <w:b/>
                <w:bCs/>
                <w:sz w:val="20"/>
                <w:szCs w:val="20"/>
                <w:lang w:eastAsia="bg-BG"/>
              </w:rPr>
              <w:t>53</w:t>
            </w:r>
          </w:p>
        </w:tc>
        <w:tc>
          <w:tcPr>
            <w:tcW w:w="1842" w:type="dxa"/>
            <w:tcBorders>
              <w:top w:val="nil"/>
              <w:left w:val="nil"/>
              <w:bottom w:val="single" w:sz="4" w:space="0" w:color="auto"/>
              <w:right w:val="single" w:sz="4" w:space="0" w:color="auto"/>
            </w:tcBorders>
            <w:noWrap/>
            <w:vAlign w:val="center"/>
          </w:tcPr>
          <w:p w:rsidR="00D31330" w:rsidRPr="000E54EB" w:rsidRDefault="00D31330" w:rsidP="00A77C33">
            <w:pPr>
              <w:jc w:val="center"/>
              <w:rPr>
                <w:rFonts w:ascii="Verdana" w:hAnsi="Verdana" w:cs="Verdana"/>
                <w:b/>
                <w:bCs/>
                <w:sz w:val="20"/>
                <w:szCs w:val="20"/>
                <w:lang w:eastAsia="bg-BG"/>
              </w:rPr>
            </w:pPr>
            <w:r>
              <w:rPr>
                <w:rFonts w:ascii="Verdana" w:hAnsi="Verdana" w:cs="Verdana"/>
                <w:b/>
                <w:bCs/>
                <w:sz w:val="20"/>
                <w:szCs w:val="20"/>
                <w:lang w:eastAsia="bg-BG"/>
              </w:rPr>
              <w:t>53</w:t>
            </w:r>
          </w:p>
        </w:tc>
      </w:tr>
      <w:tr w:rsidR="00D31330" w:rsidRPr="000E54EB">
        <w:trPr>
          <w:trHeight w:val="300"/>
        </w:trPr>
        <w:tc>
          <w:tcPr>
            <w:tcW w:w="6035" w:type="dxa"/>
            <w:tcBorders>
              <w:top w:val="nil"/>
              <w:left w:val="single" w:sz="4" w:space="0" w:color="auto"/>
              <w:bottom w:val="single" w:sz="4" w:space="0" w:color="auto"/>
              <w:right w:val="nil"/>
            </w:tcBorders>
            <w:noWrap/>
            <w:vAlign w:val="center"/>
          </w:tcPr>
          <w:p w:rsidR="00D31330" w:rsidRPr="000E54EB" w:rsidRDefault="00D31330" w:rsidP="00D73397">
            <w:pPr>
              <w:jc w:val="left"/>
              <w:rPr>
                <w:rFonts w:ascii="Verdana" w:hAnsi="Verdana" w:cs="Verdana"/>
                <w:sz w:val="20"/>
                <w:szCs w:val="20"/>
                <w:lang w:eastAsia="bg-BG"/>
              </w:rPr>
            </w:pPr>
            <w:r w:rsidRPr="000E54EB">
              <w:rPr>
                <w:rFonts w:ascii="Verdana" w:hAnsi="Verdana" w:cs="Verdana"/>
                <w:sz w:val="20"/>
                <w:szCs w:val="20"/>
                <w:lang w:eastAsia="bg-BG"/>
              </w:rPr>
              <w:t>в т.ч. задължения по неизползвани отпуски</w:t>
            </w:r>
          </w:p>
        </w:tc>
        <w:tc>
          <w:tcPr>
            <w:tcW w:w="1767" w:type="dxa"/>
            <w:tcBorders>
              <w:top w:val="nil"/>
              <w:left w:val="single" w:sz="4" w:space="0" w:color="auto"/>
              <w:bottom w:val="single" w:sz="4" w:space="0" w:color="auto"/>
              <w:right w:val="single" w:sz="4" w:space="0" w:color="auto"/>
            </w:tcBorders>
            <w:noWrap/>
            <w:vAlign w:val="center"/>
          </w:tcPr>
          <w:p w:rsidR="00D31330" w:rsidRPr="000E54EB" w:rsidRDefault="00D31330" w:rsidP="00D73397">
            <w:pPr>
              <w:jc w:val="center"/>
              <w:rPr>
                <w:rFonts w:ascii="Verdana" w:hAnsi="Verdana" w:cs="Verdana"/>
                <w:sz w:val="20"/>
                <w:szCs w:val="20"/>
                <w:lang w:eastAsia="bg-BG"/>
              </w:rPr>
            </w:pPr>
            <w:r>
              <w:rPr>
                <w:rFonts w:ascii="Verdana" w:hAnsi="Verdana" w:cs="Verdana"/>
                <w:sz w:val="20"/>
                <w:szCs w:val="20"/>
                <w:lang w:eastAsia="bg-BG"/>
              </w:rPr>
              <w:t>19</w:t>
            </w:r>
          </w:p>
        </w:tc>
        <w:tc>
          <w:tcPr>
            <w:tcW w:w="1842" w:type="dxa"/>
            <w:tcBorders>
              <w:top w:val="nil"/>
              <w:left w:val="nil"/>
              <w:bottom w:val="single" w:sz="4" w:space="0" w:color="auto"/>
              <w:right w:val="single" w:sz="4" w:space="0" w:color="auto"/>
            </w:tcBorders>
            <w:noWrap/>
            <w:vAlign w:val="center"/>
          </w:tcPr>
          <w:p w:rsidR="00D31330" w:rsidRPr="000E54EB" w:rsidRDefault="00D31330" w:rsidP="00A77C33">
            <w:pPr>
              <w:jc w:val="center"/>
              <w:rPr>
                <w:rFonts w:ascii="Verdana" w:hAnsi="Verdana" w:cs="Verdana"/>
                <w:sz w:val="20"/>
                <w:szCs w:val="20"/>
                <w:lang w:eastAsia="bg-BG"/>
              </w:rPr>
            </w:pPr>
            <w:r>
              <w:rPr>
                <w:rFonts w:ascii="Verdana" w:hAnsi="Verdana" w:cs="Verdana"/>
                <w:sz w:val="20"/>
                <w:szCs w:val="20"/>
                <w:lang w:eastAsia="bg-BG"/>
              </w:rPr>
              <w:t>19</w:t>
            </w:r>
          </w:p>
        </w:tc>
      </w:tr>
      <w:tr w:rsidR="00D31330" w:rsidRPr="000E54EB">
        <w:trPr>
          <w:trHeight w:val="300"/>
        </w:trPr>
        <w:tc>
          <w:tcPr>
            <w:tcW w:w="6035" w:type="dxa"/>
            <w:tcBorders>
              <w:top w:val="nil"/>
              <w:left w:val="single" w:sz="4" w:space="0" w:color="auto"/>
              <w:bottom w:val="single" w:sz="4" w:space="0" w:color="auto"/>
              <w:right w:val="nil"/>
            </w:tcBorders>
            <w:noWrap/>
            <w:vAlign w:val="center"/>
          </w:tcPr>
          <w:p w:rsidR="00D31330" w:rsidRPr="000E54EB" w:rsidRDefault="00D31330" w:rsidP="00D73397">
            <w:pPr>
              <w:jc w:val="left"/>
              <w:rPr>
                <w:rFonts w:ascii="Verdana" w:hAnsi="Verdana" w:cs="Verdana"/>
                <w:b/>
                <w:bCs/>
                <w:sz w:val="20"/>
                <w:szCs w:val="20"/>
                <w:lang w:eastAsia="bg-BG"/>
              </w:rPr>
            </w:pPr>
            <w:r w:rsidRPr="000E54EB">
              <w:rPr>
                <w:rFonts w:ascii="Verdana" w:hAnsi="Verdana" w:cs="Verdana"/>
                <w:b/>
                <w:bCs/>
                <w:sz w:val="20"/>
                <w:szCs w:val="20"/>
                <w:lang w:eastAsia="bg-BG"/>
              </w:rPr>
              <w:t>Задължения към осигурителни предприятия</w:t>
            </w:r>
          </w:p>
        </w:tc>
        <w:tc>
          <w:tcPr>
            <w:tcW w:w="1767" w:type="dxa"/>
            <w:tcBorders>
              <w:top w:val="nil"/>
              <w:left w:val="single" w:sz="4" w:space="0" w:color="auto"/>
              <w:bottom w:val="single" w:sz="4" w:space="0" w:color="auto"/>
              <w:right w:val="single" w:sz="4" w:space="0" w:color="auto"/>
            </w:tcBorders>
            <w:noWrap/>
            <w:vAlign w:val="center"/>
          </w:tcPr>
          <w:p w:rsidR="00D31330" w:rsidRPr="000E54EB" w:rsidRDefault="00D31330" w:rsidP="00D73397">
            <w:pPr>
              <w:jc w:val="center"/>
              <w:rPr>
                <w:rFonts w:ascii="Verdana" w:hAnsi="Verdana" w:cs="Verdana"/>
                <w:b/>
                <w:bCs/>
                <w:sz w:val="20"/>
                <w:szCs w:val="20"/>
                <w:lang w:eastAsia="bg-BG"/>
              </w:rPr>
            </w:pPr>
            <w:r>
              <w:rPr>
                <w:rFonts w:ascii="Verdana" w:hAnsi="Verdana" w:cs="Verdana"/>
                <w:b/>
                <w:bCs/>
                <w:sz w:val="20"/>
                <w:szCs w:val="20"/>
                <w:lang w:eastAsia="bg-BG"/>
              </w:rPr>
              <w:t>17</w:t>
            </w:r>
          </w:p>
        </w:tc>
        <w:tc>
          <w:tcPr>
            <w:tcW w:w="1842" w:type="dxa"/>
            <w:tcBorders>
              <w:top w:val="nil"/>
              <w:left w:val="nil"/>
              <w:bottom w:val="single" w:sz="4" w:space="0" w:color="auto"/>
              <w:right w:val="single" w:sz="4" w:space="0" w:color="auto"/>
            </w:tcBorders>
            <w:noWrap/>
            <w:vAlign w:val="center"/>
          </w:tcPr>
          <w:p w:rsidR="00D31330" w:rsidRPr="000E54EB" w:rsidRDefault="00D31330" w:rsidP="00A77C33">
            <w:pPr>
              <w:jc w:val="center"/>
              <w:rPr>
                <w:rFonts w:ascii="Verdana" w:hAnsi="Verdana" w:cs="Verdana"/>
                <w:b/>
                <w:bCs/>
                <w:sz w:val="20"/>
                <w:szCs w:val="20"/>
                <w:lang w:eastAsia="bg-BG"/>
              </w:rPr>
            </w:pPr>
            <w:r>
              <w:rPr>
                <w:rFonts w:ascii="Verdana" w:hAnsi="Verdana" w:cs="Verdana"/>
                <w:b/>
                <w:bCs/>
                <w:sz w:val="20"/>
                <w:szCs w:val="20"/>
                <w:lang w:eastAsia="bg-BG"/>
              </w:rPr>
              <w:t>18</w:t>
            </w:r>
          </w:p>
        </w:tc>
      </w:tr>
      <w:tr w:rsidR="00D31330" w:rsidRPr="000E54EB">
        <w:trPr>
          <w:trHeight w:val="300"/>
        </w:trPr>
        <w:tc>
          <w:tcPr>
            <w:tcW w:w="6035" w:type="dxa"/>
            <w:tcBorders>
              <w:top w:val="nil"/>
              <w:left w:val="single" w:sz="4" w:space="0" w:color="auto"/>
              <w:bottom w:val="single" w:sz="4" w:space="0" w:color="auto"/>
              <w:right w:val="nil"/>
            </w:tcBorders>
            <w:noWrap/>
            <w:vAlign w:val="center"/>
          </w:tcPr>
          <w:p w:rsidR="00D31330" w:rsidRPr="000E54EB" w:rsidRDefault="00D31330" w:rsidP="00D73397">
            <w:pPr>
              <w:jc w:val="left"/>
              <w:rPr>
                <w:rFonts w:ascii="Verdana" w:hAnsi="Verdana" w:cs="Verdana"/>
                <w:sz w:val="20"/>
                <w:szCs w:val="20"/>
                <w:lang w:eastAsia="bg-BG"/>
              </w:rPr>
            </w:pPr>
            <w:r w:rsidRPr="000E54EB">
              <w:rPr>
                <w:rFonts w:ascii="Verdana" w:hAnsi="Verdana" w:cs="Verdana"/>
                <w:sz w:val="20"/>
                <w:szCs w:val="20"/>
                <w:lang w:eastAsia="bg-BG"/>
              </w:rPr>
              <w:t>в т.ч. задължения по неизползвани отпуски</w:t>
            </w:r>
          </w:p>
        </w:tc>
        <w:tc>
          <w:tcPr>
            <w:tcW w:w="1767" w:type="dxa"/>
            <w:tcBorders>
              <w:top w:val="nil"/>
              <w:left w:val="single" w:sz="4" w:space="0" w:color="auto"/>
              <w:bottom w:val="single" w:sz="4" w:space="0" w:color="auto"/>
              <w:right w:val="single" w:sz="4" w:space="0" w:color="auto"/>
            </w:tcBorders>
            <w:noWrap/>
            <w:vAlign w:val="center"/>
          </w:tcPr>
          <w:p w:rsidR="00D31330" w:rsidRPr="000E54EB" w:rsidRDefault="00D31330" w:rsidP="00D73397">
            <w:pPr>
              <w:jc w:val="center"/>
              <w:rPr>
                <w:rFonts w:ascii="Verdana" w:hAnsi="Verdana" w:cs="Verdana"/>
                <w:sz w:val="20"/>
                <w:szCs w:val="20"/>
                <w:lang w:eastAsia="bg-BG"/>
              </w:rPr>
            </w:pPr>
            <w:r>
              <w:rPr>
                <w:rFonts w:ascii="Verdana" w:hAnsi="Verdana" w:cs="Verdana"/>
                <w:sz w:val="20"/>
                <w:szCs w:val="20"/>
                <w:lang w:eastAsia="bg-BG"/>
              </w:rPr>
              <w:t>4</w:t>
            </w:r>
          </w:p>
        </w:tc>
        <w:tc>
          <w:tcPr>
            <w:tcW w:w="1842" w:type="dxa"/>
            <w:tcBorders>
              <w:top w:val="nil"/>
              <w:left w:val="nil"/>
              <w:bottom w:val="single" w:sz="4" w:space="0" w:color="auto"/>
              <w:right w:val="single" w:sz="4" w:space="0" w:color="auto"/>
            </w:tcBorders>
            <w:noWrap/>
            <w:vAlign w:val="center"/>
          </w:tcPr>
          <w:p w:rsidR="00D31330" w:rsidRPr="000E54EB" w:rsidRDefault="00D31330" w:rsidP="00A77C33">
            <w:pPr>
              <w:jc w:val="center"/>
              <w:rPr>
                <w:rFonts w:ascii="Verdana" w:hAnsi="Verdana" w:cs="Verdana"/>
                <w:sz w:val="20"/>
                <w:szCs w:val="20"/>
                <w:lang w:eastAsia="bg-BG"/>
              </w:rPr>
            </w:pPr>
            <w:r>
              <w:rPr>
                <w:rFonts w:ascii="Verdana" w:hAnsi="Verdana" w:cs="Verdana"/>
                <w:sz w:val="20"/>
                <w:szCs w:val="20"/>
                <w:lang w:eastAsia="bg-BG"/>
              </w:rPr>
              <w:t>4</w:t>
            </w:r>
          </w:p>
        </w:tc>
      </w:tr>
      <w:tr w:rsidR="00D31330" w:rsidRPr="000E54EB">
        <w:trPr>
          <w:trHeight w:val="300"/>
        </w:trPr>
        <w:tc>
          <w:tcPr>
            <w:tcW w:w="6035" w:type="dxa"/>
            <w:tcBorders>
              <w:top w:val="nil"/>
              <w:left w:val="single" w:sz="4" w:space="0" w:color="auto"/>
              <w:bottom w:val="single" w:sz="4" w:space="0" w:color="auto"/>
              <w:right w:val="nil"/>
            </w:tcBorders>
            <w:shd w:val="clear" w:color="000000" w:fill="C5D9F1"/>
            <w:noWrap/>
            <w:vAlign w:val="center"/>
          </w:tcPr>
          <w:p w:rsidR="00D31330" w:rsidRPr="000E54EB" w:rsidRDefault="00D31330" w:rsidP="00D73397">
            <w:pPr>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1767" w:type="dxa"/>
            <w:tcBorders>
              <w:top w:val="nil"/>
              <w:left w:val="single" w:sz="4" w:space="0" w:color="auto"/>
              <w:bottom w:val="single" w:sz="4" w:space="0" w:color="auto"/>
              <w:right w:val="single" w:sz="4" w:space="0" w:color="auto"/>
            </w:tcBorders>
            <w:shd w:val="clear" w:color="000000" w:fill="C5D9F1"/>
            <w:noWrap/>
            <w:vAlign w:val="center"/>
          </w:tcPr>
          <w:p w:rsidR="00D31330" w:rsidRPr="000E54EB" w:rsidRDefault="00D31330" w:rsidP="00D73397">
            <w:pPr>
              <w:jc w:val="center"/>
              <w:rPr>
                <w:rFonts w:ascii="Verdana" w:hAnsi="Verdana" w:cs="Verdana"/>
                <w:b/>
                <w:bCs/>
                <w:sz w:val="20"/>
                <w:szCs w:val="20"/>
                <w:lang w:eastAsia="bg-BG"/>
              </w:rPr>
            </w:pPr>
            <w:r>
              <w:rPr>
                <w:rFonts w:ascii="Verdana" w:hAnsi="Verdana" w:cs="Verdana"/>
                <w:b/>
                <w:bCs/>
                <w:sz w:val="20"/>
                <w:szCs w:val="20"/>
                <w:lang w:eastAsia="bg-BG"/>
              </w:rPr>
              <w:t>70</w:t>
            </w:r>
          </w:p>
        </w:tc>
        <w:tc>
          <w:tcPr>
            <w:tcW w:w="1842" w:type="dxa"/>
            <w:tcBorders>
              <w:top w:val="nil"/>
              <w:left w:val="nil"/>
              <w:bottom w:val="single" w:sz="4" w:space="0" w:color="auto"/>
              <w:right w:val="single" w:sz="4" w:space="0" w:color="auto"/>
            </w:tcBorders>
            <w:shd w:val="clear" w:color="000000" w:fill="C5D9F1"/>
            <w:noWrap/>
            <w:vAlign w:val="center"/>
          </w:tcPr>
          <w:p w:rsidR="00D31330" w:rsidRPr="000E54EB" w:rsidRDefault="00D31330" w:rsidP="00A77C33">
            <w:pPr>
              <w:jc w:val="center"/>
              <w:rPr>
                <w:rFonts w:ascii="Verdana" w:hAnsi="Verdana" w:cs="Verdana"/>
                <w:b/>
                <w:bCs/>
                <w:sz w:val="20"/>
                <w:szCs w:val="20"/>
                <w:lang w:eastAsia="bg-BG"/>
              </w:rPr>
            </w:pPr>
            <w:r>
              <w:rPr>
                <w:rFonts w:ascii="Verdana" w:hAnsi="Verdana" w:cs="Verdana"/>
                <w:b/>
                <w:bCs/>
                <w:sz w:val="20"/>
                <w:szCs w:val="20"/>
                <w:lang w:eastAsia="bg-BG"/>
              </w:rPr>
              <w:t>71</w:t>
            </w:r>
          </w:p>
        </w:tc>
      </w:tr>
    </w:tbl>
    <w:p w:rsidR="00863C99" w:rsidRPr="000E54EB" w:rsidRDefault="00863C99" w:rsidP="00B66DF8">
      <w:pPr>
        <w:pStyle w:val="Heading4"/>
        <w:rPr>
          <w:rFonts w:ascii="Verdana" w:hAnsi="Verdana" w:cs="Verdana"/>
          <w:i w:val="0"/>
          <w:iCs w:val="0"/>
          <w:lang w:val="bg-BG"/>
        </w:rPr>
      </w:pPr>
      <w:bookmarkStart w:id="172" w:name="_Toc4328863"/>
      <w:r w:rsidRPr="000E54EB">
        <w:rPr>
          <w:rFonts w:ascii="Verdana" w:hAnsi="Verdana" w:cs="Verdana"/>
          <w:i w:val="0"/>
          <w:iCs w:val="0"/>
          <w:lang w:val="bg-BG"/>
        </w:rPr>
        <w:t>2.1</w:t>
      </w:r>
      <w:r>
        <w:rPr>
          <w:rFonts w:ascii="Verdana" w:hAnsi="Verdana" w:cs="Verdana"/>
          <w:i w:val="0"/>
          <w:iCs w:val="0"/>
          <w:lang w:val="bg-BG"/>
        </w:rPr>
        <w:t>3</w:t>
      </w:r>
      <w:r w:rsidRPr="000E54EB">
        <w:rPr>
          <w:rFonts w:ascii="Verdana" w:hAnsi="Verdana" w:cs="Verdana"/>
          <w:i w:val="0"/>
          <w:iCs w:val="0"/>
          <w:lang w:val="bg-BG"/>
        </w:rPr>
        <w:t>. Текущи данъчни задължения</w:t>
      </w:r>
      <w:bookmarkEnd w:id="172"/>
    </w:p>
    <w:tbl>
      <w:tblPr>
        <w:tblW w:w="9627"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6035"/>
        <w:gridCol w:w="1767"/>
        <w:gridCol w:w="1825"/>
      </w:tblGrid>
      <w:tr w:rsidR="00863C99" w:rsidRPr="000E54EB">
        <w:trPr>
          <w:trHeight w:val="300"/>
        </w:trPr>
        <w:tc>
          <w:tcPr>
            <w:tcW w:w="6035" w:type="dxa"/>
            <w:noWrap/>
            <w:vAlign w:val="center"/>
          </w:tcPr>
          <w:p w:rsidR="00863C99" w:rsidRPr="000E54EB" w:rsidRDefault="00863C99" w:rsidP="00D73397">
            <w:pPr>
              <w:jc w:val="left"/>
              <w:rPr>
                <w:rFonts w:ascii="Verdana" w:hAnsi="Verdana" w:cs="Verdana"/>
                <w:b/>
                <w:bCs/>
                <w:sz w:val="20"/>
                <w:szCs w:val="20"/>
                <w:lang w:eastAsia="bg-BG"/>
              </w:rPr>
            </w:pPr>
            <w:r w:rsidRPr="000E54EB">
              <w:rPr>
                <w:rFonts w:ascii="Verdana" w:hAnsi="Verdana" w:cs="Verdana"/>
                <w:b/>
                <w:bCs/>
                <w:sz w:val="20"/>
                <w:szCs w:val="20"/>
                <w:lang w:eastAsia="bg-BG"/>
              </w:rPr>
              <w:t>Вид</w:t>
            </w:r>
          </w:p>
        </w:tc>
        <w:tc>
          <w:tcPr>
            <w:tcW w:w="1767" w:type="dxa"/>
            <w:noWrap/>
            <w:vAlign w:val="center"/>
          </w:tcPr>
          <w:p w:rsidR="00863C99" w:rsidRPr="000E54EB" w:rsidRDefault="00AF4F28" w:rsidP="00C94611">
            <w:pPr>
              <w:ind w:left="766" w:hanging="766"/>
              <w:jc w:val="center"/>
              <w:rPr>
                <w:rFonts w:ascii="Verdana" w:hAnsi="Verdana" w:cs="Verdana"/>
                <w:b/>
                <w:bCs/>
                <w:sz w:val="20"/>
                <w:szCs w:val="20"/>
                <w:lang w:eastAsia="bg-BG"/>
              </w:rPr>
            </w:pPr>
            <w:r>
              <w:rPr>
                <w:rFonts w:ascii="Verdana" w:hAnsi="Verdana" w:cs="Verdana"/>
                <w:b/>
                <w:bCs/>
                <w:sz w:val="20"/>
                <w:szCs w:val="20"/>
                <w:lang w:eastAsia="bg-BG"/>
              </w:rPr>
              <w:t>30.06.2020</w:t>
            </w:r>
            <w:r w:rsidR="00863C99" w:rsidRPr="000E54EB">
              <w:rPr>
                <w:rFonts w:ascii="Verdana" w:hAnsi="Verdana" w:cs="Verdana"/>
                <w:b/>
                <w:bCs/>
                <w:sz w:val="20"/>
                <w:szCs w:val="20"/>
                <w:lang w:eastAsia="bg-BG"/>
              </w:rPr>
              <w:t xml:space="preserve"> г.</w:t>
            </w:r>
          </w:p>
        </w:tc>
        <w:tc>
          <w:tcPr>
            <w:tcW w:w="1825" w:type="dxa"/>
            <w:noWrap/>
            <w:vAlign w:val="center"/>
          </w:tcPr>
          <w:p w:rsidR="00863C99" w:rsidRPr="000E54EB" w:rsidRDefault="00863C99" w:rsidP="00C94611">
            <w:pPr>
              <w:ind w:left="766" w:hanging="766"/>
              <w:jc w:val="center"/>
              <w:rPr>
                <w:rFonts w:ascii="Verdana" w:hAnsi="Verdana" w:cs="Verdana"/>
                <w:b/>
                <w:bCs/>
                <w:sz w:val="20"/>
                <w:szCs w:val="20"/>
                <w:lang w:eastAsia="bg-BG"/>
              </w:rPr>
            </w:pPr>
            <w:r w:rsidRPr="000E54EB">
              <w:rPr>
                <w:rFonts w:ascii="Verdana" w:hAnsi="Verdana" w:cs="Verdana"/>
                <w:b/>
                <w:bCs/>
                <w:sz w:val="20"/>
                <w:szCs w:val="20"/>
                <w:lang w:eastAsia="bg-BG"/>
              </w:rPr>
              <w:t>31.12.201</w:t>
            </w:r>
            <w:r w:rsidR="00AF4F28">
              <w:rPr>
                <w:rFonts w:ascii="Verdana" w:hAnsi="Verdana" w:cs="Verdana"/>
                <w:b/>
                <w:bCs/>
                <w:sz w:val="20"/>
                <w:szCs w:val="20"/>
                <w:lang w:eastAsia="bg-BG"/>
              </w:rPr>
              <w:t>9</w:t>
            </w:r>
            <w:r w:rsidRPr="000E54EB">
              <w:rPr>
                <w:rFonts w:ascii="Verdana" w:hAnsi="Verdana" w:cs="Verdana"/>
                <w:b/>
                <w:bCs/>
                <w:sz w:val="20"/>
                <w:szCs w:val="20"/>
                <w:lang w:eastAsia="bg-BG"/>
              </w:rPr>
              <w:t xml:space="preserve"> г.</w:t>
            </w:r>
          </w:p>
        </w:tc>
      </w:tr>
      <w:tr w:rsidR="00AF4F28" w:rsidRPr="000E54EB">
        <w:trPr>
          <w:trHeight w:val="300"/>
        </w:trPr>
        <w:tc>
          <w:tcPr>
            <w:tcW w:w="6035" w:type="dxa"/>
            <w:noWrap/>
            <w:vAlign w:val="center"/>
          </w:tcPr>
          <w:p w:rsidR="00AF4F28" w:rsidRPr="000E54EB" w:rsidRDefault="00AF4F28" w:rsidP="00D73397">
            <w:pPr>
              <w:jc w:val="left"/>
              <w:rPr>
                <w:rFonts w:ascii="Verdana" w:hAnsi="Verdana" w:cs="Verdana"/>
                <w:sz w:val="20"/>
                <w:szCs w:val="20"/>
                <w:lang w:eastAsia="bg-BG"/>
              </w:rPr>
            </w:pPr>
            <w:r w:rsidRPr="000E54EB">
              <w:rPr>
                <w:rFonts w:ascii="Verdana" w:hAnsi="Verdana" w:cs="Verdana"/>
                <w:sz w:val="20"/>
                <w:szCs w:val="20"/>
                <w:lang w:eastAsia="bg-BG"/>
              </w:rPr>
              <w:t>Данък върху добавената стойност</w:t>
            </w:r>
          </w:p>
        </w:tc>
        <w:tc>
          <w:tcPr>
            <w:tcW w:w="1767" w:type="dxa"/>
            <w:noWrap/>
            <w:vAlign w:val="center"/>
          </w:tcPr>
          <w:p w:rsidR="00AF4F28" w:rsidRPr="000E54EB" w:rsidRDefault="00AD4EC9" w:rsidP="00D73397">
            <w:pPr>
              <w:ind w:left="766" w:hanging="766"/>
              <w:jc w:val="center"/>
              <w:rPr>
                <w:rFonts w:ascii="Verdana" w:hAnsi="Verdana" w:cs="Verdana"/>
                <w:sz w:val="20"/>
                <w:szCs w:val="20"/>
                <w:lang w:eastAsia="bg-BG"/>
              </w:rPr>
            </w:pPr>
            <w:r>
              <w:rPr>
                <w:rFonts w:ascii="Verdana" w:hAnsi="Verdana" w:cs="Verdana"/>
                <w:sz w:val="20"/>
                <w:szCs w:val="20"/>
                <w:lang w:eastAsia="bg-BG"/>
              </w:rPr>
              <w:t>-</w:t>
            </w:r>
          </w:p>
        </w:tc>
        <w:tc>
          <w:tcPr>
            <w:tcW w:w="1825" w:type="dxa"/>
            <w:noWrap/>
            <w:vAlign w:val="center"/>
          </w:tcPr>
          <w:p w:rsidR="00AF4F28" w:rsidRPr="000E54EB" w:rsidRDefault="00AF4F28" w:rsidP="00A77C33">
            <w:pPr>
              <w:ind w:left="766" w:hanging="766"/>
              <w:jc w:val="center"/>
              <w:rPr>
                <w:rFonts w:ascii="Verdana" w:hAnsi="Verdana" w:cs="Verdana"/>
                <w:sz w:val="20"/>
                <w:szCs w:val="20"/>
                <w:lang w:eastAsia="bg-BG"/>
              </w:rPr>
            </w:pPr>
            <w:r>
              <w:rPr>
                <w:rFonts w:ascii="Verdana" w:hAnsi="Verdana" w:cs="Verdana"/>
                <w:sz w:val="20"/>
                <w:szCs w:val="20"/>
                <w:lang w:eastAsia="bg-BG"/>
              </w:rPr>
              <w:t>-</w:t>
            </w:r>
          </w:p>
        </w:tc>
      </w:tr>
      <w:tr w:rsidR="00AF4F28" w:rsidRPr="000E54EB">
        <w:trPr>
          <w:trHeight w:val="300"/>
        </w:trPr>
        <w:tc>
          <w:tcPr>
            <w:tcW w:w="6035" w:type="dxa"/>
            <w:noWrap/>
            <w:vAlign w:val="center"/>
          </w:tcPr>
          <w:p w:rsidR="00AF4F28" w:rsidRPr="000E54EB" w:rsidRDefault="00AF4F28" w:rsidP="00D73397">
            <w:pPr>
              <w:jc w:val="left"/>
              <w:rPr>
                <w:rFonts w:ascii="Verdana" w:hAnsi="Verdana" w:cs="Verdana"/>
                <w:sz w:val="20"/>
                <w:szCs w:val="20"/>
                <w:lang w:eastAsia="bg-BG"/>
              </w:rPr>
            </w:pPr>
            <w:r w:rsidRPr="000E54EB">
              <w:rPr>
                <w:rFonts w:ascii="Verdana" w:hAnsi="Verdana" w:cs="Verdana"/>
                <w:sz w:val="20"/>
                <w:szCs w:val="20"/>
                <w:lang w:eastAsia="bg-BG"/>
              </w:rPr>
              <w:t>Данъци върху доходите на физическите лица</w:t>
            </w:r>
          </w:p>
        </w:tc>
        <w:tc>
          <w:tcPr>
            <w:tcW w:w="1767" w:type="dxa"/>
            <w:noWrap/>
            <w:vAlign w:val="center"/>
          </w:tcPr>
          <w:p w:rsidR="00AF4F28" w:rsidRPr="000E54EB" w:rsidRDefault="00AD4EC9" w:rsidP="00D73397">
            <w:pPr>
              <w:ind w:left="766" w:hanging="766"/>
              <w:jc w:val="center"/>
              <w:rPr>
                <w:rFonts w:ascii="Verdana" w:hAnsi="Verdana" w:cs="Verdana"/>
                <w:sz w:val="20"/>
                <w:szCs w:val="20"/>
                <w:lang w:eastAsia="bg-BG"/>
              </w:rPr>
            </w:pPr>
            <w:r>
              <w:rPr>
                <w:rFonts w:ascii="Verdana" w:hAnsi="Verdana" w:cs="Verdana"/>
                <w:sz w:val="20"/>
                <w:szCs w:val="20"/>
                <w:lang w:eastAsia="bg-BG"/>
              </w:rPr>
              <w:t>4</w:t>
            </w:r>
          </w:p>
        </w:tc>
        <w:tc>
          <w:tcPr>
            <w:tcW w:w="1825" w:type="dxa"/>
            <w:noWrap/>
            <w:vAlign w:val="center"/>
          </w:tcPr>
          <w:p w:rsidR="00AF4F28" w:rsidRPr="000E54EB" w:rsidRDefault="00AF4F28" w:rsidP="00A77C33">
            <w:pPr>
              <w:ind w:left="766" w:hanging="766"/>
              <w:jc w:val="center"/>
              <w:rPr>
                <w:rFonts w:ascii="Verdana" w:hAnsi="Verdana" w:cs="Verdana"/>
                <w:sz w:val="20"/>
                <w:szCs w:val="20"/>
                <w:lang w:eastAsia="bg-BG"/>
              </w:rPr>
            </w:pPr>
            <w:r w:rsidRPr="000E54EB">
              <w:rPr>
                <w:rFonts w:ascii="Verdana" w:hAnsi="Verdana" w:cs="Verdana"/>
                <w:sz w:val="20"/>
                <w:szCs w:val="20"/>
                <w:lang w:eastAsia="bg-BG"/>
              </w:rPr>
              <w:t>3</w:t>
            </w:r>
          </w:p>
        </w:tc>
      </w:tr>
      <w:tr w:rsidR="00AF4F28" w:rsidRPr="000E54EB">
        <w:trPr>
          <w:trHeight w:val="300"/>
        </w:trPr>
        <w:tc>
          <w:tcPr>
            <w:tcW w:w="6035" w:type="dxa"/>
            <w:noWrap/>
            <w:vAlign w:val="center"/>
          </w:tcPr>
          <w:p w:rsidR="00AF4F28" w:rsidRPr="000E54EB" w:rsidRDefault="00AF4F28" w:rsidP="00D73397">
            <w:pPr>
              <w:jc w:val="left"/>
              <w:rPr>
                <w:rFonts w:ascii="Verdana" w:hAnsi="Verdana" w:cs="Verdana"/>
                <w:sz w:val="20"/>
                <w:szCs w:val="20"/>
                <w:lang w:eastAsia="bg-BG"/>
              </w:rPr>
            </w:pPr>
            <w:r w:rsidRPr="000E54EB">
              <w:rPr>
                <w:rFonts w:ascii="Verdana" w:hAnsi="Verdana" w:cs="Verdana"/>
                <w:sz w:val="20"/>
                <w:szCs w:val="20"/>
                <w:lang w:eastAsia="bg-BG"/>
              </w:rPr>
              <w:t>Други данъци</w:t>
            </w:r>
          </w:p>
        </w:tc>
        <w:tc>
          <w:tcPr>
            <w:tcW w:w="1767" w:type="dxa"/>
            <w:noWrap/>
            <w:vAlign w:val="center"/>
          </w:tcPr>
          <w:p w:rsidR="00AF4F28" w:rsidRPr="000E54EB" w:rsidRDefault="00AD4EC9" w:rsidP="00D73397">
            <w:pPr>
              <w:ind w:left="766" w:hanging="766"/>
              <w:jc w:val="center"/>
              <w:rPr>
                <w:rFonts w:ascii="Verdana" w:hAnsi="Verdana" w:cs="Verdana"/>
                <w:sz w:val="20"/>
                <w:szCs w:val="20"/>
                <w:lang w:eastAsia="bg-BG"/>
              </w:rPr>
            </w:pPr>
            <w:r>
              <w:rPr>
                <w:rFonts w:ascii="Verdana" w:hAnsi="Verdana" w:cs="Verdana"/>
                <w:sz w:val="20"/>
                <w:szCs w:val="20"/>
                <w:lang w:eastAsia="bg-BG"/>
              </w:rPr>
              <w:t>2</w:t>
            </w:r>
          </w:p>
        </w:tc>
        <w:tc>
          <w:tcPr>
            <w:tcW w:w="1825" w:type="dxa"/>
            <w:noWrap/>
            <w:vAlign w:val="center"/>
          </w:tcPr>
          <w:p w:rsidR="00AF4F28" w:rsidRPr="000E54EB" w:rsidRDefault="00AF4F28" w:rsidP="00A77C33">
            <w:pPr>
              <w:ind w:left="766" w:hanging="766"/>
              <w:jc w:val="center"/>
              <w:rPr>
                <w:rFonts w:ascii="Verdana" w:hAnsi="Verdana" w:cs="Verdana"/>
                <w:sz w:val="20"/>
                <w:szCs w:val="20"/>
                <w:lang w:eastAsia="bg-BG"/>
              </w:rPr>
            </w:pPr>
            <w:r>
              <w:rPr>
                <w:rFonts w:ascii="Verdana" w:hAnsi="Verdana" w:cs="Verdana"/>
                <w:sz w:val="20"/>
                <w:szCs w:val="20"/>
                <w:lang w:eastAsia="bg-BG"/>
              </w:rPr>
              <w:t>31</w:t>
            </w:r>
          </w:p>
        </w:tc>
      </w:tr>
      <w:tr w:rsidR="00AF4F28" w:rsidRPr="000E54EB">
        <w:trPr>
          <w:trHeight w:val="300"/>
        </w:trPr>
        <w:tc>
          <w:tcPr>
            <w:tcW w:w="6035" w:type="dxa"/>
            <w:shd w:val="clear" w:color="000000" w:fill="C5D9F1"/>
            <w:noWrap/>
            <w:vAlign w:val="center"/>
          </w:tcPr>
          <w:p w:rsidR="00AF4F28" w:rsidRPr="000E54EB" w:rsidRDefault="00AF4F28" w:rsidP="00D73397">
            <w:pPr>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1767" w:type="dxa"/>
            <w:shd w:val="clear" w:color="000000" w:fill="C5D9F1"/>
            <w:noWrap/>
            <w:vAlign w:val="center"/>
          </w:tcPr>
          <w:p w:rsidR="00AF4F28" w:rsidRPr="000E54EB" w:rsidRDefault="00AD4EC9" w:rsidP="00D73397">
            <w:pPr>
              <w:ind w:left="766" w:hanging="766"/>
              <w:jc w:val="center"/>
              <w:rPr>
                <w:rFonts w:ascii="Verdana" w:hAnsi="Verdana" w:cs="Verdana"/>
                <w:b/>
                <w:bCs/>
                <w:sz w:val="20"/>
                <w:szCs w:val="20"/>
                <w:lang w:eastAsia="bg-BG"/>
              </w:rPr>
            </w:pPr>
            <w:r>
              <w:rPr>
                <w:rFonts w:ascii="Verdana" w:hAnsi="Verdana" w:cs="Verdana"/>
                <w:b/>
                <w:bCs/>
                <w:sz w:val="20"/>
                <w:szCs w:val="20"/>
                <w:lang w:eastAsia="bg-BG"/>
              </w:rPr>
              <w:t>6</w:t>
            </w:r>
          </w:p>
        </w:tc>
        <w:tc>
          <w:tcPr>
            <w:tcW w:w="1825" w:type="dxa"/>
            <w:shd w:val="clear" w:color="000000" w:fill="C5D9F1"/>
            <w:noWrap/>
            <w:vAlign w:val="center"/>
          </w:tcPr>
          <w:p w:rsidR="00AF4F28" w:rsidRPr="000E54EB" w:rsidRDefault="00AF4F28" w:rsidP="00A77C33">
            <w:pPr>
              <w:ind w:left="766" w:hanging="766"/>
              <w:jc w:val="center"/>
              <w:rPr>
                <w:rFonts w:ascii="Verdana" w:hAnsi="Verdana" w:cs="Verdana"/>
                <w:b/>
                <w:bCs/>
                <w:sz w:val="20"/>
                <w:szCs w:val="20"/>
                <w:lang w:eastAsia="bg-BG"/>
              </w:rPr>
            </w:pPr>
            <w:r>
              <w:rPr>
                <w:rFonts w:ascii="Verdana" w:hAnsi="Verdana" w:cs="Verdana"/>
                <w:b/>
                <w:bCs/>
                <w:sz w:val="20"/>
                <w:szCs w:val="20"/>
                <w:lang w:eastAsia="bg-BG"/>
              </w:rPr>
              <w:t>34</w:t>
            </w:r>
          </w:p>
        </w:tc>
      </w:tr>
    </w:tbl>
    <w:p w:rsidR="00863C99" w:rsidRPr="000E54EB" w:rsidRDefault="00863C99" w:rsidP="00B66DF8">
      <w:pPr>
        <w:pStyle w:val="Heading4"/>
        <w:rPr>
          <w:rFonts w:ascii="Verdana" w:hAnsi="Verdana" w:cs="Verdana"/>
          <w:i w:val="0"/>
          <w:iCs w:val="0"/>
          <w:lang w:val="bg-BG"/>
        </w:rPr>
      </w:pPr>
      <w:bookmarkStart w:id="173" w:name="_Toc247959198"/>
      <w:bookmarkStart w:id="174" w:name="_Toc4328864"/>
      <w:r w:rsidRPr="000E54EB">
        <w:rPr>
          <w:rFonts w:ascii="Verdana" w:hAnsi="Verdana" w:cs="Verdana"/>
          <w:i w:val="0"/>
          <w:iCs w:val="0"/>
          <w:lang w:val="bg-BG"/>
        </w:rPr>
        <w:t>2.1</w:t>
      </w:r>
      <w:r>
        <w:rPr>
          <w:rFonts w:ascii="Verdana" w:hAnsi="Verdana" w:cs="Verdana"/>
          <w:i w:val="0"/>
          <w:iCs w:val="0"/>
          <w:lang w:val="bg-BG"/>
        </w:rPr>
        <w:t>4</w:t>
      </w:r>
      <w:r w:rsidRPr="000E54EB">
        <w:rPr>
          <w:rFonts w:ascii="Verdana" w:hAnsi="Verdana" w:cs="Verdana"/>
          <w:i w:val="0"/>
          <w:iCs w:val="0"/>
          <w:lang w:val="bg-BG"/>
        </w:rPr>
        <w:t>. Други текущи финансови пасиви</w:t>
      </w:r>
      <w:bookmarkEnd w:id="173"/>
      <w:bookmarkEnd w:id="174"/>
    </w:p>
    <w:tbl>
      <w:tblPr>
        <w:tblW w:w="9860" w:type="dxa"/>
        <w:tblInd w:w="-68" w:type="dxa"/>
        <w:tblCellMar>
          <w:left w:w="70" w:type="dxa"/>
          <w:right w:w="70" w:type="dxa"/>
        </w:tblCellMar>
        <w:tblLook w:val="00A0" w:firstRow="1" w:lastRow="0" w:firstColumn="1" w:lastColumn="0" w:noHBand="0" w:noVBand="0"/>
      </w:tblPr>
      <w:tblGrid>
        <w:gridCol w:w="6035"/>
        <w:gridCol w:w="145"/>
        <w:gridCol w:w="1622"/>
        <w:gridCol w:w="278"/>
        <w:gridCol w:w="1564"/>
        <w:gridCol w:w="216"/>
      </w:tblGrid>
      <w:tr w:rsidR="00863C99" w:rsidRPr="000E54EB">
        <w:trPr>
          <w:gridAfter w:val="1"/>
          <w:wAfter w:w="216" w:type="dxa"/>
          <w:trHeight w:val="255"/>
        </w:trPr>
        <w:tc>
          <w:tcPr>
            <w:tcW w:w="6035" w:type="dxa"/>
            <w:tcBorders>
              <w:top w:val="single" w:sz="4" w:space="0" w:color="auto"/>
              <w:left w:val="single" w:sz="4" w:space="0" w:color="auto"/>
              <w:bottom w:val="nil"/>
              <w:right w:val="nil"/>
            </w:tcBorders>
            <w:shd w:val="clear" w:color="000000" w:fill="FFFFFF"/>
            <w:vAlign w:val="center"/>
          </w:tcPr>
          <w:p w:rsidR="00863C99" w:rsidRPr="000E54EB" w:rsidRDefault="00863C99" w:rsidP="00D73397">
            <w:pPr>
              <w:jc w:val="left"/>
              <w:rPr>
                <w:rFonts w:ascii="Verdana" w:hAnsi="Verdana" w:cs="Verdana"/>
                <w:b/>
                <w:bCs/>
                <w:sz w:val="20"/>
                <w:szCs w:val="20"/>
                <w:lang w:eastAsia="bg-BG"/>
              </w:rPr>
            </w:pPr>
            <w:r w:rsidRPr="000E54EB">
              <w:rPr>
                <w:rFonts w:ascii="Verdana" w:hAnsi="Verdana" w:cs="Verdana"/>
                <w:b/>
                <w:bCs/>
                <w:sz w:val="20"/>
                <w:szCs w:val="20"/>
                <w:lang w:eastAsia="bg-BG"/>
              </w:rPr>
              <w:t>Текущи финансови пасиви</w:t>
            </w:r>
          </w:p>
        </w:tc>
        <w:tc>
          <w:tcPr>
            <w:tcW w:w="176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63C99" w:rsidRPr="000E54EB" w:rsidRDefault="008F1F01" w:rsidP="00C94611">
            <w:pPr>
              <w:ind w:left="766" w:hanging="766"/>
              <w:jc w:val="center"/>
              <w:rPr>
                <w:rFonts w:ascii="Verdana" w:hAnsi="Verdana" w:cs="Verdana"/>
                <w:b/>
                <w:bCs/>
                <w:sz w:val="20"/>
                <w:szCs w:val="20"/>
                <w:lang w:eastAsia="bg-BG"/>
              </w:rPr>
            </w:pPr>
            <w:r>
              <w:rPr>
                <w:rFonts w:ascii="Verdana" w:hAnsi="Verdana" w:cs="Verdana"/>
                <w:b/>
                <w:bCs/>
                <w:sz w:val="20"/>
                <w:szCs w:val="20"/>
                <w:lang w:eastAsia="bg-BG"/>
              </w:rPr>
              <w:t>30.06.2020</w:t>
            </w:r>
            <w:r w:rsidR="00863C99" w:rsidRPr="000E54EB">
              <w:rPr>
                <w:rFonts w:ascii="Verdana" w:hAnsi="Verdana" w:cs="Verdana"/>
                <w:b/>
                <w:bCs/>
                <w:sz w:val="20"/>
                <w:szCs w:val="20"/>
                <w:lang w:eastAsia="bg-BG"/>
              </w:rPr>
              <w:t xml:space="preserve"> г.</w:t>
            </w:r>
          </w:p>
        </w:tc>
        <w:tc>
          <w:tcPr>
            <w:tcW w:w="1842" w:type="dxa"/>
            <w:gridSpan w:val="2"/>
            <w:tcBorders>
              <w:top w:val="single" w:sz="4" w:space="0" w:color="auto"/>
              <w:left w:val="nil"/>
              <w:bottom w:val="single" w:sz="4" w:space="0" w:color="auto"/>
              <w:right w:val="single" w:sz="4" w:space="0" w:color="auto"/>
            </w:tcBorders>
            <w:shd w:val="clear" w:color="000000" w:fill="FFFFFF"/>
            <w:noWrap/>
            <w:vAlign w:val="center"/>
          </w:tcPr>
          <w:p w:rsidR="00863C99" w:rsidRPr="000E54EB" w:rsidRDefault="00863C99" w:rsidP="00C94611">
            <w:pPr>
              <w:ind w:left="766" w:hanging="766"/>
              <w:jc w:val="center"/>
              <w:rPr>
                <w:rFonts w:ascii="Verdana" w:hAnsi="Verdana" w:cs="Verdana"/>
                <w:b/>
                <w:bCs/>
                <w:sz w:val="20"/>
                <w:szCs w:val="20"/>
                <w:lang w:eastAsia="bg-BG"/>
              </w:rPr>
            </w:pPr>
            <w:r w:rsidRPr="000E54EB">
              <w:rPr>
                <w:rFonts w:ascii="Verdana" w:hAnsi="Verdana" w:cs="Verdana"/>
                <w:b/>
                <w:bCs/>
                <w:sz w:val="20"/>
                <w:szCs w:val="20"/>
                <w:lang w:eastAsia="bg-BG"/>
              </w:rPr>
              <w:t>31.12.201</w:t>
            </w:r>
            <w:r w:rsidR="008F1F01">
              <w:rPr>
                <w:rFonts w:ascii="Verdana" w:hAnsi="Verdana" w:cs="Verdana"/>
                <w:b/>
                <w:bCs/>
                <w:sz w:val="20"/>
                <w:szCs w:val="20"/>
                <w:lang w:eastAsia="bg-BG"/>
              </w:rPr>
              <w:t>9</w:t>
            </w:r>
            <w:r w:rsidRPr="000E54EB">
              <w:rPr>
                <w:rFonts w:ascii="Verdana" w:hAnsi="Verdana" w:cs="Verdana"/>
                <w:b/>
                <w:bCs/>
                <w:sz w:val="20"/>
                <w:szCs w:val="20"/>
                <w:lang w:eastAsia="bg-BG"/>
              </w:rPr>
              <w:t xml:space="preserve"> г.</w:t>
            </w:r>
          </w:p>
        </w:tc>
      </w:tr>
      <w:tr w:rsidR="00863C99" w:rsidRPr="000E54EB">
        <w:trPr>
          <w:gridAfter w:val="1"/>
          <w:wAfter w:w="216" w:type="dxa"/>
          <w:trHeight w:val="510"/>
        </w:trPr>
        <w:tc>
          <w:tcPr>
            <w:tcW w:w="6035" w:type="dxa"/>
            <w:tcBorders>
              <w:top w:val="single" w:sz="4" w:space="0" w:color="auto"/>
              <w:left w:val="single" w:sz="4" w:space="0" w:color="auto"/>
              <w:bottom w:val="single" w:sz="4" w:space="0" w:color="auto"/>
              <w:right w:val="nil"/>
            </w:tcBorders>
            <w:shd w:val="clear" w:color="000000" w:fill="FFFFFF"/>
            <w:vAlign w:val="center"/>
          </w:tcPr>
          <w:p w:rsidR="00863C99" w:rsidRPr="000E54EB" w:rsidRDefault="00863C99" w:rsidP="00D73397">
            <w:pPr>
              <w:jc w:val="left"/>
              <w:rPr>
                <w:rFonts w:ascii="Verdana" w:hAnsi="Verdana" w:cs="Verdana"/>
                <w:sz w:val="20"/>
                <w:szCs w:val="20"/>
                <w:lang w:eastAsia="bg-BG"/>
              </w:rPr>
            </w:pPr>
            <w:r w:rsidRPr="000E54EB">
              <w:rPr>
                <w:rFonts w:ascii="Verdana" w:hAnsi="Verdana" w:cs="Verdana"/>
                <w:sz w:val="20"/>
                <w:szCs w:val="20"/>
                <w:lang w:eastAsia="bg-BG"/>
              </w:rPr>
              <w:t>Финансови пасиви, отчитани по справедлива стойност през печалбата или загубата</w:t>
            </w:r>
          </w:p>
        </w:tc>
        <w:tc>
          <w:tcPr>
            <w:tcW w:w="1767" w:type="dxa"/>
            <w:gridSpan w:val="2"/>
            <w:tcBorders>
              <w:top w:val="nil"/>
              <w:left w:val="single" w:sz="4" w:space="0" w:color="auto"/>
              <w:bottom w:val="single" w:sz="4" w:space="0" w:color="auto"/>
              <w:right w:val="single" w:sz="4" w:space="0" w:color="auto"/>
            </w:tcBorders>
            <w:shd w:val="clear" w:color="000000" w:fill="FFFFFF"/>
            <w:noWrap/>
            <w:vAlign w:val="center"/>
          </w:tcPr>
          <w:p w:rsidR="00863C99" w:rsidRPr="000E54EB" w:rsidRDefault="008F1F01" w:rsidP="00305188">
            <w:pPr>
              <w:jc w:val="center"/>
              <w:rPr>
                <w:rFonts w:ascii="Verdana" w:hAnsi="Verdana" w:cs="Verdana"/>
                <w:sz w:val="20"/>
                <w:szCs w:val="20"/>
                <w:lang w:eastAsia="bg-BG"/>
              </w:rPr>
            </w:pPr>
            <w:r>
              <w:rPr>
                <w:rFonts w:ascii="Verdana" w:hAnsi="Verdana" w:cs="Verdana"/>
                <w:sz w:val="20"/>
                <w:szCs w:val="20"/>
                <w:lang w:eastAsia="bg-BG"/>
              </w:rPr>
              <w:t>-</w:t>
            </w:r>
          </w:p>
        </w:tc>
        <w:tc>
          <w:tcPr>
            <w:tcW w:w="1842" w:type="dxa"/>
            <w:gridSpan w:val="2"/>
            <w:tcBorders>
              <w:top w:val="nil"/>
              <w:left w:val="nil"/>
              <w:bottom w:val="single" w:sz="4" w:space="0" w:color="auto"/>
              <w:right w:val="single" w:sz="4" w:space="0" w:color="auto"/>
            </w:tcBorders>
            <w:shd w:val="clear" w:color="000000" w:fill="FFFFFF"/>
            <w:noWrap/>
            <w:vAlign w:val="center"/>
          </w:tcPr>
          <w:p w:rsidR="00863C99" w:rsidRPr="000E54EB" w:rsidRDefault="008F1F01" w:rsidP="001F704A">
            <w:pPr>
              <w:jc w:val="center"/>
              <w:rPr>
                <w:rFonts w:ascii="Verdana" w:hAnsi="Verdana" w:cs="Verdana"/>
                <w:sz w:val="20"/>
                <w:szCs w:val="20"/>
                <w:lang w:eastAsia="bg-BG"/>
              </w:rPr>
            </w:pPr>
            <w:r>
              <w:rPr>
                <w:rFonts w:ascii="Verdana" w:hAnsi="Verdana" w:cs="Verdana"/>
                <w:sz w:val="20"/>
                <w:szCs w:val="20"/>
                <w:lang w:eastAsia="bg-BG"/>
              </w:rPr>
              <w:t>30</w:t>
            </w:r>
          </w:p>
        </w:tc>
      </w:tr>
      <w:tr w:rsidR="00863C99" w:rsidRPr="000E54EB">
        <w:trPr>
          <w:gridAfter w:val="1"/>
          <w:wAfter w:w="216" w:type="dxa"/>
          <w:trHeight w:val="255"/>
        </w:trPr>
        <w:tc>
          <w:tcPr>
            <w:tcW w:w="6035" w:type="dxa"/>
            <w:tcBorders>
              <w:top w:val="nil"/>
              <w:left w:val="single" w:sz="4" w:space="0" w:color="auto"/>
              <w:bottom w:val="single" w:sz="4" w:space="0" w:color="auto"/>
              <w:right w:val="nil"/>
            </w:tcBorders>
            <w:shd w:val="clear" w:color="000000" w:fill="C5D9F1"/>
            <w:noWrap/>
            <w:vAlign w:val="center"/>
          </w:tcPr>
          <w:p w:rsidR="00863C99" w:rsidRPr="000E54EB" w:rsidRDefault="00863C99" w:rsidP="00D73397">
            <w:pPr>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1767" w:type="dxa"/>
            <w:gridSpan w:val="2"/>
            <w:tcBorders>
              <w:top w:val="nil"/>
              <w:left w:val="single" w:sz="4" w:space="0" w:color="auto"/>
              <w:bottom w:val="single" w:sz="4" w:space="0" w:color="auto"/>
              <w:right w:val="nil"/>
            </w:tcBorders>
            <w:shd w:val="clear" w:color="000000" w:fill="C5D9F1"/>
            <w:noWrap/>
            <w:vAlign w:val="center"/>
          </w:tcPr>
          <w:p w:rsidR="00863C99" w:rsidRPr="000E54EB" w:rsidRDefault="008F1F01" w:rsidP="00305188">
            <w:pPr>
              <w:jc w:val="center"/>
              <w:rPr>
                <w:rFonts w:ascii="Verdana" w:hAnsi="Verdana" w:cs="Verdana"/>
                <w:b/>
                <w:bCs/>
                <w:sz w:val="20"/>
                <w:szCs w:val="20"/>
                <w:lang w:eastAsia="bg-BG"/>
              </w:rPr>
            </w:pPr>
            <w:r>
              <w:rPr>
                <w:rFonts w:ascii="Verdana" w:hAnsi="Verdana" w:cs="Verdana"/>
                <w:b/>
                <w:bCs/>
                <w:sz w:val="20"/>
                <w:szCs w:val="20"/>
                <w:lang w:eastAsia="bg-BG"/>
              </w:rPr>
              <w:t>-</w:t>
            </w:r>
          </w:p>
        </w:tc>
        <w:tc>
          <w:tcPr>
            <w:tcW w:w="1842" w:type="dxa"/>
            <w:gridSpan w:val="2"/>
            <w:tcBorders>
              <w:top w:val="nil"/>
              <w:left w:val="single" w:sz="4" w:space="0" w:color="auto"/>
              <w:bottom w:val="single" w:sz="4" w:space="0" w:color="auto"/>
              <w:right w:val="single" w:sz="4" w:space="0" w:color="auto"/>
            </w:tcBorders>
            <w:shd w:val="clear" w:color="000000" w:fill="C5D9F1"/>
            <w:noWrap/>
            <w:vAlign w:val="center"/>
          </w:tcPr>
          <w:p w:rsidR="00863C99" w:rsidRPr="000E54EB" w:rsidRDefault="008F1F01" w:rsidP="001F704A">
            <w:pPr>
              <w:jc w:val="center"/>
              <w:rPr>
                <w:rFonts w:ascii="Verdana" w:hAnsi="Verdana" w:cs="Verdana"/>
                <w:b/>
                <w:bCs/>
                <w:sz w:val="20"/>
                <w:szCs w:val="20"/>
                <w:lang w:eastAsia="bg-BG"/>
              </w:rPr>
            </w:pPr>
            <w:r>
              <w:rPr>
                <w:rFonts w:ascii="Verdana" w:hAnsi="Verdana" w:cs="Verdana"/>
                <w:b/>
                <w:bCs/>
                <w:sz w:val="20"/>
                <w:szCs w:val="20"/>
                <w:lang w:eastAsia="bg-BG"/>
              </w:rPr>
              <w:t>30</w:t>
            </w:r>
          </w:p>
        </w:tc>
      </w:tr>
      <w:tr w:rsidR="00863C99" w:rsidRPr="000E54EB">
        <w:trPr>
          <w:trHeight w:val="255"/>
        </w:trPr>
        <w:tc>
          <w:tcPr>
            <w:tcW w:w="6180" w:type="dxa"/>
            <w:gridSpan w:val="2"/>
            <w:tcBorders>
              <w:top w:val="nil"/>
              <w:left w:val="nil"/>
              <w:bottom w:val="nil"/>
              <w:right w:val="nil"/>
            </w:tcBorders>
            <w:noWrap/>
            <w:vAlign w:val="center"/>
          </w:tcPr>
          <w:p w:rsidR="00863C99" w:rsidRPr="000E54EB" w:rsidRDefault="00863C99" w:rsidP="00D73397">
            <w:pPr>
              <w:jc w:val="left"/>
              <w:rPr>
                <w:rFonts w:ascii="Verdana" w:hAnsi="Verdana" w:cs="Verdana"/>
                <w:b/>
                <w:bCs/>
                <w:sz w:val="20"/>
                <w:szCs w:val="20"/>
                <w:lang w:eastAsia="bg-BG"/>
              </w:rPr>
            </w:pPr>
            <w:r w:rsidRPr="000E54EB">
              <w:rPr>
                <w:rFonts w:ascii="Verdana" w:hAnsi="Verdana" w:cs="Verdana"/>
                <w:b/>
                <w:bCs/>
                <w:sz w:val="20"/>
                <w:szCs w:val="20"/>
                <w:lang w:eastAsia="bg-BG"/>
              </w:rPr>
              <w:t> </w:t>
            </w:r>
          </w:p>
        </w:tc>
        <w:tc>
          <w:tcPr>
            <w:tcW w:w="1900" w:type="dxa"/>
            <w:gridSpan w:val="2"/>
            <w:tcBorders>
              <w:top w:val="nil"/>
              <w:left w:val="nil"/>
              <w:bottom w:val="nil"/>
              <w:right w:val="nil"/>
            </w:tcBorders>
            <w:noWrap/>
            <w:vAlign w:val="center"/>
          </w:tcPr>
          <w:p w:rsidR="00863C99" w:rsidRPr="000E54EB" w:rsidRDefault="00863C99" w:rsidP="00D73397">
            <w:pPr>
              <w:jc w:val="center"/>
              <w:rPr>
                <w:rFonts w:ascii="Verdana" w:hAnsi="Verdana" w:cs="Verdana"/>
                <w:b/>
                <w:bCs/>
                <w:sz w:val="20"/>
                <w:szCs w:val="20"/>
                <w:lang w:eastAsia="bg-BG"/>
              </w:rPr>
            </w:pPr>
            <w:r w:rsidRPr="000E54EB">
              <w:rPr>
                <w:rFonts w:ascii="Verdana" w:hAnsi="Verdana" w:cs="Verdana"/>
                <w:b/>
                <w:bCs/>
                <w:sz w:val="20"/>
                <w:szCs w:val="20"/>
                <w:lang w:eastAsia="bg-BG"/>
              </w:rPr>
              <w:t> </w:t>
            </w:r>
          </w:p>
        </w:tc>
        <w:tc>
          <w:tcPr>
            <w:tcW w:w="1780" w:type="dxa"/>
            <w:gridSpan w:val="2"/>
            <w:tcBorders>
              <w:top w:val="nil"/>
              <w:left w:val="nil"/>
              <w:bottom w:val="nil"/>
              <w:right w:val="nil"/>
            </w:tcBorders>
            <w:noWrap/>
            <w:vAlign w:val="center"/>
          </w:tcPr>
          <w:p w:rsidR="00863C99" w:rsidRPr="000E54EB" w:rsidRDefault="00863C99" w:rsidP="00D73397">
            <w:pPr>
              <w:jc w:val="center"/>
              <w:rPr>
                <w:rFonts w:ascii="Verdana" w:hAnsi="Verdana" w:cs="Verdana"/>
                <w:b/>
                <w:bCs/>
                <w:sz w:val="20"/>
                <w:szCs w:val="20"/>
                <w:lang w:eastAsia="bg-BG"/>
              </w:rPr>
            </w:pPr>
            <w:r w:rsidRPr="000E54EB">
              <w:rPr>
                <w:rFonts w:ascii="Verdana" w:hAnsi="Verdana" w:cs="Verdana"/>
                <w:b/>
                <w:bCs/>
                <w:sz w:val="20"/>
                <w:szCs w:val="20"/>
                <w:lang w:eastAsia="bg-BG"/>
              </w:rPr>
              <w:t> </w:t>
            </w:r>
          </w:p>
        </w:tc>
      </w:tr>
      <w:tr w:rsidR="00863C99" w:rsidRPr="000E54EB">
        <w:trPr>
          <w:gridAfter w:val="1"/>
          <w:wAfter w:w="216" w:type="dxa"/>
          <w:trHeight w:val="255"/>
        </w:trPr>
        <w:tc>
          <w:tcPr>
            <w:tcW w:w="9644"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863C99" w:rsidRPr="000E54EB" w:rsidRDefault="00863C99" w:rsidP="00D73397">
            <w:pPr>
              <w:jc w:val="left"/>
              <w:rPr>
                <w:rFonts w:ascii="Verdana" w:hAnsi="Verdana" w:cs="Verdana"/>
                <w:b/>
                <w:bCs/>
                <w:sz w:val="20"/>
                <w:szCs w:val="20"/>
                <w:lang w:eastAsia="bg-BG"/>
              </w:rPr>
            </w:pPr>
            <w:r w:rsidRPr="000E54EB">
              <w:rPr>
                <w:rFonts w:ascii="Verdana" w:hAnsi="Verdana" w:cs="Verdana"/>
                <w:b/>
                <w:bCs/>
                <w:sz w:val="20"/>
                <w:szCs w:val="20"/>
                <w:lang w:eastAsia="bg-BG"/>
              </w:rPr>
              <w:t>Кредити и заеми, отчитани по справедлива стойност - текущи</w:t>
            </w:r>
          </w:p>
        </w:tc>
      </w:tr>
      <w:tr w:rsidR="00863C99" w:rsidRPr="000E54EB">
        <w:trPr>
          <w:gridAfter w:val="1"/>
          <w:wAfter w:w="216" w:type="dxa"/>
          <w:trHeight w:val="255"/>
        </w:trPr>
        <w:tc>
          <w:tcPr>
            <w:tcW w:w="603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3C99" w:rsidRPr="000E54EB" w:rsidRDefault="00863C99" w:rsidP="00D73397">
            <w:pPr>
              <w:jc w:val="left"/>
              <w:rPr>
                <w:rFonts w:ascii="Verdana" w:hAnsi="Verdana" w:cs="Verdana"/>
                <w:b/>
                <w:bCs/>
                <w:sz w:val="20"/>
                <w:szCs w:val="20"/>
                <w:lang w:eastAsia="bg-BG"/>
              </w:rPr>
            </w:pPr>
            <w:r w:rsidRPr="000E54EB">
              <w:rPr>
                <w:rFonts w:ascii="Verdana" w:hAnsi="Verdana" w:cs="Verdana"/>
                <w:b/>
                <w:bCs/>
                <w:sz w:val="20"/>
                <w:szCs w:val="20"/>
                <w:lang w:eastAsia="bg-BG"/>
              </w:rPr>
              <w:t>Вид</w:t>
            </w:r>
          </w:p>
        </w:tc>
        <w:tc>
          <w:tcPr>
            <w:tcW w:w="176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63C99" w:rsidRPr="000E54EB" w:rsidRDefault="007D5B65" w:rsidP="00C94611">
            <w:pPr>
              <w:jc w:val="center"/>
              <w:rPr>
                <w:rFonts w:ascii="Verdana" w:hAnsi="Verdana" w:cs="Verdana"/>
                <w:b/>
                <w:bCs/>
                <w:sz w:val="20"/>
                <w:szCs w:val="20"/>
                <w:lang w:eastAsia="bg-BG"/>
              </w:rPr>
            </w:pPr>
            <w:r>
              <w:rPr>
                <w:rFonts w:ascii="Verdana" w:hAnsi="Verdana" w:cs="Verdana"/>
                <w:b/>
                <w:bCs/>
                <w:sz w:val="20"/>
                <w:szCs w:val="20"/>
                <w:lang w:eastAsia="bg-BG"/>
              </w:rPr>
              <w:t>30.06.2020</w:t>
            </w:r>
            <w:r w:rsidR="00863C99" w:rsidRPr="000E54EB">
              <w:rPr>
                <w:rFonts w:ascii="Verdana" w:hAnsi="Verdana" w:cs="Verdana"/>
                <w:b/>
                <w:bCs/>
                <w:sz w:val="20"/>
                <w:szCs w:val="20"/>
                <w:lang w:eastAsia="bg-BG"/>
              </w:rPr>
              <w:t xml:space="preserve"> г.</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63C99" w:rsidRPr="000E54EB" w:rsidRDefault="00863C99" w:rsidP="007D5B65">
            <w:pPr>
              <w:jc w:val="center"/>
              <w:rPr>
                <w:rFonts w:ascii="Verdana" w:hAnsi="Verdana" w:cs="Verdana"/>
                <w:b/>
                <w:bCs/>
                <w:sz w:val="20"/>
                <w:szCs w:val="20"/>
                <w:lang w:eastAsia="bg-BG"/>
              </w:rPr>
            </w:pPr>
            <w:r w:rsidRPr="000E54EB">
              <w:rPr>
                <w:rFonts w:ascii="Verdana" w:hAnsi="Verdana" w:cs="Verdana"/>
                <w:b/>
                <w:bCs/>
                <w:sz w:val="20"/>
                <w:szCs w:val="20"/>
                <w:lang w:eastAsia="bg-BG"/>
              </w:rPr>
              <w:t>31.12.201</w:t>
            </w:r>
            <w:r w:rsidR="007D5B65">
              <w:rPr>
                <w:rFonts w:ascii="Verdana" w:hAnsi="Verdana" w:cs="Verdana"/>
                <w:b/>
                <w:bCs/>
                <w:sz w:val="20"/>
                <w:szCs w:val="20"/>
                <w:lang w:eastAsia="bg-BG"/>
              </w:rPr>
              <w:t>9</w:t>
            </w:r>
            <w:r w:rsidRPr="000E54EB">
              <w:rPr>
                <w:rFonts w:ascii="Verdana" w:hAnsi="Verdana" w:cs="Verdana"/>
                <w:b/>
                <w:bCs/>
                <w:sz w:val="20"/>
                <w:szCs w:val="20"/>
                <w:lang w:eastAsia="bg-BG"/>
              </w:rPr>
              <w:t xml:space="preserve"> г.</w:t>
            </w:r>
          </w:p>
        </w:tc>
      </w:tr>
      <w:tr w:rsidR="00863C99" w:rsidRPr="000E54EB">
        <w:trPr>
          <w:gridAfter w:val="1"/>
          <w:wAfter w:w="216" w:type="dxa"/>
          <w:trHeight w:val="255"/>
        </w:trPr>
        <w:tc>
          <w:tcPr>
            <w:tcW w:w="6035" w:type="dxa"/>
            <w:tcBorders>
              <w:top w:val="single" w:sz="4" w:space="0" w:color="auto"/>
              <w:left w:val="single" w:sz="4" w:space="0" w:color="auto"/>
              <w:bottom w:val="single" w:sz="4" w:space="0" w:color="auto"/>
              <w:right w:val="single" w:sz="4" w:space="0" w:color="auto"/>
            </w:tcBorders>
            <w:shd w:val="clear" w:color="000000" w:fill="FFFFFF"/>
            <w:vAlign w:val="center"/>
          </w:tcPr>
          <w:p w:rsidR="00863C99" w:rsidRPr="000E54EB" w:rsidRDefault="00863C99" w:rsidP="00D73397">
            <w:pPr>
              <w:jc w:val="left"/>
              <w:rPr>
                <w:rFonts w:ascii="Verdana" w:hAnsi="Verdana" w:cs="Verdana"/>
                <w:sz w:val="20"/>
                <w:szCs w:val="20"/>
                <w:lang w:eastAsia="bg-BG"/>
              </w:rPr>
            </w:pPr>
            <w:r w:rsidRPr="000E54EB">
              <w:rPr>
                <w:rFonts w:ascii="Verdana" w:hAnsi="Verdana" w:cs="Verdana"/>
                <w:sz w:val="20"/>
                <w:szCs w:val="20"/>
                <w:lang w:eastAsia="bg-BG"/>
              </w:rPr>
              <w:t>Задължения за главници по кредити и заеми към несвързани лица</w:t>
            </w:r>
          </w:p>
        </w:tc>
        <w:tc>
          <w:tcPr>
            <w:tcW w:w="176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63C99" w:rsidRPr="000E54EB" w:rsidRDefault="007D5B65" w:rsidP="00305188">
            <w:pPr>
              <w:jc w:val="center"/>
              <w:rPr>
                <w:rFonts w:ascii="Verdana" w:hAnsi="Verdana" w:cs="Verdana"/>
                <w:sz w:val="20"/>
                <w:szCs w:val="20"/>
                <w:lang w:eastAsia="bg-BG"/>
              </w:rPr>
            </w:pPr>
            <w:r>
              <w:rPr>
                <w:rFonts w:ascii="Verdana" w:hAnsi="Verdana" w:cs="Verdana"/>
                <w:sz w:val="20"/>
                <w:szCs w:val="20"/>
                <w:lang w:eastAsia="bg-BG"/>
              </w:rPr>
              <w:t>-</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63C99" w:rsidRPr="000E54EB" w:rsidRDefault="007D5B65" w:rsidP="001F704A">
            <w:pPr>
              <w:jc w:val="center"/>
              <w:rPr>
                <w:rFonts w:ascii="Verdana" w:hAnsi="Verdana" w:cs="Verdana"/>
                <w:sz w:val="20"/>
                <w:szCs w:val="20"/>
                <w:lang w:eastAsia="bg-BG"/>
              </w:rPr>
            </w:pPr>
            <w:r>
              <w:rPr>
                <w:rFonts w:ascii="Verdana" w:hAnsi="Verdana" w:cs="Verdana"/>
                <w:sz w:val="20"/>
                <w:szCs w:val="20"/>
                <w:lang w:eastAsia="bg-BG"/>
              </w:rPr>
              <w:t>30</w:t>
            </w:r>
          </w:p>
        </w:tc>
      </w:tr>
      <w:tr w:rsidR="00863C99" w:rsidRPr="000E54EB">
        <w:trPr>
          <w:gridAfter w:val="1"/>
          <w:wAfter w:w="216" w:type="dxa"/>
          <w:trHeight w:val="255"/>
        </w:trPr>
        <w:tc>
          <w:tcPr>
            <w:tcW w:w="6035" w:type="dxa"/>
            <w:tcBorders>
              <w:top w:val="single" w:sz="4" w:space="0" w:color="auto"/>
              <w:left w:val="single" w:sz="4" w:space="0" w:color="auto"/>
              <w:bottom w:val="single" w:sz="4" w:space="0" w:color="auto"/>
              <w:right w:val="single" w:sz="4" w:space="0" w:color="auto"/>
            </w:tcBorders>
            <w:shd w:val="clear" w:color="000000" w:fill="C5D9F1"/>
            <w:noWrap/>
            <w:vAlign w:val="center"/>
          </w:tcPr>
          <w:p w:rsidR="00863C99" w:rsidRPr="000E54EB" w:rsidRDefault="00863C99" w:rsidP="00D73397">
            <w:pPr>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1767"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rsidR="00863C99" w:rsidRPr="000E54EB" w:rsidRDefault="007D5B65" w:rsidP="00305188">
            <w:pPr>
              <w:jc w:val="center"/>
              <w:rPr>
                <w:rFonts w:ascii="Verdana" w:hAnsi="Verdana" w:cs="Verdana"/>
                <w:b/>
                <w:bCs/>
                <w:sz w:val="20"/>
                <w:szCs w:val="20"/>
                <w:lang w:eastAsia="bg-BG"/>
              </w:rPr>
            </w:pPr>
            <w:r>
              <w:rPr>
                <w:rFonts w:ascii="Verdana" w:hAnsi="Verdana" w:cs="Verdana"/>
                <w:b/>
                <w:bCs/>
                <w:sz w:val="20"/>
                <w:szCs w:val="20"/>
                <w:lang w:eastAsia="bg-BG"/>
              </w:rPr>
              <w:t>-</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rsidR="00863C99" w:rsidRPr="000E54EB" w:rsidRDefault="007D5B65" w:rsidP="001F704A">
            <w:pPr>
              <w:jc w:val="center"/>
              <w:rPr>
                <w:rFonts w:ascii="Verdana" w:hAnsi="Verdana" w:cs="Verdana"/>
                <w:b/>
                <w:bCs/>
                <w:sz w:val="20"/>
                <w:szCs w:val="20"/>
                <w:lang w:eastAsia="bg-BG"/>
              </w:rPr>
            </w:pPr>
            <w:r>
              <w:rPr>
                <w:rFonts w:ascii="Verdana" w:hAnsi="Verdana" w:cs="Verdana"/>
                <w:b/>
                <w:bCs/>
                <w:sz w:val="20"/>
                <w:szCs w:val="20"/>
                <w:lang w:eastAsia="bg-BG"/>
              </w:rPr>
              <w:t>30</w:t>
            </w:r>
          </w:p>
        </w:tc>
      </w:tr>
      <w:tr w:rsidR="00863C99" w:rsidRPr="000E54EB">
        <w:trPr>
          <w:gridAfter w:val="1"/>
          <w:wAfter w:w="216" w:type="dxa"/>
          <w:trHeight w:val="255"/>
        </w:trPr>
        <w:tc>
          <w:tcPr>
            <w:tcW w:w="6035" w:type="dxa"/>
            <w:tcBorders>
              <w:top w:val="nil"/>
              <w:left w:val="nil"/>
              <w:bottom w:val="nil"/>
              <w:right w:val="nil"/>
            </w:tcBorders>
            <w:noWrap/>
            <w:vAlign w:val="center"/>
          </w:tcPr>
          <w:p w:rsidR="00863C99" w:rsidRPr="000E54EB" w:rsidRDefault="00863C99" w:rsidP="00D73397">
            <w:pPr>
              <w:jc w:val="left"/>
              <w:rPr>
                <w:rFonts w:ascii="Verdana" w:hAnsi="Verdana" w:cs="Verdana"/>
                <w:sz w:val="20"/>
                <w:szCs w:val="20"/>
                <w:lang w:eastAsia="bg-BG"/>
              </w:rPr>
            </w:pPr>
            <w:r w:rsidRPr="000E54EB">
              <w:rPr>
                <w:rFonts w:ascii="Verdana" w:hAnsi="Verdana" w:cs="Verdana"/>
                <w:sz w:val="20"/>
                <w:szCs w:val="20"/>
                <w:lang w:eastAsia="bg-BG"/>
              </w:rPr>
              <w:t> </w:t>
            </w:r>
          </w:p>
        </w:tc>
        <w:tc>
          <w:tcPr>
            <w:tcW w:w="2045" w:type="dxa"/>
            <w:gridSpan w:val="3"/>
            <w:tcBorders>
              <w:top w:val="nil"/>
              <w:left w:val="nil"/>
              <w:bottom w:val="nil"/>
              <w:right w:val="nil"/>
            </w:tcBorders>
            <w:noWrap/>
            <w:vAlign w:val="center"/>
          </w:tcPr>
          <w:p w:rsidR="00863C99" w:rsidRPr="000E54EB" w:rsidRDefault="00863C99" w:rsidP="00D73397">
            <w:pPr>
              <w:jc w:val="left"/>
              <w:rPr>
                <w:rFonts w:ascii="Verdana" w:hAnsi="Verdana" w:cs="Verdana"/>
                <w:sz w:val="20"/>
                <w:szCs w:val="20"/>
                <w:lang w:eastAsia="bg-BG"/>
              </w:rPr>
            </w:pPr>
            <w:r w:rsidRPr="000E54EB">
              <w:rPr>
                <w:rFonts w:ascii="Verdana" w:hAnsi="Verdana" w:cs="Verdana"/>
                <w:sz w:val="20"/>
                <w:szCs w:val="20"/>
                <w:lang w:eastAsia="bg-BG"/>
              </w:rPr>
              <w:t> </w:t>
            </w:r>
          </w:p>
        </w:tc>
        <w:tc>
          <w:tcPr>
            <w:tcW w:w="1564" w:type="dxa"/>
            <w:tcBorders>
              <w:top w:val="nil"/>
              <w:left w:val="nil"/>
              <w:bottom w:val="nil"/>
              <w:right w:val="nil"/>
            </w:tcBorders>
            <w:noWrap/>
            <w:vAlign w:val="center"/>
          </w:tcPr>
          <w:p w:rsidR="00863C99" w:rsidRPr="000E54EB" w:rsidRDefault="00863C99" w:rsidP="00D73397">
            <w:pPr>
              <w:jc w:val="left"/>
              <w:rPr>
                <w:rFonts w:ascii="Verdana" w:hAnsi="Verdana" w:cs="Verdana"/>
                <w:sz w:val="20"/>
                <w:szCs w:val="20"/>
                <w:lang w:eastAsia="bg-BG"/>
              </w:rPr>
            </w:pPr>
            <w:r w:rsidRPr="000E54EB">
              <w:rPr>
                <w:rFonts w:ascii="Verdana" w:hAnsi="Verdana" w:cs="Verdana"/>
                <w:sz w:val="20"/>
                <w:szCs w:val="20"/>
                <w:lang w:eastAsia="bg-BG"/>
              </w:rPr>
              <w:t> </w:t>
            </w:r>
          </w:p>
        </w:tc>
      </w:tr>
      <w:tr w:rsidR="00863C99" w:rsidRPr="000E54EB">
        <w:trPr>
          <w:gridAfter w:val="1"/>
          <w:wAfter w:w="216" w:type="dxa"/>
          <w:trHeight w:val="255"/>
        </w:trPr>
        <w:tc>
          <w:tcPr>
            <w:tcW w:w="9644" w:type="dxa"/>
            <w:gridSpan w:val="5"/>
            <w:tcBorders>
              <w:top w:val="single" w:sz="4" w:space="0" w:color="auto"/>
              <w:left w:val="single" w:sz="4" w:space="0" w:color="auto"/>
              <w:bottom w:val="single" w:sz="4" w:space="0" w:color="auto"/>
              <w:right w:val="single" w:sz="4" w:space="0" w:color="000000"/>
            </w:tcBorders>
            <w:noWrap/>
            <w:vAlign w:val="center"/>
          </w:tcPr>
          <w:p w:rsidR="00863C99" w:rsidRPr="000E54EB" w:rsidRDefault="00863C99" w:rsidP="00D73397">
            <w:pPr>
              <w:jc w:val="left"/>
              <w:rPr>
                <w:rFonts w:ascii="Verdana" w:hAnsi="Verdana" w:cs="Verdana"/>
                <w:b/>
                <w:bCs/>
                <w:sz w:val="20"/>
                <w:szCs w:val="20"/>
                <w:lang w:eastAsia="bg-BG"/>
              </w:rPr>
            </w:pPr>
            <w:r w:rsidRPr="000E54EB">
              <w:rPr>
                <w:rFonts w:ascii="Verdana" w:hAnsi="Verdana" w:cs="Verdana"/>
                <w:b/>
                <w:bCs/>
                <w:sz w:val="20"/>
                <w:szCs w:val="20"/>
                <w:lang w:eastAsia="bg-BG"/>
              </w:rPr>
              <w:t>Балансова стойност на текущи финансови пасиви по валути (сумите са в BGN)</w:t>
            </w:r>
          </w:p>
        </w:tc>
      </w:tr>
      <w:tr w:rsidR="00863C99" w:rsidRPr="000E54EB">
        <w:trPr>
          <w:gridAfter w:val="1"/>
          <w:wAfter w:w="216" w:type="dxa"/>
          <w:trHeight w:val="255"/>
        </w:trPr>
        <w:tc>
          <w:tcPr>
            <w:tcW w:w="6035" w:type="dxa"/>
            <w:tcBorders>
              <w:top w:val="nil"/>
              <w:left w:val="single" w:sz="4" w:space="0" w:color="auto"/>
              <w:bottom w:val="single" w:sz="4" w:space="0" w:color="auto"/>
              <w:right w:val="nil"/>
            </w:tcBorders>
            <w:noWrap/>
            <w:vAlign w:val="center"/>
          </w:tcPr>
          <w:p w:rsidR="00863C99" w:rsidRPr="000E54EB" w:rsidRDefault="00863C99" w:rsidP="00D73397">
            <w:pPr>
              <w:jc w:val="left"/>
              <w:rPr>
                <w:rFonts w:ascii="Verdana" w:hAnsi="Verdana" w:cs="Verdana"/>
                <w:b/>
                <w:bCs/>
                <w:sz w:val="20"/>
                <w:szCs w:val="20"/>
                <w:lang w:eastAsia="bg-BG"/>
              </w:rPr>
            </w:pPr>
            <w:r w:rsidRPr="000E54EB">
              <w:rPr>
                <w:rFonts w:ascii="Verdana" w:hAnsi="Verdana" w:cs="Verdana"/>
                <w:b/>
                <w:bCs/>
                <w:sz w:val="20"/>
                <w:szCs w:val="20"/>
                <w:lang w:eastAsia="bg-BG"/>
              </w:rPr>
              <w:t>Валута</w:t>
            </w:r>
          </w:p>
        </w:tc>
        <w:tc>
          <w:tcPr>
            <w:tcW w:w="1767" w:type="dxa"/>
            <w:gridSpan w:val="2"/>
            <w:tcBorders>
              <w:top w:val="nil"/>
              <w:left w:val="single" w:sz="4" w:space="0" w:color="auto"/>
              <w:bottom w:val="single" w:sz="4" w:space="0" w:color="auto"/>
              <w:right w:val="single" w:sz="4" w:space="0" w:color="auto"/>
            </w:tcBorders>
            <w:shd w:val="clear" w:color="000000" w:fill="FFFFFF"/>
            <w:noWrap/>
            <w:vAlign w:val="center"/>
          </w:tcPr>
          <w:p w:rsidR="00863C99" w:rsidRPr="000E54EB" w:rsidRDefault="007D5B65" w:rsidP="00C94611">
            <w:pPr>
              <w:jc w:val="center"/>
              <w:rPr>
                <w:rFonts w:ascii="Verdana" w:hAnsi="Verdana" w:cs="Verdana"/>
                <w:b/>
                <w:bCs/>
                <w:sz w:val="20"/>
                <w:szCs w:val="20"/>
                <w:lang w:eastAsia="bg-BG"/>
              </w:rPr>
            </w:pPr>
            <w:r>
              <w:rPr>
                <w:rFonts w:ascii="Verdana" w:hAnsi="Verdana" w:cs="Verdana"/>
                <w:b/>
                <w:bCs/>
                <w:sz w:val="20"/>
                <w:szCs w:val="20"/>
                <w:lang w:eastAsia="bg-BG"/>
              </w:rPr>
              <w:t>30.06.2020</w:t>
            </w:r>
            <w:r w:rsidR="00863C99" w:rsidRPr="000E54EB">
              <w:rPr>
                <w:rFonts w:ascii="Verdana" w:hAnsi="Verdana" w:cs="Verdana"/>
                <w:b/>
                <w:bCs/>
                <w:sz w:val="20"/>
                <w:szCs w:val="20"/>
                <w:lang w:eastAsia="bg-BG"/>
              </w:rPr>
              <w:t xml:space="preserve"> г.</w:t>
            </w:r>
          </w:p>
        </w:tc>
        <w:tc>
          <w:tcPr>
            <w:tcW w:w="1842" w:type="dxa"/>
            <w:gridSpan w:val="2"/>
            <w:tcBorders>
              <w:top w:val="nil"/>
              <w:left w:val="nil"/>
              <w:bottom w:val="single" w:sz="4" w:space="0" w:color="auto"/>
              <w:right w:val="single" w:sz="4" w:space="0" w:color="auto"/>
            </w:tcBorders>
            <w:shd w:val="clear" w:color="000000" w:fill="FFFFFF"/>
            <w:noWrap/>
            <w:vAlign w:val="center"/>
          </w:tcPr>
          <w:p w:rsidR="00863C99" w:rsidRPr="000E54EB" w:rsidRDefault="00863C99" w:rsidP="007D5B65">
            <w:pPr>
              <w:jc w:val="center"/>
              <w:rPr>
                <w:rFonts w:ascii="Verdana" w:hAnsi="Verdana" w:cs="Verdana"/>
                <w:b/>
                <w:bCs/>
                <w:sz w:val="20"/>
                <w:szCs w:val="20"/>
                <w:lang w:eastAsia="bg-BG"/>
              </w:rPr>
            </w:pPr>
            <w:r w:rsidRPr="000E54EB">
              <w:rPr>
                <w:rFonts w:ascii="Verdana" w:hAnsi="Verdana" w:cs="Verdana"/>
                <w:b/>
                <w:bCs/>
                <w:sz w:val="20"/>
                <w:szCs w:val="20"/>
                <w:lang w:eastAsia="bg-BG"/>
              </w:rPr>
              <w:t>31.12.201</w:t>
            </w:r>
            <w:r w:rsidR="007D5B65">
              <w:rPr>
                <w:rFonts w:ascii="Verdana" w:hAnsi="Verdana" w:cs="Verdana"/>
                <w:b/>
                <w:bCs/>
                <w:sz w:val="20"/>
                <w:szCs w:val="20"/>
                <w:lang w:eastAsia="bg-BG"/>
              </w:rPr>
              <w:t>9</w:t>
            </w:r>
            <w:r w:rsidRPr="000E54EB">
              <w:rPr>
                <w:rFonts w:ascii="Verdana" w:hAnsi="Verdana" w:cs="Verdana"/>
                <w:b/>
                <w:bCs/>
                <w:sz w:val="20"/>
                <w:szCs w:val="20"/>
                <w:lang w:eastAsia="bg-BG"/>
              </w:rPr>
              <w:t xml:space="preserve"> г.</w:t>
            </w:r>
          </w:p>
        </w:tc>
      </w:tr>
      <w:tr w:rsidR="00863C99" w:rsidRPr="000E54EB">
        <w:trPr>
          <w:gridAfter w:val="1"/>
          <w:wAfter w:w="216" w:type="dxa"/>
          <w:trHeight w:val="255"/>
        </w:trPr>
        <w:tc>
          <w:tcPr>
            <w:tcW w:w="6035" w:type="dxa"/>
            <w:tcBorders>
              <w:top w:val="nil"/>
              <w:left w:val="single" w:sz="4" w:space="0" w:color="auto"/>
              <w:bottom w:val="single" w:sz="4" w:space="0" w:color="auto"/>
              <w:right w:val="nil"/>
            </w:tcBorders>
            <w:noWrap/>
            <w:vAlign w:val="center"/>
          </w:tcPr>
          <w:p w:rsidR="00863C99" w:rsidRPr="000E54EB" w:rsidRDefault="00863C99" w:rsidP="00D73397">
            <w:pPr>
              <w:jc w:val="left"/>
              <w:rPr>
                <w:rFonts w:ascii="Verdana" w:hAnsi="Verdana" w:cs="Verdana"/>
                <w:sz w:val="20"/>
                <w:szCs w:val="20"/>
                <w:lang w:eastAsia="bg-BG"/>
              </w:rPr>
            </w:pPr>
            <w:r w:rsidRPr="000E54EB">
              <w:rPr>
                <w:rFonts w:ascii="Verdana" w:hAnsi="Verdana" w:cs="Verdana"/>
                <w:sz w:val="20"/>
                <w:szCs w:val="20"/>
                <w:lang w:eastAsia="bg-BG"/>
              </w:rPr>
              <w:t>BGN</w:t>
            </w:r>
          </w:p>
        </w:tc>
        <w:tc>
          <w:tcPr>
            <w:tcW w:w="1767" w:type="dxa"/>
            <w:gridSpan w:val="2"/>
            <w:tcBorders>
              <w:top w:val="nil"/>
              <w:left w:val="single" w:sz="4" w:space="0" w:color="auto"/>
              <w:bottom w:val="single" w:sz="4" w:space="0" w:color="auto"/>
              <w:right w:val="single" w:sz="4" w:space="0" w:color="auto"/>
            </w:tcBorders>
            <w:noWrap/>
            <w:vAlign w:val="center"/>
          </w:tcPr>
          <w:p w:rsidR="00863C99" w:rsidRPr="000E54EB" w:rsidRDefault="00863C99" w:rsidP="00305188">
            <w:pPr>
              <w:jc w:val="center"/>
              <w:rPr>
                <w:rFonts w:ascii="Verdana" w:hAnsi="Verdana" w:cs="Verdana"/>
                <w:sz w:val="20"/>
                <w:szCs w:val="20"/>
                <w:lang w:eastAsia="bg-BG"/>
              </w:rPr>
            </w:pPr>
            <w:r>
              <w:rPr>
                <w:rFonts w:ascii="Verdana" w:hAnsi="Verdana" w:cs="Verdana"/>
                <w:sz w:val="20"/>
                <w:szCs w:val="20"/>
                <w:lang w:eastAsia="bg-BG"/>
              </w:rPr>
              <w:t>-</w:t>
            </w:r>
          </w:p>
        </w:tc>
        <w:tc>
          <w:tcPr>
            <w:tcW w:w="1842" w:type="dxa"/>
            <w:gridSpan w:val="2"/>
            <w:tcBorders>
              <w:top w:val="nil"/>
              <w:left w:val="nil"/>
              <w:bottom w:val="single" w:sz="4" w:space="0" w:color="auto"/>
              <w:right w:val="single" w:sz="4" w:space="0" w:color="auto"/>
            </w:tcBorders>
            <w:noWrap/>
            <w:vAlign w:val="center"/>
          </w:tcPr>
          <w:p w:rsidR="00863C99" w:rsidRPr="000E54EB" w:rsidRDefault="007D5B65" w:rsidP="001F704A">
            <w:pPr>
              <w:jc w:val="center"/>
              <w:rPr>
                <w:rFonts w:ascii="Verdana" w:hAnsi="Verdana" w:cs="Verdana"/>
                <w:sz w:val="20"/>
                <w:szCs w:val="20"/>
                <w:lang w:eastAsia="bg-BG"/>
              </w:rPr>
            </w:pPr>
            <w:r>
              <w:rPr>
                <w:rFonts w:ascii="Verdana" w:hAnsi="Verdana" w:cs="Verdana"/>
                <w:sz w:val="20"/>
                <w:szCs w:val="20"/>
                <w:lang w:eastAsia="bg-BG"/>
              </w:rPr>
              <w:t>-</w:t>
            </w:r>
          </w:p>
        </w:tc>
      </w:tr>
      <w:tr w:rsidR="00863C99" w:rsidRPr="000E54EB">
        <w:trPr>
          <w:gridAfter w:val="1"/>
          <w:wAfter w:w="216" w:type="dxa"/>
          <w:trHeight w:val="255"/>
        </w:trPr>
        <w:tc>
          <w:tcPr>
            <w:tcW w:w="6035" w:type="dxa"/>
            <w:tcBorders>
              <w:top w:val="nil"/>
              <w:left w:val="single" w:sz="4" w:space="0" w:color="auto"/>
              <w:bottom w:val="single" w:sz="4" w:space="0" w:color="auto"/>
              <w:right w:val="nil"/>
            </w:tcBorders>
            <w:noWrap/>
            <w:vAlign w:val="center"/>
          </w:tcPr>
          <w:p w:rsidR="00863C99" w:rsidRPr="000E54EB" w:rsidRDefault="00863C99" w:rsidP="00D73397">
            <w:pPr>
              <w:jc w:val="left"/>
              <w:rPr>
                <w:rFonts w:ascii="Verdana" w:hAnsi="Verdana" w:cs="Verdana"/>
                <w:sz w:val="20"/>
                <w:szCs w:val="20"/>
                <w:lang w:eastAsia="bg-BG"/>
              </w:rPr>
            </w:pPr>
            <w:r w:rsidRPr="000E54EB">
              <w:rPr>
                <w:rFonts w:ascii="Verdana" w:hAnsi="Verdana" w:cs="Verdana"/>
                <w:sz w:val="20"/>
                <w:szCs w:val="20"/>
                <w:lang w:eastAsia="bg-BG"/>
              </w:rPr>
              <w:t>EUR</w:t>
            </w:r>
          </w:p>
        </w:tc>
        <w:tc>
          <w:tcPr>
            <w:tcW w:w="1767" w:type="dxa"/>
            <w:gridSpan w:val="2"/>
            <w:tcBorders>
              <w:top w:val="nil"/>
              <w:left w:val="single" w:sz="4" w:space="0" w:color="auto"/>
              <w:bottom w:val="single" w:sz="4" w:space="0" w:color="auto"/>
              <w:right w:val="single" w:sz="4" w:space="0" w:color="auto"/>
            </w:tcBorders>
            <w:noWrap/>
            <w:vAlign w:val="center"/>
          </w:tcPr>
          <w:p w:rsidR="00863C99" w:rsidRPr="000E54EB" w:rsidRDefault="007D5B65" w:rsidP="00305188">
            <w:pPr>
              <w:jc w:val="center"/>
              <w:rPr>
                <w:rFonts w:ascii="Verdana" w:hAnsi="Verdana" w:cs="Verdana"/>
                <w:sz w:val="20"/>
                <w:szCs w:val="20"/>
                <w:lang w:eastAsia="bg-BG"/>
              </w:rPr>
            </w:pPr>
            <w:r>
              <w:rPr>
                <w:rFonts w:ascii="Verdana" w:hAnsi="Verdana" w:cs="Verdana"/>
                <w:sz w:val="20"/>
                <w:szCs w:val="20"/>
                <w:lang w:eastAsia="bg-BG"/>
              </w:rPr>
              <w:t>-</w:t>
            </w:r>
          </w:p>
        </w:tc>
        <w:tc>
          <w:tcPr>
            <w:tcW w:w="1842" w:type="dxa"/>
            <w:gridSpan w:val="2"/>
            <w:tcBorders>
              <w:top w:val="nil"/>
              <w:left w:val="nil"/>
              <w:bottom w:val="single" w:sz="4" w:space="0" w:color="auto"/>
              <w:right w:val="single" w:sz="4" w:space="0" w:color="auto"/>
            </w:tcBorders>
            <w:noWrap/>
            <w:vAlign w:val="center"/>
          </w:tcPr>
          <w:p w:rsidR="00863C99" w:rsidRPr="000E54EB" w:rsidRDefault="007D5B65" w:rsidP="001F704A">
            <w:pPr>
              <w:jc w:val="center"/>
              <w:rPr>
                <w:rFonts w:ascii="Verdana" w:hAnsi="Verdana" w:cs="Verdana"/>
                <w:sz w:val="20"/>
                <w:szCs w:val="20"/>
                <w:lang w:eastAsia="bg-BG"/>
              </w:rPr>
            </w:pPr>
            <w:r>
              <w:rPr>
                <w:rFonts w:ascii="Verdana" w:hAnsi="Verdana" w:cs="Verdana"/>
                <w:sz w:val="20"/>
                <w:szCs w:val="20"/>
                <w:lang w:eastAsia="bg-BG"/>
              </w:rPr>
              <w:t>30</w:t>
            </w:r>
          </w:p>
        </w:tc>
      </w:tr>
      <w:tr w:rsidR="00863C99" w:rsidRPr="000E54EB">
        <w:trPr>
          <w:gridAfter w:val="1"/>
          <w:wAfter w:w="216" w:type="dxa"/>
          <w:trHeight w:val="255"/>
        </w:trPr>
        <w:tc>
          <w:tcPr>
            <w:tcW w:w="6035" w:type="dxa"/>
            <w:tcBorders>
              <w:top w:val="nil"/>
              <w:left w:val="single" w:sz="4" w:space="0" w:color="auto"/>
              <w:bottom w:val="single" w:sz="4" w:space="0" w:color="auto"/>
              <w:right w:val="nil"/>
            </w:tcBorders>
            <w:shd w:val="clear" w:color="000000" w:fill="C5D9F1"/>
            <w:noWrap/>
            <w:vAlign w:val="center"/>
          </w:tcPr>
          <w:p w:rsidR="00863C99" w:rsidRPr="000E54EB" w:rsidRDefault="00863C99" w:rsidP="00D73397">
            <w:pPr>
              <w:jc w:val="left"/>
              <w:rPr>
                <w:rFonts w:ascii="Verdana" w:hAnsi="Verdana" w:cs="Verdana"/>
                <w:b/>
                <w:bCs/>
                <w:sz w:val="20"/>
                <w:szCs w:val="20"/>
                <w:lang w:eastAsia="bg-BG"/>
              </w:rPr>
            </w:pPr>
            <w:r w:rsidRPr="000E54EB">
              <w:rPr>
                <w:rFonts w:ascii="Verdana" w:hAnsi="Verdana" w:cs="Verdana"/>
                <w:b/>
                <w:bCs/>
                <w:sz w:val="20"/>
                <w:szCs w:val="20"/>
                <w:lang w:eastAsia="bg-BG"/>
              </w:rPr>
              <w:t xml:space="preserve">Общо </w:t>
            </w:r>
          </w:p>
        </w:tc>
        <w:tc>
          <w:tcPr>
            <w:tcW w:w="1767" w:type="dxa"/>
            <w:gridSpan w:val="2"/>
            <w:tcBorders>
              <w:top w:val="nil"/>
              <w:left w:val="single" w:sz="4" w:space="0" w:color="auto"/>
              <w:bottom w:val="single" w:sz="4" w:space="0" w:color="auto"/>
              <w:right w:val="single" w:sz="4" w:space="0" w:color="auto"/>
            </w:tcBorders>
            <w:shd w:val="clear" w:color="000000" w:fill="C5D9F1"/>
            <w:noWrap/>
            <w:vAlign w:val="center"/>
          </w:tcPr>
          <w:p w:rsidR="00863C99" w:rsidRPr="000E54EB" w:rsidRDefault="007D5B65" w:rsidP="00305188">
            <w:pPr>
              <w:jc w:val="center"/>
              <w:rPr>
                <w:rFonts w:ascii="Verdana" w:hAnsi="Verdana" w:cs="Verdana"/>
                <w:b/>
                <w:bCs/>
                <w:sz w:val="20"/>
                <w:szCs w:val="20"/>
                <w:lang w:eastAsia="bg-BG"/>
              </w:rPr>
            </w:pPr>
            <w:r>
              <w:rPr>
                <w:rFonts w:ascii="Verdana" w:hAnsi="Verdana" w:cs="Verdana"/>
                <w:b/>
                <w:bCs/>
                <w:sz w:val="20"/>
                <w:szCs w:val="20"/>
                <w:lang w:eastAsia="bg-BG"/>
              </w:rPr>
              <w:t>-</w:t>
            </w:r>
          </w:p>
        </w:tc>
        <w:tc>
          <w:tcPr>
            <w:tcW w:w="1842" w:type="dxa"/>
            <w:gridSpan w:val="2"/>
            <w:tcBorders>
              <w:top w:val="nil"/>
              <w:left w:val="nil"/>
              <w:bottom w:val="single" w:sz="4" w:space="0" w:color="auto"/>
              <w:right w:val="single" w:sz="4" w:space="0" w:color="auto"/>
            </w:tcBorders>
            <w:shd w:val="clear" w:color="000000" w:fill="C5D9F1"/>
            <w:noWrap/>
            <w:vAlign w:val="center"/>
          </w:tcPr>
          <w:p w:rsidR="00863C99" w:rsidRPr="000E54EB" w:rsidRDefault="007D5B65" w:rsidP="001F704A">
            <w:pPr>
              <w:jc w:val="center"/>
              <w:rPr>
                <w:rFonts w:ascii="Verdana" w:hAnsi="Verdana" w:cs="Verdana"/>
                <w:b/>
                <w:bCs/>
                <w:sz w:val="20"/>
                <w:szCs w:val="20"/>
                <w:lang w:eastAsia="bg-BG"/>
              </w:rPr>
            </w:pPr>
            <w:r>
              <w:rPr>
                <w:rFonts w:ascii="Verdana" w:hAnsi="Verdana" w:cs="Verdana"/>
                <w:b/>
                <w:bCs/>
                <w:sz w:val="20"/>
                <w:szCs w:val="20"/>
                <w:lang w:eastAsia="bg-BG"/>
              </w:rPr>
              <w:t>30</w:t>
            </w:r>
          </w:p>
        </w:tc>
      </w:tr>
    </w:tbl>
    <w:p w:rsidR="00863C99" w:rsidRPr="000E54EB" w:rsidRDefault="00863C99" w:rsidP="00B66DF8">
      <w:pPr>
        <w:rPr>
          <w:rFonts w:ascii="Verdana" w:hAnsi="Verdana" w:cs="Verdana"/>
          <w:sz w:val="20"/>
          <w:szCs w:val="20"/>
        </w:rPr>
      </w:pPr>
    </w:p>
    <w:p w:rsidR="00863C99" w:rsidRDefault="00863C99" w:rsidP="00B66DF8">
      <w:pPr>
        <w:pStyle w:val="Heading1"/>
        <w:spacing w:before="0"/>
        <w:rPr>
          <w:rFonts w:ascii="Verdana" w:hAnsi="Verdana" w:cs="Verdana"/>
          <w:snapToGrid w:val="0"/>
          <w:sz w:val="20"/>
          <w:szCs w:val="20"/>
          <w:lang w:val="bg-BG"/>
        </w:rPr>
      </w:pPr>
      <w:bookmarkStart w:id="175" w:name="_Toc247959204"/>
      <w:bookmarkStart w:id="176" w:name="_Toc314519624"/>
      <w:bookmarkStart w:id="177" w:name="_Toc4328865"/>
    </w:p>
    <w:p w:rsidR="00863C99" w:rsidRPr="000E54EB" w:rsidRDefault="00863C99" w:rsidP="00B66DF8">
      <w:pPr>
        <w:pStyle w:val="Heading1"/>
        <w:spacing w:before="0"/>
        <w:rPr>
          <w:rFonts w:ascii="Verdana" w:hAnsi="Verdana" w:cs="Verdana"/>
          <w:snapToGrid w:val="0"/>
          <w:sz w:val="20"/>
          <w:szCs w:val="20"/>
          <w:lang w:val="bg-BG"/>
        </w:rPr>
      </w:pPr>
      <w:r w:rsidRPr="000E54EB">
        <w:rPr>
          <w:rFonts w:ascii="Verdana" w:hAnsi="Verdana" w:cs="Verdana"/>
          <w:snapToGrid w:val="0"/>
          <w:sz w:val="20"/>
          <w:szCs w:val="20"/>
          <w:lang w:val="bg-BG"/>
        </w:rPr>
        <w:t>IV. Д</w:t>
      </w:r>
      <w:bookmarkEnd w:id="175"/>
      <w:bookmarkEnd w:id="176"/>
      <w:r w:rsidRPr="000E54EB">
        <w:rPr>
          <w:rFonts w:ascii="Verdana" w:hAnsi="Verdana" w:cs="Verdana"/>
          <w:snapToGrid w:val="0"/>
          <w:sz w:val="20"/>
          <w:szCs w:val="20"/>
          <w:lang w:val="bg-BG"/>
        </w:rPr>
        <w:t>РУГИ ОПОВЕСТЯВАНИЯ</w:t>
      </w:r>
      <w:bookmarkEnd w:id="177"/>
    </w:p>
    <w:p w:rsidR="00863C99" w:rsidRPr="000E54EB" w:rsidRDefault="00863C99" w:rsidP="00B66DF8">
      <w:pPr>
        <w:rPr>
          <w:rFonts w:ascii="Verdana" w:hAnsi="Verdana" w:cs="Verdana"/>
          <w:sz w:val="20"/>
          <w:szCs w:val="20"/>
        </w:rPr>
      </w:pPr>
    </w:p>
    <w:p w:rsidR="00863C99" w:rsidRPr="000E54EB" w:rsidRDefault="00863C99" w:rsidP="00026511">
      <w:pPr>
        <w:pStyle w:val="Heading2"/>
        <w:spacing w:before="0"/>
        <w:rPr>
          <w:rFonts w:ascii="Verdana" w:hAnsi="Verdana" w:cs="Verdana"/>
          <w:sz w:val="20"/>
          <w:szCs w:val="20"/>
          <w:lang w:val="bg-BG"/>
        </w:rPr>
      </w:pPr>
      <w:bookmarkStart w:id="178" w:name="_Toc247959206"/>
      <w:bookmarkStart w:id="179" w:name="_Toc4328866"/>
      <w:bookmarkStart w:id="180" w:name="_Hlk509915326"/>
      <w:bookmarkStart w:id="181" w:name="_Toc87445295"/>
      <w:bookmarkStart w:id="182" w:name="_Toc87446131"/>
      <w:bookmarkStart w:id="183" w:name="_Toc247959209"/>
      <w:r w:rsidRPr="00A52D1E">
        <w:rPr>
          <w:rFonts w:ascii="Verdana" w:hAnsi="Verdana" w:cs="Verdana"/>
          <w:sz w:val="20"/>
          <w:szCs w:val="20"/>
          <w:lang w:val="ru-RU"/>
        </w:rPr>
        <w:t>1.</w:t>
      </w:r>
      <w:r w:rsidRPr="000E54EB">
        <w:rPr>
          <w:rFonts w:ascii="Verdana" w:hAnsi="Verdana" w:cs="Verdana"/>
          <w:sz w:val="20"/>
          <w:szCs w:val="20"/>
          <w:lang w:val="bg-BG"/>
        </w:rPr>
        <w:t>Свързани лица и сделки със свързани лица</w:t>
      </w:r>
      <w:bookmarkEnd w:id="178"/>
      <w:bookmarkEnd w:id="179"/>
    </w:p>
    <w:tbl>
      <w:tblPr>
        <w:tblW w:w="9644" w:type="dxa"/>
        <w:tblInd w:w="-68" w:type="dxa"/>
        <w:tblCellMar>
          <w:left w:w="70" w:type="dxa"/>
          <w:right w:w="70" w:type="dxa"/>
        </w:tblCellMar>
        <w:tblLook w:val="00A0" w:firstRow="1" w:lastRow="0" w:firstColumn="1" w:lastColumn="0" w:noHBand="0" w:noVBand="0"/>
      </w:tblPr>
      <w:tblGrid>
        <w:gridCol w:w="3407"/>
        <w:gridCol w:w="2628"/>
        <w:gridCol w:w="1767"/>
        <w:gridCol w:w="1842"/>
      </w:tblGrid>
      <w:tr w:rsidR="00863C99" w:rsidRPr="000E54EB">
        <w:trPr>
          <w:trHeight w:val="240"/>
        </w:trPr>
        <w:tc>
          <w:tcPr>
            <w:tcW w:w="340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3C99" w:rsidRPr="000E54EB" w:rsidRDefault="00863C99" w:rsidP="00CE6D02">
            <w:pPr>
              <w:jc w:val="left"/>
              <w:rPr>
                <w:rFonts w:ascii="Verdana" w:hAnsi="Verdana" w:cs="Verdana"/>
                <w:b/>
                <w:bCs/>
                <w:sz w:val="20"/>
                <w:szCs w:val="20"/>
                <w:lang w:eastAsia="bg-BG"/>
              </w:rPr>
            </w:pPr>
            <w:r w:rsidRPr="000E54EB">
              <w:rPr>
                <w:rFonts w:ascii="Verdana" w:hAnsi="Verdana" w:cs="Verdana"/>
                <w:b/>
                <w:bCs/>
                <w:sz w:val="20"/>
                <w:szCs w:val="20"/>
                <w:lang w:eastAsia="bg-BG"/>
              </w:rPr>
              <w:t>Свързано лице - клиент</w:t>
            </w:r>
          </w:p>
        </w:tc>
        <w:tc>
          <w:tcPr>
            <w:tcW w:w="2628" w:type="dxa"/>
            <w:tcBorders>
              <w:top w:val="single" w:sz="4" w:space="0" w:color="auto"/>
              <w:left w:val="nil"/>
              <w:bottom w:val="single" w:sz="4" w:space="0" w:color="auto"/>
              <w:right w:val="single" w:sz="4" w:space="0" w:color="auto"/>
            </w:tcBorders>
            <w:shd w:val="clear" w:color="000000" w:fill="FFFFFF"/>
            <w:noWrap/>
            <w:vAlign w:val="center"/>
          </w:tcPr>
          <w:p w:rsidR="00863C99" w:rsidRPr="000E54EB" w:rsidRDefault="00863C99" w:rsidP="00770E2F">
            <w:pPr>
              <w:jc w:val="center"/>
              <w:rPr>
                <w:rFonts w:ascii="Verdana" w:hAnsi="Verdana" w:cs="Verdana"/>
                <w:b/>
                <w:bCs/>
                <w:sz w:val="20"/>
                <w:szCs w:val="20"/>
                <w:lang w:eastAsia="bg-BG"/>
              </w:rPr>
            </w:pPr>
            <w:r w:rsidRPr="000E54EB">
              <w:rPr>
                <w:rFonts w:ascii="Verdana" w:hAnsi="Verdana" w:cs="Verdana"/>
                <w:b/>
                <w:bCs/>
                <w:sz w:val="20"/>
                <w:szCs w:val="20"/>
                <w:lang w:eastAsia="bg-BG"/>
              </w:rPr>
              <w:t>Вид сделка</w:t>
            </w:r>
          </w:p>
        </w:tc>
        <w:tc>
          <w:tcPr>
            <w:tcW w:w="1767" w:type="dxa"/>
            <w:tcBorders>
              <w:top w:val="single" w:sz="4" w:space="0" w:color="auto"/>
              <w:left w:val="nil"/>
              <w:bottom w:val="single" w:sz="4" w:space="0" w:color="auto"/>
              <w:right w:val="single" w:sz="4" w:space="0" w:color="auto"/>
            </w:tcBorders>
            <w:noWrap/>
            <w:vAlign w:val="center"/>
          </w:tcPr>
          <w:p w:rsidR="00863C99" w:rsidRPr="000E54EB" w:rsidRDefault="00A50EB3" w:rsidP="00C94611">
            <w:pPr>
              <w:jc w:val="center"/>
              <w:rPr>
                <w:rFonts w:ascii="Verdana" w:hAnsi="Verdana" w:cs="Verdana"/>
                <w:b/>
                <w:bCs/>
                <w:sz w:val="20"/>
                <w:szCs w:val="20"/>
                <w:lang w:eastAsia="bg-BG"/>
              </w:rPr>
            </w:pPr>
            <w:r>
              <w:rPr>
                <w:rFonts w:ascii="Verdana" w:hAnsi="Verdana" w:cs="Verdana"/>
                <w:b/>
                <w:bCs/>
                <w:sz w:val="20"/>
                <w:szCs w:val="20"/>
                <w:lang w:eastAsia="bg-BG"/>
              </w:rPr>
              <w:t>2020</w:t>
            </w:r>
            <w:r w:rsidR="00863C99" w:rsidRPr="000E54EB">
              <w:rPr>
                <w:rFonts w:ascii="Verdana" w:hAnsi="Verdana" w:cs="Verdana"/>
                <w:b/>
                <w:bCs/>
                <w:sz w:val="20"/>
                <w:szCs w:val="20"/>
                <w:lang w:eastAsia="bg-BG"/>
              </w:rPr>
              <w:t xml:space="preserve"> г.</w:t>
            </w:r>
          </w:p>
        </w:tc>
        <w:tc>
          <w:tcPr>
            <w:tcW w:w="1842" w:type="dxa"/>
            <w:tcBorders>
              <w:top w:val="single" w:sz="4" w:space="0" w:color="auto"/>
              <w:left w:val="nil"/>
              <w:bottom w:val="single" w:sz="4" w:space="0" w:color="auto"/>
              <w:right w:val="single" w:sz="4" w:space="0" w:color="auto"/>
            </w:tcBorders>
            <w:noWrap/>
            <w:vAlign w:val="center"/>
          </w:tcPr>
          <w:p w:rsidR="00863C99" w:rsidRPr="000E54EB" w:rsidRDefault="00863C99" w:rsidP="00C94611">
            <w:pPr>
              <w:jc w:val="center"/>
              <w:rPr>
                <w:rFonts w:ascii="Verdana" w:hAnsi="Verdana" w:cs="Verdana"/>
                <w:b/>
                <w:bCs/>
                <w:sz w:val="20"/>
                <w:szCs w:val="20"/>
                <w:lang w:eastAsia="bg-BG"/>
              </w:rPr>
            </w:pPr>
            <w:r w:rsidRPr="000E54EB">
              <w:rPr>
                <w:rFonts w:ascii="Verdana" w:hAnsi="Verdana" w:cs="Verdana"/>
                <w:b/>
                <w:bCs/>
                <w:sz w:val="20"/>
                <w:szCs w:val="20"/>
                <w:lang w:eastAsia="bg-BG"/>
              </w:rPr>
              <w:t>201</w:t>
            </w:r>
            <w:r w:rsidR="00FB0C14">
              <w:rPr>
                <w:rFonts w:ascii="Verdana" w:hAnsi="Verdana" w:cs="Verdana"/>
                <w:b/>
                <w:bCs/>
                <w:sz w:val="20"/>
                <w:szCs w:val="20"/>
                <w:lang w:eastAsia="bg-BG"/>
              </w:rPr>
              <w:t>9</w:t>
            </w:r>
            <w:r w:rsidRPr="000E54EB">
              <w:rPr>
                <w:rFonts w:ascii="Verdana" w:hAnsi="Verdana" w:cs="Verdana"/>
                <w:b/>
                <w:bCs/>
                <w:sz w:val="20"/>
                <w:szCs w:val="20"/>
                <w:lang w:eastAsia="bg-BG"/>
              </w:rPr>
              <w:t xml:space="preserve"> г.</w:t>
            </w:r>
          </w:p>
        </w:tc>
      </w:tr>
      <w:tr w:rsidR="00863C99" w:rsidRPr="000E54EB">
        <w:trPr>
          <w:trHeight w:val="285"/>
        </w:trPr>
        <w:tc>
          <w:tcPr>
            <w:tcW w:w="3407" w:type="dxa"/>
            <w:tcBorders>
              <w:top w:val="nil"/>
              <w:left w:val="single" w:sz="4" w:space="0" w:color="auto"/>
              <w:bottom w:val="single" w:sz="4" w:space="0" w:color="auto"/>
              <w:right w:val="single" w:sz="4" w:space="0" w:color="auto"/>
            </w:tcBorders>
            <w:shd w:val="clear" w:color="000000" w:fill="FFFFFF"/>
            <w:noWrap/>
            <w:vAlign w:val="center"/>
          </w:tcPr>
          <w:p w:rsidR="00863C99" w:rsidRPr="000E54EB" w:rsidRDefault="00863C99" w:rsidP="00CE6D02">
            <w:pPr>
              <w:jc w:val="left"/>
              <w:rPr>
                <w:rFonts w:ascii="Verdana" w:hAnsi="Verdana" w:cs="Verdana"/>
                <w:sz w:val="20"/>
                <w:szCs w:val="20"/>
                <w:lang w:eastAsia="bg-BG"/>
              </w:rPr>
            </w:pPr>
            <w:r w:rsidRPr="000E54EB">
              <w:rPr>
                <w:rFonts w:ascii="Verdana" w:hAnsi="Verdana" w:cs="Verdana"/>
                <w:sz w:val="20"/>
                <w:szCs w:val="20"/>
                <w:lang w:eastAsia="bg-BG"/>
              </w:rPr>
              <w:t>"Овергаз мрежи" АД</w:t>
            </w:r>
          </w:p>
        </w:tc>
        <w:tc>
          <w:tcPr>
            <w:tcW w:w="2628" w:type="dxa"/>
            <w:tcBorders>
              <w:top w:val="nil"/>
              <w:left w:val="nil"/>
              <w:bottom w:val="single" w:sz="4" w:space="0" w:color="auto"/>
              <w:right w:val="single" w:sz="4" w:space="0" w:color="auto"/>
            </w:tcBorders>
            <w:noWrap/>
            <w:vAlign w:val="center"/>
          </w:tcPr>
          <w:p w:rsidR="00863C99" w:rsidRPr="000E54EB" w:rsidRDefault="00863C99" w:rsidP="00770E2F">
            <w:pPr>
              <w:jc w:val="center"/>
              <w:rPr>
                <w:rFonts w:ascii="Verdana" w:hAnsi="Verdana" w:cs="Verdana"/>
                <w:sz w:val="20"/>
                <w:szCs w:val="20"/>
                <w:lang w:eastAsia="bg-BG"/>
              </w:rPr>
            </w:pPr>
            <w:r w:rsidRPr="000E54EB">
              <w:rPr>
                <w:rFonts w:ascii="Verdana" w:hAnsi="Verdana" w:cs="Verdana"/>
                <w:sz w:val="20"/>
                <w:szCs w:val="20"/>
                <w:lang w:eastAsia="bg-BG"/>
              </w:rPr>
              <w:t>услуга</w:t>
            </w:r>
          </w:p>
        </w:tc>
        <w:tc>
          <w:tcPr>
            <w:tcW w:w="1767" w:type="dxa"/>
            <w:tcBorders>
              <w:top w:val="nil"/>
              <w:left w:val="nil"/>
              <w:bottom w:val="single" w:sz="4" w:space="0" w:color="auto"/>
              <w:right w:val="single" w:sz="4" w:space="0" w:color="auto"/>
            </w:tcBorders>
            <w:shd w:val="clear" w:color="000000" w:fill="FFFFFF"/>
            <w:noWrap/>
            <w:vAlign w:val="center"/>
          </w:tcPr>
          <w:p w:rsidR="00863C99" w:rsidRPr="000E54EB" w:rsidRDefault="00A50EB3" w:rsidP="00CE6D02">
            <w:pPr>
              <w:jc w:val="center"/>
              <w:rPr>
                <w:rFonts w:ascii="Verdana" w:hAnsi="Verdana" w:cs="Verdana"/>
                <w:sz w:val="20"/>
                <w:szCs w:val="20"/>
                <w:lang w:eastAsia="bg-BG"/>
              </w:rPr>
            </w:pPr>
            <w:r w:rsidRPr="00121BDD">
              <w:rPr>
                <w:rFonts w:ascii="Verdana" w:hAnsi="Verdana" w:cs="Verdana"/>
                <w:sz w:val="20"/>
                <w:szCs w:val="20"/>
                <w:lang w:eastAsia="bg-BG"/>
              </w:rPr>
              <w:t>-</w:t>
            </w:r>
          </w:p>
        </w:tc>
        <w:tc>
          <w:tcPr>
            <w:tcW w:w="1842" w:type="dxa"/>
            <w:tcBorders>
              <w:top w:val="nil"/>
              <w:left w:val="nil"/>
              <w:bottom w:val="single" w:sz="4" w:space="0" w:color="auto"/>
              <w:right w:val="single" w:sz="4" w:space="0" w:color="auto"/>
            </w:tcBorders>
            <w:shd w:val="clear" w:color="000000" w:fill="FFFFFF"/>
            <w:noWrap/>
            <w:vAlign w:val="center"/>
          </w:tcPr>
          <w:p w:rsidR="00863C99" w:rsidRPr="000E54EB" w:rsidRDefault="00863C99" w:rsidP="001F704A">
            <w:pPr>
              <w:jc w:val="center"/>
              <w:rPr>
                <w:rFonts w:ascii="Verdana" w:hAnsi="Verdana" w:cs="Verdana"/>
                <w:sz w:val="20"/>
                <w:szCs w:val="20"/>
                <w:lang w:eastAsia="bg-BG"/>
              </w:rPr>
            </w:pPr>
            <w:r w:rsidRPr="000E54EB">
              <w:rPr>
                <w:rFonts w:ascii="Verdana" w:hAnsi="Verdana" w:cs="Verdana"/>
                <w:sz w:val="20"/>
                <w:szCs w:val="20"/>
                <w:lang w:eastAsia="bg-BG"/>
              </w:rPr>
              <w:t>4</w:t>
            </w:r>
          </w:p>
        </w:tc>
      </w:tr>
      <w:tr w:rsidR="00863C99" w:rsidRPr="000E54EB">
        <w:trPr>
          <w:trHeight w:val="300"/>
        </w:trPr>
        <w:tc>
          <w:tcPr>
            <w:tcW w:w="3407" w:type="dxa"/>
            <w:tcBorders>
              <w:top w:val="nil"/>
              <w:left w:val="single" w:sz="4" w:space="0" w:color="auto"/>
              <w:bottom w:val="single" w:sz="4" w:space="0" w:color="auto"/>
              <w:right w:val="single" w:sz="4" w:space="0" w:color="auto"/>
            </w:tcBorders>
            <w:shd w:val="clear" w:color="000000" w:fill="FFFFFF"/>
            <w:noWrap/>
            <w:vAlign w:val="center"/>
          </w:tcPr>
          <w:p w:rsidR="00863C99" w:rsidRPr="000E54EB" w:rsidRDefault="00863C99" w:rsidP="00CE6D02">
            <w:pPr>
              <w:jc w:val="left"/>
              <w:rPr>
                <w:rFonts w:ascii="Verdana" w:hAnsi="Verdana" w:cs="Verdana"/>
                <w:sz w:val="20"/>
                <w:szCs w:val="20"/>
                <w:lang w:eastAsia="bg-BG"/>
              </w:rPr>
            </w:pPr>
            <w:r w:rsidRPr="000E54EB">
              <w:rPr>
                <w:rFonts w:ascii="Verdana" w:hAnsi="Verdana" w:cs="Verdana"/>
                <w:sz w:val="20"/>
                <w:szCs w:val="20"/>
                <w:lang w:eastAsia="bg-BG"/>
              </w:rPr>
              <w:t>"Овергаз мрежи" АД</w:t>
            </w:r>
          </w:p>
        </w:tc>
        <w:tc>
          <w:tcPr>
            <w:tcW w:w="2628" w:type="dxa"/>
            <w:tcBorders>
              <w:top w:val="nil"/>
              <w:left w:val="nil"/>
              <w:bottom w:val="single" w:sz="4" w:space="0" w:color="auto"/>
              <w:right w:val="single" w:sz="4" w:space="0" w:color="auto"/>
            </w:tcBorders>
            <w:shd w:val="clear" w:color="000000" w:fill="FFFFFF"/>
            <w:noWrap/>
            <w:vAlign w:val="center"/>
          </w:tcPr>
          <w:p w:rsidR="00863C99" w:rsidRPr="000E54EB" w:rsidRDefault="00863C99" w:rsidP="00770E2F">
            <w:pPr>
              <w:jc w:val="center"/>
              <w:rPr>
                <w:rFonts w:ascii="Verdana" w:hAnsi="Verdana" w:cs="Verdana"/>
                <w:sz w:val="20"/>
                <w:szCs w:val="20"/>
                <w:lang w:eastAsia="bg-BG"/>
              </w:rPr>
            </w:pPr>
            <w:r w:rsidRPr="000E54EB">
              <w:rPr>
                <w:rFonts w:ascii="Verdana" w:hAnsi="Verdana" w:cs="Verdana"/>
                <w:sz w:val="20"/>
                <w:szCs w:val="20"/>
                <w:lang w:eastAsia="bg-BG"/>
              </w:rPr>
              <w:t>стоки</w:t>
            </w:r>
          </w:p>
        </w:tc>
        <w:tc>
          <w:tcPr>
            <w:tcW w:w="1767" w:type="dxa"/>
            <w:tcBorders>
              <w:top w:val="nil"/>
              <w:left w:val="nil"/>
              <w:bottom w:val="single" w:sz="4" w:space="0" w:color="auto"/>
              <w:right w:val="single" w:sz="4" w:space="0" w:color="auto"/>
            </w:tcBorders>
            <w:shd w:val="clear" w:color="000000" w:fill="FFFFFF"/>
            <w:noWrap/>
            <w:vAlign w:val="center"/>
          </w:tcPr>
          <w:p w:rsidR="00863C99" w:rsidRPr="000E54EB" w:rsidRDefault="00863C99" w:rsidP="00CE6D02">
            <w:pPr>
              <w:jc w:val="center"/>
              <w:rPr>
                <w:rFonts w:ascii="Verdana" w:hAnsi="Verdana" w:cs="Verdana"/>
                <w:sz w:val="20"/>
                <w:szCs w:val="20"/>
                <w:lang w:eastAsia="bg-BG"/>
              </w:rPr>
            </w:pPr>
            <w:r>
              <w:rPr>
                <w:rFonts w:ascii="Verdana" w:hAnsi="Verdana" w:cs="Verdana"/>
                <w:sz w:val="20"/>
                <w:szCs w:val="20"/>
                <w:lang w:eastAsia="bg-BG"/>
              </w:rPr>
              <w:t>-</w:t>
            </w:r>
          </w:p>
        </w:tc>
        <w:tc>
          <w:tcPr>
            <w:tcW w:w="1842" w:type="dxa"/>
            <w:tcBorders>
              <w:top w:val="nil"/>
              <w:left w:val="nil"/>
              <w:bottom w:val="single" w:sz="4" w:space="0" w:color="auto"/>
              <w:right w:val="single" w:sz="4" w:space="0" w:color="auto"/>
            </w:tcBorders>
            <w:shd w:val="clear" w:color="000000" w:fill="FFFFFF"/>
            <w:noWrap/>
            <w:vAlign w:val="center"/>
          </w:tcPr>
          <w:p w:rsidR="00863C99" w:rsidRPr="000E54EB" w:rsidRDefault="00FB0C14" w:rsidP="001F704A">
            <w:pPr>
              <w:jc w:val="center"/>
              <w:rPr>
                <w:rFonts w:ascii="Verdana" w:hAnsi="Verdana" w:cs="Verdana"/>
                <w:sz w:val="20"/>
                <w:szCs w:val="20"/>
                <w:lang w:eastAsia="bg-BG"/>
              </w:rPr>
            </w:pPr>
            <w:r>
              <w:rPr>
                <w:rFonts w:ascii="Verdana" w:hAnsi="Verdana" w:cs="Verdana"/>
                <w:sz w:val="20"/>
                <w:szCs w:val="20"/>
                <w:lang w:eastAsia="bg-BG"/>
              </w:rPr>
              <w:t>-</w:t>
            </w:r>
          </w:p>
        </w:tc>
      </w:tr>
      <w:tr w:rsidR="00863C99" w:rsidRPr="000E54EB">
        <w:trPr>
          <w:trHeight w:val="300"/>
        </w:trPr>
        <w:tc>
          <w:tcPr>
            <w:tcW w:w="3407" w:type="dxa"/>
            <w:tcBorders>
              <w:top w:val="nil"/>
              <w:left w:val="single" w:sz="4" w:space="0" w:color="auto"/>
              <w:bottom w:val="single" w:sz="4" w:space="0" w:color="auto"/>
              <w:right w:val="single" w:sz="4" w:space="0" w:color="auto"/>
            </w:tcBorders>
            <w:shd w:val="clear" w:color="000000" w:fill="C5D9F1"/>
            <w:noWrap/>
            <w:vAlign w:val="center"/>
          </w:tcPr>
          <w:p w:rsidR="00863C99" w:rsidRPr="000E54EB" w:rsidRDefault="00863C99" w:rsidP="00CE6D02">
            <w:pPr>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2628" w:type="dxa"/>
            <w:tcBorders>
              <w:top w:val="nil"/>
              <w:left w:val="nil"/>
              <w:bottom w:val="single" w:sz="4" w:space="0" w:color="auto"/>
              <w:right w:val="single" w:sz="4" w:space="0" w:color="auto"/>
            </w:tcBorders>
            <w:shd w:val="clear" w:color="000000" w:fill="C5D9F1"/>
            <w:noWrap/>
            <w:vAlign w:val="center"/>
          </w:tcPr>
          <w:p w:rsidR="00863C99" w:rsidRPr="000E54EB" w:rsidRDefault="00863C99" w:rsidP="00770E2F">
            <w:pPr>
              <w:jc w:val="center"/>
              <w:rPr>
                <w:rFonts w:ascii="Verdana" w:hAnsi="Verdana" w:cs="Verdana"/>
                <w:b/>
                <w:bCs/>
                <w:sz w:val="20"/>
                <w:szCs w:val="20"/>
                <w:lang w:eastAsia="bg-BG"/>
              </w:rPr>
            </w:pPr>
          </w:p>
        </w:tc>
        <w:tc>
          <w:tcPr>
            <w:tcW w:w="1767" w:type="dxa"/>
            <w:tcBorders>
              <w:top w:val="nil"/>
              <w:left w:val="nil"/>
              <w:bottom w:val="single" w:sz="4" w:space="0" w:color="auto"/>
              <w:right w:val="single" w:sz="4" w:space="0" w:color="auto"/>
            </w:tcBorders>
            <w:shd w:val="clear" w:color="000000" w:fill="C5D9F1"/>
            <w:noWrap/>
            <w:vAlign w:val="center"/>
          </w:tcPr>
          <w:p w:rsidR="00863C99" w:rsidRPr="000E54EB" w:rsidRDefault="00A50EB3" w:rsidP="00CE6D02">
            <w:pPr>
              <w:jc w:val="center"/>
              <w:rPr>
                <w:rFonts w:ascii="Verdana" w:hAnsi="Verdana" w:cs="Verdana"/>
                <w:b/>
                <w:bCs/>
                <w:sz w:val="20"/>
                <w:szCs w:val="20"/>
                <w:lang w:eastAsia="bg-BG"/>
              </w:rPr>
            </w:pPr>
            <w:r>
              <w:rPr>
                <w:rFonts w:ascii="Verdana" w:hAnsi="Verdana" w:cs="Verdana"/>
                <w:b/>
                <w:bCs/>
                <w:sz w:val="20"/>
                <w:szCs w:val="20"/>
                <w:lang w:eastAsia="bg-BG"/>
              </w:rPr>
              <w:t>-</w:t>
            </w:r>
          </w:p>
        </w:tc>
        <w:tc>
          <w:tcPr>
            <w:tcW w:w="1842" w:type="dxa"/>
            <w:tcBorders>
              <w:top w:val="nil"/>
              <w:left w:val="nil"/>
              <w:bottom w:val="single" w:sz="4" w:space="0" w:color="auto"/>
              <w:right w:val="single" w:sz="4" w:space="0" w:color="auto"/>
            </w:tcBorders>
            <w:shd w:val="clear" w:color="000000" w:fill="C5D9F1"/>
            <w:noWrap/>
            <w:vAlign w:val="center"/>
          </w:tcPr>
          <w:p w:rsidR="00863C99" w:rsidRPr="000E54EB" w:rsidRDefault="00863C99" w:rsidP="001F704A">
            <w:pPr>
              <w:jc w:val="center"/>
              <w:rPr>
                <w:rFonts w:ascii="Verdana" w:hAnsi="Verdana" w:cs="Verdana"/>
                <w:b/>
                <w:bCs/>
                <w:sz w:val="20"/>
                <w:szCs w:val="20"/>
                <w:lang w:eastAsia="bg-BG"/>
              </w:rPr>
            </w:pPr>
            <w:r w:rsidRPr="000E54EB">
              <w:rPr>
                <w:rFonts w:ascii="Verdana" w:hAnsi="Verdana" w:cs="Verdana"/>
                <w:b/>
                <w:bCs/>
                <w:sz w:val="20"/>
                <w:szCs w:val="20"/>
                <w:lang w:eastAsia="bg-BG"/>
              </w:rPr>
              <w:t>4</w:t>
            </w:r>
          </w:p>
        </w:tc>
      </w:tr>
      <w:bookmarkEnd w:id="180"/>
    </w:tbl>
    <w:p w:rsidR="00863C99" w:rsidRPr="000E54EB" w:rsidRDefault="00863C99" w:rsidP="00B66DF8">
      <w:pPr>
        <w:rPr>
          <w:rFonts w:ascii="Verdana" w:hAnsi="Verdana" w:cs="Verdana"/>
          <w:color w:val="FF0000"/>
          <w:sz w:val="20"/>
          <w:szCs w:val="20"/>
          <w:highlight w:val="lightGray"/>
          <w:lang w:val="en-US"/>
        </w:rPr>
      </w:pPr>
    </w:p>
    <w:tbl>
      <w:tblPr>
        <w:tblW w:w="96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412"/>
        <w:gridCol w:w="2628"/>
        <w:gridCol w:w="1767"/>
        <w:gridCol w:w="1833"/>
      </w:tblGrid>
      <w:tr w:rsidR="00863C99" w:rsidRPr="000E54EB">
        <w:trPr>
          <w:trHeight w:val="300"/>
        </w:trPr>
        <w:tc>
          <w:tcPr>
            <w:tcW w:w="9640" w:type="dxa"/>
            <w:gridSpan w:val="4"/>
            <w:shd w:val="clear" w:color="000000" w:fill="FFFFFF"/>
            <w:noWrap/>
            <w:vAlign w:val="bottom"/>
          </w:tcPr>
          <w:p w:rsidR="00863C99" w:rsidRPr="000E54EB" w:rsidRDefault="00863C99" w:rsidP="00C00938">
            <w:pPr>
              <w:jc w:val="left"/>
              <w:rPr>
                <w:rFonts w:ascii="Verdana" w:hAnsi="Verdana" w:cs="Verdana"/>
                <w:b/>
                <w:bCs/>
                <w:sz w:val="20"/>
                <w:szCs w:val="20"/>
                <w:lang w:eastAsia="bg-BG"/>
              </w:rPr>
            </w:pPr>
            <w:r w:rsidRPr="000E54EB">
              <w:rPr>
                <w:rFonts w:ascii="Verdana" w:hAnsi="Verdana" w:cs="Verdana"/>
                <w:b/>
                <w:bCs/>
                <w:sz w:val="20"/>
                <w:szCs w:val="20"/>
                <w:lang w:eastAsia="bg-BG"/>
              </w:rPr>
              <w:lastRenderedPageBreak/>
              <w:t>Покупки от свързани лица в групата - разходи</w:t>
            </w:r>
          </w:p>
        </w:tc>
      </w:tr>
      <w:tr w:rsidR="00863C99" w:rsidRPr="000E54EB">
        <w:trPr>
          <w:trHeight w:val="300"/>
        </w:trPr>
        <w:tc>
          <w:tcPr>
            <w:tcW w:w="3412" w:type="dxa"/>
            <w:shd w:val="clear" w:color="000000" w:fill="FFFFFF"/>
            <w:noWrap/>
            <w:vAlign w:val="bottom"/>
          </w:tcPr>
          <w:p w:rsidR="00863C99" w:rsidRPr="000E54EB" w:rsidRDefault="00863C99" w:rsidP="00C00938">
            <w:pPr>
              <w:jc w:val="left"/>
              <w:rPr>
                <w:rFonts w:ascii="Verdana" w:hAnsi="Verdana" w:cs="Verdana"/>
                <w:b/>
                <w:bCs/>
                <w:sz w:val="20"/>
                <w:szCs w:val="20"/>
                <w:lang w:eastAsia="bg-BG"/>
              </w:rPr>
            </w:pPr>
            <w:r w:rsidRPr="000E54EB">
              <w:rPr>
                <w:rFonts w:ascii="Verdana" w:hAnsi="Verdana" w:cs="Verdana"/>
                <w:b/>
                <w:bCs/>
                <w:sz w:val="20"/>
                <w:szCs w:val="20"/>
                <w:lang w:eastAsia="bg-BG"/>
              </w:rPr>
              <w:t>Свързано лице - доставчик</w:t>
            </w:r>
          </w:p>
        </w:tc>
        <w:tc>
          <w:tcPr>
            <w:tcW w:w="2628" w:type="dxa"/>
            <w:shd w:val="clear" w:color="000000" w:fill="FFFFFF"/>
            <w:noWrap/>
            <w:vAlign w:val="bottom"/>
          </w:tcPr>
          <w:p w:rsidR="00863C99" w:rsidRPr="000E54EB" w:rsidRDefault="00863C99" w:rsidP="00C00938">
            <w:pPr>
              <w:jc w:val="center"/>
              <w:rPr>
                <w:rFonts w:ascii="Verdana" w:hAnsi="Verdana" w:cs="Verdana"/>
                <w:b/>
                <w:bCs/>
                <w:sz w:val="20"/>
                <w:szCs w:val="20"/>
                <w:lang w:eastAsia="bg-BG"/>
              </w:rPr>
            </w:pPr>
            <w:r w:rsidRPr="000E54EB">
              <w:rPr>
                <w:rFonts w:ascii="Verdana" w:hAnsi="Verdana" w:cs="Verdana"/>
                <w:b/>
                <w:bCs/>
                <w:sz w:val="20"/>
                <w:szCs w:val="20"/>
                <w:lang w:eastAsia="bg-BG"/>
              </w:rPr>
              <w:t>Вид сделка</w:t>
            </w:r>
          </w:p>
        </w:tc>
        <w:tc>
          <w:tcPr>
            <w:tcW w:w="1767" w:type="dxa"/>
            <w:shd w:val="clear" w:color="000000" w:fill="FFFFFF"/>
            <w:noWrap/>
            <w:vAlign w:val="center"/>
          </w:tcPr>
          <w:p w:rsidR="00863C99" w:rsidRPr="000E54EB" w:rsidRDefault="00A50EB3" w:rsidP="00C94611">
            <w:pPr>
              <w:jc w:val="center"/>
              <w:rPr>
                <w:rFonts w:ascii="Verdana" w:hAnsi="Verdana" w:cs="Verdana"/>
                <w:b/>
                <w:bCs/>
                <w:sz w:val="20"/>
                <w:szCs w:val="20"/>
                <w:lang w:eastAsia="bg-BG"/>
              </w:rPr>
            </w:pPr>
            <w:r>
              <w:rPr>
                <w:rFonts w:ascii="Verdana" w:hAnsi="Verdana" w:cs="Verdana"/>
                <w:b/>
                <w:bCs/>
                <w:sz w:val="20"/>
                <w:szCs w:val="20"/>
                <w:lang w:eastAsia="bg-BG"/>
              </w:rPr>
              <w:t>2020</w:t>
            </w:r>
            <w:r w:rsidR="00863C99" w:rsidRPr="000E54EB">
              <w:rPr>
                <w:rFonts w:ascii="Verdana" w:hAnsi="Verdana" w:cs="Verdana"/>
                <w:b/>
                <w:bCs/>
                <w:sz w:val="20"/>
                <w:szCs w:val="20"/>
                <w:lang w:eastAsia="bg-BG"/>
              </w:rPr>
              <w:t xml:space="preserve"> г.</w:t>
            </w:r>
          </w:p>
        </w:tc>
        <w:tc>
          <w:tcPr>
            <w:tcW w:w="1833" w:type="dxa"/>
            <w:shd w:val="clear" w:color="000000" w:fill="FFFFFF"/>
            <w:noWrap/>
            <w:vAlign w:val="center"/>
          </w:tcPr>
          <w:p w:rsidR="00863C99" w:rsidRPr="000E54EB" w:rsidRDefault="00A50EB3" w:rsidP="001F704A">
            <w:pPr>
              <w:jc w:val="center"/>
              <w:rPr>
                <w:rFonts w:ascii="Verdana" w:hAnsi="Verdana" w:cs="Verdana"/>
                <w:b/>
                <w:bCs/>
                <w:sz w:val="20"/>
                <w:szCs w:val="20"/>
                <w:lang w:eastAsia="bg-BG"/>
              </w:rPr>
            </w:pPr>
            <w:r>
              <w:rPr>
                <w:rFonts w:ascii="Verdana" w:hAnsi="Verdana" w:cs="Verdana"/>
                <w:b/>
                <w:bCs/>
                <w:sz w:val="20"/>
                <w:szCs w:val="20"/>
                <w:lang w:eastAsia="bg-BG"/>
              </w:rPr>
              <w:t>2019</w:t>
            </w:r>
            <w:r w:rsidR="00863C99" w:rsidRPr="000E54EB">
              <w:rPr>
                <w:rFonts w:ascii="Verdana" w:hAnsi="Verdana" w:cs="Verdana"/>
                <w:b/>
                <w:bCs/>
                <w:sz w:val="20"/>
                <w:szCs w:val="20"/>
                <w:lang w:eastAsia="bg-BG"/>
              </w:rPr>
              <w:t xml:space="preserve"> г.</w:t>
            </w:r>
          </w:p>
        </w:tc>
      </w:tr>
      <w:tr w:rsidR="00A50EB3" w:rsidRPr="000E54EB">
        <w:trPr>
          <w:trHeight w:val="300"/>
        </w:trPr>
        <w:tc>
          <w:tcPr>
            <w:tcW w:w="3412" w:type="dxa"/>
            <w:shd w:val="clear" w:color="000000" w:fill="FFFFFF"/>
            <w:noWrap/>
            <w:vAlign w:val="bottom"/>
          </w:tcPr>
          <w:p w:rsidR="00A50EB3" w:rsidRPr="000E54EB" w:rsidRDefault="00A50EB3" w:rsidP="00C00938">
            <w:pPr>
              <w:jc w:val="left"/>
              <w:rPr>
                <w:rFonts w:ascii="Verdana" w:hAnsi="Verdana" w:cs="Verdana"/>
                <w:sz w:val="20"/>
                <w:szCs w:val="20"/>
                <w:lang w:eastAsia="bg-BG"/>
              </w:rPr>
            </w:pPr>
            <w:r w:rsidRPr="000E54EB">
              <w:rPr>
                <w:rFonts w:ascii="Verdana" w:hAnsi="Verdana" w:cs="Verdana"/>
                <w:sz w:val="20"/>
                <w:szCs w:val="20"/>
                <w:lang w:eastAsia="bg-BG"/>
              </w:rPr>
              <w:t>"Овергаз Холдинг" АД</w:t>
            </w:r>
          </w:p>
        </w:tc>
        <w:tc>
          <w:tcPr>
            <w:tcW w:w="2628" w:type="dxa"/>
            <w:shd w:val="clear" w:color="000000" w:fill="FFFFFF"/>
            <w:noWrap/>
            <w:vAlign w:val="bottom"/>
          </w:tcPr>
          <w:p w:rsidR="00A50EB3" w:rsidRPr="000E54EB" w:rsidRDefault="00A50EB3" w:rsidP="00C00938">
            <w:pPr>
              <w:jc w:val="center"/>
              <w:rPr>
                <w:rFonts w:ascii="Verdana" w:hAnsi="Verdana" w:cs="Verdana"/>
                <w:sz w:val="20"/>
                <w:szCs w:val="20"/>
                <w:lang w:eastAsia="bg-BG"/>
              </w:rPr>
            </w:pPr>
            <w:r w:rsidRPr="000E54EB">
              <w:rPr>
                <w:rFonts w:ascii="Verdana" w:hAnsi="Verdana" w:cs="Verdana"/>
                <w:sz w:val="20"/>
                <w:szCs w:val="20"/>
                <w:lang w:eastAsia="bg-BG"/>
              </w:rPr>
              <w:t>услуга, неустойки</w:t>
            </w:r>
          </w:p>
        </w:tc>
        <w:tc>
          <w:tcPr>
            <w:tcW w:w="1767" w:type="dxa"/>
            <w:shd w:val="clear" w:color="000000" w:fill="FFFFFF"/>
            <w:noWrap/>
            <w:vAlign w:val="center"/>
          </w:tcPr>
          <w:p w:rsidR="00A50EB3" w:rsidRPr="000E54EB" w:rsidRDefault="00A50EB3" w:rsidP="00C00938">
            <w:pPr>
              <w:jc w:val="center"/>
              <w:rPr>
                <w:rFonts w:ascii="Verdana" w:hAnsi="Verdana" w:cs="Verdana"/>
                <w:sz w:val="20"/>
                <w:szCs w:val="20"/>
                <w:lang w:eastAsia="bg-BG"/>
              </w:rPr>
            </w:pPr>
            <w:r>
              <w:rPr>
                <w:rFonts w:ascii="Verdana" w:hAnsi="Verdana" w:cs="Verdana"/>
                <w:sz w:val="20"/>
                <w:szCs w:val="20"/>
                <w:lang w:eastAsia="bg-BG"/>
              </w:rPr>
              <w:t>19</w:t>
            </w:r>
          </w:p>
        </w:tc>
        <w:tc>
          <w:tcPr>
            <w:tcW w:w="1833" w:type="dxa"/>
            <w:shd w:val="clear" w:color="000000" w:fill="FFFFFF"/>
            <w:noWrap/>
            <w:vAlign w:val="center"/>
          </w:tcPr>
          <w:p w:rsidR="00A50EB3" w:rsidRPr="000E54EB" w:rsidRDefault="00A50EB3" w:rsidP="00A77C33">
            <w:pPr>
              <w:jc w:val="center"/>
              <w:rPr>
                <w:rFonts w:ascii="Verdana" w:hAnsi="Verdana" w:cs="Verdana"/>
                <w:sz w:val="20"/>
                <w:szCs w:val="20"/>
                <w:lang w:eastAsia="bg-BG"/>
              </w:rPr>
            </w:pPr>
            <w:r>
              <w:rPr>
                <w:rFonts w:ascii="Verdana" w:hAnsi="Verdana" w:cs="Verdana"/>
                <w:sz w:val="20"/>
                <w:szCs w:val="20"/>
                <w:lang w:eastAsia="bg-BG"/>
              </w:rPr>
              <w:t>27</w:t>
            </w:r>
          </w:p>
        </w:tc>
      </w:tr>
      <w:tr w:rsidR="00A50EB3" w:rsidRPr="000E54EB">
        <w:trPr>
          <w:trHeight w:val="300"/>
        </w:trPr>
        <w:tc>
          <w:tcPr>
            <w:tcW w:w="3412" w:type="dxa"/>
            <w:shd w:val="clear" w:color="000000" w:fill="FFFFFF"/>
            <w:noWrap/>
            <w:vAlign w:val="bottom"/>
          </w:tcPr>
          <w:p w:rsidR="00A50EB3" w:rsidRPr="000E54EB" w:rsidRDefault="00A50EB3" w:rsidP="00C00938">
            <w:pPr>
              <w:jc w:val="left"/>
              <w:rPr>
                <w:rFonts w:ascii="Verdana" w:hAnsi="Verdana" w:cs="Verdana"/>
                <w:sz w:val="20"/>
                <w:szCs w:val="20"/>
                <w:lang w:eastAsia="bg-BG"/>
              </w:rPr>
            </w:pPr>
            <w:r w:rsidRPr="000E54EB">
              <w:rPr>
                <w:rFonts w:ascii="Verdana" w:hAnsi="Verdana" w:cs="Verdana"/>
                <w:sz w:val="20"/>
                <w:szCs w:val="20"/>
                <w:lang w:eastAsia="bg-BG"/>
              </w:rPr>
              <w:t>"Вестител БГ" АД</w:t>
            </w:r>
          </w:p>
        </w:tc>
        <w:tc>
          <w:tcPr>
            <w:tcW w:w="2628" w:type="dxa"/>
            <w:shd w:val="clear" w:color="000000" w:fill="FFFFFF"/>
            <w:noWrap/>
            <w:vAlign w:val="bottom"/>
          </w:tcPr>
          <w:p w:rsidR="00A50EB3" w:rsidRPr="000E54EB" w:rsidRDefault="00A50EB3" w:rsidP="00C00938">
            <w:pPr>
              <w:jc w:val="center"/>
              <w:rPr>
                <w:rFonts w:ascii="Verdana" w:hAnsi="Verdana" w:cs="Verdana"/>
                <w:sz w:val="20"/>
                <w:szCs w:val="20"/>
                <w:lang w:eastAsia="bg-BG"/>
              </w:rPr>
            </w:pPr>
            <w:r w:rsidRPr="000E54EB">
              <w:rPr>
                <w:rFonts w:ascii="Verdana" w:hAnsi="Verdana" w:cs="Verdana"/>
                <w:sz w:val="20"/>
                <w:szCs w:val="20"/>
                <w:lang w:eastAsia="bg-BG"/>
              </w:rPr>
              <w:t>услуга</w:t>
            </w:r>
          </w:p>
        </w:tc>
        <w:tc>
          <w:tcPr>
            <w:tcW w:w="1767" w:type="dxa"/>
            <w:shd w:val="clear" w:color="000000" w:fill="FFFFFF"/>
            <w:noWrap/>
            <w:vAlign w:val="center"/>
          </w:tcPr>
          <w:p w:rsidR="00A50EB3" w:rsidRPr="000E54EB" w:rsidRDefault="00A50EB3" w:rsidP="00C00938">
            <w:pPr>
              <w:jc w:val="center"/>
              <w:rPr>
                <w:rFonts w:ascii="Verdana" w:hAnsi="Verdana" w:cs="Verdana"/>
                <w:sz w:val="20"/>
                <w:szCs w:val="20"/>
                <w:lang w:eastAsia="bg-BG"/>
              </w:rPr>
            </w:pPr>
            <w:r>
              <w:rPr>
                <w:rFonts w:ascii="Verdana" w:hAnsi="Verdana" w:cs="Verdana"/>
                <w:sz w:val="20"/>
                <w:szCs w:val="20"/>
                <w:lang w:eastAsia="bg-BG"/>
              </w:rPr>
              <w:t>1</w:t>
            </w:r>
          </w:p>
        </w:tc>
        <w:tc>
          <w:tcPr>
            <w:tcW w:w="1833" w:type="dxa"/>
            <w:shd w:val="clear" w:color="000000" w:fill="FFFFFF"/>
            <w:noWrap/>
            <w:vAlign w:val="center"/>
          </w:tcPr>
          <w:p w:rsidR="00A50EB3" w:rsidRPr="000E54EB" w:rsidRDefault="00A50EB3" w:rsidP="00A77C33">
            <w:pPr>
              <w:jc w:val="center"/>
              <w:rPr>
                <w:rFonts w:ascii="Verdana" w:hAnsi="Verdana" w:cs="Verdana"/>
                <w:sz w:val="20"/>
                <w:szCs w:val="20"/>
                <w:lang w:eastAsia="bg-BG"/>
              </w:rPr>
            </w:pPr>
            <w:r w:rsidRPr="000E54EB">
              <w:rPr>
                <w:rFonts w:ascii="Verdana" w:hAnsi="Verdana" w:cs="Verdana"/>
                <w:sz w:val="20"/>
                <w:szCs w:val="20"/>
                <w:lang w:eastAsia="bg-BG"/>
              </w:rPr>
              <w:t>1</w:t>
            </w:r>
          </w:p>
        </w:tc>
      </w:tr>
      <w:tr w:rsidR="00A50EB3" w:rsidRPr="000E54EB">
        <w:trPr>
          <w:trHeight w:val="300"/>
        </w:trPr>
        <w:tc>
          <w:tcPr>
            <w:tcW w:w="3412" w:type="dxa"/>
            <w:shd w:val="clear" w:color="000000" w:fill="FFFFFF"/>
            <w:noWrap/>
            <w:vAlign w:val="bottom"/>
          </w:tcPr>
          <w:p w:rsidR="00A50EB3" w:rsidRPr="000E54EB" w:rsidRDefault="00A50EB3" w:rsidP="00C00938">
            <w:pPr>
              <w:jc w:val="left"/>
              <w:rPr>
                <w:rFonts w:ascii="Verdana" w:hAnsi="Verdana" w:cs="Verdana"/>
                <w:sz w:val="20"/>
                <w:szCs w:val="20"/>
                <w:lang w:eastAsia="bg-BG"/>
              </w:rPr>
            </w:pPr>
            <w:r w:rsidRPr="000E54EB">
              <w:rPr>
                <w:rFonts w:ascii="Verdana" w:hAnsi="Verdana" w:cs="Verdana"/>
                <w:sz w:val="20"/>
                <w:szCs w:val="20"/>
                <w:lang w:eastAsia="bg-BG"/>
              </w:rPr>
              <w:t>"Оу Джи Транс" АД</w:t>
            </w:r>
          </w:p>
        </w:tc>
        <w:tc>
          <w:tcPr>
            <w:tcW w:w="2628" w:type="dxa"/>
            <w:shd w:val="clear" w:color="000000" w:fill="FFFFFF"/>
            <w:noWrap/>
            <w:vAlign w:val="bottom"/>
          </w:tcPr>
          <w:p w:rsidR="00A50EB3" w:rsidRPr="000E54EB" w:rsidRDefault="00A50EB3" w:rsidP="00C00938">
            <w:pPr>
              <w:jc w:val="center"/>
              <w:rPr>
                <w:rFonts w:ascii="Verdana" w:hAnsi="Verdana" w:cs="Verdana"/>
                <w:sz w:val="20"/>
                <w:szCs w:val="20"/>
                <w:lang w:eastAsia="bg-BG"/>
              </w:rPr>
            </w:pPr>
            <w:r w:rsidRPr="000E54EB">
              <w:rPr>
                <w:rFonts w:ascii="Verdana" w:hAnsi="Verdana" w:cs="Verdana"/>
                <w:sz w:val="20"/>
                <w:szCs w:val="20"/>
                <w:lang w:eastAsia="bg-BG"/>
              </w:rPr>
              <w:t>услуга</w:t>
            </w:r>
          </w:p>
        </w:tc>
        <w:tc>
          <w:tcPr>
            <w:tcW w:w="1767" w:type="dxa"/>
            <w:shd w:val="clear" w:color="000000" w:fill="FFFFFF"/>
            <w:noWrap/>
            <w:vAlign w:val="center"/>
          </w:tcPr>
          <w:p w:rsidR="00A50EB3" w:rsidRPr="000E54EB" w:rsidRDefault="00A50EB3" w:rsidP="00C00938">
            <w:pPr>
              <w:jc w:val="center"/>
              <w:rPr>
                <w:rFonts w:ascii="Verdana" w:hAnsi="Verdana" w:cs="Verdana"/>
                <w:sz w:val="20"/>
                <w:szCs w:val="20"/>
                <w:lang w:eastAsia="bg-BG"/>
              </w:rPr>
            </w:pPr>
            <w:r>
              <w:rPr>
                <w:rFonts w:ascii="Verdana" w:hAnsi="Verdana" w:cs="Verdana"/>
                <w:sz w:val="20"/>
                <w:szCs w:val="20"/>
                <w:lang w:eastAsia="bg-BG"/>
              </w:rPr>
              <w:t>26</w:t>
            </w:r>
          </w:p>
        </w:tc>
        <w:tc>
          <w:tcPr>
            <w:tcW w:w="1833" w:type="dxa"/>
            <w:shd w:val="clear" w:color="000000" w:fill="FFFFFF"/>
            <w:noWrap/>
            <w:vAlign w:val="center"/>
          </w:tcPr>
          <w:p w:rsidR="00A50EB3" w:rsidRPr="000E54EB" w:rsidRDefault="00A50EB3" w:rsidP="00A77C33">
            <w:pPr>
              <w:jc w:val="center"/>
              <w:rPr>
                <w:rFonts w:ascii="Verdana" w:hAnsi="Verdana" w:cs="Verdana"/>
                <w:sz w:val="20"/>
                <w:szCs w:val="20"/>
                <w:lang w:eastAsia="bg-BG"/>
              </w:rPr>
            </w:pPr>
            <w:r>
              <w:rPr>
                <w:rFonts w:ascii="Verdana" w:hAnsi="Verdana" w:cs="Verdana"/>
                <w:sz w:val="20"/>
                <w:szCs w:val="20"/>
                <w:lang w:eastAsia="bg-BG"/>
              </w:rPr>
              <w:t>53</w:t>
            </w:r>
          </w:p>
        </w:tc>
      </w:tr>
      <w:tr w:rsidR="00A50EB3" w:rsidRPr="000E54EB">
        <w:trPr>
          <w:trHeight w:val="300"/>
        </w:trPr>
        <w:tc>
          <w:tcPr>
            <w:tcW w:w="3412" w:type="dxa"/>
            <w:shd w:val="clear" w:color="000000" w:fill="FFFFFF"/>
            <w:noWrap/>
            <w:vAlign w:val="bottom"/>
          </w:tcPr>
          <w:p w:rsidR="00A50EB3" w:rsidRPr="000E54EB" w:rsidRDefault="00A50EB3" w:rsidP="00C00938">
            <w:pPr>
              <w:jc w:val="left"/>
              <w:rPr>
                <w:rFonts w:ascii="Verdana" w:hAnsi="Verdana" w:cs="Verdana"/>
                <w:sz w:val="20"/>
                <w:szCs w:val="20"/>
                <w:lang w:eastAsia="bg-BG"/>
              </w:rPr>
            </w:pPr>
            <w:r w:rsidRPr="000E54EB">
              <w:rPr>
                <w:rFonts w:ascii="Verdana" w:hAnsi="Verdana" w:cs="Verdana"/>
                <w:sz w:val="20"/>
                <w:szCs w:val="20"/>
                <w:lang w:eastAsia="bg-BG"/>
              </w:rPr>
              <w:t>"Овергаз Инк" АД</w:t>
            </w:r>
          </w:p>
        </w:tc>
        <w:tc>
          <w:tcPr>
            <w:tcW w:w="2628" w:type="dxa"/>
            <w:shd w:val="clear" w:color="000000" w:fill="FFFFFF"/>
            <w:noWrap/>
            <w:vAlign w:val="bottom"/>
          </w:tcPr>
          <w:p w:rsidR="00A50EB3" w:rsidRPr="000E54EB" w:rsidRDefault="00A50EB3" w:rsidP="00C00938">
            <w:pPr>
              <w:jc w:val="center"/>
              <w:rPr>
                <w:rFonts w:ascii="Verdana" w:hAnsi="Verdana" w:cs="Verdana"/>
                <w:sz w:val="20"/>
                <w:szCs w:val="20"/>
                <w:lang w:eastAsia="bg-BG"/>
              </w:rPr>
            </w:pPr>
            <w:r w:rsidRPr="000E54EB">
              <w:rPr>
                <w:rFonts w:ascii="Verdana" w:hAnsi="Verdana" w:cs="Verdana"/>
                <w:sz w:val="20"/>
                <w:szCs w:val="20"/>
                <w:lang w:eastAsia="bg-BG"/>
              </w:rPr>
              <w:t>услуга</w:t>
            </w:r>
          </w:p>
        </w:tc>
        <w:tc>
          <w:tcPr>
            <w:tcW w:w="1767" w:type="dxa"/>
            <w:shd w:val="clear" w:color="000000" w:fill="FFFFFF"/>
            <w:noWrap/>
            <w:vAlign w:val="center"/>
          </w:tcPr>
          <w:p w:rsidR="00A50EB3" w:rsidRPr="000E54EB" w:rsidRDefault="00A50EB3" w:rsidP="00C00938">
            <w:pPr>
              <w:jc w:val="center"/>
              <w:rPr>
                <w:rFonts w:ascii="Verdana" w:hAnsi="Verdana" w:cs="Verdana"/>
                <w:sz w:val="20"/>
                <w:szCs w:val="20"/>
                <w:lang w:eastAsia="bg-BG"/>
              </w:rPr>
            </w:pPr>
            <w:r>
              <w:rPr>
                <w:rFonts w:ascii="Verdana" w:hAnsi="Verdana" w:cs="Verdana"/>
                <w:sz w:val="20"/>
                <w:szCs w:val="20"/>
                <w:lang w:eastAsia="bg-BG"/>
              </w:rPr>
              <w:t>-</w:t>
            </w:r>
          </w:p>
        </w:tc>
        <w:tc>
          <w:tcPr>
            <w:tcW w:w="1833" w:type="dxa"/>
            <w:shd w:val="clear" w:color="000000" w:fill="FFFFFF"/>
            <w:noWrap/>
            <w:vAlign w:val="center"/>
          </w:tcPr>
          <w:p w:rsidR="00A50EB3" w:rsidRPr="000E54EB" w:rsidRDefault="00A50EB3" w:rsidP="00A77C33">
            <w:pPr>
              <w:jc w:val="center"/>
              <w:rPr>
                <w:rFonts w:ascii="Verdana" w:hAnsi="Verdana" w:cs="Verdana"/>
                <w:sz w:val="20"/>
                <w:szCs w:val="20"/>
                <w:lang w:eastAsia="bg-BG"/>
              </w:rPr>
            </w:pPr>
            <w:r>
              <w:rPr>
                <w:rFonts w:ascii="Verdana" w:hAnsi="Verdana" w:cs="Verdana"/>
                <w:sz w:val="20"/>
                <w:szCs w:val="20"/>
                <w:lang w:eastAsia="bg-BG"/>
              </w:rPr>
              <w:t>1</w:t>
            </w:r>
          </w:p>
        </w:tc>
      </w:tr>
      <w:tr w:rsidR="00A50EB3" w:rsidRPr="000E54EB">
        <w:trPr>
          <w:trHeight w:val="300"/>
        </w:trPr>
        <w:tc>
          <w:tcPr>
            <w:tcW w:w="3412" w:type="dxa"/>
            <w:shd w:val="clear" w:color="000000" w:fill="FFFFFF"/>
            <w:noWrap/>
            <w:vAlign w:val="bottom"/>
          </w:tcPr>
          <w:p w:rsidR="00A50EB3" w:rsidRPr="000E54EB" w:rsidRDefault="00A50EB3" w:rsidP="00C00938">
            <w:pPr>
              <w:jc w:val="left"/>
              <w:rPr>
                <w:rFonts w:ascii="Verdana" w:hAnsi="Verdana" w:cs="Verdana"/>
                <w:sz w:val="20"/>
                <w:szCs w:val="20"/>
                <w:lang w:eastAsia="bg-BG"/>
              </w:rPr>
            </w:pPr>
            <w:r w:rsidRPr="000E54EB">
              <w:rPr>
                <w:rFonts w:ascii="Verdana" w:hAnsi="Verdana" w:cs="Verdana"/>
                <w:sz w:val="20"/>
                <w:szCs w:val="20"/>
                <w:lang w:eastAsia="bg-BG"/>
              </w:rPr>
              <w:t>"Овергаз мрежи" АД</w:t>
            </w:r>
          </w:p>
        </w:tc>
        <w:tc>
          <w:tcPr>
            <w:tcW w:w="2628" w:type="dxa"/>
            <w:shd w:val="clear" w:color="000000" w:fill="FFFFFF"/>
            <w:noWrap/>
            <w:vAlign w:val="bottom"/>
          </w:tcPr>
          <w:p w:rsidR="00A50EB3" w:rsidRPr="000E54EB" w:rsidRDefault="00A50EB3" w:rsidP="00C00938">
            <w:pPr>
              <w:jc w:val="center"/>
              <w:rPr>
                <w:rFonts w:ascii="Verdana" w:hAnsi="Verdana" w:cs="Verdana"/>
                <w:sz w:val="20"/>
                <w:szCs w:val="20"/>
                <w:lang w:eastAsia="bg-BG"/>
              </w:rPr>
            </w:pPr>
            <w:r w:rsidRPr="000E54EB">
              <w:rPr>
                <w:rFonts w:ascii="Verdana" w:hAnsi="Verdana" w:cs="Verdana"/>
                <w:sz w:val="20"/>
                <w:szCs w:val="20"/>
                <w:lang w:eastAsia="bg-BG"/>
              </w:rPr>
              <w:t>услуга/материал</w:t>
            </w:r>
          </w:p>
        </w:tc>
        <w:tc>
          <w:tcPr>
            <w:tcW w:w="1767" w:type="dxa"/>
            <w:shd w:val="clear" w:color="000000" w:fill="FFFFFF"/>
            <w:noWrap/>
            <w:vAlign w:val="center"/>
          </w:tcPr>
          <w:p w:rsidR="00A50EB3" w:rsidRPr="000E54EB" w:rsidRDefault="00A50EB3" w:rsidP="008B2E8C">
            <w:pPr>
              <w:jc w:val="center"/>
              <w:rPr>
                <w:rFonts w:ascii="Verdana" w:hAnsi="Verdana" w:cs="Verdana"/>
                <w:sz w:val="20"/>
                <w:szCs w:val="20"/>
                <w:lang w:eastAsia="bg-BG"/>
              </w:rPr>
            </w:pPr>
            <w:r>
              <w:rPr>
                <w:rFonts w:ascii="Verdana" w:hAnsi="Verdana" w:cs="Verdana"/>
                <w:sz w:val="20"/>
                <w:szCs w:val="20"/>
                <w:lang w:eastAsia="bg-BG"/>
              </w:rPr>
              <w:t>2 573</w:t>
            </w:r>
          </w:p>
        </w:tc>
        <w:tc>
          <w:tcPr>
            <w:tcW w:w="1833" w:type="dxa"/>
            <w:shd w:val="clear" w:color="000000" w:fill="FFFFFF"/>
            <w:noWrap/>
            <w:vAlign w:val="center"/>
          </w:tcPr>
          <w:p w:rsidR="00A50EB3" w:rsidRPr="000E54EB" w:rsidRDefault="00A50EB3" w:rsidP="00A77C33">
            <w:pPr>
              <w:jc w:val="center"/>
              <w:rPr>
                <w:rFonts w:ascii="Verdana" w:hAnsi="Verdana" w:cs="Verdana"/>
                <w:sz w:val="20"/>
                <w:szCs w:val="20"/>
                <w:lang w:eastAsia="bg-BG"/>
              </w:rPr>
            </w:pPr>
            <w:r>
              <w:rPr>
                <w:rFonts w:ascii="Verdana" w:hAnsi="Verdana" w:cs="Verdana"/>
                <w:sz w:val="20"/>
                <w:szCs w:val="20"/>
                <w:lang w:eastAsia="bg-BG"/>
              </w:rPr>
              <w:t>3 746</w:t>
            </w:r>
          </w:p>
        </w:tc>
      </w:tr>
      <w:tr w:rsidR="00A50EB3" w:rsidRPr="000E54EB">
        <w:trPr>
          <w:trHeight w:val="300"/>
        </w:trPr>
        <w:tc>
          <w:tcPr>
            <w:tcW w:w="3412" w:type="dxa"/>
            <w:shd w:val="clear" w:color="000000" w:fill="FFFFFF"/>
            <w:noWrap/>
            <w:vAlign w:val="bottom"/>
          </w:tcPr>
          <w:p w:rsidR="00A50EB3" w:rsidRPr="000E54EB" w:rsidRDefault="00A50EB3" w:rsidP="00C00938">
            <w:pPr>
              <w:jc w:val="left"/>
              <w:rPr>
                <w:rFonts w:ascii="Verdana" w:hAnsi="Verdana" w:cs="Verdana"/>
                <w:sz w:val="20"/>
                <w:szCs w:val="20"/>
                <w:lang w:eastAsia="bg-BG"/>
              </w:rPr>
            </w:pPr>
            <w:r w:rsidRPr="000E54EB">
              <w:rPr>
                <w:rFonts w:ascii="Verdana" w:hAnsi="Verdana" w:cs="Verdana"/>
                <w:sz w:val="20"/>
                <w:szCs w:val="20"/>
                <w:lang w:eastAsia="bg-BG"/>
              </w:rPr>
              <w:t>"Овергаз Сервиз" АД</w:t>
            </w:r>
          </w:p>
        </w:tc>
        <w:tc>
          <w:tcPr>
            <w:tcW w:w="2628" w:type="dxa"/>
            <w:shd w:val="clear" w:color="000000" w:fill="FFFFFF"/>
            <w:noWrap/>
            <w:vAlign w:val="bottom"/>
          </w:tcPr>
          <w:p w:rsidR="00A50EB3" w:rsidRPr="000E54EB" w:rsidRDefault="00A50EB3" w:rsidP="00C00938">
            <w:pPr>
              <w:jc w:val="center"/>
              <w:rPr>
                <w:rFonts w:ascii="Verdana" w:hAnsi="Verdana" w:cs="Verdana"/>
                <w:sz w:val="20"/>
                <w:szCs w:val="20"/>
                <w:lang w:eastAsia="bg-BG"/>
              </w:rPr>
            </w:pPr>
            <w:r w:rsidRPr="000E54EB">
              <w:rPr>
                <w:rFonts w:ascii="Verdana" w:hAnsi="Verdana" w:cs="Verdana"/>
                <w:sz w:val="20"/>
                <w:szCs w:val="20"/>
                <w:lang w:eastAsia="bg-BG"/>
              </w:rPr>
              <w:t>услуга</w:t>
            </w:r>
          </w:p>
        </w:tc>
        <w:tc>
          <w:tcPr>
            <w:tcW w:w="1767" w:type="dxa"/>
            <w:shd w:val="clear" w:color="000000" w:fill="FFFFFF"/>
            <w:noWrap/>
            <w:vAlign w:val="center"/>
          </w:tcPr>
          <w:p w:rsidR="00A50EB3" w:rsidRPr="000E54EB" w:rsidRDefault="00A50EB3" w:rsidP="00C00938">
            <w:pPr>
              <w:jc w:val="center"/>
              <w:rPr>
                <w:rFonts w:ascii="Verdana" w:hAnsi="Verdana" w:cs="Verdana"/>
                <w:sz w:val="20"/>
                <w:szCs w:val="20"/>
                <w:lang w:eastAsia="bg-BG"/>
              </w:rPr>
            </w:pPr>
            <w:r>
              <w:rPr>
                <w:rFonts w:ascii="Verdana" w:hAnsi="Verdana" w:cs="Verdana"/>
                <w:sz w:val="20"/>
                <w:szCs w:val="20"/>
                <w:lang w:eastAsia="bg-BG"/>
              </w:rPr>
              <w:t>1</w:t>
            </w:r>
          </w:p>
        </w:tc>
        <w:tc>
          <w:tcPr>
            <w:tcW w:w="1833" w:type="dxa"/>
            <w:shd w:val="clear" w:color="000000" w:fill="FFFFFF"/>
            <w:noWrap/>
            <w:vAlign w:val="center"/>
          </w:tcPr>
          <w:p w:rsidR="00A50EB3" w:rsidRPr="000E54EB" w:rsidRDefault="00A50EB3" w:rsidP="00A77C33">
            <w:pPr>
              <w:jc w:val="center"/>
              <w:rPr>
                <w:rFonts w:ascii="Verdana" w:hAnsi="Verdana" w:cs="Verdana"/>
                <w:sz w:val="20"/>
                <w:szCs w:val="20"/>
                <w:lang w:eastAsia="bg-BG"/>
              </w:rPr>
            </w:pPr>
            <w:r>
              <w:rPr>
                <w:rFonts w:ascii="Verdana" w:hAnsi="Verdana" w:cs="Verdana"/>
                <w:sz w:val="20"/>
                <w:szCs w:val="20"/>
                <w:lang w:eastAsia="bg-BG"/>
              </w:rPr>
              <w:t>-</w:t>
            </w:r>
          </w:p>
        </w:tc>
      </w:tr>
      <w:tr w:rsidR="00A50EB3" w:rsidRPr="000E54EB">
        <w:trPr>
          <w:trHeight w:val="300"/>
        </w:trPr>
        <w:tc>
          <w:tcPr>
            <w:tcW w:w="3412" w:type="dxa"/>
            <w:shd w:val="clear" w:color="000000" w:fill="FFFFFF"/>
            <w:noWrap/>
            <w:vAlign w:val="bottom"/>
          </w:tcPr>
          <w:p w:rsidR="00A50EB3" w:rsidRPr="000E54EB" w:rsidRDefault="00A50EB3" w:rsidP="00C00938">
            <w:pPr>
              <w:jc w:val="left"/>
              <w:rPr>
                <w:rFonts w:ascii="Verdana" w:hAnsi="Verdana" w:cs="Verdana"/>
                <w:sz w:val="20"/>
                <w:szCs w:val="20"/>
                <w:lang w:eastAsia="bg-BG"/>
              </w:rPr>
            </w:pPr>
            <w:r w:rsidRPr="000E54EB">
              <w:rPr>
                <w:rFonts w:ascii="Verdana" w:hAnsi="Verdana" w:cs="Verdana"/>
                <w:sz w:val="20"/>
                <w:szCs w:val="20"/>
                <w:lang w:eastAsia="bg-BG"/>
              </w:rPr>
              <w:t>"Овергаз Инженеринг" АД</w:t>
            </w:r>
          </w:p>
        </w:tc>
        <w:tc>
          <w:tcPr>
            <w:tcW w:w="2628" w:type="dxa"/>
            <w:shd w:val="clear" w:color="000000" w:fill="FFFFFF"/>
            <w:noWrap/>
            <w:vAlign w:val="bottom"/>
          </w:tcPr>
          <w:p w:rsidR="00A50EB3" w:rsidRPr="000E54EB" w:rsidRDefault="00A50EB3" w:rsidP="00C00938">
            <w:pPr>
              <w:jc w:val="center"/>
              <w:rPr>
                <w:rFonts w:ascii="Verdana" w:hAnsi="Verdana" w:cs="Verdana"/>
                <w:sz w:val="20"/>
                <w:szCs w:val="20"/>
                <w:lang w:eastAsia="bg-BG"/>
              </w:rPr>
            </w:pPr>
            <w:r w:rsidRPr="000E54EB">
              <w:rPr>
                <w:rFonts w:ascii="Verdana" w:hAnsi="Verdana" w:cs="Verdana"/>
                <w:sz w:val="20"/>
                <w:szCs w:val="20"/>
                <w:lang w:eastAsia="bg-BG"/>
              </w:rPr>
              <w:t>услуга</w:t>
            </w:r>
          </w:p>
        </w:tc>
        <w:tc>
          <w:tcPr>
            <w:tcW w:w="1767" w:type="dxa"/>
            <w:shd w:val="clear" w:color="000000" w:fill="FFFFFF"/>
            <w:noWrap/>
            <w:vAlign w:val="center"/>
          </w:tcPr>
          <w:p w:rsidR="00A50EB3" w:rsidRPr="008B2E8C" w:rsidRDefault="00A50EB3" w:rsidP="00C00938">
            <w:pPr>
              <w:jc w:val="center"/>
              <w:rPr>
                <w:rFonts w:ascii="Verdana" w:hAnsi="Verdana" w:cs="Verdana"/>
                <w:sz w:val="20"/>
                <w:szCs w:val="20"/>
                <w:lang w:eastAsia="bg-BG"/>
              </w:rPr>
            </w:pPr>
            <w:r>
              <w:rPr>
                <w:rFonts w:ascii="Verdana" w:hAnsi="Verdana" w:cs="Verdana"/>
                <w:sz w:val="20"/>
                <w:szCs w:val="20"/>
                <w:lang w:eastAsia="bg-BG"/>
              </w:rPr>
              <w:t>-</w:t>
            </w:r>
          </w:p>
        </w:tc>
        <w:tc>
          <w:tcPr>
            <w:tcW w:w="1833" w:type="dxa"/>
            <w:shd w:val="clear" w:color="000000" w:fill="FFFFFF"/>
            <w:noWrap/>
            <w:vAlign w:val="center"/>
          </w:tcPr>
          <w:p w:rsidR="00A50EB3" w:rsidRPr="008B2E8C" w:rsidRDefault="00A50EB3" w:rsidP="00A77C33">
            <w:pPr>
              <w:jc w:val="center"/>
              <w:rPr>
                <w:rFonts w:ascii="Verdana" w:hAnsi="Verdana" w:cs="Verdana"/>
                <w:sz w:val="20"/>
                <w:szCs w:val="20"/>
                <w:lang w:eastAsia="bg-BG"/>
              </w:rPr>
            </w:pPr>
            <w:r>
              <w:rPr>
                <w:rFonts w:ascii="Verdana" w:hAnsi="Verdana" w:cs="Verdana"/>
                <w:sz w:val="20"/>
                <w:szCs w:val="20"/>
                <w:lang w:eastAsia="bg-BG"/>
              </w:rPr>
              <w:t>407</w:t>
            </w:r>
          </w:p>
        </w:tc>
      </w:tr>
      <w:tr w:rsidR="00A50EB3" w:rsidRPr="000E54EB">
        <w:trPr>
          <w:trHeight w:val="300"/>
        </w:trPr>
        <w:tc>
          <w:tcPr>
            <w:tcW w:w="3412" w:type="dxa"/>
            <w:shd w:val="clear" w:color="auto" w:fill="B4C6E7"/>
            <w:noWrap/>
            <w:vAlign w:val="bottom"/>
          </w:tcPr>
          <w:p w:rsidR="00A50EB3" w:rsidRPr="000E54EB" w:rsidRDefault="00A50EB3" w:rsidP="00C00938">
            <w:pPr>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2628" w:type="dxa"/>
            <w:shd w:val="clear" w:color="auto" w:fill="B4C6E7"/>
            <w:noWrap/>
            <w:vAlign w:val="bottom"/>
          </w:tcPr>
          <w:p w:rsidR="00A50EB3" w:rsidRPr="000E54EB" w:rsidRDefault="00A50EB3" w:rsidP="00C00938">
            <w:pPr>
              <w:jc w:val="center"/>
              <w:rPr>
                <w:rFonts w:ascii="Verdana" w:hAnsi="Verdana" w:cs="Verdana"/>
                <w:b/>
                <w:bCs/>
                <w:sz w:val="20"/>
                <w:szCs w:val="20"/>
                <w:lang w:eastAsia="bg-BG"/>
              </w:rPr>
            </w:pPr>
            <w:r w:rsidRPr="000E54EB">
              <w:rPr>
                <w:rFonts w:ascii="Verdana" w:hAnsi="Verdana" w:cs="Verdana"/>
                <w:b/>
                <w:bCs/>
                <w:sz w:val="20"/>
                <w:szCs w:val="20"/>
                <w:lang w:eastAsia="bg-BG"/>
              </w:rPr>
              <w:t> </w:t>
            </w:r>
          </w:p>
        </w:tc>
        <w:tc>
          <w:tcPr>
            <w:tcW w:w="1767" w:type="dxa"/>
            <w:shd w:val="clear" w:color="auto" w:fill="B4C6E7"/>
            <w:noWrap/>
            <w:vAlign w:val="center"/>
          </w:tcPr>
          <w:p w:rsidR="00A50EB3" w:rsidRPr="00EB2D80" w:rsidRDefault="00A50EB3" w:rsidP="00C00938">
            <w:pPr>
              <w:jc w:val="center"/>
              <w:rPr>
                <w:rFonts w:ascii="Verdana" w:hAnsi="Verdana" w:cs="Verdana"/>
                <w:b/>
                <w:bCs/>
                <w:sz w:val="20"/>
                <w:szCs w:val="20"/>
                <w:lang w:eastAsia="bg-BG"/>
              </w:rPr>
            </w:pPr>
            <w:r>
              <w:rPr>
                <w:rFonts w:ascii="Verdana" w:hAnsi="Verdana" w:cs="Verdana"/>
                <w:b/>
                <w:bCs/>
                <w:sz w:val="20"/>
                <w:szCs w:val="20"/>
                <w:lang w:eastAsia="bg-BG"/>
              </w:rPr>
              <w:t>2 620</w:t>
            </w:r>
          </w:p>
        </w:tc>
        <w:tc>
          <w:tcPr>
            <w:tcW w:w="1833" w:type="dxa"/>
            <w:shd w:val="clear" w:color="auto" w:fill="B4C6E7"/>
            <w:noWrap/>
            <w:vAlign w:val="center"/>
          </w:tcPr>
          <w:p w:rsidR="00A50EB3" w:rsidRPr="00EB2D80" w:rsidRDefault="00A50EB3" w:rsidP="00A77C33">
            <w:pPr>
              <w:jc w:val="center"/>
              <w:rPr>
                <w:rFonts w:ascii="Verdana" w:hAnsi="Verdana" w:cs="Verdana"/>
                <w:b/>
                <w:bCs/>
                <w:sz w:val="20"/>
                <w:szCs w:val="20"/>
                <w:lang w:eastAsia="bg-BG"/>
              </w:rPr>
            </w:pPr>
            <w:r>
              <w:rPr>
                <w:rFonts w:ascii="Verdana" w:hAnsi="Verdana" w:cs="Verdana"/>
                <w:b/>
                <w:bCs/>
                <w:sz w:val="20"/>
                <w:szCs w:val="20"/>
                <w:lang w:eastAsia="bg-BG"/>
              </w:rPr>
              <w:t>3 853</w:t>
            </w:r>
          </w:p>
        </w:tc>
      </w:tr>
    </w:tbl>
    <w:p w:rsidR="00863C99" w:rsidRPr="000E54EB" w:rsidRDefault="00863C99" w:rsidP="00B66DF8">
      <w:pPr>
        <w:rPr>
          <w:rFonts w:ascii="Verdana" w:hAnsi="Verdana" w:cs="Verdana"/>
          <w:color w:val="FF0000"/>
          <w:sz w:val="20"/>
          <w:szCs w:val="20"/>
          <w:highlight w:val="lightGray"/>
          <w:lang w:val="en-US"/>
        </w:rPr>
      </w:pPr>
    </w:p>
    <w:tbl>
      <w:tblPr>
        <w:tblW w:w="9654" w:type="dxa"/>
        <w:tblInd w:w="-68" w:type="dxa"/>
        <w:tblCellMar>
          <w:left w:w="70" w:type="dxa"/>
          <w:right w:w="70" w:type="dxa"/>
        </w:tblCellMar>
        <w:tblLook w:val="00A0" w:firstRow="1" w:lastRow="0" w:firstColumn="1" w:lastColumn="0" w:noHBand="0" w:noVBand="0"/>
      </w:tblPr>
      <w:tblGrid>
        <w:gridCol w:w="3417"/>
        <w:gridCol w:w="2628"/>
        <w:gridCol w:w="1767"/>
        <w:gridCol w:w="1842"/>
      </w:tblGrid>
      <w:tr w:rsidR="00863C99" w:rsidRPr="000E54EB">
        <w:trPr>
          <w:trHeight w:val="300"/>
        </w:trPr>
        <w:tc>
          <w:tcPr>
            <w:tcW w:w="9654"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tcPr>
          <w:p w:rsidR="00863C99" w:rsidRPr="000E54EB" w:rsidRDefault="00863C99" w:rsidP="00434FF5">
            <w:pPr>
              <w:ind w:right="-70"/>
              <w:jc w:val="left"/>
              <w:rPr>
                <w:rFonts w:ascii="Verdana" w:hAnsi="Verdana" w:cs="Verdana"/>
                <w:b/>
                <w:bCs/>
                <w:sz w:val="20"/>
                <w:szCs w:val="20"/>
                <w:lang w:eastAsia="bg-BG"/>
              </w:rPr>
            </w:pPr>
            <w:r w:rsidRPr="000E54EB">
              <w:rPr>
                <w:rFonts w:ascii="Verdana" w:hAnsi="Verdana" w:cs="Verdana"/>
                <w:b/>
                <w:bCs/>
                <w:sz w:val="20"/>
                <w:szCs w:val="20"/>
                <w:lang w:eastAsia="bg-BG"/>
              </w:rPr>
              <w:t>Предоставени аванси на свързани лица в групата - доставчици по аванси</w:t>
            </w:r>
          </w:p>
        </w:tc>
      </w:tr>
      <w:tr w:rsidR="00863C99" w:rsidRPr="000E54EB">
        <w:trPr>
          <w:trHeight w:val="300"/>
        </w:trPr>
        <w:tc>
          <w:tcPr>
            <w:tcW w:w="3417" w:type="dxa"/>
            <w:vMerge w:val="restart"/>
            <w:tcBorders>
              <w:top w:val="nil"/>
              <w:left w:val="single" w:sz="4" w:space="0" w:color="auto"/>
              <w:bottom w:val="single" w:sz="4" w:space="0" w:color="000000"/>
              <w:right w:val="single" w:sz="4" w:space="0" w:color="auto"/>
            </w:tcBorders>
            <w:shd w:val="clear" w:color="000000" w:fill="FFFFFF"/>
            <w:vAlign w:val="center"/>
          </w:tcPr>
          <w:p w:rsidR="00863C99" w:rsidRPr="000E54EB" w:rsidRDefault="00863C99" w:rsidP="00434FF5">
            <w:pPr>
              <w:ind w:right="-366"/>
              <w:jc w:val="left"/>
              <w:rPr>
                <w:rFonts w:ascii="Verdana" w:hAnsi="Verdana" w:cs="Verdana"/>
                <w:b/>
                <w:bCs/>
                <w:sz w:val="20"/>
                <w:szCs w:val="20"/>
                <w:lang w:eastAsia="bg-BG"/>
              </w:rPr>
            </w:pPr>
            <w:r w:rsidRPr="000E54EB">
              <w:rPr>
                <w:rFonts w:ascii="Verdana" w:hAnsi="Verdana" w:cs="Verdana"/>
                <w:b/>
                <w:bCs/>
                <w:sz w:val="20"/>
                <w:szCs w:val="20"/>
                <w:lang w:eastAsia="bg-BG"/>
              </w:rPr>
              <w:t>Свързано лице</w:t>
            </w:r>
          </w:p>
        </w:tc>
        <w:tc>
          <w:tcPr>
            <w:tcW w:w="2628" w:type="dxa"/>
            <w:vMerge w:val="restart"/>
            <w:tcBorders>
              <w:top w:val="nil"/>
              <w:left w:val="single" w:sz="4" w:space="0" w:color="auto"/>
              <w:bottom w:val="single" w:sz="4" w:space="0" w:color="000000"/>
              <w:right w:val="single" w:sz="4" w:space="0" w:color="auto"/>
            </w:tcBorders>
            <w:shd w:val="clear" w:color="000000" w:fill="FFFFFF"/>
            <w:noWrap/>
            <w:vAlign w:val="center"/>
          </w:tcPr>
          <w:p w:rsidR="00863C99" w:rsidRPr="000E54EB" w:rsidRDefault="00863C99" w:rsidP="005145DA">
            <w:pPr>
              <w:ind w:right="-70"/>
              <w:jc w:val="center"/>
              <w:rPr>
                <w:rFonts w:ascii="Verdana" w:hAnsi="Verdana" w:cs="Verdana"/>
                <w:b/>
                <w:bCs/>
                <w:sz w:val="20"/>
                <w:szCs w:val="20"/>
                <w:lang w:eastAsia="bg-BG"/>
              </w:rPr>
            </w:pPr>
            <w:r w:rsidRPr="000E54EB">
              <w:rPr>
                <w:rFonts w:ascii="Verdana" w:hAnsi="Verdana" w:cs="Verdana"/>
                <w:b/>
                <w:bCs/>
                <w:sz w:val="20"/>
                <w:szCs w:val="20"/>
                <w:lang w:eastAsia="bg-BG"/>
              </w:rPr>
              <w:t>За вид доставка</w:t>
            </w:r>
          </w:p>
        </w:tc>
        <w:tc>
          <w:tcPr>
            <w:tcW w:w="1767" w:type="dxa"/>
            <w:tcBorders>
              <w:top w:val="nil"/>
              <w:left w:val="nil"/>
              <w:bottom w:val="single" w:sz="4" w:space="0" w:color="auto"/>
              <w:right w:val="single" w:sz="4" w:space="0" w:color="auto"/>
            </w:tcBorders>
            <w:shd w:val="clear" w:color="000000" w:fill="FFFFFF"/>
            <w:noWrap/>
            <w:vAlign w:val="center"/>
          </w:tcPr>
          <w:p w:rsidR="00863C99" w:rsidRPr="000E54EB" w:rsidRDefault="00EA7B6B" w:rsidP="00C94611">
            <w:pPr>
              <w:jc w:val="center"/>
              <w:rPr>
                <w:rFonts w:ascii="Verdana" w:hAnsi="Verdana" w:cs="Verdana"/>
                <w:b/>
                <w:bCs/>
                <w:sz w:val="20"/>
                <w:szCs w:val="20"/>
                <w:lang w:eastAsia="bg-BG"/>
              </w:rPr>
            </w:pPr>
            <w:r>
              <w:rPr>
                <w:rFonts w:ascii="Verdana" w:hAnsi="Verdana" w:cs="Verdana"/>
                <w:b/>
                <w:bCs/>
                <w:sz w:val="20"/>
                <w:szCs w:val="20"/>
                <w:lang w:eastAsia="bg-BG"/>
              </w:rPr>
              <w:t>2020</w:t>
            </w:r>
            <w:r w:rsidR="00863C99" w:rsidRPr="000E54EB">
              <w:rPr>
                <w:rFonts w:ascii="Verdana" w:hAnsi="Verdana" w:cs="Verdana"/>
                <w:b/>
                <w:bCs/>
                <w:sz w:val="20"/>
                <w:szCs w:val="20"/>
                <w:lang w:eastAsia="bg-BG"/>
              </w:rPr>
              <w:t xml:space="preserve"> г.</w:t>
            </w:r>
          </w:p>
        </w:tc>
        <w:tc>
          <w:tcPr>
            <w:tcW w:w="1842" w:type="dxa"/>
            <w:tcBorders>
              <w:top w:val="nil"/>
              <w:left w:val="nil"/>
              <w:bottom w:val="single" w:sz="4" w:space="0" w:color="auto"/>
              <w:right w:val="single" w:sz="4" w:space="0" w:color="auto"/>
            </w:tcBorders>
            <w:shd w:val="clear" w:color="000000" w:fill="FFFFFF"/>
            <w:noWrap/>
            <w:vAlign w:val="center"/>
          </w:tcPr>
          <w:p w:rsidR="00863C99" w:rsidRPr="000E54EB" w:rsidRDefault="00863C99" w:rsidP="00C94611">
            <w:pPr>
              <w:jc w:val="center"/>
              <w:rPr>
                <w:rFonts w:ascii="Verdana" w:hAnsi="Verdana" w:cs="Verdana"/>
                <w:b/>
                <w:bCs/>
                <w:sz w:val="20"/>
                <w:szCs w:val="20"/>
                <w:lang w:eastAsia="bg-BG"/>
              </w:rPr>
            </w:pPr>
            <w:r w:rsidRPr="000E54EB">
              <w:rPr>
                <w:rFonts w:ascii="Verdana" w:hAnsi="Verdana" w:cs="Verdana"/>
                <w:b/>
                <w:bCs/>
                <w:sz w:val="20"/>
                <w:szCs w:val="20"/>
                <w:lang w:eastAsia="bg-BG"/>
              </w:rPr>
              <w:t>201</w:t>
            </w:r>
            <w:r w:rsidR="00EA7B6B">
              <w:rPr>
                <w:rFonts w:ascii="Verdana" w:hAnsi="Verdana" w:cs="Verdana"/>
                <w:b/>
                <w:bCs/>
                <w:sz w:val="20"/>
                <w:szCs w:val="20"/>
                <w:lang w:eastAsia="bg-BG"/>
              </w:rPr>
              <w:t>9</w:t>
            </w:r>
            <w:r w:rsidRPr="000E54EB">
              <w:rPr>
                <w:rFonts w:ascii="Verdana" w:hAnsi="Verdana" w:cs="Verdana"/>
                <w:b/>
                <w:bCs/>
                <w:sz w:val="20"/>
                <w:szCs w:val="20"/>
                <w:lang w:eastAsia="bg-BG"/>
              </w:rPr>
              <w:t xml:space="preserve"> г.</w:t>
            </w:r>
          </w:p>
        </w:tc>
      </w:tr>
      <w:tr w:rsidR="00863C99" w:rsidRPr="000E54EB">
        <w:trPr>
          <w:trHeight w:val="300"/>
        </w:trPr>
        <w:tc>
          <w:tcPr>
            <w:tcW w:w="3417" w:type="dxa"/>
            <w:vMerge/>
            <w:tcBorders>
              <w:top w:val="nil"/>
              <w:left w:val="single" w:sz="4" w:space="0" w:color="auto"/>
              <w:bottom w:val="single" w:sz="4" w:space="0" w:color="000000"/>
              <w:right w:val="single" w:sz="4" w:space="0" w:color="auto"/>
            </w:tcBorders>
            <w:vAlign w:val="center"/>
          </w:tcPr>
          <w:p w:rsidR="00863C99" w:rsidRPr="000E54EB" w:rsidRDefault="00863C99" w:rsidP="00434FF5">
            <w:pPr>
              <w:ind w:right="-366"/>
              <w:jc w:val="left"/>
              <w:rPr>
                <w:rFonts w:ascii="Verdana" w:hAnsi="Verdana" w:cs="Verdana"/>
                <w:b/>
                <w:bCs/>
                <w:sz w:val="20"/>
                <w:szCs w:val="20"/>
                <w:lang w:eastAsia="bg-BG"/>
              </w:rPr>
            </w:pPr>
          </w:p>
        </w:tc>
        <w:tc>
          <w:tcPr>
            <w:tcW w:w="2628" w:type="dxa"/>
            <w:vMerge/>
            <w:tcBorders>
              <w:top w:val="nil"/>
              <w:left w:val="single" w:sz="4" w:space="0" w:color="auto"/>
              <w:bottom w:val="single" w:sz="4" w:space="0" w:color="000000"/>
              <w:right w:val="single" w:sz="4" w:space="0" w:color="auto"/>
            </w:tcBorders>
            <w:vAlign w:val="center"/>
          </w:tcPr>
          <w:p w:rsidR="00863C99" w:rsidRPr="000E54EB" w:rsidRDefault="00863C99" w:rsidP="005145DA">
            <w:pPr>
              <w:ind w:right="-70"/>
              <w:jc w:val="center"/>
              <w:rPr>
                <w:rFonts w:ascii="Verdana" w:hAnsi="Verdana" w:cs="Verdana"/>
                <w:b/>
                <w:bCs/>
                <w:sz w:val="20"/>
                <w:szCs w:val="20"/>
                <w:lang w:eastAsia="bg-BG"/>
              </w:rPr>
            </w:pPr>
          </w:p>
        </w:tc>
        <w:tc>
          <w:tcPr>
            <w:tcW w:w="1767" w:type="dxa"/>
            <w:tcBorders>
              <w:top w:val="nil"/>
              <w:left w:val="nil"/>
              <w:bottom w:val="single" w:sz="4" w:space="0" w:color="auto"/>
              <w:right w:val="nil"/>
            </w:tcBorders>
            <w:shd w:val="clear" w:color="000000" w:fill="FFFFFF"/>
            <w:noWrap/>
            <w:vAlign w:val="center"/>
          </w:tcPr>
          <w:p w:rsidR="00863C99" w:rsidRPr="000E54EB" w:rsidRDefault="00863C99" w:rsidP="005145DA">
            <w:pPr>
              <w:ind w:right="-70"/>
              <w:jc w:val="center"/>
              <w:rPr>
                <w:rFonts w:ascii="Verdana" w:hAnsi="Verdana" w:cs="Verdana"/>
                <w:b/>
                <w:bCs/>
                <w:sz w:val="20"/>
                <w:szCs w:val="20"/>
                <w:lang w:eastAsia="bg-BG"/>
              </w:rPr>
            </w:pPr>
            <w:r w:rsidRPr="000E54EB">
              <w:rPr>
                <w:rFonts w:ascii="Verdana" w:hAnsi="Verdana" w:cs="Verdana"/>
                <w:b/>
                <w:bCs/>
                <w:sz w:val="20"/>
                <w:szCs w:val="20"/>
                <w:lang w:eastAsia="bg-BG"/>
              </w:rPr>
              <w:t>Балансова   стойност</w:t>
            </w:r>
          </w:p>
        </w:tc>
        <w:tc>
          <w:tcPr>
            <w:tcW w:w="1842" w:type="dxa"/>
            <w:tcBorders>
              <w:top w:val="nil"/>
              <w:left w:val="single" w:sz="4" w:space="0" w:color="auto"/>
              <w:bottom w:val="single" w:sz="4" w:space="0" w:color="auto"/>
              <w:right w:val="single" w:sz="4" w:space="0" w:color="auto"/>
            </w:tcBorders>
            <w:shd w:val="clear" w:color="000000" w:fill="FFFFFF"/>
            <w:noWrap/>
            <w:vAlign w:val="center"/>
          </w:tcPr>
          <w:p w:rsidR="00863C99" w:rsidRPr="000E54EB" w:rsidRDefault="00863C99" w:rsidP="005145DA">
            <w:pPr>
              <w:ind w:left="-70" w:right="-70"/>
              <w:jc w:val="center"/>
              <w:rPr>
                <w:rFonts w:ascii="Verdana" w:hAnsi="Verdana" w:cs="Verdana"/>
                <w:b/>
                <w:bCs/>
                <w:sz w:val="20"/>
                <w:szCs w:val="20"/>
                <w:lang w:eastAsia="bg-BG"/>
              </w:rPr>
            </w:pPr>
            <w:r w:rsidRPr="000E54EB">
              <w:rPr>
                <w:rFonts w:ascii="Verdana" w:hAnsi="Verdana" w:cs="Verdana"/>
                <w:b/>
                <w:bCs/>
                <w:sz w:val="20"/>
                <w:szCs w:val="20"/>
                <w:lang w:eastAsia="bg-BG"/>
              </w:rPr>
              <w:t>Балансова стойност</w:t>
            </w:r>
          </w:p>
        </w:tc>
      </w:tr>
      <w:tr w:rsidR="00863C99" w:rsidRPr="000E54EB">
        <w:trPr>
          <w:trHeight w:val="300"/>
        </w:trPr>
        <w:tc>
          <w:tcPr>
            <w:tcW w:w="3417" w:type="dxa"/>
            <w:tcBorders>
              <w:top w:val="nil"/>
              <w:left w:val="single" w:sz="4" w:space="0" w:color="auto"/>
              <w:bottom w:val="single" w:sz="4" w:space="0" w:color="auto"/>
              <w:right w:val="nil"/>
            </w:tcBorders>
            <w:shd w:val="clear" w:color="000000" w:fill="FFFFFF"/>
            <w:noWrap/>
            <w:vAlign w:val="center"/>
          </w:tcPr>
          <w:p w:rsidR="00863C99" w:rsidRPr="000E54EB" w:rsidRDefault="00863C99" w:rsidP="00434FF5">
            <w:pPr>
              <w:ind w:right="-366"/>
              <w:jc w:val="left"/>
              <w:rPr>
                <w:rFonts w:ascii="Verdana" w:hAnsi="Verdana" w:cs="Verdana"/>
                <w:sz w:val="20"/>
                <w:szCs w:val="20"/>
                <w:lang w:eastAsia="bg-BG"/>
              </w:rPr>
            </w:pPr>
            <w:r w:rsidRPr="000E54EB">
              <w:rPr>
                <w:rFonts w:ascii="Verdana" w:hAnsi="Verdana" w:cs="Verdana"/>
                <w:sz w:val="20"/>
                <w:szCs w:val="20"/>
                <w:lang w:eastAsia="bg-BG"/>
              </w:rPr>
              <w:t>"Овергаз мрежи" АД</w:t>
            </w:r>
          </w:p>
        </w:tc>
        <w:tc>
          <w:tcPr>
            <w:tcW w:w="2628" w:type="dxa"/>
            <w:tcBorders>
              <w:top w:val="nil"/>
              <w:left w:val="single" w:sz="4" w:space="0" w:color="auto"/>
              <w:bottom w:val="single" w:sz="4" w:space="0" w:color="auto"/>
              <w:right w:val="nil"/>
            </w:tcBorders>
            <w:shd w:val="clear" w:color="000000" w:fill="FFFFFF"/>
            <w:noWrap/>
            <w:vAlign w:val="center"/>
          </w:tcPr>
          <w:p w:rsidR="00863C99" w:rsidRPr="000E54EB" w:rsidRDefault="00863C99" w:rsidP="003C08EB">
            <w:pPr>
              <w:ind w:right="-70"/>
              <w:jc w:val="center"/>
              <w:rPr>
                <w:rFonts w:ascii="Verdana" w:hAnsi="Verdana" w:cs="Verdana"/>
                <w:sz w:val="20"/>
                <w:szCs w:val="20"/>
                <w:lang w:eastAsia="bg-BG"/>
              </w:rPr>
            </w:pPr>
            <w:r w:rsidRPr="000E54EB">
              <w:rPr>
                <w:rFonts w:ascii="Verdana" w:hAnsi="Verdana" w:cs="Verdana"/>
                <w:sz w:val="20"/>
                <w:szCs w:val="20"/>
                <w:lang w:eastAsia="bg-BG"/>
              </w:rPr>
              <w:t>услуги/материали</w:t>
            </w:r>
          </w:p>
        </w:tc>
        <w:tc>
          <w:tcPr>
            <w:tcW w:w="1767" w:type="dxa"/>
            <w:tcBorders>
              <w:top w:val="nil"/>
              <w:left w:val="single" w:sz="4" w:space="0" w:color="auto"/>
              <w:bottom w:val="single" w:sz="4" w:space="0" w:color="auto"/>
              <w:right w:val="single" w:sz="4" w:space="0" w:color="auto"/>
            </w:tcBorders>
            <w:shd w:val="clear" w:color="000000" w:fill="FFFFFF"/>
            <w:noWrap/>
            <w:vAlign w:val="center"/>
          </w:tcPr>
          <w:p w:rsidR="00863C99" w:rsidRPr="00A21767" w:rsidRDefault="00A21767" w:rsidP="005145DA">
            <w:pPr>
              <w:ind w:right="-70"/>
              <w:jc w:val="center"/>
              <w:rPr>
                <w:rFonts w:ascii="Verdana" w:hAnsi="Verdana" w:cs="Verdana"/>
                <w:sz w:val="20"/>
                <w:szCs w:val="20"/>
                <w:lang w:eastAsia="bg-BG"/>
              </w:rPr>
            </w:pPr>
            <w:r>
              <w:rPr>
                <w:rFonts w:ascii="Verdana" w:hAnsi="Verdana" w:cs="Verdana"/>
                <w:sz w:val="20"/>
                <w:szCs w:val="20"/>
                <w:lang w:eastAsia="bg-BG"/>
              </w:rPr>
              <w:t>-</w:t>
            </w:r>
          </w:p>
        </w:tc>
        <w:tc>
          <w:tcPr>
            <w:tcW w:w="1842" w:type="dxa"/>
            <w:tcBorders>
              <w:top w:val="nil"/>
              <w:left w:val="nil"/>
              <w:bottom w:val="single" w:sz="4" w:space="0" w:color="auto"/>
              <w:right w:val="single" w:sz="4" w:space="0" w:color="auto"/>
            </w:tcBorders>
            <w:shd w:val="clear" w:color="000000" w:fill="FFFFFF"/>
            <w:noWrap/>
            <w:vAlign w:val="center"/>
          </w:tcPr>
          <w:p w:rsidR="00863C99" w:rsidRPr="000E54EB" w:rsidRDefault="00EA7B6B" w:rsidP="001F704A">
            <w:pPr>
              <w:ind w:right="-70"/>
              <w:jc w:val="center"/>
              <w:rPr>
                <w:rFonts w:ascii="Verdana" w:hAnsi="Verdana" w:cs="Verdana"/>
                <w:sz w:val="20"/>
                <w:szCs w:val="20"/>
                <w:lang w:eastAsia="bg-BG"/>
              </w:rPr>
            </w:pPr>
            <w:r>
              <w:rPr>
                <w:rFonts w:ascii="Verdana" w:hAnsi="Verdana" w:cs="Verdana"/>
                <w:sz w:val="20"/>
                <w:szCs w:val="20"/>
                <w:lang w:eastAsia="bg-BG"/>
              </w:rPr>
              <w:t>4</w:t>
            </w:r>
            <w:r w:rsidR="00863C99" w:rsidRPr="000E54EB">
              <w:rPr>
                <w:rFonts w:ascii="Verdana" w:hAnsi="Verdana" w:cs="Verdana"/>
                <w:sz w:val="20"/>
                <w:szCs w:val="20"/>
                <w:lang w:val="en-US" w:eastAsia="bg-BG"/>
              </w:rPr>
              <w:t>9</w:t>
            </w:r>
          </w:p>
        </w:tc>
      </w:tr>
      <w:tr w:rsidR="00863C99" w:rsidRPr="000E54EB">
        <w:trPr>
          <w:trHeight w:val="300"/>
        </w:trPr>
        <w:tc>
          <w:tcPr>
            <w:tcW w:w="3417" w:type="dxa"/>
            <w:tcBorders>
              <w:top w:val="nil"/>
              <w:left w:val="single" w:sz="4" w:space="0" w:color="auto"/>
              <w:bottom w:val="single" w:sz="4" w:space="0" w:color="auto"/>
              <w:right w:val="nil"/>
            </w:tcBorders>
            <w:shd w:val="clear" w:color="auto" w:fill="B4C6E7"/>
            <w:noWrap/>
            <w:vAlign w:val="center"/>
          </w:tcPr>
          <w:p w:rsidR="00863C99" w:rsidRPr="000E54EB" w:rsidRDefault="00863C99" w:rsidP="00434FF5">
            <w:pPr>
              <w:ind w:right="-366"/>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2628" w:type="dxa"/>
            <w:tcBorders>
              <w:top w:val="nil"/>
              <w:left w:val="single" w:sz="4" w:space="0" w:color="auto"/>
              <w:bottom w:val="single" w:sz="4" w:space="0" w:color="auto"/>
              <w:right w:val="nil"/>
            </w:tcBorders>
            <w:shd w:val="clear" w:color="auto" w:fill="B4C6E7"/>
            <w:noWrap/>
            <w:vAlign w:val="center"/>
          </w:tcPr>
          <w:p w:rsidR="00863C99" w:rsidRPr="000E54EB" w:rsidRDefault="00863C99" w:rsidP="005145DA">
            <w:pPr>
              <w:ind w:right="-70"/>
              <w:jc w:val="center"/>
              <w:rPr>
                <w:rFonts w:ascii="Verdana" w:hAnsi="Verdana" w:cs="Verdana"/>
                <w:b/>
                <w:bCs/>
                <w:sz w:val="20"/>
                <w:szCs w:val="20"/>
                <w:lang w:eastAsia="bg-BG"/>
              </w:rPr>
            </w:pPr>
          </w:p>
        </w:tc>
        <w:tc>
          <w:tcPr>
            <w:tcW w:w="1767" w:type="dxa"/>
            <w:tcBorders>
              <w:top w:val="nil"/>
              <w:left w:val="single" w:sz="4" w:space="0" w:color="auto"/>
              <w:bottom w:val="single" w:sz="4" w:space="0" w:color="auto"/>
              <w:right w:val="single" w:sz="4" w:space="0" w:color="auto"/>
            </w:tcBorders>
            <w:shd w:val="clear" w:color="auto" w:fill="B4C6E7"/>
            <w:noWrap/>
            <w:vAlign w:val="center"/>
          </w:tcPr>
          <w:p w:rsidR="00863C99" w:rsidRPr="00A21767" w:rsidRDefault="00A21767" w:rsidP="005145DA">
            <w:pPr>
              <w:ind w:right="-70"/>
              <w:jc w:val="center"/>
              <w:rPr>
                <w:rFonts w:ascii="Verdana" w:hAnsi="Verdana" w:cs="Verdana"/>
                <w:b/>
                <w:bCs/>
                <w:sz w:val="20"/>
                <w:szCs w:val="20"/>
                <w:lang w:eastAsia="bg-BG"/>
              </w:rPr>
            </w:pPr>
            <w:r>
              <w:rPr>
                <w:rFonts w:ascii="Verdana" w:hAnsi="Verdana" w:cs="Verdana"/>
                <w:b/>
                <w:bCs/>
                <w:sz w:val="20"/>
                <w:szCs w:val="20"/>
                <w:lang w:eastAsia="bg-BG"/>
              </w:rPr>
              <w:t>-</w:t>
            </w:r>
          </w:p>
        </w:tc>
        <w:tc>
          <w:tcPr>
            <w:tcW w:w="1842" w:type="dxa"/>
            <w:tcBorders>
              <w:top w:val="nil"/>
              <w:left w:val="nil"/>
              <w:bottom w:val="single" w:sz="4" w:space="0" w:color="auto"/>
              <w:right w:val="single" w:sz="4" w:space="0" w:color="auto"/>
            </w:tcBorders>
            <w:shd w:val="clear" w:color="auto" w:fill="B4C6E7"/>
            <w:noWrap/>
            <w:vAlign w:val="center"/>
          </w:tcPr>
          <w:p w:rsidR="00863C99" w:rsidRPr="000E54EB" w:rsidRDefault="00EA7B6B" w:rsidP="001F704A">
            <w:pPr>
              <w:ind w:right="-70"/>
              <w:jc w:val="center"/>
              <w:rPr>
                <w:rFonts w:ascii="Verdana" w:hAnsi="Verdana" w:cs="Verdana"/>
                <w:b/>
                <w:bCs/>
                <w:sz w:val="20"/>
                <w:szCs w:val="20"/>
                <w:lang w:eastAsia="bg-BG"/>
              </w:rPr>
            </w:pPr>
            <w:r>
              <w:rPr>
                <w:rFonts w:ascii="Verdana" w:hAnsi="Verdana" w:cs="Verdana"/>
                <w:b/>
                <w:bCs/>
                <w:sz w:val="20"/>
                <w:szCs w:val="20"/>
                <w:lang w:eastAsia="bg-BG"/>
              </w:rPr>
              <w:t>4</w:t>
            </w:r>
            <w:r w:rsidR="00863C99" w:rsidRPr="000E54EB">
              <w:rPr>
                <w:rFonts w:ascii="Verdana" w:hAnsi="Verdana" w:cs="Verdana"/>
                <w:b/>
                <w:bCs/>
                <w:sz w:val="20"/>
                <w:szCs w:val="20"/>
                <w:lang w:val="en-US" w:eastAsia="bg-BG"/>
              </w:rPr>
              <w:t>9</w:t>
            </w:r>
          </w:p>
        </w:tc>
      </w:tr>
    </w:tbl>
    <w:p w:rsidR="00863C99" w:rsidRPr="000E54EB" w:rsidRDefault="00863C99" w:rsidP="00B66DF8">
      <w:pPr>
        <w:rPr>
          <w:rFonts w:ascii="Verdana" w:hAnsi="Verdana" w:cs="Verdana"/>
          <w:sz w:val="20"/>
          <w:szCs w:val="20"/>
        </w:rPr>
      </w:pPr>
    </w:p>
    <w:tbl>
      <w:tblPr>
        <w:tblW w:w="9564"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484"/>
        <w:gridCol w:w="1686"/>
        <w:gridCol w:w="1253"/>
        <w:gridCol w:w="1888"/>
        <w:gridCol w:w="1253"/>
      </w:tblGrid>
      <w:tr w:rsidR="00863C99" w:rsidRPr="000E54EB">
        <w:trPr>
          <w:trHeight w:val="300"/>
        </w:trPr>
        <w:tc>
          <w:tcPr>
            <w:tcW w:w="9564" w:type="dxa"/>
            <w:gridSpan w:val="5"/>
            <w:noWrap/>
            <w:vAlign w:val="center"/>
          </w:tcPr>
          <w:p w:rsidR="00863C99" w:rsidRPr="000E54EB" w:rsidRDefault="00863C99" w:rsidP="00874507">
            <w:pPr>
              <w:jc w:val="left"/>
              <w:rPr>
                <w:rFonts w:ascii="Verdana" w:hAnsi="Verdana" w:cs="Verdana"/>
                <w:b/>
                <w:bCs/>
                <w:sz w:val="20"/>
                <w:szCs w:val="20"/>
                <w:lang w:eastAsia="bg-BG"/>
              </w:rPr>
            </w:pPr>
            <w:r w:rsidRPr="000E54EB">
              <w:rPr>
                <w:rFonts w:ascii="Verdana" w:hAnsi="Verdana" w:cs="Verdana"/>
                <w:b/>
                <w:bCs/>
                <w:sz w:val="20"/>
                <w:szCs w:val="20"/>
                <w:lang w:eastAsia="bg-BG"/>
              </w:rPr>
              <w:t xml:space="preserve">Задължения към свързани лица </w:t>
            </w:r>
          </w:p>
        </w:tc>
      </w:tr>
      <w:tr w:rsidR="00863C99" w:rsidRPr="000E54EB">
        <w:trPr>
          <w:trHeight w:val="600"/>
        </w:trPr>
        <w:tc>
          <w:tcPr>
            <w:tcW w:w="3484" w:type="dxa"/>
            <w:shd w:val="clear" w:color="000000" w:fill="FFFFFF"/>
            <w:noWrap/>
            <w:vAlign w:val="center"/>
          </w:tcPr>
          <w:p w:rsidR="00863C99" w:rsidRPr="000E54EB" w:rsidRDefault="00863C99" w:rsidP="00CE6D02">
            <w:pPr>
              <w:jc w:val="center"/>
              <w:rPr>
                <w:rFonts w:ascii="Verdana" w:hAnsi="Verdana" w:cs="Verdana"/>
                <w:b/>
                <w:bCs/>
                <w:sz w:val="20"/>
                <w:szCs w:val="20"/>
                <w:lang w:eastAsia="bg-BG"/>
              </w:rPr>
            </w:pPr>
            <w:r w:rsidRPr="000E54EB">
              <w:rPr>
                <w:rFonts w:ascii="Verdana" w:hAnsi="Verdana" w:cs="Verdana"/>
                <w:b/>
                <w:bCs/>
                <w:sz w:val="20"/>
                <w:szCs w:val="20"/>
                <w:lang w:eastAsia="bg-BG"/>
              </w:rPr>
              <w:t>Свързано лице - доставчик</w:t>
            </w:r>
          </w:p>
        </w:tc>
        <w:tc>
          <w:tcPr>
            <w:tcW w:w="1686" w:type="dxa"/>
            <w:shd w:val="clear" w:color="000000" w:fill="FFFFFF"/>
            <w:noWrap/>
            <w:vAlign w:val="center"/>
          </w:tcPr>
          <w:p w:rsidR="00863C99" w:rsidRPr="000E54EB" w:rsidRDefault="005033B7" w:rsidP="00C94611">
            <w:pPr>
              <w:jc w:val="center"/>
              <w:rPr>
                <w:rFonts w:ascii="Verdana" w:hAnsi="Verdana" w:cs="Verdana"/>
                <w:b/>
                <w:bCs/>
                <w:sz w:val="20"/>
                <w:szCs w:val="20"/>
                <w:lang w:eastAsia="bg-BG"/>
              </w:rPr>
            </w:pPr>
            <w:r>
              <w:rPr>
                <w:rFonts w:ascii="Verdana" w:hAnsi="Verdana" w:cs="Verdana"/>
                <w:b/>
                <w:bCs/>
                <w:sz w:val="20"/>
                <w:szCs w:val="20"/>
                <w:lang w:eastAsia="bg-BG"/>
              </w:rPr>
              <w:t>30.06</w:t>
            </w:r>
            <w:r w:rsidR="00863C99" w:rsidRPr="000E54EB">
              <w:rPr>
                <w:rFonts w:ascii="Verdana" w:hAnsi="Verdana" w:cs="Verdana"/>
                <w:b/>
                <w:bCs/>
                <w:sz w:val="20"/>
                <w:szCs w:val="20"/>
                <w:lang w:eastAsia="bg-BG"/>
              </w:rPr>
              <w:t>.20</w:t>
            </w:r>
            <w:r>
              <w:rPr>
                <w:rFonts w:ascii="Verdana" w:hAnsi="Verdana" w:cs="Verdana"/>
                <w:b/>
                <w:bCs/>
                <w:sz w:val="20"/>
                <w:szCs w:val="20"/>
                <w:lang w:eastAsia="bg-BG"/>
              </w:rPr>
              <w:t>20</w:t>
            </w:r>
          </w:p>
        </w:tc>
        <w:tc>
          <w:tcPr>
            <w:tcW w:w="1253" w:type="dxa"/>
            <w:shd w:val="clear" w:color="000000" w:fill="FFFFFF"/>
            <w:noWrap/>
            <w:vAlign w:val="center"/>
          </w:tcPr>
          <w:p w:rsidR="00863C99" w:rsidRPr="000E54EB" w:rsidRDefault="00863C99" w:rsidP="00CE6D02">
            <w:pPr>
              <w:jc w:val="center"/>
              <w:rPr>
                <w:rFonts w:ascii="Verdana" w:hAnsi="Verdana" w:cs="Verdana"/>
                <w:b/>
                <w:bCs/>
                <w:sz w:val="20"/>
                <w:szCs w:val="20"/>
                <w:lang w:eastAsia="bg-BG"/>
              </w:rPr>
            </w:pPr>
            <w:r w:rsidRPr="000E54EB">
              <w:rPr>
                <w:rFonts w:ascii="Verdana" w:hAnsi="Verdana" w:cs="Verdana"/>
                <w:b/>
                <w:bCs/>
                <w:sz w:val="20"/>
                <w:szCs w:val="20"/>
                <w:lang w:eastAsia="bg-BG"/>
              </w:rPr>
              <w:t>Гаранции</w:t>
            </w:r>
          </w:p>
        </w:tc>
        <w:tc>
          <w:tcPr>
            <w:tcW w:w="1888" w:type="dxa"/>
            <w:shd w:val="clear" w:color="000000" w:fill="FFFFFF"/>
            <w:noWrap/>
            <w:vAlign w:val="center"/>
          </w:tcPr>
          <w:p w:rsidR="00863C99" w:rsidRPr="000E54EB" w:rsidRDefault="00863C99" w:rsidP="001F704A">
            <w:pPr>
              <w:jc w:val="center"/>
              <w:rPr>
                <w:rFonts w:ascii="Verdana" w:hAnsi="Verdana" w:cs="Verdana"/>
                <w:b/>
                <w:bCs/>
                <w:sz w:val="20"/>
                <w:szCs w:val="20"/>
                <w:lang w:eastAsia="bg-BG"/>
              </w:rPr>
            </w:pPr>
            <w:r w:rsidRPr="000E54EB">
              <w:rPr>
                <w:rFonts w:ascii="Verdana" w:hAnsi="Verdana" w:cs="Verdana"/>
                <w:b/>
                <w:bCs/>
                <w:sz w:val="20"/>
                <w:szCs w:val="20"/>
                <w:lang w:eastAsia="bg-BG"/>
              </w:rPr>
              <w:t>31.12.201</w:t>
            </w:r>
            <w:r w:rsidR="005033B7">
              <w:rPr>
                <w:rFonts w:ascii="Verdana" w:hAnsi="Verdana" w:cs="Verdana"/>
                <w:b/>
                <w:bCs/>
                <w:sz w:val="20"/>
                <w:szCs w:val="20"/>
                <w:lang w:eastAsia="bg-BG"/>
              </w:rPr>
              <w:t>9</w:t>
            </w:r>
          </w:p>
        </w:tc>
        <w:tc>
          <w:tcPr>
            <w:tcW w:w="1253" w:type="dxa"/>
            <w:shd w:val="clear" w:color="000000" w:fill="FFFFFF"/>
            <w:noWrap/>
            <w:vAlign w:val="center"/>
          </w:tcPr>
          <w:p w:rsidR="00863C99" w:rsidRPr="000E54EB" w:rsidRDefault="00863C99" w:rsidP="00CE6D02">
            <w:pPr>
              <w:jc w:val="center"/>
              <w:rPr>
                <w:rFonts w:ascii="Verdana" w:hAnsi="Verdana" w:cs="Verdana"/>
                <w:b/>
                <w:bCs/>
                <w:sz w:val="20"/>
                <w:szCs w:val="20"/>
                <w:lang w:eastAsia="bg-BG"/>
              </w:rPr>
            </w:pPr>
            <w:r w:rsidRPr="000E54EB">
              <w:rPr>
                <w:rFonts w:ascii="Verdana" w:hAnsi="Verdana" w:cs="Verdana"/>
                <w:b/>
                <w:bCs/>
                <w:sz w:val="20"/>
                <w:szCs w:val="20"/>
                <w:lang w:eastAsia="bg-BG"/>
              </w:rPr>
              <w:t>Гаранции</w:t>
            </w:r>
          </w:p>
        </w:tc>
      </w:tr>
      <w:tr w:rsidR="005033B7" w:rsidRPr="000E54EB">
        <w:trPr>
          <w:trHeight w:val="300"/>
        </w:trPr>
        <w:tc>
          <w:tcPr>
            <w:tcW w:w="3484" w:type="dxa"/>
            <w:shd w:val="clear" w:color="000000" w:fill="FFFFFF"/>
            <w:noWrap/>
            <w:vAlign w:val="center"/>
          </w:tcPr>
          <w:p w:rsidR="005033B7" w:rsidRPr="000E54EB" w:rsidRDefault="005033B7" w:rsidP="00CE6D02">
            <w:pPr>
              <w:jc w:val="left"/>
              <w:rPr>
                <w:rFonts w:ascii="Verdana" w:hAnsi="Verdana" w:cs="Verdana"/>
                <w:sz w:val="20"/>
                <w:szCs w:val="20"/>
                <w:lang w:eastAsia="bg-BG"/>
              </w:rPr>
            </w:pPr>
            <w:r w:rsidRPr="000E54EB">
              <w:rPr>
                <w:rFonts w:ascii="Verdana" w:hAnsi="Verdana" w:cs="Verdana"/>
                <w:sz w:val="20"/>
                <w:szCs w:val="20"/>
                <w:lang w:eastAsia="bg-BG"/>
              </w:rPr>
              <w:t>"Овергаз Холдинг" АД</w:t>
            </w:r>
          </w:p>
        </w:tc>
        <w:tc>
          <w:tcPr>
            <w:tcW w:w="1686" w:type="dxa"/>
            <w:shd w:val="clear" w:color="000000" w:fill="FFFFFF"/>
            <w:noWrap/>
            <w:vAlign w:val="center"/>
          </w:tcPr>
          <w:p w:rsidR="005033B7" w:rsidRPr="000E54EB" w:rsidRDefault="00D3689E" w:rsidP="00CE6D02">
            <w:pPr>
              <w:jc w:val="center"/>
              <w:rPr>
                <w:rFonts w:ascii="Verdana" w:hAnsi="Verdana" w:cs="Verdana"/>
                <w:sz w:val="20"/>
                <w:szCs w:val="20"/>
                <w:lang w:eastAsia="bg-BG"/>
              </w:rPr>
            </w:pPr>
            <w:r w:rsidRPr="00D737C5">
              <w:rPr>
                <w:rFonts w:ascii="Verdana" w:hAnsi="Verdana" w:cs="Verdana"/>
                <w:sz w:val="20"/>
                <w:szCs w:val="20"/>
                <w:lang w:eastAsia="bg-BG"/>
              </w:rPr>
              <w:t>43</w:t>
            </w:r>
          </w:p>
        </w:tc>
        <w:tc>
          <w:tcPr>
            <w:tcW w:w="1253" w:type="dxa"/>
            <w:shd w:val="clear" w:color="000000" w:fill="FFFFFF"/>
            <w:noWrap/>
            <w:vAlign w:val="center"/>
          </w:tcPr>
          <w:p w:rsidR="005033B7" w:rsidRPr="000E54EB" w:rsidRDefault="005033B7" w:rsidP="00CE6D02">
            <w:pPr>
              <w:jc w:val="center"/>
              <w:rPr>
                <w:rFonts w:ascii="Verdana" w:hAnsi="Verdana" w:cs="Verdana"/>
                <w:b/>
                <w:bCs/>
                <w:sz w:val="20"/>
                <w:szCs w:val="20"/>
                <w:lang w:eastAsia="bg-BG"/>
              </w:rPr>
            </w:pPr>
          </w:p>
        </w:tc>
        <w:tc>
          <w:tcPr>
            <w:tcW w:w="1888" w:type="dxa"/>
            <w:shd w:val="clear" w:color="000000" w:fill="FFFFFF"/>
            <w:noWrap/>
            <w:vAlign w:val="center"/>
          </w:tcPr>
          <w:p w:rsidR="005033B7" w:rsidRPr="000E54EB" w:rsidRDefault="005033B7" w:rsidP="00A77C33">
            <w:pPr>
              <w:jc w:val="center"/>
              <w:rPr>
                <w:rFonts w:ascii="Verdana" w:hAnsi="Verdana" w:cs="Verdana"/>
                <w:sz w:val="20"/>
                <w:szCs w:val="20"/>
                <w:lang w:eastAsia="bg-BG"/>
              </w:rPr>
            </w:pPr>
            <w:r>
              <w:rPr>
                <w:rFonts w:ascii="Verdana" w:hAnsi="Verdana" w:cs="Verdana"/>
                <w:sz w:val="20"/>
                <w:szCs w:val="20"/>
                <w:lang w:eastAsia="bg-BG"/>
              </w:rPr>
              <w:t>2</w:t>
            </w:r>
            <w:r w:rsidR="004040AA">
              <w:rPr>
                <w:rFonts w:ascii="Verdana" w:hAnsi="Verdana" w:cs="Verdana"/>
                <w:sz w:val="20"/>
                <w:szCs w:val="20"/>
                <w:lang w:eastAsia="bg-BG"/>
              </w:rPr>
              <w:t>7</w:t>
            </w:r>
          </w:p>
        </w:tc>
        <w:tc>
          <w:tcPr>
            <w:tcW w:w="1253" w:type="dxa"/>
            <w:shd w:val="clear" w:color="000000" w:fill="FFFFFF"/>
            <w:noWrap/>
            <w:vAlign w:val="center"/>
          </w:tcPr>
          <w:p w:rsidR="005033B7" w:rsidRPr="000E54EB" w:rsidRDefault="005033B7" w:rsidP="00CE6D02">
            <w:pPr>
              <w:jc w:val="center"/>
              <w:rPr>
                <w:rFonts w:ascii="Verdana" w:hAnsi="Verdana" w:cs="Verdana"/>
                <w:b/>
                <w:bCs/>
                <w:sz w:val="20"/>
                <w:szCs w:val="20"/>
                <w:lang w:eastAsia="bg-BG"/>
              </w:rPr>
            </w:pPr>
          </w:p>
        </w:tc>
      </w:tr>
      <w:tr w:rsidR="005033B7" w:rsidRPr="000E54EB">
        <w:trPr>
          <w:trHeight w:val="300"/>
        </w:trPr>
        <w:tc>
          <w:tcPr>
            <w:tcW w:w="3484" w:type="dxa"/>
            <w:shd w:val="clear" w:color="000000" w:fill="FFFFFF"/>
            <w:noWrap/>
            <w:vAlign w:val="center"/>
          </w:tcPr>
          <w:p w:rsidR="005033B7" w:rsidRPr="000E54EB" w:rsidRDefault="005033B7" w:rsidP="00CE6D02">
            <w:pPr>
              <w:jc w:val="left"/>
              <w:rPr>
                <w:rFonts w:ascii="Verdana" w:hAnsi="Verdana" w:cs="Verdana"/>
                <w:sz w:val="20"/>
                <w:szCs w:val="20"/>
                <w:lang w:eastAsia="bg-BG"/>
              </w:rPr>
            </w:pPr>
            <w:r w:rsidRPr="000E54EB">
              <w:rPr>
                <w:rFonts w:ascii="Verdana" w:hAnsi="Verdana" w:cs="Verdana"/>
                <w:sz w:val="20"/>
                <w:szCs w:val="20"/>
                <w:lang w:eastAsia="bg-BG"/>
              </w:rPr>
              <w:t>"Оу Джи Транс" АД</w:t>
            </w:r>
          </w:p>
        </w:tc>
        <w:tc>
          <w:tcPr>
            <w:tcW w:w="1686" w:type="dxa"/>
            <w:shd w:val="clear" w:color="000000" w:fill="FFFFFF"/>
            <w:noWrap/>
            <w:vAlign w:val="center"/>
          </w:tcPr>
          <w:p w:rsidR="005033B7" w:rsidRPr="000E54EB" w:rsidRDefault="00D3689E" w:rsidP="00CE6D02">
            <w:pPr>
              <w:jc w:val="center"/>
              <w:rPr>
                <w:rFonts w:ascii="Verdana" w:hAnsi="Verdana" w:cs="Verdana"/>
                <w:sz w:val="20"/>
                <w:szCs w:val="20"/>
                <w:lang w:eastAsia="bg-BG"/>
              </w:rPr>
            </w:pPr>
            <w:r>
              <w:rPr>
                <w:rFonts w:ascii="Verdana" w:hAnsi="Verdana" w:cs="Verdana"/>
                <w:sz w:val="20"/>
                <w:szCs w:val="20"/>
                <w:lang w:eastAsia="bg-BG"/>
              </w:rPr>
              <w:t>66</w:t>
            </w:r>
          </w:p>
        </w:tc>
        <w:tc>
          <w:tcPr>
            <w:tcW w:w="1253" w:type="dxa"/>
            <w:shd w:val="clear" w:color="000000" w:fill="FFFFFF"/>
            <w:noWrap/>
            <w:vAlign w:val="center"/>
          </w:tcPr>
          <w:p w:rsidR="005033B7" w:rsidRPr="000E54EB" w:rsidRDefault="005033B7" w:rsidP="00CE6D02">
            <w:pPr>
              <w:jc w:val="center"/>
              <w:rPr>
                <w:rFonts w:ascii="Verdana" w:hAnsi="Verdana" w:cs="Verdana"/>
                <w:b/>
                <w:bCs/>
                <w:sz w:val="20"/>
                <w:szCs w:val="20"/>
                <w:lang w:eastAsia="bg-BG"/>
              </w:rPr>
            </w:pPr>
          </w:p>
        </w:tc>
        <w:tc>
          <w:tcPr>
            <w:tcW w:w="1888" w:type="dxa"/>
            <w:shd w:val="clear" w:color="000000" w:fill="FFFFFF"/>
            <w:noWrap/>
            <w:vAlign w:val="center"/>
          </w:tcPr>
          <w:p w:rsidR="005033B7" w:rsidRPr="000E54EB" w:rsidRDefault="005033B7" w:rsidP="00A77C33">
            <w:pPr>
              <w:jc w:val="center"/>
              <w:rPr>
                <w:rFonts w:ascii="Verdana" w:hAnsi="Verdana" w:cs="Verdana"/>
                <w:sz w:val="20"/>
                <w:szCs w:val="20"/>
                <w:lang w:eastAsia="bg-BG"/>
              </w:rPr>
            </w:pPr>
            <w:r>
              <w:rPr>
                <w:rFonts w:ascii="Verdana" w:hAnsi="Verdana" w:cs="Verdana"/>
                <w:sz w:val="20"/>
                <w:szCs w:val="20"/>
                <w:lang w:eastAsia="bg-BG"/>
              </w:rPr>
              <w:t>41</w:t>
            </w:r>
          </w:p>
        </w:tc>
        <w:tc>
          <w:tcPr>
            <w:tcW w:w="1253" w:type="dxa"/>
            <w:shd w:val="clear" w:color="000000" w:fill="FFFFFF"/>
            <w:noWrap/>
            <w:vAlign w:val="center"/>
          </w:tcPr>
          <w:p w:rsidR="005033B7" w:rsidRPr="000E54EB" w:rsidRDefault="005033B7" w:rsidP="00CE6D02">
            <w:pPr>
              <w:jc w:val="center"/>
              <w:rPr>
                <w:rFonts w:ascii="Verdana" w:hAnsi="Verdana" w:cs="Verdana"/>
                <w:b/>
                <w:bCs/>
                <w:sz w:val="20"/>
                <w:szCs w:val="20"/>
                <w:lang w:eastAsia="bg-BG"/>
              </w:rPr>
            </w:pPr>
          </w:p>
        </w:tc>
      </w:tr>
      <w:tr w:rsidR="005033B7" w:rsidRPr="000E54EB">
        <w:trPr>
          <w:trHeight w:val="300"/>
        </w:trPr>
        <w:tc>
          <w:tcPr>
            <w:tcW w:w="3484" w:type="dxa"/>
            <w:shd w:val="clear" w:color="000000" w:fill="FFFFFF"/>
            <w:noWrap/>
            <w:vAlign w:val="center"/>
          </w:tcPr>
          <w:p w:rsidR="005033B7" w:rsidRPr="000E54EB" w:rsidRDefault="005033B7" w:rsidP="00CE6D02">
            <w:pPr>
              <w:jc w:val="left"/>
              <w:rPr>
                <w:rFonts w:ascii="Verdana" w:hAnsi="Verdana" w:cs="Verdana"/>
                <w:sz w:val="20"/>
                <w:szCs w:val="20"/>
                <w:lang w:eastAsia="bg-BG"/>
              </w:rPr>
            </w:pPr>
            <w:r w:rsidRPr="000E54EB">
              <w:rPr>
                <w:rFonts w:ascii="Verdana" w:hAnsi="Verdana" w:cs="Verdana"/>
                <w:sz w:val="20"/>
                <w:szCs w:val="20"/>
                <w:lang w:eastAsia="bg-BG"/>
              </w:rPr>
              <w:t>"Овергаз Инк" АД</w:t>
            </w:r>
          </w:p>
        </w:tc>
        <w:tc>
          <w:tcPr>
            <w:tcW w:w="1686" w:type="dxa"/>
            <w:shd w:val="clear" w:color="000000" w:fill="FFFFFF"/>
            <w:noWrap/>
            <w:vAlign w:val="center"/>
          </w:tcPr>
          <w:p w:rsidR="005033B7" w:rsidRPr="000E54EB" w:rsidRDefault="00D3689E" w:rsidP="00CE6D02">
            <w:pPr>
              <w:jc w:val="center"/>
              <w:rPr>
                <w:rFonts w:ascii="Verdana" w:hAnsi="Verdana" w:cs="Verdana"/>
                <w:sz w:val="20"/>
                <w:szCs w:val="20"/>
                <w:lang w:eastAsia="bg-BG"/>
              </w:rPr>
            </w:pPr>
            <w:r>
              <w:rPr>
                <w:rFonts w:ascii="Verdana" w:hAnsi="Verdana" w:cs="Verdana"/>
                <w:sz w:val="20"/>
                <w:szCs w:val="20"/>
                <w:lang w:eastAsia="bg-BG"/>
              </w:rPr>
              <w:t>-</w:t>
            </w:r>
          </w:p>
        </w:tc>
        <w:tc>
          <w:tcPr>
            <w:tcW w:w="1253" w:type="dxa"/>
            <w:shd w:val="clear" w:color="000000" w:fill="FFFFFF"/>
            <w:noWrap/>
            <w:vAlign w:val="center"/>
          </w:tcPr>
          <w:p w:rsidR="005033B7" w:rsidRPr="000E54EB" w:rsidRDefault="005033B7" w:rsidP="00CE6D02">
            <w:pPr>
              <w:jc w:val="center"/>
              <w:rPr>
                <w:rFonts w:ascii="Verdana" w:hAnsi="Verdana" w:cs="Verdana"/>
                <w:b/>
                <w:bCs/>
                <w:sz w:val="20"/>
                <w:szCs w:val="20"/>
                <w:lang w:eastAsia="bg-BG"/>
              </w:rPr>
            </w:pPr>
          </w:p>
        </w:tc>
        <w:tc>
          <w:tcPr>
            <w:tcW w:w="1888" w:type="dxa"/>
            <w:shd w:val="clear" w:color="000000" w:fill="FFFFFF"/>
            <w:noWrap/>
            <w:vAlign w:val="center"/>
          </w:tcPr>
          <w:p w:rsidR="005033B7" w:rsidRPr="000E54EB" w:rsidRDefault="005033B7" w:rsidP="00A77C33">
            <w:pPr>
              <w:jc w:val="center"/>
              <w:rPr>
                <w:rFonts w:ascii="Verdana" w:hAnsi="Verdana" w:cs="Verdana"/>
                <w:sz w:val="20"/>
                <w:szCs w:val="20"/>
                <w:lang w:eastAsia="bg-BG"/>
              </w:rPr>
            </w:pPr>
            <w:r>
              <w:rPr>
                <w:rFonts w:ascii="Verdana" w:hAnsi="Verdana" w:cs="Verdana"/>
                <w:sz w:val="20"/>
                <w:szCs w:val="20"/>
                <w:lang w:eastAsia="bg-BG"/>
              </w:rPr>
              <w:t>-</w:t>
            </w:r>
          </w:p>
        </w:tc>
        <w:tc>
          <w:tcPr>
            <w:tcW w:w="1253" w:type="dxa"/>
            <w:shd w:val="clear" w:color="000000" w:fill="FFFFFF"/>
            <w:noWrap/>
            <w:vAlign w:val="center"/>
          </w:tcPr>
          <w:p w:rsidR="005033B7" w:rsidRPr="000E54EB" w:rsidRDefault="005033B7" w:rsidP="00CE6D02">
            <w:pPr>
              <w:jc w:val="center"/>
              <w:rPr>
                <w:rFonts w:ascii="Verdana" w:hAnsi="Verdana" w:cs="Verdana"/>
                <w:b/>
                <w:bCs/>
                <w:sz w:val="20"/>
                <w:szCs w:val="20"/>
                <w:lang w:eastAsia="bg-BG"/>
              </w:rPr>
            </w:pPr>
          </w:p>
        </w:tc>
      </w:tr>
      <w:tr w:rsidR="005033B7" w:rsidRPr="000E54EB">
        <w:trPr>
          <w:trHeight w:val="300"/>
        </w:trPr>
        <w:tc>
          <w:tcPr>
            <w:tcW w:w="3484" w:type="dxa"/>
            <w:shd w:val="clear" w:color="000000" w:fill="FFFFFF"/>
            <w:noWrap/>
            <w:vAlign w:val="center"/>
          </w:tcPr>
          <w:p w:rsidR="005033B7" w:rsidRPr="000E54EB" w:rsidRDefault="005033B7" w:rsidP="00CE6D02">
            <w:pPr>
              <w:jc w:val="left"/>
              <w:rPr>
                <w:rFonts w:ascii="Verdana" w:hAnsi="Verdana" w:cs="Verdana"/>
                <w:sz w:val="20"/>
                <w:szCs w:val="20"/>
                <w:lang w:eastAsia="bg-BG"/>
              </w:rPr>
            </w:pPr>
            <w:r w:rsidRPr="000E54EB">
              <w:rPr>
                <w:rFonts w:ascii="Verdana" w:hAnsi="Verdana" w:cs="Verdana"/>
                <w:sz w:val="20"/>
                <w:szCs w:val="20"/>
                <w:lang w:eastAsia="bg-BG"/>
              </w:rPr>
              <w:t>"Овергаз мрежи" АД</w:t>
            </w:r>
          </w:p>
        </w:tc>
        <w:tc>
          <w:tcPr>
            <w:tcW w:w="1686" w:type="dxa"/>
            <w:shd w:val="clear" w:color="000000" w:fill="FFFFFF"/>
            <w:noWrap/>
            <w:vAlign w:val="center"/>
          </w:tcPr>
          <w:p w:rsidR="005033B7" w:rsidRPr="000E54EB" w:rsidRDefault="00D3689E" w:rsidP="00CE6D02">
            <w:pPr>
              <w:jc w:val="center"/>
              <w:rPr>
                <w:rFonts w:ascii="Verdana" w:hAnsi="Verdana" w:cs="Verdana"/>
                <w:sz w:val="20"/>
                <w:szCs w:val="20"/>
                <w:lang w:eastAsia="bg-BG"/>
              </w:rPr>
            </w:pPr>
            <w:r>
              <w:rPr>
                <w:rFonts w:ascii="Verdana" w:hAnsi="Verdana" w:cs="Verdana"/>
                <w:sz w:val="20"/>
                <w:szCs w:val="20"/>
                <w:lang w:eastAsia="bg-BG"/>
              </w:rPr>
              <w:t>993</w:t>
            </w:r>
          </w:p>
        </w:tc>
        <w:tc>
          <w:tcPr>
            <w:tcW w:w="1253" w:type="dxa"/>
            <w:shd w:val="clear" w:color="000000" w:fill="FFFFFF"/>
            <w:noWrap/>
            <w:vAlign w:val="center"/>
          </w:tcPr>
          <w:p w:rsidR="005033B7" w:rsidRPr="000E54EB" w:rsidRDefault="005033B7" w:rsidP="00CE6D02">
            <w:pPr>
              <w:jc w:val="center"/>
              <w:rPr>
                <w:rFonts w:ascii="Verdana" w:hAnsi="Verdana" w:cs="Verdana"/>
                <w:b/>
                <w:bCs/>
                <w:sz w:val="20"/>
                <w:szCs w:val="20"/>
                <w:lang w:eastAsia="bg-BG"/>
              </w:rPr>
            </w:pPr>
          </w:p>
        </w:tc>
        <w:tc>
          <w:tcPr>
            <w:tcW w:w="1888" w:type="dxa"/>
            <w:shd w:val="clear" w:color="000000" w:fill="FFFFFF"/>
            <w:noWrap/>
            <w:vAlign w:val="center"/>
          </w:tcPr>
          <w:p w:rsidR="005033B7" w:rsidRPr="000E54EB" w:rsidRDefault="005033B7" w:rsidP="00A77C33">
            <w:pPr>
              <w:jc w:val="center"/>
              <w:rPr>
                <w:rFonts w:ascii="Verdana" w:hAnsi="Verdana" w:cs="Verdana"/>
                <w:sz w:val="20"/>
                <w:szCs w:val="20"/>
                <w:lang w:eastAsia="bg-BG"/>
              </w:rPr>
            </w:pPr>
            <w:r>
              <w:rPr>
                <w:rFonts w:ascii="Verdana" w:hAnsi="Verdana" w:cs="Verdana"/>
                <w:sz w:val="20"/>
                <w:szCs w:val="20"/>
                <w:lang w:eastAsia="bg-BG"/>
              </w:rPr>
              <w:t>1 179</w:t>
            </w:r>
          </w:p>
        </w:tc>
        <w:tc>
          <w:tcPr>
            <w:tcW w:w="1253" w:type="dxa"/>
            <w:shd w:val="clear" w:color="000000" w:fill="FFFFFF"/>
            <w:noWrap/>
            <w:vAlign w:val="center"/>
          </w:tcPr>
          <w:p w:rsidR="005033B7" w:rsidRPr="000E54EB" w:rsidRDefault="005033B7" w:rsidP="00CE6D02">
            <w:pPr>
              <w:jc w:val="center"/>
              <w:rPr>
                <w:rFonts w:ascii="Verdana" w:hAnsi="Verdana" w:cs="Verdana"/>
                <w:b/>
                <w:bCs/>
                <w:sz w:val="20"/>
                <w:szCs w:val="20"/>
                <w:lang w:eastAsia="bg-BG"/>
              </w:rPr>
            </w:pPr>
          </w:p>
        </w:tc>
      </w:tr>
      <w:tr w:rsidR="005033B7" w:rsidRPr="000E54EB">
        <w:trPr>
          <w:trHeight w:val="300"/>
        </w:trPr>
        <w:tc>
          <w:tcPr>
            <w:tcW w:w="3484" w:type="dxa"/>
            <w:shd w:val="clear" w:color="000000" w:fill="FFFFFF"/>
            <w:noWrap/>
            <w:vAlign w:val="center"/>
          </w:tcPr>
          <w:p w:rsidR="005033B7" w:rsidRPr="000E54EB" w:rsidRDefault="005033B7" w:rsidP="00CE6D02">
            <w:pPr>
              <w:jc w:val="left"/>
              <w:rPr>
                <w:rFonts w:ascii="Verdana" w:hAnsi="Verdana" w:cs="Verdana"/>
                <w:sz w:val="20"/>
                <w:szCs w:val="20"/>
                <w:lang w:eastAsia="bg-BG"/>
              </w:rPr>
            </w:pPr>
            <w:r w:rsidRPr="000E54EB">
              <w:rPr>
                <w:rFonts w:ascii="Verdana" w:hAnsi="Verdana" w:cs="Verdana"/>
                <w:sz w:val="20"/>
                <w:szCs w:val="20"/>
                <w:lang w:eastAsia="bg-BG"/>
              </w:rPr>
              <w:t>"Овергаз Инженеринг" АД</w:t>
            </w:r>
          </w:p>
        </w:tc>
        <w:tc>
          <w:tcPr>
            <w:tcW w:w="1686" w:type="dxa"/>
            <w:shd w:val="clear" w:color="000000" w:fill="FFFFFF"/>
            <w:noWrap/>
            <w:vAlign w:val="center"/>
          </w:tcPr>
          <w:p w:rsidR="005033B7" w:rsidRPr="000E54EB" w:rsidRDefault="00D3689E" w:rsidP="00CE6D02">
            <w:pPr>
              <w:jc w:val="center"/>
              <w:rPr>
                <w:rFonts w:ascii="Verdana" w:hAnsi="Verdana" w:cs="Verdana"/>
                <w:sz w:val="20"/>
                <w:szCs w:val="20"/>
                <w:lang w:eastAsia="bg-BG"/>
              </w:rPr>
            </w:pPr>
            <w:r>
              <w:rPr>
                <w:rFonts w:ascii="Verdana" w:hAnsi="Verdana" w:cs="Verdana"/>
                <w:sz w:val="20"/>
                <w:szCs w:val="20"/>
                <w:lang w:eastAsia="bg-BG"/>
              </w:rPr>
              <w:t>85</w:t>
            </w:r>
          </w:p>
        </w:tc>
        <w:tc>
          <w:tcPr>
            <w:tcW w:w="1253" w:type="dxa"/>
            <w:shd w:val="clear" w:color="000000" w:fill="FFFFFF"/>
            <w:noWrap/>
            <w:vAlign w:val="center"/>
          </w:tcPr>
          <w:p w:rsidR="005033B7" w:rsidRPr="000E54EB" w:rsidRDefault="005033B7" w:rsidP="00CE6D02">
            <w:pPr>
              <w:jc w:val="center"/>
              <w:rPr>
                <w:rFonts w:ascii="Verdana" w:hAnsi="Verdana" w:cs="Verdana"/>
                <w:b/>
                <w:bCs/>
                <w:sz w:val="20"/>
                <w:szCs w:val="20"/>
                <w:lang w:eastAsia="bg-BG"/>
              </w:rPr>
            </w:pPr>
          </w:p>
        </w:tc>
        <w:tc>
          <w:tcPr>
            <w:tcW w:w="1888" w:type="dxa"/>
            <w:shd w:val="clear" w:color="000000" w:fill="FFFFFF"/>
            <w:noWrap/>
            <w:vAlign w:val="center"/>
          </w:tcPr>
          <w:p w:rsidR="005033B7" w:rsidRPr="000E54EB" w:rsidRDefault="005033B7" w:rsidP="00A77C33">
            <w:pPr>
              <w:jc w:val="center"/>
              <w:rPr>
                <w:rFonts w:ascii="Verdana" w:hAnsi="Verdana" w:cs="Verdana"/>
                <w:sz w:val="20"/>
                <w:szCs w:val="20"/>
                <w:lang w:eastAsia="bg-BG"/>
              </w:rPr>
            </w:pPr>
            <w:r>
              <w:rPr>
                <w:rFonts w:ascii="Verdana" w:hAnsi="Verdana" w:cs="Verdana"/>
                <w:sz w:val="20"/>
                <w:szCs w:val="20"/>
                <w:lang w:eastAsia="bg-BG"/>
              </w:rPr>
              <w:t>164</w:t>
            </w:r>
          </w:p>
        </w:tc>
        <w:tc>
          <w:tcPr>
            <w:tcW w:w="1253" w:type="dxa"/>
            <w:shd w:val="clear" w:color="000000" w:fill="FFFFFF"/>
            <w:noWrap/>
            <w:vAlign w:val="center"/>
          </w:tcPr>
          <w:p w:rsidR="005033B7" w:rsidRPr="000E54EB" w:rsidRDefault="005033B7" w:rsidP="00CE6D02">
            <w:pPr>
              <w:jc w:val="center"/>
              <w:rPr>
                <w:rFonts w:ascii="Verdana" w:hAnsi="Verdana" w:cs="Verdana"/>
                <w:b/>
                <w:bCs/>
                <w:sz w:val="20"/>
                <w:szCs w:val="20"/>
                <w:lang w:eastAsia="bg-BG"/>
              </w:rPr>
            </w:pPr>
          </w:p>
        </w:tc>
      </w:tr>
      <w:tr w:rsidR="004040AA" w:rsidRPr="000E54EB">
        <w:trPr>
          <w:trHeight w:val="315"/>
        </w:trPr>
        <w:tc>
          <w:tcPr>
            <w:tcW w:w="3484" w:type="dxa"/>
            <w:shd w:val="clear" w:color="000000" w:fill="FFFFFF"/>
            <w:noWrap/>
            <w:vAlign w:val="center"/>
          </w:tcPr>
          <w:p w:rsidR="004040AA" w:rsidRPr="000E54EB" w:rsidRDefault="004040AA" w:rsidP="00A77C33">
            <w:pPr>
              <w:jc w:val="left"/>
              <w:rPr>
                <w:rFonts w:ascii="Verdana" w:hAnsi="Verdana" w:cs="Verdana"/>
                <w:sz w:val="20"/>
                <w:szCs w:val="20"/>
                <w:lang w:eastAsia="bg-BG"/>
              </w:rPr>
            </w:pPr>
            <w:r>
              <w:rPr>
                <w:rFonts w:ascii="Verdana" w:hAnsi="Verdana" w:cs="Verdana"/>
                <w:sz w:val="20"/>
                <w:szCs w:val="20"/>
                <w:lang w:eastAsia="bg-BG"/>
              </w:rPr>
              <w:t>"Вестител БГ</w:t>
            </w:r>
            <w:r w:rsidRPr="000E54EB">
              <w:rPr>
                <w:rFonts w:ascii="Verdana" w:hAnsi="Verdana" w:cs="Verdana"/>
                <w:sz w:val="20"/>
                <w:szCs w:val="20"/>
                <w:lang w:eastAsia="bg-BG"/>
              </w:rPr>
              <w:t>" АД</w:t>
            </w:r>
          </w:p>
        </w:tc>
        <w:tc>
          <w:tcPr>
            <w:tcW w:w="1686" w:type="dxa"/>
            <w:shd w:val="clear" w:color="000000" w:fill="FFFFFF"/>
            <w:noWrap/>
            <w:vAlign w:val="center"/>
          </w:tcPr>
          <w:p w:rsidR="004040AA" w:rsidRPr="000E54EB" w:rsidRDefault="00D3689E" w:rsidP="00CE6D02">
            <w:pPr>
              <w:jc w:val="center"/>
              <w:rPr>
                <w:rFonts w:ascii="Verdana" w:hAnsi="Verdana" w:cs="Verdana"/>
                <w:sz w:val="20"/>
                <w:szCs w:val="20"/>
                <w:lang w:eastAsia="bg-BG"/>
              </w:rPr>
            </w:pPr>
            <w:r>
              <w:rPr>
                <w:rFonts w:ascii="Verdana" w:hAnsi="Verdana" w:cs="Verdana"/>
                <w:sz w:val="20"/>
                <w:szCs w:val="20"/>
                <w:lang w:eastAsia="bg-BG"/>
              </w:rPr>
              <w:t>-</w:t>
            </w:r>
          </w:p>
        </w:tc>
        <w:tc>
          <w:tcPr>
            <w:tcW w:w="1253" w:type="dxa"/>
            <w:shd w:val="clear" w:color="000000" w:fill="FFFFFF"/>
            <w:noWrap/>
            <w:vAlign w:val="center"/>
          </w:tcPr>
          <w:p w:rsidR="004040AA" w:rsidRPr="000E54EB" w:rsidRDefault="004040AA" w:rsidP="00CE6D02">
            <w:pPr>
              <w:jc w:val="center"/>
              <w:rPr>
                <w:rFonts w:ascii="Verdana" w:hAnsi="Verdana" w:cs="Verdana"/>
                <w:b/>
                <w:bCs/>
                <w:sz w:val="20"/>
                <w:szCs w:val="20"/>
                <w:lang w:eastAsia="bg-BG"/>
              </w:rPr>
            </w:pPr>
          </w:p>
        </w:tc>
        <w:tc>
          <w:tcPr>
            <w:tcW w:w="1888" w:type="dxa"/>
            <w:shd w:val="clear" w:color="000000" w:fill="FFFFFF"/>
            <w:noWrap/>
            <w:vAlign w:val="center"/>
          </w:tcPr>
          <w:p w:rsidR="004040AA" w:rsidRDefault="004040AA" w:rsidP="00A77C33">
            <w:pPr>
              <w:jc w:val="center"/>
              <w:rPr>
                <w:rFonts w:ascii="Verdana" w:hAnsi="Verdana" w:cs="Verdana"/>
                <w:sz w:val="20"/>
                <w:szCs w:val="20"/>
                <w:lang w:eastAsia="bg-BG"/>
              </w:rPr>
            </w:pPr>
            <w:r>
              <w:rPr>
                <w:rFonts w:ascii="Verdana" w:hAnsi="Verdana" w:cs="Verdana"/>
                <w:sz w:val="20"/>
                <w:szCs w:val="20"/>
                <w:lang w:eastAsia="bg-BG"/>
              </w:rPr>
              <w:t>1</w:t>
            </w:r>
          </w:p>
        </w:tc>
        <w:tc>
          <w:tcPr>
            <w:tcW w:w="1253" w:type="dxa"/>
            <w:shd w:val="clear" w:color="000000" w:fill="FFFFFF"/>
            <w:noWrap/>
            <w:vAlign w:val="center"/>
          </w:tcPr>
          <w:p w:rsidR="004040AA" w:rsidRPr="000E54EB" w:rsidRDefault="004040AA" w:rsidP="00CE6D02">
            <w:pPr>
              <w:jc w:val="center"/>
              <w:rPr>
                <w:rFonts w:ascii="Verdana" w:hAnsi="Verdana" w:cs="Verdana"/>
                <w:b/>
                <w:bCs/>
                <w:sz w:val="20"/>
                <w:szCs w:val="20"/>
                <w:lang w:eastAsia="bg-BG"/>
              </w:rPr>
            </w:pPr>
          </w:p>
        </w:tc>
      </w:tr>
      <w:tr w:rsidR="005033B7" w:rsidRPr="000E54EB">
        <w:trPr>
          <w:trHeight w:val="315"/>
        </w:trPr>
        <w:tc>
          <w:tcPr>
            <w:tcW w:w="3484" w:type="dxa"/>
            <w:shd w:val="clear" w:color="000000" w:fill="FFFFFF"/>
            <w:noWrap/>
            <w:vAlign w:val="center"/>
          </w:tcPr>
          <w:p w:rsidR="005033B7" w:rsidRPr="000E54EB" w:rsidRDefault="005033B7" w:rsidP="00CE6D02">
            <w:pPr>
              <w:jc w:val="left"/>
              <w:rPr>
                <w:rFonts w:ascii="Verdana" w:hAnsi="Verdana" w:cs="Verdana"/>
                <w:sz w:val="20"/>
                <w:szCs w:val="20"/>
                <w:lang w:eastAsia="bg-BG"/>
              </w:rPr>
            </w:pPr>
            <w:r w:rsidRPr="000E54EB">
              <w:rPr>
                <w:rFonts w:ascii="Verdana" w:hAnsi="Verdana" w:cs="Verdana"/>
                <w:sz w:val="20"/>
                <w:szCs w:val="20"/>
                <w:lang w:eastAsia="bg-BG"/>
              </w:rPr>
              <w:t>Ивайло Чавдаров</w:t>
            </w:r>
          </w:p>
        </w:tc>
        <w:tc>
          <w:tcPr>
            <w:tcW w:w="1686" w:type="dxa"/>
            <w:shd w:val="clear" w:color="000000" w:fill="FFFFFF"/>
            <w:noWrap/>
            <w:vAlign w:val="center"/>
          </w:tcPr>
          <w:p w:rsidR="005033B7" w:rsidRPr="000E54EB" w:rsidRDefault="00D3689E" w:rsidP="00CE6D02">
            <w:pPr>
              <w:jc w:val="center"/>
              <w:rPr>
                <w:rFonts w:ascii="Verdana" w:hAnsi="Verdana" w:cs="Verdana"/>
                <w:sz w:val="20"/>
                <w:szCs w:val="20"/>
                <w:lang w:eastAsia="bg-BG"/>
              </w:rPr>
            </w:pPr>
            <w:r>
              <w:rPr>
                <w:rFonts w:ascii="Verdana" w:hAnsi="Verdana" w:cs="Verdana"/>
                <w:sz w:val="20"/>
                <w:szCs w:val="20"/>
                <w:lang w:eastAsia="bg-BG"/>
              </w:rPr>
              <w:t>2</w:t>
            </w:r>
          </w:p>
        </w:tc>
        <w:tc>
          <w:tcPr>
            <w:tcW w:w="1253" w:type="dxa"/>
            <w:shd w:val="clear" w:color="000000" w:fill="FFFFFF"/>
            <w:noWrap/>
            <w:vAlign w:val="center"/>
          </w:tcPr>
          <w:p w:rsidR="005033B7" w:rsidRPr="000E54EB" w:rsidRDefault="005033B7" w:rsidP="00CE6D02">
            <w:pPr>
              <w:jc w:val="center"/>
              <w:rPr>
                <w:rFonts w:ascii="Verdana" w:hAnsi="Verdana" w:cs="Verdana"/>
                <w:b/>
                <w:bCs/>
                <w:sz w:val="20"/>
                <w:szCs w:val="20"/>
                <w:lang w:eastAsia="bg-BG"/>
              </w:rPr>
            </w:pPr>
          </w:p>
        </w:tc>
        <w:tc>
          <w:tcPr>
            <w:tcW w:w="1888" w:type="dxa"/>
            <w:shd w:val="clear" w:color="000000" w:fill="FFFFFF"/>
            <w:noWrap/>
            <w:vAlign w:val="center"/>
          </w:tcPr>
          <w:p w:rsidR="005033B7" w:rsidRPr="000E54EB" w:rsidRDefault="005033B7" w:rsidP="00A77C33">
            <w:pPr>
              <w:jc w:val="center"/>
              <w:rPr>
                <w:rFonts w:ascii="Verdana" w:hAnsi="Verdana" w:cs="Verdana"/>
                <w:sz w:val="20"/>
                <w:szCs w:val="20"/>
                <w:lang w:eastAsia="bg-BG"/>
              </w:rPr>
            </w:pPr>
            <w:r>
              <w:rPr>
                <w:rFonts w:ascii="Verdana" w:hAnsi="Verdana" w:cs="Verdana"/>
                <w:sz w:val="20"/>
                <w:szCs w:val="20"/>
                <w:lang w:eastAsia="bg-BG"/>
              </w:rPr>
              <w:t>2</w:t>
            </w:r>
          </w:p>
        </w:tc>
        <w:tc>
          <w:tcPr>
            <w:tcW w:w="1253" w:type="dxa"/>
            <w:shd w:val="clear" w:color="000000" w:fill="FFFFFF"/>
            <w:noWrap/>
            <w:vAlign w:val="center"/>
          </w:tcPr>
          <w:p w:rsidR="005033B7" w:rsidRPr="000E54EB" w:rsidRDefault="005033B7" w:rsidP="00CE6D02">
            <w:pPr>
              <w:jc w:val="center"/>
              <w:rPr>
                <w:rFonts w:ascii="Verdana" w:hAnsi="Verdana" w:cs="Verdana"/>
                <w:b/>
                <w:bCs/>
                <w:sz w:val="20"/>
                <w:szCs w:val="20"/>
                <w:lang w:eastAsia="bg-BG"/>
              </w:rPr>
            </w:pPr>
          </w:p>
        </w:tc>
      </w:tr>
      <w:tr w:rsidR="005033B7" w:rsidRPr="000E54EB">
        <w:trPr>
          <w:trHeight w:val="300"/>
        </w:trPr>
        <w:tc>
          <w:tcPr>
            <w:tcW w:w="3484" w:type="dxa"/>
            <w:shd w:val="clear" w:color="000000" w:fill="C5D9F1"/>
            <w:noWrap/>
            <w:vAlign w:val="center"/>
          </w:tcPr>
          <w:p w:rsidR="005033B7" w:rsidRPr="000E54EB" w:rsidRDefault="005033B7" w:rsidP="00CE6D02">
            <w:pPr>
              <w:jc w:val="center"/>
              <w:rPr>
                <w:rFonts w:ascii="Verdana" w:hAnsi="Verdana" w:cs="Verdana"/>
                <w:b/>
                <w:bCs/>
                <w:sz w:val="20"/>
                <w:szCs w:val="20"/>
                <w:lang w:eastAsia="bg-BG"/>
              </w:rPr>
            </w:pPr>
            <w:r w:rsidRPr="000E54EB">
              <w:rPr>
                <w:rFonts w:ascii="Verdana" w:hAnsi="Verdana" w:cs="Verdana"/>
                <w:b/>
                <w:bCs/>
                <w:sz w:val="20"/>
                <w:szCs w:val="20"/>
                <w:lang w:eastAsia="bg-BG"/>
              </w:rPr>
              <w:t> </w:t>
            </w:r>
          </w:p>
        </w:tc>
        <w:tc>
          <w:tcPr>
            <w:tcW w:w="1686" w:type="dxa"/>
            <w:shd w:val="clear" w:color="000000" w:fill="C5D9F1"/>
            <w:noWrap/>
            <w:vAlign w:val="center"/>
          </w:tcPr>
          <w:p w:rsidR="005033B7" w:rsidRPr="000E54EB" w:rsidRDefault="005033B7" w:rsidP="006E76CB">
            <w:pPr>
              <w:jc w:val="center"/>
              <w:rPr>
                <w:rFonts w:ascii="Verdana" w:hAnsi="Verdana" w:cs="Verdana"/>
                <w:b/>
                <w:bCs/>
                <w:sz w:val="20"/>
                <w:szCs w:val="20"/>
                <w:lang w:eastAsia="bg-BG"/>
              </w:rPr>
            </w:pPr>
            <w:r>
              <w:rPr>
                <w:rFonts w:ascii="Verdana" w:hAnsi="Verdana" w:cs="Verdana"/>
                <w:b/>
                <w:bCs/>
                <w:sz w:val="20"/>
                <w:szCs w:val="20"/>
                <w:lang w:eastAsia="bg-BG"/>
              </w:rPr>
              <w:t xml:space="preserve">1 </w:t>
            </w:r>
            <w:r w:rsidR="00D3689E">
              <w:rPr>
                <w:rFonts w:ascii="Verdana" w:hAnsi="Verdana" w:cs="Verdana"/>
                <w:b/>
                <w:bCs/>
                <w:sz w:val="20"/>
                <w:szCs w:val="20"/>
                <w:lang w:eastAsia="bg-BG"/>
              </w:rPr>
              <w:t>189</w:t>
            </w:r>
          </w:p>
        </w:tc>
        <w:tc>
          <w:tcPr>
            <w:tcW w:w="1253" w:type="dxa"/>
            <w:shd w:val="clear" w:color="000000" w:fill="C5D9F1"/>
            <w:noWrap/>
            <w:vAlign w:val="center"/>
          </w:tcPr>
          <w:p w:rsidR="005033B7" w:rsidRPr="000E54EB" w:rsidRDefault="005033B7" w:rsidP="00CE6D02">
            <w:pPr>
              <w:jc w:val="center"/>
              <w:rPr>
                <w:rFonts w:ascii="Verdana" w:hAnsi="Verdana" w:cs="Verdana"/>
                <w:b/>
                <w:bCs/>
                <w:sz w:val="20"/>
                <w:szCs w:val="20"/>
                <w:lang w:eastAsia="bg-BG"/>
              </w:rPr>
            </w:pPr>
          </w:p>
        </w:tc>
        <w:tc>
          <w:tcPr>
            <w:tcW w:w="1888" w:type="dxa"/>
            <w:shd w:val="clear" w:color="000000" w:fill="C5D9F1"/>
            <w:noWrap/>
            <w:vAlign w:val="center"/>
          </w:tcPr>
          <w:p w:rsidR="005033B7" w:rsidRPr="000E54EB" w:rsidRDefault="005033B7" w:rsidP="00A77C33">
            <w:pPr>
              <w:jc w:val="center"/>
              <w:rPr>
                <w:rFonts w:ascii="Verdana" w:hAnsi="Verdana" w:cs="Verdana"/>
                <w:b/>
                <w:bCs/>
                <w:sz w:val="20"/>
                <w:szCs w:val="20"/>
                <w:lang w:eastAsia="bg-BG"/>
              </w:rPr>
            </w:pPr>
            <w:r>
              <w:rPr>
                <w:rFonts w:ascii="Verdana" w:hAnsi="Verdana" w:cs="Verdana"/>
                <w:b/>
                <w:bCs/>
                <w:sz w:val="20"/>
                <w:szCs w:val="20"/>
                <w:lang w:eastAsia="bg-BG"/>
              </w:rPr>
              <w:t>1 41</w:t>
            </w:r>
            <w:r w:rsidR="001F36EB">
              <w:rPr>
                <w:rFonts w:ascii="Verdana" w:hAnsi="Verdana" w:cs="Verdana"/>
                <w:b/>
                <w:bCs/>
                <w:sz w:val="20"/>
                <w:szCs w:val="20"/>
                <w:lang w:eastAsia="bg-BG"/>
              </w:rPr>
              <w:t>4</w:t>
            </w:r>
          </w:p>
        </w:tc>
        <w:tc>
          <w:tcPr>
            <w:tcW w:w="1253" w:type="dxa"/>
            <w:shd w:val="clear" w:color="000000" w:fill="C5D9F1"/>
            <w:noWrap/>
            <w:vAlign w:val="center"/>
          </w:tcPr>
          <w:p w:rsidR="005033B7" w:rsidRPr="000E54EB" w:rsidRDefault="005033B7" w:rsidP="00CE6D02">
            <w:pPr>
              <w:jc w:val="center"/>
              <w:rPr>
                <w:rFonts w:ascii="Verdana" w:hAnsi="Verdana" w:cs="Verdana"/>
                <w:b/>
                <w:bCs/>
                <w:sz w:val="20"/>
                <w:szCs w:val="20"/>
                <w:lang w:eastAsia="bg-BG"/>
              </w:rPr>
            </w:pPr>
          </w:p>
        </w:tc>
      </w:tr>
    </w:tbl>
    <w:p w:rsidR="00863C99" w:rsidRDefault="00863C99" w:rsidP="00B66DF8">
      <w:pPr>
        <w:rPr>
          <w:rFonts w:ascii="Verdana" w:hAnsi="Verdana" w:cs="Verdana"/>
          <w:sz w:val="20"/>
          <w:szCs w:val="20"/>
        </w:rPr>
      </w:pPr>
    </w:p>
    <w:p w:rsidR="00863C99" w:rsidRPr="000E54EB" w:rsidRDefault="00863C99" w:rsidP="00B66DF8">
      <w:pPr>
        <w:rPr>
          <w:rFonts w:ascii="Verdana" w:hAnsi="Verdana" w:cs="Verdana"/>
          <w:sz w:val="20"/>
          <w:szCs w:val="20"/>
        </w:rPr>
      </w:pPr>
    </w:p>
    <w:tbl>
      <w:tblPr>
        <w:tblW w:w="9545" w:type="dxa"/>
        <w:tblInd w:w="-68" w:type="dxa"/>
        <w:tblLayout w:type="fixed"/>
        <w:tblCellMar>
          <w:left w:w="70" w:type="dxa"/>
          <w:right w:w="70" w:type="dxa"/>
        </w:tblCellMar>
        <w:tblLook w:val="00A0" w:firstRow="1" w:lastRow="0" w:firstColumn="1" w:lastColumn="0" w:noHBand="0" w:noVBand="0"/>
      </w:tblPr>
      <w:tblGrid>
        <w:gridCol w:w="3603"/>
        <w:gridCol w:w="1538"/>
        <w:gridCol w:w="830"/>
        <w:gridCol w:w="413"/>
        <w:gridCol w:w="11"/>
        <w:gridCol w:w="965"/>
        <w:gridCol w:w="655"/>
        <w:gridCol w:w="1530"/>
      </w:tblGrid>
      <w:tr w:rsidR="00863C99" w:rsidRPr="000E54EB">
        <w:trPr>
          <w:trHeight w:val="375"/>
        </w:trPr>
        <w:tc>
          <w:tcPr>
            <w:tcW w:w="9545" w:type="dxa"/>
            <w:gridSpan w:val="8"/>
            <w:tcBorders>
              <w:top w:val="single" w:sz="4" w:space="0" w:color="auto"/>
              <w:left w:val="single" w:sz="4" w:space="0" w:color="auto"/>
              <w:bottom w:val="single" w:sz="4" w:space="0" w:color="auto"/>
              <w:right w:val="single" w:sz="4" w:space="0" w:color="000000"/>
            </w:tcBorders>
            <w:shd w:val="clear" w:color="000000" w:fill="FFFFFF"/>
            <w:vAlign w:val="center"/>
          </w:tcPr>
          <w:p w:rsidR="00863C99" w:rsidRPr="000E54EB" w:rsidRDefault="00863C99" w:rsidP="00CE6D02">
            <w:pPr>
              <w:jc w:val="left"/>
              <w:rPr>
                <w:rFonts w:ascii="Verdana" w:hAnsi="Verdana" w:cs="Verdana"/>
                <w:b/>
                <w:bCs/>
                <w:sz w:val="20"/>
                <w:szCs w:val="20"/>
                <w:lang w:eastAsia="bg-BG"/>
              </w:rPr>
            </w:pPr>
            <w:r w:rsidRPr="000E54EB">
              <w:rPr>
                <w:rFonts w:ascii="Verdana" w:hAnsi="Verdana" w:cs="Verdana"/>
                <w:b/>
                <w:bCs/>
                <w:sz w:val="20"/>
                <w:szCs w:val="20"/>
                <w:lang w:eastAsia="bg-BG"/>
              </w:rPr>
              <w:t>Задължения по кредити и заеми към свързани лица в групата, в т.ч.:</w:t>
            </w:r>
          </w:p>
        </w:tc>
      </w:tr>
      <w:tr w:rsidR="00863C99" w:rsidRPr="000E54EB">
        <w:trPr>
          <w:trHeight w:val="300"/>
        </w:trPr>
        <w:tc>
          <w:tcPr>
            <w:tcW w:w="36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3C99" w:rsidRPr="000E54EB" w:rsidRDefault="00863C99" w:rsidP="00CE6D02">
            <w:pPr>
              <w:jc w:val="left"/>
              <w:rPr>
                <w:rFonts w:ascii="Verdana" w:hAnsi="Verdana" w:cs="Verdana"/>
                <w:b/>
                <w:bCs/>
                <w:sz w:val="20"/>
                <w:szCs w:val="20"/>
                <w:lang w:eastAsia="bg-BG"/>
              </w:rPr>
            </w:pPr>
            <w:r w:rsidRPr="000E54EB">
              <w:rPr>
                <w:rFonts w:ascii="Verdana" w:hAnsi="Verdana" w:cs="Verdana"/>
                <w:b/>
                <w:bCs/>
                <w:sz w:val="20"/>
                <w:szCs w:val="20"/>
                <w:lang w:eastAsia="bg-BG"/>
              </w:rPr>
              <w:t>Свързано лице</w:t>
            </w:r>
          </w:p>
        </w:tc>
        <w:tc>
          <w:tcPr>
            <w:tcW w:w="2781" w:type="dxa"/>
            <w:gridSpan w:val="3"/>
            <w:tcBorders>
              <w:top w:val="single" w:sz="4" w:space="0" w:color="auto"/>
              <w:left w:val="single" w:sz="4" w:space="0" w:color="auto"/>
              <w:bottom w:val="single" w:sz="4" w:space="0" w:color="auto"/>
              <w:right w:val="nil"/>
            </w:tcBorders>
            <w:shd w:val="clear" w:color="000000" w:fill="FFFFFF"/>
            <w:noWrap/>
            <w:vAlign w:val="center"/>
          </w:tcPr>
          <w:p w:rsidR="00863C99" w:rsidRPr="000E54EB" w:rsidRDefault="00863C99" w:rsidP="00CE6D02">
            <w:pPr>
              <w:jc w:val="center"/>
              <w:rPr>
                <w:rFonts w:ascii="Verdana" w:hAnsi="Verdana" w:cs="Verdana"/>
                <w:b/>
                <w:bCs/>
                <w:sz w:val="20"/>
                <w:szCs w:val="20"/>
                <w:lang w:eastAsia="bg-BG"/>
              </w:rPr>
            </w:pPr>
            <w:r w:rsidRPr="000E54EB">
              <w:rPr>
                <w:rFonts w:ascii="Verdana" w:hAnsi="Verdana" w:cs="Verdana"/>
                <w:b/>
                <w:bCs/>
                <w:sz w:val="20"/>
                <w:szCs w:val="20"/>
                <w:lang w:eastAsia="bg-BG"/>
              </w:rPr>
              <w:t>Вид на актива</w:t>
            </w:r>
          </w:p>
        </w:tc>
        <w:tc>
          <w:tcPr>
            <w:tcW w:w="1631" w:type="dxa"/>
            <w:gridSpan w:val="3"/>
            <w:tcBorders>
              <w:top w:val="nil"/>
              <w:left w:val="single" w:sz="4" w:space="0" w:color="auto"/>
              <w:bottom w:val="single" w:sz="4" w:space="0" w:color="auto"/>
              <w:right w:val="nil"/>
            </w:tcBorders>
            <w:noWrap/>
            <w:vAlign w:val="center"/>
          </w:tcPr>
          <w:p w:rsidR="00863C99" w:rsidRPr="000E54EB" w:rsidRDefault="005033B7" w:rsidP="00CE6D02">
            <w:pPr>
              <w:jc w:val="center"/>
              <w:rPr>
                <w:rFonts w:ascii="Verdana" w:hAnsi="Verdana" w:cs="Verdana"/>
                <w:b/>
                <w:bCs/>
                <w:sz w:val="20"/>
                <w:szCs w:val="20"/>
                <w:lang w:eastAsia="bg-BG"/>
              </w:rPr>
            </w:pPr>
            <w:r>
              <w:rPr>
                <w:rFonts w:ascii="Verdana" w:hAnsi="Verdana" w:cs="Verdana"/>
                <w:b/>
                <w:bCs/>
                <w:sz w:val="20"/>
                <w:szCs w:val="20"/>
                <w:lang w:eastAsia="bg-BG"/>
              </w:rPr>
              <w:t>2020</w:t>
            </w:r>
            <w:r w:rsidR="00863C99" w:rsidRPr="000E54EB">
              <w:rPr>
                <w:rFonts w:ascii="Verdana" w:hAnsi="Verdana" w:cs="Verdana"/>
                <w:b/>
                <w:bCs/>
                <w:sz w:val="20"/>
                <w:szCs w:val="20"/>
                <w:lang w:eastAsia="bg-BG"/>
              </w:rPr>
              <w:t xml:space="preserve"> г.</w:t>
            </w:r>
          </w:p>
        </w:tc>
        <w:tc>
          <w:tcPr>
            <w:tcW w:w="1530" w:type="dxa"/>
            <w:tcBorders>
              <w:top w:val="nil"/>
              <w:left w:val="single" w:sz="4" w:space="0" w:color="auto"/>
              <w:bottom w:val="single" w:sz="4" w:space="0" w:color="auto"/>
              <w:right w:val="single" w:sz="4" w:space="0" w:color="auto"/>
            </w:tcBorders>
            <w:noWrap/>
            <w:vAlign w:val="center"/>
          </w:tcPr>
          <w:p w:rsidR="00863C99" w:rsidRPr="000E54EB" w:rsidRDefault="005033B7" w:rsidP="001F704A">
            <w:pPr>
              <w:jc w:val="center"/>
              <w:rPr>
                <w:rFonts w:ascii="Verdana" w:hAnsi="Verdana" w:cs="Verdana"/>
                <w:b/>
                <w:bCs/>
                <w:sz w:val="20"/>
                <w:szCs w:val="20"/>
                <w:lang w:eastAsia="bg-BG"/>
              </w:rPr>
            </w:pPr>
            <w:r>
              <w:rPr>
                <w:rFonts w:ascii="Verdana" w:hAnsi="Verdana" w:cs="Verdana"/>
                <w:b/>
                <w:bCs/>
                <w:sz w:val="20"/>
                <w:szCs w:val="20"/>
                <w:lang w:eastAsia="bg-BG"/>
              </w:rPr>
              <w:t>2019</w:t>
            </w:r>
            <w:r w:rsidR="00863C99" w:rsidRPr="000E54EB">
              <w:rPr>
                <w:rFonts w:ascii="Verdana" w:hAnsi="Verdana" w:cs="Verdana"/>
                <w:b/>
                <w:bCs/>
                <w:sz w:val="20"/>
                <w:szCs w:val="20"/>
                <w:lang w:eastAsia="bg-BG"/>
              </w:rPr>
              <w:t xml:space="preserve"> г.</w:t>
            </w:r>
          </w:p>
        </w:tc>
      </w:tr>
      <w:tr w:rsidR="00863C99" w:rsidRPr="000E54EB">
        <w:trPr>
          <w:trHeight w:val="900"/>
        </w:trPr>
        <w:tc>
          <w:tcPr>
            <w:tcW w:w="3603" w:type="dxa"/>
            <w:tcBorders>
              <w:top w:val="nil"/>
              <w:left w:val="single" w:sz="4" w:space="0" w:color="auto"/>
              <w:bottom w:val="single" w:sz="4" w:space="0" w:color="auto"/>
              <w:right w:val="nil"/>
            </w:tcBorders>
            <w:shd w:val="clear" w:color="000000" w:fill="FFFFFF"/>
            <w:vAlign w:val="center"/>
          </w:tcPr>
          <w:p w:rsidR="00863C99" w:rsidRPr="000E54EB" w:rsidRDefault="00863C99" w:rsidP="00CE6D02">
            <w:pPr>
              <w:jc w:val="left"/>
              <w:rPr>
                <w:rFonts w:ascii="Verdana" w:hAnsi="Verdana" w:cs="Verdana"/>
                <w:sz w:val="20"/>
                <w:szCs w:val="20"/>
                <w:lang w:eastAsia="bg-BG"/>
              </w:rPr>
            </w:pPr>
            <w:r>
              <w:rPr>
                <w:rFonts w:ascii="Verdana" w:hAnsi="Verdana" w:cs="Verdana"/>
                <w:sz w:val="20"/>
                <w:szCs w:val="20"/>
                <w:lang w:eastAsia="bg-BG"/>
              </w:rPr>
              <w:t>„Овергаз Холдинг” АД</w:t>
            </w:r>
          </w:p>
        </w:tc>
        <w:tc>
          <w:tcPr>
            <w:tcW w:w="2781" w:type="dxa"/>
            <w:gridSpan w:val="3"/>
            <w:tcBorders>
              <w:top w:val="nil"/>
              <w:left w:val="single" w:sz="4" w:space="0" w:color="auto"/>
              <w:bottom w:val="single" w:sz="4" w:space="0" w:color="auto"/>
              <w:right w:val="nil"/>
            </w:tcBorders>
            <w:shd w:val="clear" w:color="000000" w:fill="FFFFFF"/>
            <w:vAlign w:val="center"/>
          </w:tcPr>
          <w:p w:rsidR="00863C99" w:rsidRPr="000E54EB" w:rsidRDefault="00863C99" w:rsidP="00CE6D02">
            <w:pPr>
              <w:jc w:val="left"/>
              <w:rPr>
                <w:rFonts w:ascii="Verdana" w:hAnsi="Verdana" w:cs="Verdana"/>
                <w:sz w:val="20"/>
                <w:szCs w:val="20"/>
                <w:lang w:eastAsia="bg-BG"/>
              </w:rPr>
            </w:pPr>
            <w:r w:rsidRPr="000E54EB">
              <w:rPr>
                <w:rFonts w:ascii="Verdana" w:hAnsi="Verdana" w:cs="Verdana"/>
                <w:sz w:val="20"/>
                <w:szCs w:val="20"/>
                <w:lang w:eastAsia="bg-BG"/>
              </w:rPr>
              <w:t>Задължения за главници по кредити и заеми към свързани лица в групата</w:t>
            </w:r>
          </w:p>
        </w:tc>
        <w:tc>
          <w:tcPr>
            <w:tcW w:w="1631" w:type="dxa"/>
            <w:gridSpan w:val="3"/>
            <w:tcBorders>
              <w:top w:val="nil"/>
              <w:left w:val="single" w:sz="4" w:space="0" w:color="auto"/>
              <w:bottom w:val="single" w:sz="4" w:space="0" w:color="auto"/>
              <w:right w:val="nil"/>
            </w:tcBorders>
            <w:shd w:val="clear" w:color="000000" w:fill="FFFFFF"/>
            <w:noWrap/>
            <w:vAlign w:val="center"/>
          </w:tcPr>
          <w:p w:rsidR="00863C99" w:rsidRDefault="005033B7" w:rsidP="00CE6D02">
            <w:pPr>
              <w:jc w:val="center"/>
              <w:rPr>
                <w:rFonts w:ascii="Verdana" w:hAnsi="Verdana" w:cs="Verdana"/>
                <w:sz w:val="20"/>
                <w:szCs w:val="20"/>
                <w:lang w:eastAsia="bg-BG"/>
              </w:rPr>
            </w:pPr>
            <w:r>
              <w:rPr>
                <w:rFonts w:ascii="Verdana" w:hAnsi="Verdana" w:cs="Verdana"/>
                <w:sz w:val="20"/>
                <w:szCs w:val="20"/>
                <w:lang w:eastAsia="bg-BG"/>
              </w:rPr>
              <w:t>460</w:t>
            </w:r>
          </w:p>
        </w:tc>
        <w:tc>
          <w:tcPr>
            <w:tcW w:w="1530" w:type="dxa"/>
            <w:tcBorders>
              <w:top w:val="nil"/>
              <w:left w:val="single" w:sz="4" w:space="0" w:color="auto"/>
              <w:bottom w:val="single" w:sz="4" w:space="0" w:color="auto"/>
              <w:right w:val="single" w:sz="4" w:space="0" w:color="auto"/>
            </w:tcBorders>
            <w:shd w:val="clear" w:color="000000" w:fill="FFFFFF"/>
            <w:noWrap/>
            <w:vAlign w:val="center"/>
          </w:tcPr>
          <w:p w:rsidR="00863C99" w:rsidRPr="000E54EB" w:rsidRDefault="005033B7" w:rsidP="001F704A">
            <w:pPr>
              <w:jc w:val="center"/>
              <w:rPr>
                <w:rFonts w:ascii="Verdana" w:hAnsi="Verdana" w:cs="Verdana"/>
                <w:sz w:val="20"/>
                <w:szCs w:val="20"/>
                <w:lang w:eastAsia="bg-BG"/>
              </w:rPr>
            </w:pPr>
            <w:r>
              <w:rPr>
                <w:rFonts w:ascii="Verdana" w:hAnsi="Verdana" w:cs="Verdana"/>
                <w:sz w:val="20"/>
                <w:szCs w:val="20"/>
                <w:lang w:eastAsia="bg-BG"/>
              </w:rPr>
              <w:t>370</w:t>
            </w:r>
          </w:p>
        </w:tc>
      </w:tr>
      <w:tr w:rsidR="00863C99" w:rsidRPr="000E54EB">
        <w:trPr>
          <w:trHeight w:val="900"/>
        </w:trPr>
        <w:tc>
          <w:tcPr>
            <w:tcW w:w="3603" w:type="dxa"/>
            <w:tcBorders>
              <w:top w:val="nil"/>
              <w:left w:val="single" w:sz="4" w:space="0" w:color="auto"/>
              <w:bottom w:val="single" w:sz="4" w:space="0" w:color="auto"/>
              <w:right w:val="nil"/>
            </w:tcBorders>
            <w:shd w:val="clear" w:color="000000" w:fill="FFFFFF"/>
            <w:vAlign w:val="center"/>
          </w:tcPr>
          <w:p w:rsidR="00863C99" w:rsidRPr="000E54EB" w:rsidRDefault="00863C99" w:rsidP="00026B82">
            <w:pPr>
              <w:jc w:val="left"/>
              <w:rPr>
                <w:rFonts w:ascii="Verdana" w:hAnsi="Verdana" w:cs="Verdana"/>
                <w:sz w:val="20"/>
                <w:szCs w:val="20"/>
                <w:lang w:eastAsia="bg-BG"/>
              </w:rPr>
            </w:pPr>
            <w:r>
              <w:rPr>
                <w:rFonts w:ascii="Verdana" w:hAnsi="Verdana" w:cs="Verdana"/>
                <w:sz w:val="20"/>
                <w:szCs w:val="20"/>
                <w:lang w:eastAsia="bg-BG"/>
              </w:rPr>
              <w:t>„Овергаз Холдинг” АД</w:t>
            </w:r>
          </w:p>
        </w:tc>
        <w:tc>
          <w:tcPr>
            <w:tcW w:w="2781" w:type="dxa"/>
            <w:gridSpan w:val="3"/>
            <w:tcBorders>
              <w:top w:val="nil"/>
              <w:left w:val="single" w:sz="4" w:space="0" w:color="auto"/>
              <w:bottom w:val="single" w:sz="4" w:space="0" w:color="auto"/>
              <w:right w:val="nil"/>
            </w:tcBorders>
            <w:shd w:val="clear" w:color="000000" w:fill="FFFFFF"/>
            <w:vAlign w:val="center"/>
          </w:tcPr>
          <w:p w:rsidR="00863C99" w:rsidRPr="000E54EB" w:rsidRDefault="00863C99" w:rsidP="00CE6D02">
            <w:pPr>
              <w:jc w:val="left"/>
              <w:rPr>
                <w:rFonts w:ascii="Verdana" w:hAnsi="Verdana" w:cs="Verdana"/>
                <w:sz w:val="20"/>
                <w:szCs w:val="20"/>
                <w:lang w:eastAsia="bg-BG"/>
              </w:rPr>
            </w:pPr>
            <w:r w:rsidRPr="000E54EB">
              <w:rPr>
                <w:rFonts w:ascii="Verdana" w:hAnsi="Verdana" w:cs="Verdana"/>
                <w:sz w:val="20"/>
                <w:szCs w:val="20"/>
                <w:lang w:eastAsia="bg-BG"/>
              </w:rPr>
              <w:t>Задължения за лихви по кредити и заеми към свързани лица в групата</w:t>
            </w:r>
          </w:p>
        </w:tc>
        <w:tc>
          <w:tcPr>
            <w:tcW w:w="1631" w:type="dxa"/>
            <w:gridSpan w:val="3"/>
            <w:tcBorders>
              <w:top w:val="nil"/>
              <w:left w:val="single" w:sz="4" w:space="0" w:color="auto"/>
              <w:bottom w:val="single" w:sz="4" w:space="0" w:color="auto"/>
              <w:right w:val="nil"/>
            </w:tcBorders>
            <w:shd w:val="clear" w:color="000000" w:fill="FFFFFF"/>
            <w:noWrap/>
            <w:vAlign w:val="center"/>
          </w:tcPr>
          <w:p w:rsidR="00863C99" w:rsidRDefault="0050563E" w:rsidP="00CE6D02">
            <w:pPr>
              <w:jc w:val="center"/>
              <w:rPr>
                <w:rFonts w:ascii="Verdana" w:hAnsi="Verdana" w:cs="Verdana"/>
                <w:sz w:val="20"/>
                <w:szCs w:val="20"/>
                <w:lang w:eastAsia="bg-BG"/>
              </w:rPr>
            </w:pPr>
            <w:r>
              <w:rPr>
                <w:rFonts w:ascii="Verdana" w:hAnsi="Verdana" w:cs="Verdana"/>
                <w:sz w:val="20"/>
                <w:szCs w:val="20"/>
                <w:lang w:eastAsia="bg-BG"/>
              </w:rPr>
              <w:t>19</w:t>
            </w:r>
          </w:p>
        </w:tc>
        <w:tc>
          <w:tcPr>
            <w:tcW w:w="1530" w:type="dxa"/>
            <w:tcBorders>
              <w:top w:val="nil"/>
              <w:left w:val="single" w:sz="4" w:space="0" w:color="auto"/>
              <w:bottom w:val="single" w:sz="4" w:space="0" w:color="auto"/>
              <w:right w:val="single" w:sz="4" w:space="0" w:color="auto"/>
            </w:tcBorders>
            <w:shd w:val="clear" w:color="000000" w:fill="FFFFFF"/>
            <w:noWrap/>
            <w:vAlign w:val="center"/>
          </w:tcPr>
          <w:p w:rsidR="00863C99" w:rsidRDefault="005033B7" w:rsidP="001F704A">
            <w:pPr>
              <w:jc w:val="center"/>
              <w:rPr>
                <w:rFonts w:ascii="Verdana" w:hAnsi="Verdana" w:cs="Verdana"/>
                <w:sz w:val="20"/>
                <w:szCs w:val="20"/>
                <w:lang w:eastAsia="bg-BG"/>
              </w:rPr>
            </w:pPr>
            <w:r>
              <w:rPr>
                <w:rFonts w:ascii="Verdana" w:hAnsi="Verdana" w:cs="Verdana"/>
                <w:sz w:val="20"/>
                <w:szCs w:val="20"/>
                <w:lang w:eastAsia="bg-BG"/>
              </w:rPr>
              <w:t>3</w:t>
            </w:r>
          </w:p>
        </w:tc>
      </w:tr>
      <w:tr w:rsidR="00863C99" w:rsidRPr="000E54EB">
        <w:trPr>
          <w:trHeight w:val="300"/>
        </w:trPr>
        <w:tc>
          <w:tcPr>
            <w:tcW w:w="3603" w:type="dxa"/>
            <w:tcBorders>
              <w:top w:val="nil"/>
              <w:left w:val="single" w:sz="4" w:space="0" w:color="auto"/>
              <w:bottom w:val="single" w:sz="4" w:space="0" w:color="auto"/>
              <w:right w:val="nil"/>
            </w:tcBorders>
            <w:shd w:val="clear" w:color="000000" w:fill="C5D9F1"/>
            <w:noWrap/>
            <w:vAlign w:val="center"/>
          </w:tcPr>
          <w:p w:rsidR="00863C99" w:rsidRPr="000E54EB" w:rsidRDefault="00863C99" w:rsidP="00CE6D02">
            <w:pPr>
              <w:jc w:val="left"/>
              <w:rPr>
                <w:rFonts w:ascii="Verdana" w:hAnsi="Verdana" w:cs="Verdana"/>
                <w:b/>
                <w:bCs/>
                <w:sz w:val="20"/>
                <w:szCs w:val="20"/>
                <w:lang w:eastAsia="bg-BG"/>
              </w:rPr>
            </w:pPr>
            <w:r w:rsidRPr="000E54EB">
              <w:rPr>
                <w:rFonts w:ascii="Verdana" w:hAnsi="Verdana" w:cs="Verdana"/>
                <w:b/>
                <w:bCs/>
                <w:sz w:val="20"/>
                <w:szCs w:val="20"/>
                <w:lang w:eastAsia="bg-BG"/>
              </w:rPr>
              <w:t>Общо резултат</w:t>
            </w:r>
          </w:p>
        </w:tc>
        <w:tc>
          <w:tcPr>
            <w:tcW w:w="2781" w:type="dxa"/>
            <w:gridSpan w:val="3"/>
            <w:tcBorders>
              <w:top w:val="nil"/>
              <w:left w:val="single" w:sz="4" w:space="0" w:color="auto"/>
              <w:bottom w:val="single" w:sz="4" w:space="0" w:color="auto"/>
              <w:right w:val="nil"/>
            </w:tcBorders>
            <w:shd w:val="clear" w:color="000000" w:fill="C5D9F1"/>
            <w:noWrap/>
            <w:vAlign w:val="center"/>
          </w:tcPr>
          <w:p w:rsidR="00863C99" w:rsidRPr="000E54EB" w:rsidRDefault="00863C99" w:rsidP="00CE6D02">
            <w:pPr>
              <w:jc w:val="center"/>
              <w:rPr>
                <w:rFonts w:ascii="Verdana" w:hAnsi="Verdana" w:cs="Verdana"/>
                <w:b/>
                <w:bCs/>
                <w:sz w:val="20"/>
                <w:szCs w:val="20"/>
                <w:lang w:eastAsia="bg-BG"/>
              </w:rPr>
            </w:pPr>
            <w:r w:rsidRPr="000E54EB">
              <w:rPr>
                <w:rFonts w:ascii="Verdana" w:hAnsi="Verdana" w:cs="Verdana"/>
                <w:b/>
                <w:bCs/>
                <w:sz w:val="20"/>
                <w:szCs w:val="20"/>
                <w:lang w:eastAsia="bg-BG"/>
              </w:rPr>
              <w:t> </w:t>
            </w:r>
          </w:p>
        </w:tc>
        <w:tc>
          <w:tcPr>
            <w:tcW w:w="1631" w:type="dxa"/>
            <w:gridSpan w:val="3"/>
            <w:tcBorders>
              <w:top w:val="nil"/>
              <w:left w:val="single" w:sz="4" w:space="0" w:color="auto"/>
              <w:bottom w:val="single" w:sz="4" w:space="0" w:color="auto"/>
              <w:right w:val="single" w:sz="4" w:space="0" w:color="auto"/>
            </w:tcBorders>
            <w:shd w:val="clear" w:color="000000" w:fill="C5D9F1"/>
            <w:noWrap/>
            <w:vAlign w:val="center"/>
          </w:tcPr>
          <w:p w:rsidR="00863C99" w:rsidRPr="000E54EB" w:rsidRDefault="0050563E" w:rsidP="00CE6D02">
            <w:pPr>
              <w:jc w:val="center"/>
              <w:rPr>
                <w:rFonts w:ascii="Verdana" w:hAnsi="Verdana" w:cs="Verdana"/>
                <w:b/>
                <w:bCs/>
                <w:sz w:val="20"/>
                <w:szCs w:val="20"/>
                <w:lang w:eastAsia="bg-BG"/>
              </w:rPr>
            </w:pPr>
            <w:r>
              <w:rPr>
                <w:rFonts w:ascii="Verdana" w:hAnsi="Verdana" w:cs="Verdana"/>
                <w:b/>
                <w:bCs/>
                <w:sz w:val="20"/>
                <w:szCs w:val="20"/>
                <w:lang w:eastAsia="bg-BG"/>
              </w:rPr>
              <w:t>479</w:t>
            </w:r>
          </w:p>
        </w:tc>
        <w:tc>
          <w:tcPr>
            <w:tcW w:w="1530" w:type="dxa"/>
            <w:tcBorders>
              <w:top w:val="nil"/>
              <w:left w:val="nil"/>
              <w:bottom w:val="single" w:sz="4" w:space="0" w:color="auto"/>
              <w:right w:val="single" w:sz="4" w:space="0" w:color="auto"/>
            </w:tcBorders>
            <w:shd w:val="clear" w:color="000000" w:fill="C5D9F1"/>
            <w:noWrap/>
            <w:vAlign w:val="center"/>
          </w:tcPr>
          <w:p w:rsidR="00863C99" w:rsidRPr="000E54EB" w:rsidRDefault="00863C99" w:rsidP="001F704A">
            <w:pPr>
              <w:jc w:val="center"/>
              <w:rPr>
                <w:rFonts w:ascii="Verdana" w:hAnsi="Verdana" w:cs="Verdana"/>
                <w:b/>
                <w:bCs/>
                <w:sz w:val="20"/>
                <w:szCs w:val="20"/>
                <w:lang w:eastAsia="bg-BG"/>
              </w:rPr>
            </w:pPr>
            <w:r w:rsidRPr="000E54EB">
              <w:rPr>
                <w:rFonts w:ascii="Verdana" w:hAnsi="Verdana" w:cs="Verdana"/>
                <w:b/>
                <w:bCs/>
                <w:sz w:val="20"/>
                <w:szCs w:val="20"/>
                <w:lang w:eastAsia="bg-BG"/>
              </w:rPr>
              <w:t>818</w:t>
            </w:r>
          </w:p>
        </w:tc>
      </w:tr>
      <w:tr w:rsidR="00863C99" w:rsidRPr="000E54EB">
        <w:trPr>
          <w:gridAfter w:val="2"/>
          <w:wAfter w:w="2185" w:type="dxa"/>
          <w:trHeight w:val="300"/>
        </w:trPr>
        <w:tc>
          <w:tcPr>
            <w:tcW w:w="3603" w:type="dxa"/>
            <w:tcBorders>
              <w:top w:val="nil"/>
              <w:left w:val="nil"/>
              <w:bottom w:val="nil"/>
              <w:right w:val="nil"/>
            </w:tcBorders>
            <w:noWrap/>
            <w:vAlign w:val="center"/>
          </w:tcPr>
          <w:p w:rsidR="00863C99" w:rsidRDefault="00863C99" w:rsidP="00CE6D02">
            <w:pPr>
              <w:jc w:val="left"/>
              <w:rPr>
                <w:rFonts w:ascii="Verdana" w:hAnsi="Verdana" w:cs="Verdana"/>
                <w:sz w:val="20"/>
                <w:szCs w:val="20"/>
                <w:lang w:eastAsia="bg-BG"/>
              </w:rPr>
            </w:pPr>
            <w:r w:rsidRPr="000E54EB">
              <w:rPr>
                <w:rFonts w:ascii="Verdana" w:hAnsi="Verdana" w:cs="Verdana"/>
                <w:sz w:val="20"/>
                <w:szCs w:val="20"/>
                <w:lang w:eastAsia="bg-BG"/>
              </w:rPr>
              <w:t> </w:t>
            </w:r>
          </w:p>
          <w:p w:rsidR="00316AFD" w:rsidRDefault="00316AFD" w:rsidP="00CE6D02">
            <w:pPr>
              <w:jc w:val="left"/>
              <w:rPr>
                <w:rFonts w:ascii="Verdana" w:hAnsi="Verdana" w:cs="Verdana"/>
                <w:sz w:val="20"/>
                <w:szCs w:val="20"/>
                <w:lang w:eastAsia="bg-BG"/>
              </w:rPr>
            </w:pPr>
          </w:p>
          <w:p w:rsidR="00316AFD" w:rsidRDefault="00316AFD" w:rsidP="00CE6D02">
            <w:pPr>
              <w:jc w:val="left"/>
              <w:rPr>
                <w:rFonts w:ascii="Verdana" w:hAnsi="Verdana" w:cs="Verdana"/>
                <w:sz w:val="20"/>
                <w:szCs w:val="20"/>
                <w:lang w:eastAsia="bg-BG"/>
              </w:rPr>
            </w:pPr>
          </w:p>
          <w:p w:rsidR="00316AFD" w:rsidRDefault="00316AFD" w:rsidP="00CE6D02">
            <w:pPr>
              <w:jc w:val="left"/>
              <w:rPr>
                <w:rFonts w:ascii="Verdana" w:hAnsi="Verdana" w:cs="Verdana"/>
                <w:sz w:val="20"/>
                <w:szCs w:val="20"/>
                <w:lang w:eastAsia="bg-BG"/>
              </w:rPr>
            </w:pPr>
          </w:p>
          <w:p w:rsidR="00316AFD" w:rsidRPr="000E54EB" w:rsidRDefault="00316AFD" w:rsidP="00CE6D02">
            <w:pPr>
              <w:jc w:val="left"/>
              <w:rPr>
                <w:rFonts w:ascii="Verdana" w:hAnsi="Verdana" w:cs="Verdana"/>
                <w:sz w:val="20"/>
                <w:szCs w:val="20"/>
                <w:lang w:eastAsia="bg-BG"/>
              </w:rPr>
            </w:pPr>
          </w:p>
        </w:tc>
        <w:tc>
          <w:tcPr>
            <w:tcW w:w="1538" w:type="dxa"/>
            <w:tcBorders>
              <w:top w:val="nil"/>
              <w:left w:val="nil"/>
              <w:bottom w:val="nil"/>
              <w:right w:val="nil"/>
            </w:tcBorders>
            <w:noWrap/>
            <w:vAlign w:val="center"/>
          </w:tcPr>
          <w:p w:rsidR="00863C99" w:rsidRPr="000E54EB" w:rsidRDefault="00863C99" w:rsidP="00CE6D02">
            <w:pPr>
              <w:jc w:val="left"/>
              <w:rPr>
                <w:rFonts w:ascii="Verdana" w:hAnsi="Verdana" w:cs="Verdana"/>
                <w:sz w:val="20"/>
                <w:szCs w:val="20"/>
                <w:lang w:eastAsia="bg-BG"/>
              </w:rPr>
            </w:pPr>
            <w:r w:rsidRPr="000E54EB">
              <w:rPr>
                <w:rFonts w:ascii="Verdana" w:hAnsi="Verdana" w:cs="Verdana"/>
                <w:sz w:val="20"/>
                <w:szCs w:val="20"/>
                <w:lang w:eastAsia="bg-BG"/>
              </w:rPr>
              <w:t> </w:t>
            </w:r>
          </w:p>
        </w:tc>
        <w:tc>
          <w:tcPr>
            <w:tcW w:w="830" w:type="dxa"/>
            <w:tcBorders>
              <w:top w:val="nil"/>
              <w:left w:val="nil"/>
              <w:bottom w:val="nil"/>
              <w:right w:val="nil"/>
            </w:tcBorders>
            <w:noWrap/>
            <w:vAlign w:val="center"/>
          </w:tcPr>
          <w:p w:rsidR="00863C99" w:rsidRPr="000E54EB" w:rsidRDefault="00863C99" w:rsidP="00CE6D02">
            <w:pPr>
              <w:jc w:val="left"/>
              <w:rPr>
                <w:rFonts w:ascii="Verdana" w:hAnsi="Verdana" w:cs="Verdana"/>
                <w:sz w:val="20"/>
                <w:szCs w:val="20"/>
                <w:lang w:eastAsia="bg-BG"/>
              </w:rPr>
            </w:pPr>
            <w:r w:rsidRPr="000E54EB">
              <w:rPr>
                <w:rFonts w:ascii="Verdana" w:hAnsi="Verdana" w:cs="Verdana"/>
                <w:sz w:val="20"/>
                <w:szCs w:val="20"/>
                <w:lang w:eastAsia="bg-BG"/>
              </w:rPr>
              <w:t> </w:t>
            </w:r>
          </w:p>
        </w:tc>
        <w:tc>
          <w:tcPr>
            <w:tcW w:w="1389" w:type="dxa"/>
            <w:gridSpan w:val="3"/>
            <w:tcBorders>
              <w:top w:val="nil"/>
              <w:left w:val="nil"/>
              <w:bottom w:val="nil"/>
              <w:right w:val="nil"/>
            </w:tcBorders>
            <w:noWrap/>
            <w:vAlign w:val="center"/>
          </w:tcPr>
          <w:p w:rsidR="00863C99" w:rsidRPr="000E54EB" w:rsidRDefault="00863C99" w:rsidP="00CE6D02">
            <w:pPr>
              <w:jc w:val="left"/>
              <w:rPr>
                <w:rFonts w:ascii="Verdana" w:hAnsi="Verdana" w:cs="Verdana"/>
                <w:sz w:val="20"/>
                <w:szCs w:val="20"/>
                <w:lang w:eastAsia="bg-BG"/>
              </w:rPr>
            </w:pPr>
            <w:r w:rsidRPr="000E54EB">
              <w:rPr>
                <w:rFonts w:ascii="Verdana" w:hAnsi="Verdana" w:cs="Verdana"/>
                <w:sz w:val="20"/>
                <w:szCs w:val="20"/>
                <w:lang w:eastAsia="bg-BG"/>
              </w:rPr>
              <w:t> </w:t>
            </w:r>
          </w:p>
        </w:tc>
      </w:tr>
      <w:tr w:rsidR="00863C99" w:rsidRPr="000E54EB">
        <w:trPr>
          <w:trHeight w:val="375"/>
        </w:trPr>
        <w:tc>
          <w:tcPr>
            <w:tcW w:w="9545"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rsidR="00863C99" w:rsidRPr="000E54EB" w:rsidRDefault="00863C99" w:rsidP="00CE6D02">
            <w:pPr>
              <w:jc w:val="left"/>
              <w:rPr>
                <w:rFonts w:ascii="Verdana" w:hAnsi="Verdana" w:cs="Verdana"/>
                <w:b/>
                <w:bCs/>
                <w:sz w:val="20"/>
                <w:szCs w:val="20"/>
                <w:lang w:eastAsia="bg-BG"/>
              </w:rPr>
            </w:pPr>
            <w:r w:rsidRPr="000E54EB">
              <w:rPr>
                <w:rFonts w:ascii="Verdana" w:hAnsi="Verdana" w:cs="Verdana"/>
                <w:b/>
                <w:bCs/>
                <w:sz w:val="20"/>
                <w:szCs w:val="20"/>
                <w:lang w:eastAsia="bg-BG"/>
              </w:rPr>
              <w:lastRenderedPageBreak/>
              <w:t>Начислени разходи лихви и задължения за лихви по заеми, получени от свързани лица в групата</w:t>
            </w:r>
          </w:p>
        </w:tc>
      </w:tr>
      <w:tr w:rsidR="00863C99" w:rsidRPr="000E54EB">
        <w:trPr>
          <w:trHeight w:val="300"/>
        </w:trPr>
        <w:tc>
          <w:tcPr>
            <w:tcW w:w="36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3C99" w:rsidRPr="000E54EB" w:rsidRDefault="00863C99" w:rsidP="00CE6D02">
            <w:pPr>
              <w:jc w:val="left"/>
              <w:rPr>
                <w:rFonts w:ascii="Verdana" w:hAnsi="Verdana" w:cs="Verdana"/>
                <w:b/>
                <w:bCs/>
                <w:sz w:val="20"/>
                <w:szCs w:val="20"/>
                <w:lang w:eastAsia="bg-BG"/>
              </w:rPr>
            </w:pPr>
            <w:r w:rsidRPr="000E54EB">
              <w:rPr>
                <w:rFonts w:ascii="Verdana" w:hAnsi="Verdana" w:cs="Verdana"/>
                <w:b/>
                <w:bCs/>
                <w:sz w:val="20"/>
                <w:szCs w:val="20"/>
                <w:lang w:eastAsia="bg-BG"/>
              </w:rPr>
              <w:t>Свързано лице</w:t>
            </w:r>
          </w:p>
        </w:tc>
        <w:tc>
          <w:tcPr>
            <w:tcW w:w="2792"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863C99" w:rsidRPr="000E54EB" w:rsidRDefault="00863C99" w:rsidP="00CE6D02">
            <w:pPr>
              <w:jc w:val="center"/>
              <w:rPr>
                <w:rFonts w:ascii="Verdana" w:hAnsi="Verdana" w:cs="Verdana"/>
                <w:b/>
                <w:bCs/>
                <w:sz w:val="20"/>
                <w:szCs w:val="20"/>
                <w:lang w:eastAsia="bg-BG"/>
              </w:rPr>
            </w:pPr>
            <w:r w:rsidRPr="000E54EB">
              <w:rPr>
                <w:rFonts w:ascii="Verdana" w:hAnsi="Verdana" w:cs="Verdana"/>
                <w:b/>
                <w:bCs/>
                <w:sz w:val="20"/>
                <w:szCs w:val="20"/>
                <w:lang w:eastAsia="bg-BG"/>
              </w:rPr>
              <w:t>За вид доставка</w:t>
            </w:r>
          </w:p>
        </w:tc>
        <w:tc>
          <w:tcPr>
            <w:tcW w:w="1620" w:type="dxa"/>
            <w:gridSpan w:val="2"/>
            <w:tcBorders>
              <w:top w:val="single" w:sz="4" w:space="0" w:color="auto"/>
              <w:left w:val="single" w:sz="4" w:space="0" w:color="auto"/>
              <w:bottom w:val="single" w:sz="4" w:space="0" w:color="auto"/>
              <w:right w:val="single" w:sz="4" w:space="0" w:color="auto"/>
            </w:tcBorders>
            <w:noWrap/>
            <w:vAlign w:val="center"/>
          </w:tcPr>
          <w:p w:rsidR="00863C99" w:rsidRPr="000E54EB" w:rsidRDefault="0050563E" w:rsidP="00C94611">
            <w:pPr>
              <w:jc w:val="center"/>
              <w:rPr>
                <w:rFonts w:ascii="Verdana" w:hAnsi="Verdana" w:cs="Verdana"/>
                <w:b/>
                <w:bCs/>
                <w:sz w:val="20"/>
                <w:szCs w:val="20"/>
                <w:lang w:eastAsia="bg-BG"/>
              </w:rPr>
            </w:pPr>
            <w:r>
              <w:rPr>
                <w:rFonts w:ascii="Verdana" w:hAnsi="Verdana" w:cs="Verdana"/>
                <w:b/>
                <w:bCs/>
                <w:sz w:val="20"/>
                <w:szCs w:val="20"/>
                <w:lang w:eastAsia="bg-BG"/>
              </w:rPr>
              <w:t>2020</w:t>
            </w:r>
            <w:r w:rsidR="00863C99" w:rsidRPr="000E54EB">
              <w:rPr>
                <w:rFonts w:ascii="Verdana" w:hAnsi="Verdana" w:cs="Verdana"/>
                <w:b/>
                <w:bCs/>
                <w:sz w:val="20"/>
                <w:szCs w:val="20"/>
                <w:lang w:eastAsia="bg-BG"/>
              </w:rPr>
              <w:t xml:space="preserve"> г.</w:t>
            </w:r>
          </w:p>
        </w:tc>
        <w:tc>
          <w:tcPr>
            <w:tcW w:w="1530" w:type="dxa"/>
            <w:tcBorders>
              <w:top w:val="single" w:sz="4" w:space="0" w:color="auto"/>
              <w:left w:val="single" w:sz="4" w:space="0" w:color="auto"/>
              <w:bottom w:val="single" w:sz="4" w:space="0" w:color="auto"/>
              <w:right w:val="single" w:sz="4" w:space="0" w:color="auto"/>
            </w:tcBorders>
            <w:noWrap/>
            <w:vAlign w:val="center"/>
          </w:tcPr>
          <w:p w:rsidR="00863C99" w:rsidRPr="000E54EB" w:rsidRDefault="0050563E" w:rsidP="001F704A">
            <w:pPr>
              <w:jc w:val="center"/>
              <w:rPr>
                <w:rFonts w:ascii="Verdana" w:hAnsi="Verdana" w:cs="Verdana"/>
                <w:b/>
                <w:bCs/>
                <w:sz w:val="20"/>
                <w:szCs w:val="20"/>
                <w:lang w:eastAsia="bg-BG"/>
              </w:rPr>
            </w:pPr>
            <w:r>
              <w:rPr>
                <w:rFonts w:ascii="Verdana" w:hAnsi="Verdana" w:cs="Verdana"/>
                <w:b/>
                <w:bCs/>
                <w:sz w:val="20"/>
                <w:szCs w:val="20"/>
                <w:lang w:eastAsia="bg-BG"/>
              </w:rPr>
              <w:t>2019</w:t>
            </w:r>
            <w:r w:rsidR="00863C99" w:rsidRPr="000E54EB">
              <w:rPr>
                <w:rFonts w:ascii="Verdana" w:hAnsi="Verdana" w:cs="Verdana"/>
                <w:b/>
                <w:bCs/>
                <w:sz w:val="20"/>
                <w:szCs w:val="20"/>
                <w:lang w:eastAsia="bg-BG"/>
              </w:rPr>
              <w:t xml:space="preserve"> г.</w:t>
            </w:r>
          </w:p>
        </w:tc>
      </w:tr>
      <w:tr w:rsidR="00863C99" w:rsidRPr="000E54EB">
        <w:trPr>
          <w:trHeight w:val="300"/>
        </w:trPr>
        <w:tc>
          <w:tcPr>
            <w:tcW w:w="3603" w:type="dxa"/>
            <w:tcBorders>
              <w:top w:val="single" w:sz="4" w:space="0" w:color="auto"/>
              <w:left w:val="single" w:sz="4" w:space="0" w:color="auto"/>
              <w:bottom w:val="single" w:sz="4" w:space="0" w:color="auto"/>
              <w:right w:val="single" w:sz="4" w:space="0" w:color="auto"/>
            </w:tcBorders>
            <w:shd w:val="clear" w:color="000000" w:fill="FFFFFF"/>
            <w:vAlign w:val="center"/>
          </w:tcPr>
          <w:p w:rsidR="00863C99" w:rsidRPr="000E54EB" w:rsidRDefault="00863C99" w:rsidP="00CE6D02">
            <w:pPr>
              <w:jc w:val="left"/>
              <w:rPr>
                <w:rFonts w:ascii="Verdana" w:hAnsi="Verdana" w:cs="Verdana"/>
                <w:sz w:val="20"/>
                <w:szCs w:val="20"/>
                <w:lang w:eastAsia="bg-BG"/>
              </w:rPr>
            </w:pPr>
            <w:r w:rsidRPr="000E54EB">
              <w:rPr>
                <w:rFonts w:ascii="Verdana" w:hAnsi="Verdana" w:cs="Verdana"/>
                <w:sz w:val="20"/>
                <w:szCs w:val="20"/>
                <w:lang w:eastAsia="bg-BG"/>
              </w:rPr>
              <w:t>"Овергаз Капитал" АД</w:t>
            </w:r>
          </w:p>
        </w:tc>
        <w:tc>
          <w:tcPr>
            <w:tcW w:w="2792"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863C99" w:rsidRPr="000E54EB" w:rsidRDefault="00863C99" w:rsidP="00CE6D02">
            <w:pPr>
              <w:jc w:val="center"/>
              <w:rPr>
                <w:rFonts w:ascii="Verdana" w:hAnsi="Verdana" w:cs="Verdana"/>
                <w:sz w:val="20"/>
                <w:szCs w:val="20"/>
                <w:lang w:eastAsia="bg-BG"/>
              </w:rPr>
            </w:pPr>
            <w:r w:rsidRPr="000E54EB">
              <w:rPr>
                <w:rFonts w:ascii="Verdana" w:hAnsi="Verdana" w:cs="Verdana"/>
                <w:sz w:val="20"/>
                <w:szCs w:val="20"/>
                <w:lang w:eastAsia="bg-BG"/>
              </w:rPr>
              <w:t>лихва</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63C99" w:rsidRPr="000E54EB" w:rsidRDefault="0050563E" w:rsidP="00CE6D02">
            <w:pPr>
              <w:jc w:val="center"/>
              <w:rPr>
                <w:rFonts w:ascii="Verdana" w:hAnsi="Verdana" w:cs="Verdana"/>
                <w:sz w:val="20"/>
                <w:szCs w:val="20"/>
                <w:lang w:eastAsia="bg-BG"/>
              </w:rPr>
            </w:pPr>
            <w:r>
              <w:rPr>
                <w:rFonts w:ascii="Verdana" w:hAnsi="Verdana" w:cs="Verdana"/>
                <w:sz w:val="20"/>
                <w:szCs w:val="20"/>
                <w:lang w:eastAsia="bg-BG"/>
              </w:rPr>
              <w:t>-</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3C99" w:rsidRPr="000E54EB" w:rsidRDefault="0050563E" w:rsidP="001F704A">
            <w:pPr>
              <w:jc w:val="center"/>
              <w:rPr>
                <w:rFonts w:ascii="Verdana" w:hAnsi="Verdana" w:cs="Verdana"/>
                <w:sz w:val="20"/>
                <w:szCs w:val="20"/>
                <w:lang w:eastAsia="bg-BG"/>
              </w:rPr>
            </w:pPr>
            <w:r>
              <w:rPr>
                <w:rFonts w:ascii="Verdana" w:hAnsi="Verdana" w:cs="Verdana"/>
                <w:sz w:val="20"/>
                <w:szCs w:val="20"/>
                <w:lang w:eastAsia="bg-BG"/>
              </w:rPr>
              <w:t>17</w:t>
            </w:r>
          </w:p>
        </w:tc>
      </w:tr>
      <w:tr w:rsidR="00863C99" w:rsidRPr="000E54EB">
        <w:trPr>
          <w:trHeight w:val="300"/>
        </w:trPr>
        <w:tc>
          <w:tcPr>
            <w:tcW w:w="3603" w:type="dxa"/>
            <w:tcBorders>
              <w:top w:val="single" w:sz="4" w:space="0" w:color="auto"/>
              <w:left w:val="single" w:sz="4" w:space="0" w:color="auto"/>
              <w:bottom w:val="single" w:sz="4" w:space="0" w:color="auto"/>
              <w:right w:val="single" w:sz="4" w:space="0" w:color="auto"/>
            </w:tcBorders>
            <w:shd w:val="clear" w:color="000000" w:fill="FFFFFF"/>
            <w:vAlign w:val="center"/>
          </w:tcPr>
          <w:p w:rsidR="00863C99" w:rsidRPr="000E54EB" w:rsidRDefault="00863C99" w:rsidP="00CE6D02">
            <w:pPr>
              <w:jc w:val="left"/>
              <w:rPr>
                <w:rFonts w:ascii="Verdana" w:hAnsi="Verdana" w:cs="Verdana"/>
                <w:sz w:val="20"/>
                <w:szCs w:val="20"/>
                <w:lang w:eastAsia="bg-BG"/>
              </w:rPr>
            </w:pPr>
            <w:r>
              <w:rPr>
                <w:rFonts w:ascii="Verdana" w:hAnsi="Verdana" w:cs="Verdana"/>
                <w:sz w:val="20"/>
                <w:szCs w:val="20"/>
                <w:lang w:eastAsia="bg-BG"/>
              </w:rPr>
              <w:t>„Овергаз Холдинг” АД</w:t>
            </w:r>
          </w:p>
        </w:tc>
        <w:tc>
          <w:tcPr>
            <w:tcW w:w="2792"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863C99" w:rsidRPr="000E54EB" w:rsidRDefault="00863C99" w:rsidP="00CE6D02">
            <w:pPr>
              <w:jc w:val="center"/>
              <w:rPr>
                <w:rFonts w:ascii="Verdana" w:hAnsi="Verdana" w:cs="Verdana"/>
                <w:sz w:val="20"/>
                <w:szCs w:val="20"/>
                <w:lang w:eastAsia="bg-BG"/>
              </w:rPr>
            </w:pPr>
            <w:r>
              <w:rPr>
                <w:rFonts w:ascii="Verdana" w:hAnsi="Verdana" w:cs="Verdana"/>
                <w:sz w:val="20"/>
                <w:szCs w:val="20"/>
                <w:lang w:eastAsia="bg-BG"/>
              </w:rPr>
              <w:t>лихва</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63C99" w:rsidRPr="000E54EB" w:rsidRDefault="0050563E" w:rsidP="00CE6D02">
            <w:pPr>
              <w:jc w:val="center"/>
              <w:rPr>
                <w:rFonts w:ascii="Verdana" w:hAnsi="Verdana" w:cs="Verdana"/>
                <w:sz w:val="20"/>
                <w:szCs w:val="20"/>
                <w:lang w:eastAsia="bg-BG"/>
              </w:rPr>
            </w:pPr>
            <w:r>
              <w:rPr>
                <w:rFonts w:ascii="Verdana" w:hAnsi="Verdana" w:cs="Verdana"/>
                <w:sz w:val="20"/>
                <w:szCs w:val="20"/>
                <w:lang w:eastAsia="bg-BG"/>
              </w:rPr>
              <w:t>16</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3C99" w:rsidRPr="000E54EB" w:rsidRDefault="0050563E" w:rsidP="001F704A">
            <w:pPr>
              <w:jc w:val="center"/>
              <w:rPr>
                <w:rFonts w:ascii="Verdana" w:hAnsi="Verdana" w:cs="Verdana"/>
                <w:sz w:val="20"/>
                <w:szCs w:val="20"/>
                <w:lang w:eastAsia="bg-BG"/>
              </w:rPr>
            </w:pPr>
            <w:r>
              <w:rPr>
                <w:rFonts w:ascii="Verdana" w:hAnsi="Verdana" w:cs="Verdana"/>
                <w:sz w:val="20"/>
                <w:szCs w:val="20"/>
                <w:lang w:eastAsia="bg-BG"/>
              </w:rPr>
              <w:t>3</w:t>
            </w:r>
          </w:p>
        </w:tc>
      </w:tr>
      <w:tr w:rsidR="00863C99" w:rsidRPr="000E54EB">
        <w:trPr>
          <w:trHeight w:val="300"/>
        </w:trPr>
        <w:tc>
          <w:tcPr>
            <w:tcW w:w="3603" w:type="dxa"/>
            <w:tcBorders>
              <w:top w:val="single" w:sz="4" w:space="0" w:color="auto"/>
              <w:left w:val="single" w:sz="4" w:space="0" w:color="auto"/>
              <w:bottom w:val="single" w:sz="4" w:space="0" w:color="auto"/>
              <w:right w:val="single" w:sz="4" w:space="0" w:color="auto"/>
            </w:tcBorders>
            <w:shd w:val="clear" w:color="000000" w:fill="C5D9F1"/>
            <w:noWrap/>
            <w:vAlign w:val="center"/>
          </w:tcPr>
          <w:p w:rsidR="00863C99" w:rsidRPr="0050563E" w:rsidRDefault="00863C99" w:rsidP="00CE6D02">
            <w:pPr>
              <w:jc w:val="left"/>
              <w:rPr>
                <w:rFonts w:ascii="Verdana" w:hAnsi="Verdana" w:cs="Verdana"/>
                <w:b/>
                <w:bCs/>
                <w:sz w:val="20"/>
                <w:szCs w:val="20"/>
                <w:lang w:val="ru-RU" w:eastAsia="bg-BG"/>
              </w:rPr>
            </w:pPr>
            <w:r w:rsidRPr="000E54EB">
              <w:rPr>
                <w:rFonts w:ascii="Verdana" w:hAnsi="Verdana" w:cs="Verdana"/>
                <w:b/>
                <w:bCs/>
                <w:sz w:val="20"/>
                <w:szCs w:val="20"/>
                <w:lang w:eastAsia="bg-BG"/>
              </w:rPr>
              <w:t>Общо балансова стойнос</w:t>
            </w:r>
          </w:p>
        </w:tc>
        <w:tc>
          <w:tcPr>
            <w:tcW w:w="2792" w:type="dxa"/>
            <w:gridSpan w:val="4"/>
            <w:tcBorders>
              <w:top w:val="single" w:sz="4" w:space="0" w:color="auto"/>
              <w:left w:val="single" w:sz="4" w:space="0" w:color="auto"/>
              <w:bottom w:val="single" w:sz="4" w:space="0" w:color="auto"/>
              <w:right w:val="single" w:sz="4" w:space="0" w:color="auto"/>
            </w:tcBorders>
            <w:shd w:val="clear" w:color="000000" w:fill="C5D9F1"/>
            <w:noWrap/>
            <w:vAlign w:val="center"/>
          </w:tcPr>
          <w:p w:rsidR="00863C99" w:rsidRPr="000E54EB" w:rsidRDefault="00863C99" w:rsidP="00CE6D02">
            <w:pPr>
              <w:jc w:val="center"/>
              <w:rPr>
                <w:rFonts w:ascii="Verdana" w:hAnsi="Verdana" w:cs="Verdana"/>
                <w:b/>
                <w:bCs/>
                <w:sz w:val="20"/>
                <w:szCs w:val="20"/>
                <w:lang w:eastAsia="bg-BG"/>
              </w:rPr>
            </w:pPr>
            <w:r w:rsidRPr="000E54EB">
              <w:rPr>
                <w:rFonts w:ascii="Verdana" w:hAnsi="Verdana" w:cs="Verdana"/>
                <w:b/>
                <w:bCs/>
                <w:sz w:val="20"/>
                <w:szCs w:val="20"/>
                <w:lang w:eastAsia="bg-BG"/>
              </w:rPr>
              <w:t> </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rsidR="00863C99" w:rsidRPr="000E54EB" w:rsidRDefault="0050563E" w:rsidP="00CE6D02">
            <w:pPr>
              <w:jc w:val="center"/>
              <w:rPr>
                <w:rFonts w:ascii="Verdana" w:hAnsi="Verdana" w:cs="Verdana"/>
                <w:b/>
                <w:bCs/>
                <w:sz w:val="20"/>
                <w:szCs w:val="20"/>
                <w:lang w:eastAsia="bg-BG"/>
              </w:rPr>
            </w:pPr>
            <w:r>
              <w:rPr>
                <w:rFonts w:ascii="Verdana" w:hAnsi="Verdana" w:cs="Verdana"/>
                <w:b/>
                <w:bCs/>
                <w:sz w:val="20"/>
                <w:szCs w:val="20"/>
                <w:lang w:eastAsia="bg-BG"/>
              </w:rPr>
              <w:t>16</w:t>
            </w:r>
          </w:p>
        </w:tc>
        <w:tc>
          <w:tcPr>
            <w:tcW w:w="1530" w:type="dxa"/>
            <w:tcBorders>
              <w:top w:val="single" w:sz="4" w:space="0" w:color="auto"/>
              <w:left w:val="single" w:sz="4" w:space="0" w:color="auto"/>
              <w:bottom w:val="single" w:sz="4" w:space="0" w:color="auto"/>
              <w:right w:val="single" w:sz="4" w:space="0" w:color="auto"/>
            </w:tcBorders>
            <w:shd w:val="clear" w:color="000000" w:fill="C5D9F1"/>
            <w:noWrap/>
            <w:vAlign w:val="center"/>
          </w:tcPr>
          <w:p w:rsidR="00863C99" w:rsidRPr="000E54EB" w:rsidRDefault="0050563E" w:rsidP="001F704A">
            <w:pPr>
              <w:jc w:val="center"/>
              <w:rPr>
                <w:rFonts w:ascii="Verdana" w:hAnsi="Verdana" w:cs="Verdana"/>
                <w:b/>
                <w:bCs/>
                <w:sz w:val="20"/>
                <w:szCs w:val="20"/>
                <w:lang w:eastAsia="bg-BG"/>
              </w:rPr>
            </w:pPr>
            <w:r>
              <w:rPr>
                <w:rFonts w:ascii="Verdana" w:hAnsi="Verdana" w:cs="Verdana"/>
                <w:b/>
                <w:bCs/>
                <w:sz w:val="20"/>
                <w:szCs w:val="20"/>
                <w:lang w:eastAsia="bg-BG"/>
              </w:rPr>
              <w:t>20</w:t>
            </w:r>
          </w:p>
        </w:tc>
      </w:tr>
    </w:tbl>
    <w:p w:rsidR="00863C99" w:rsidRPr="000E54EB" w:rsidRDefault="00863C99" w:rsidP="00B66DF8">
      <w:pPr>
        <w:rPr>
          <w:rFonts w:ascii="Verdana" w:hAnsi="Verdana" w:cs="Verdana"/>
          <w:sz w:val="20"/>
          <w:szCs w:val="20"/>
          <w:lang w:val="en-US"/>
        </w:rPr>
      </w:pPr>
    </w:p>
    <w:p w:rsidR="00863C99" w:rsidRPr="000E54EB" w:rsidRDefault="00863C99" w:rsidP="00BE5095">
      <w:pPr>
        <w:rPr>
          <w:rFonts w:ascii="Verdana" w:hAnsi="Verdana" w:cs="Verdana"/>
          <w:b/>
          <w:bCs/>
          <w:sz w:val="20"/>
          <w:szCs w:val="20"/>
        </w:rPr>
      </w:pPr>
      <w:r w:rsidRPr="000E54EB">
        <w:rPr>
          <w:rFonts w:ascii="Verdana" w:hAnsi="Verdana" w:cs="Verdana"/>
          <w:b/>
          <w:bCs/>
          <w:sz w:val="20"/>
          <w:szCs w:val="20"/>
          <w:lang w:eastAsia="bg-BG"/>
        </w:rPr>
        <w:t>Описание  на свързани лица и естеството на свързаност</w:t>
      </w:r>
    </w:p>
    <w:tbl>
      <w:tblPr>
        <w:tblW w:w="9545" w:type="dxa"/>
        <w:tblInd w:w="-68" w:type="dxa"/>
        <w:tblCellMar>
          <w:left w:w="70" w:type="dxa"/>
          <w:right w:w="70" w:type="dxa"/>
        </w:tblCellMar>
        <w:tblLook w:val="00A0" w:firstRow="1" w:lastRow="0" w:firstColumn="1" w:lastColumn="0" w:noHBand="0" w:noVBand="0"/>
      </w:tblPr>
      <w:tblGrid>
        <w:gridCol w:w="5959"/>
        <w:gridCol w:w="3586"/>
      </w:tblGrid>
      <w:tr w:rsidR="00863C99" w:rsidRPr="000E54EB">
        <w:trPr>
          <w:trHeight w:val="600"/>
        </w:trPr>
        <w:tc>
          <w:tcPr>
            <w:tcW w:w="5959" w:type="dxa"/>
            <w:tcBorders>
              <w:top w:val="single" w:sz="4" w:space="0" w:color="auto"/>
              <w:left w:val="single" w:sz="4" w:space="0" w:color="auto"/>
              <w:bottom w:val="single" w:sz="4" w:space="0" w:color="auto"/>
              <w:right w:val="nil"/>
            </w:tcBorders>
            <w:shd w:val="clear" w:color="000000" w:fill="FFFFFF"/>
            <w:noWrap/>
            <w:vAlign w:val="center"/>
          </w:tcPr>
          <w:p w:rsidR="00863C99" w:rsidRPr="000E54EB" w:rsidRDefault="00863C99" w:rsidP="00434FF5">
            <w:pPr>
              <w:jc w:val="left"/>
              <w:rPr>
                <w:rFonts w:ascii="Verdana" w:hAnsi="Verdana" w:cs="Verdana"/>
                <w:b/>
                <w:bCs/>
                <w:sz w:val="20"/>
                <w:szCs w:val="20"/>
                <w:lang w:eastAsia="bg-BG"/>
              </w:rPr>
            </w:pPr>
            <w:r w:rsidRPr="000E54EB">
              <w:rPr>
                <w:rFonts w:ascii="Verdana" w:hAnsi="Verdana" w:cs="Verdana"/>
                <w:b/>
                <w:bCs/>
                <w:sz w:val="20"/>
                <w:szCs w:val="20"/>
                <w:lang w:eastAsia="bg-BG"/>
              </w:rPr>
              <w:t>Свързано лице</w:t>
            </w:r>
          </w:p>
        </w:tc>
        <w:tc>
          <w:tcPr>
            <w:tcW w:w="35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3C99" w:rsidRPr="000E54EB" w:rsidRDefault="00863C99" w:rsidP="00434FF5">
            <w:pPr>
              <w:jc w:val="left"/>
              <w:rPr>
                <w:rFonts w:ascii="Verdana" w:hAnsi="Verdana" w:cs="Verdana"/>
                <w:b/>
                <w:bCs/>
                <w:sz w:val="20"/>
                <w:szCs w:val="20"/>
                <w:lang w:eastAsia="bg-BG"/>
              </w:rPr>
            </w:pPr>
            <w:r w:rsidRPr="000E54EB">
              <w:rPr>
                <w:rFonts w:ascii="Verdana" w:hAnsi="Verdana" w:cs="Verdana"/>
                <w:b/>
                <w:bCs/>
                <w:sz w:val="20"/>
                <w:szCs w:val="20"/>
                <w:lang w:eastAsia="bg-BG"/>
              </w:rPr>
              <w:t>Вид свързаност</w:t>
            </w:r>
          </w:p>
        </w:tc>
      </w:tr>
      <w:tr w:rsidR="00863C99" w:rsidRPr="000E54EB">
        <w:trPr>
          <w:trHeight w:val="325"/>
        </w:trPr>
        <w:tc>
          <w:tcPr>
            <w:tcW w:w="5959" w:type="dxa"/>
            <w:tcBorders>
              <w:top w:val="nil"/>
              <w:left w:val="single" w:sz="4" w:space="0" w:color="auto"/>
              <w:bottom w:val="single" w:sz="4" w:space="0" w:color="auto"/>
              <w:right w:val="nil"/>
            </w:tcBorders>
            <w:shd w:val="clear" w:color="000000" w:fill="FFFFFF"/>
            <w:vAlign w:val="center"/>
          </w:tcPr>
          <w:p w:rsidR="00863C99" w:rsidRPr="00316AFD" w:rsidRDefault="00863C99" w:rsidP="00434FF5">
            <w:pPr>
              <w:jc w:val="left"/>
              <w:rPr>
                <w:rFonts w:ascii="Verdana" w:hAnsi="Verdana" w:cs="Verdana"/>
                <w:sz w:val="20"/>
                <w:szCs w:val="20"/>
                <w:lang w:eastAsia="bg-BG"/>
              </w:rPr>
            </w:pPr>
            <w:r w:rsidRPr="00316AFD">
              <w:rPr>
                <w:rFonts w:ascii="Verdana" w:hAnsi="Verdana" w:cs="Verdana"/>
                <w:sz w:val="20"/>
                <w:szCs w:val="20"/>
                <w:lang w:eastAsia="bg-BG"/>
              </w:rPr>
              <w:t>Михаил Ковачев</w:t>
            </w:r>
          </w:p>
        </w:tc>
        <w:tc>
          <w:tcPr>
            <w:tcW w:w="3586" w:type="dxa"/>
            <w:tcBorders>
              <w:top w:val="nil"/>
              <w:left w:val="single" w:sz="4" w:space="0" w:color="auto"/>
              <w:bottom w:val="single" w:sz="4" w:space="0" w:color="auto"/>
              <w:right w:val="single" w:sz="4" w:space="0" w:color="auto"/>
            </w:tcBorders>
            <w:shd w:val="clear" w:color="000000" w:fill="FFFFFF"/>
            <w:vAlign w:val="center"/>
          </w:tcPr>
          <w:p w:rsidR="00863C99" w:rsidRPr="000E54EB" w:rsidRDefault="00863C99" w:rsidP="00434FF5">
            <w:pPr>
              <w:jc w:val="left"/>
              <w:rPr>
                <w:rFonts w:ascii="Verdana" w:hAnsi="Verdana" w:cs="Verdana"/>
                <w:sz w:val="20"/>
                <w:szCs w:val="20"/>
                <w:lang w:eastAsia="bg-BG"/>
              </w:rPr>
            </w:pPr>
            <w:r w:rsidRPr="000E54EB">
              <w:rPr>
                <w:rFonts w:ascii="Verdana" w:hAnsi="Verdana" w:cs="Verdana"/>
                <w:sz w:val="20"/>
                <w:szCs w:val="20"/>
                <w:lang w:eastAsia="bg-BG"/>
              </w:rPr>
              <w:t>ключов ръководен персонал</w:t>
            </w:r>
          </w:p>
        </w:tc>
      </w:tr>
      <w:tr w:rsidR="00863C99" w:rsidRPr="000E54EB">
        <w:trPr>
          <w:trHeight w:val="415"/>
        </w:trPr>
        <w:tc>
          <w:tcPr>
            <w:tcW w:w="5959" w:type="dxa"/>
            <w:tcBorders>
              <w:top w:val="nil"/>
              <w:left w:val="single" w:sz="4" w:space="0" w:color="auto"/>
              <w:bottom w:val="single" w:sz="4" w:space="0" w:color="auto"/>
              <w:right w:val="nil"/>
            </w:tcBorders>
            <w:shd w:val="clear" w:color="000000" w:fill="FFFFFF"/>
            <w:vAlign w:val="center"/>
          </w:tcPr>
          <w:p w:rsidR="00863C99" w:rsidRPr="00316AFD" w:rsidRDefault="00863C99" w:rsidP="00434FF5">
            <w:pPr>
              <w:jc w:val="left"/>
              <w:rPr>
                <w:rFonts w:ascii="Verdana" w:hAnsi="Verdana" w:cs="Verdana"/>
                <w:sz w:val="20"/>
                <w:szCs w:val="20"/>
                <w:lang w:eastAsia="bg-BG"/>
              </w:rPr>
            </w:pPr>
            <w:r w:rsidRPr="00316AFD">
              <w:rPr>
                <w:rFonts w:ascii="Verdana" w:hAnsi="Verdana" w:cs="Verdana"/>
                <w:sz w:val="20"/>
                <w:szCs w:val="20"/>
                <w:lang w:eastAsia="bg-BG"/>
              </w:rPr>
              <w:t>Ивайло Чавдаров</w:t>
            </w:r>
          </w:p>
        </w:tc>
        <w:tc>
          <w:tcPr>
            <w:tcW w:w="3586" w:type="dxa"/>
            <w:tcBorders>
              <w:top w:val="nil"/>
              <w:left w:val="single" w:sz="4" w:space="0" w:color="auto"/>
              <w:bottom w:val="single" w:sz="4" w:space="0" w:color="auto"/>
              <w:right w:val="single" w:sz="4" w:space="0" w:color="auto"/>
            </w:tcBorders>
            <w:shd w:val="clear" w:color="000000" w:fill="FFFFFF"/>
            <w:vAlign w:val="center"/>
          </w:tcPr>
          <w:p w:rsidR="00863C99" w:rsidRPr="000E54EB" w:rsidRDefault="00863C99" w:rsidP="00434FF5">
            <w:pPr>
              <w:jc w:val="left"/>
              <w:rPr>
                <w:rFonts w:ascii="Verdana" w:hAnsi="Verdana" w:cs="Verdana"/>
                <w:sz w:val="20"/>
                <w:szCs w:val="20"/>
                <w:lang w:eastAsia="bg-BG"/>
              </w:rPr>
            </w:pPr>
            <w:r w:rsidRPr="000E54EB">
              <w:rPr>
                <w:rFonts w:ascii="Verdana" w:hAnsi="Verdana" w:cs="Verdana"/>
                <w:sz w:val="20"/>
                <w:szCs w:val="20"/>
                <w:lang w:eastAsia="bg-BG"/>
              </w:rPr>
              <w:t>ключов ръководен персонал</w:t>
            </w:r>
          </w:p>
        </w:tc>
      </w:tr>
      <w:tr w:rsidR="00863C99" w:rsidRPr="000E54EB">
        <w:trPr>
          <w:trHeight w:val="279"/>
        </w:trPr>
        <w:tc>
          <w:tcPr>
            <w:tcW w:w="5959" w:type="dxa"/>
            <w:tcBorders>
              <w:top w:val="nil"/>
              <w:left w:val="single" w:sz="4" w:space="0" w:color="auto"/>
              <w:bottom w:val="single" w:sz="4" w:space="0" w:color="auto"/>
              <w:right w:val="nil"/>
            </w:tcBorders>
            <w:shd w:val="clear" w:color="000000" w:fill="FFFFFF"/>
            <w:vAlign w:val="center"/>
          </w:tcPr>
          <w:p w:rsidR="00863C99" w:rsidRPr="00316AFD" w:rsidRDefault="00863C99" w:rsidP="00434FF5">
            <w:pPr>
              <w:jc w:val="left"/>
              <w:rPr>
                <w:rFonts w:ascii="Verdana" w:hAnsi="Verdana" w:cs="Verdana"/>
                <w:sz w:val="20"/>
                <w:szCs w:val="20"/>
                <w:lang w:eastAsia="bg-BG"/>
              </w:rPr>
            </w:pPr>
            <w:r w:rsidRPr="00316AFD">
              <w:rPr>
                <w:rFonts w:ascii="Verdana" w:hAnsi="Verdana" w:cs="Verdana"/>
                <w:sz w:val="20"/>
                <w:szCs w:val="20"/>
                <w:lang w:eastAsia="bg-BG"/>
              </w:rPr>
              <w:t>Петко Милевски</w:t>
            </w:r>
          </w:p>
        </w:tc>
        <w:tc>
          <w:tcPr>
            <w:tcW w:w="3586" w:type="dxa"/>
            <w:tcBorders>
              <w:top w:val="nil"/>
              <w:left w:val="single" w:sz="4" w:space="0" w:color="auto"/>
              <w:bottom w:val="single" w:sz="4" w:space="0" w:color="auto"/>
              <w:right w:val="single" w:sz="4" w:space="0" w:color="auto"/>
            </w:tcBorders>
            <w:shd w:val="clear" w:color="000000" w:fill="FFFFFF"/>
            <w:vAlign w:val="center"/>
          </w:tcPr>
          <w:p w:rsidR="00863C99" w:rsidRPr="000E54EB" w:rsidRDefault="00863C99" w:rsidP="00434FF5">
            <w:pPr>
              <w:jc w:val="left"/>
              <w:rPr>
                <w:rFonts w:ascii="Verdana" w:hAnsi="Verdana" w:cs="Verdana"/>
                <w:sz w:val="20"/>
                <w:szCs w:val="20"/>
                <w:lang w:eastAsia="bg-BG"/>
              </w:rPr>
            </w:pPr>
            <w:r w:rsidRPr="000E54EB">
              <w:rPr>
                <w:rFonts w:ascii="Verdana" w:hAnsi="Verdana" w:cs="Verdana"/>
                <w:sz w:val="20"/>
                <w:szCs w:val="20"/>
                <w:lang w:eastAsia="bg-BG"/>
              </w:rPr>
              <w:t>ключов ръководен персонал</w:t>
            </w:r>
          </w:p>
        </w:tc>
      </w:tr>
      <w:tr w:rsidR="00863C99" w:rsidRPr="000E54EB">
        <w:trPr>
          <w:trHeight w:val="411"/>
        </w:trPr>
        <w:tc>
          <w:tcPr>
            <w:tcW w:w="5959" w:type="dxa"/>
            <w:tcBorders>
              <w:top w:val="nil"/>
              <w:left w:val="single" w:sz="4" w:space="0" w:color="auto"/>
              <w:bottom w:val="single" w:sz="4" w:space="0" w:color="auto"/>
              <w:right w:val="nil"/>
            </w:tcBorders>
            <w:shd w:val="clear" w:color="000000" w:fill="FFFFFF"/>
            <w:vAlign w:val="center"/>
          </w:tcPr>
          <w:p w:rsidR="00863C99" w:rsidRPr="00316AFD" w:rsidRDefault="00863C99" w:rsidP="00434FF5">
            <w:pPr>
              <w:jc w:val="left"/>
              <w:rPr>
                <w:rFonts w:ascii="Verdana" w:hAnsi="Verdana" w:cs="Verdana"/>
                <w:sz w:val="20"/>
                <w:szCs w:val="20"/>
                <w:lang w:eastAsia="bg-BG"/>
              </w:rPr>
            </w:pPr>
            <w:r w:rsidRPr="00316AFD">
              <w:rPr>
                <w:rFonts w:ascii="Verdana" w:hAnsi="Verdana" w:cs="Verdana"/>
                <w:sz w:val="20"/>
                <w:szCs w:val="20"/>
                <w:lang w:eastAsia="bg-BG"/>
              </w:rPr>
              <w:t>Пламен Дончев</w:t>
            </w:r>
          </w:p>
        </w:tc>
        <w:tc>
          <w:tcPr>
            <w:tcW w:w="3586" w:type="dxa"/>
            <w:tcBorders>
              <w:top w:val="nil"/>
              <w:left w:val="single" w:sz="4" w:space="0" w:color="auto"/>
              <w:bottom w:val="single" w:sz="4" w:space="0" w:color="auto"/>
              <w:right w:val="single" w:sz="4" w:space="0" w:color="auto"/>
            </w:tcBorders>
            <w:shd w:val="clear" w:color="000000" w:fill="FFFFFF"/>
            <w:vAlign w:val="center"/>
          </w:tcPr>
          <w:p w:rsidR="00863C99" w:rsidRPr="000E54EB" w:rsidRDefault="00863C99" w:rsidP="00434FF5">
            <w:pPr>
              <w:jc w:val="left"/>
              <w:rPr>
                <w:rFonts w:ascii="Verdana" w:hAnsi="Verdana" w:cs="Verdana"/>
                <w:sz w:val="20"/>
                <w:szCs w:val="20"/>
                <w:lang w:eastAsia="bg-BG"/>
              </w:rPr>
            </w:pPr>
            <w:r w:rsidRPr="000E54EB">
              <w:rPr>
                <w:rFonts w:ascii="Verdana" w:hAnsi="Verdana" w:cs="Verdana"/>
                <w:sz w:val="20"/>
                <w:szCs w:val="20"/>
                <w:lang w:eastAsia="bg-BG"/>
              </w:rPr>
              <w:t>ключов ръководен персонал</w:t>
            </w:r>
          </w:p>
        </w:tc>
      </w:tr>
    </w:tbl>
    <w:p w:rsidR="00863C99" w:rsidRPr="000E54EB" w:rsidRDefault="00863C99" w:rsidP="00B66DF8">
      <w:pPr>
        <w:rPr>
          <w:rFonts w:ascii="Verdana" w:hAnsi="Verdana" w:cs="Verdana"/>
          <w:sz w:val="20"/>
          <w:szCs w:val="20"/>
          <w:lang w:val="en-US"/>
        </w:rPr>
      </w:pPr>
    </w:p>
    <w:p w:rsidR="00863C99" w:rsidRPr="000E54EB" w:rsidRDefault="00863C99" w:rsidP="000E4E47">
      <w:pPr>
        <w:rPr>
          <w:rFonts w:ascii="Verdana" w:hAnsi="Verdana" w:cs="Verdana"/>
          <w:b/>
          <w:bCs/>
          <w:sz w:val="20"/>
          <w:szCs w:val="20"/>
        </w:rPr>
      </w:pPr>
      <w:r w:rsidRPr="000E54EB">
        <w:rPr>
          <w:rFonts w:ascii="Verdana" w:hAnsi="Verdana" w:cs="Verdana"/>
          <w:b/>
          <w:bCs/>
          <w:sz w:val="20"/>
          <w:szCs w:val="20"/>
        </w:rPr>
        <w:t>Начисления, свързани с доходи на основния ръководен персонал</w:t>
      </w:r>
    </w:p>
    <w:tbl>
      <w:tblPr>
        <w:tblW w:w="955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969"/>
        <w:gridCol w:w="3586"/>
      </w:tblGrid>
      <w:tr w:rsidR="00863C99" w:rsidRPr="000E54EB">
        <w:trPr>
          <w:trHeight w:val="309"/>
        </w:trPr>
        <w:tc>
          <w:tcPr>
            <w:tcW w:w="5969" w:type="dxa"/>
            <w:vMerge w:val="restart"/>
            <w:shd w:val="clear" w:color="000000" w:fill="FFFFFF"/>
            <w:vAlign w:val="center"/>
          </w:tcPr>
          <w:p w:rsidR="00863C99" w:rsidRPr="000E54EB" w:rsidRDefault="00863C99" w:rsidP="00434FF5">
            <w:pPr>
              <w:jc w:val="left"/>
              <w:rPr>
                <w:rFonts w:ascii="Verdana" w:hAnsi="Verdana" w:cs="Verdana"/>
                <w:b/>
                <w:bCs/>
                <w:sz w:val="20"/>
                <w:szCs w:val="20"/>
                <w:lang w:eastAsia="bg-BG"/>
              </w:rPr>
            </w:pPr>
            <w:r w:rsidRPr="000E54EB">
              <w:rPr>
                <w:rFonts w:ascii="Verdana" w:hAnsi="Verdana" w:cs="Verdana"/>
                <w:b/>
                <w:bCs/>
                <w:sz w:val="20"/>
                <w:szCs w:val="20"/>
                <w:lang w:eastAsia="bg-BG"/>
              </w:rPr>
              <w:t xml:space="preserve">Вид доход </w:t>
            </w:r>
          </w:p>
        </w:tc>
        <w:tc>
          <w:tcPr>
            <w:tcW w:w="3586" w:type="dxa"/>
            <w:vMerge w:val="restart"/>
            <w:shd w:val="clear" w:color="000000" w:fill="FFFFFF"/>
            <w:vAlign w:val="center"/>
          </w:tcPr>
          <w:p w:rsidR="00863C99" w:rsidRPr="000E54EB" w:rsidRDefault="00316AFD" w:rsidP="00C94611">
            <w:pPr>
              <w:jc w:val="center"/>
              <w:rPr>
                <w:rFonts w:ascii="Verdana" w:hAnsi="Verdana" w:cs="Verdana"/>
                <w:b/>
                <w:bCs/>
                <w:sz w:val="20"/>
                <w:szCs w:val="20"/>
                <w:lang w:eastAsia="bg-BG"/>
              </w:rPr>
            </w:pPr>
            <w:r>
              <w:rPr>
                <w:rFonts w:ascii="Verdana" w:hAnsi="Verdana" w:cs="Verdana"/>
                <w:b/>
                <w:bCs/>
                <w:sz w:val="20"/>
                <w:szCs w:val="20"/>
                <w:lang w:eastAsia="bg-BG"/>
              </w:rPr>
              <w:t>2020</w:t>
            </w:r>
            <w:r w:rsidR="00863C99" w:rsidRPr="000E54EB">
              <w:rPr>
                <w:rFonts w:ascii="Verdana" w:hAnsi="Verdana" w:cs="Verdana"/>
                <w:b/>
                <w:bCs/>
                <w:sz w:val="20"/>
                <w:szCs w:val="20"/>
                <w:lang w:eastAsia="bg-BG"/>
              </w:rPr>
              <w:t xml:space="preserve"> г.</w:t>
            </w:r>
          </w:p>
        </w:tc>
      </w:tr>
      <w:tr w:rsidR="00863C99" w:rsidRPr="000E54EB">
        <w:trPr>
          <w:trHeight w:val="309"/>
        </w:trPr>
        <w:tc>
          <w:tcPr>
            <w:tcW w:w="5969" w:type="dxa"/>
            <w:vMerge/>
            <w:vAlign w:val="center"/>
          </w:tcPr>
          <w:p w:rsidR="00863C99" w:rsidRPr="000E54EB" w:rsidRDefault="00863C99" w:rsidP="00434FF5">
            <w:pPr>
              <w:jc w:val="left"/>
              <w:rPr>
                <w:rFonts w:ascii="Verdana" w:hAnsi="Verdana" w:cs="Verdana"/>
                <w:b/>
                <w:bCs/>
                <w:sz w:val="20"/>
                <w:szCs w:val="20"/>
                <w:lang w:eastAsia="bg-BG"/>
              </w:rPr>
            </w:pPr>
          </w:p>
        </w:tc>
        <w:tc>
          <w:tcPr>
            <w:tcW w:w="3586" w:type="dxa"/>
            <w:vMerge/>
            <w:vAlign w:val="center"/>
          </w:tcPr>
          <w:p w:rsidR="00863C99" w:rsidRPr="000E54EB" w:rsidRDefault="00863C99" w:rsidP="00146096">
            <w:pPr>
              <w:jc w:val="center"/>
              <w:rPr>
                <w:rFonts w:ascii="Verdana" w:hAnsi="Verdana" w:cs="Verdana"/>
                <w:b/>
                <w:bCs/>
                <w:sz w:val="20"/>
                <w:szCs w:val="20"/>
                <w:lang w:eastAsia="bg-BG"/>
              </w:rPr>
            </w:pPr>
          </w:p>
        </w:tc>
      </w:tr>
      <w:tr w:rsidR="00863C99" w:rsidRPr="000E54EB">
        <w:trPr>
          <w:trHeight w:val="300"/>
        </w:trPr>
        <w:tc>
          <w:tcPr>
            <w:tcW w:w="5969" w:type="dxa"/>
            <w:shd w:val="clear" w:color="000000" w:fill="FFFFFF"/>
            <w:vAlign w:val="center"/>
          </w:tcPr>
          <w:p w:rsidR="00863C99" w:rsidRPr="000E54EB" w:rsidRDefault="00863C99" w:rsidP="00434FF5">
            <w:pPr>
              <w:jc w:val="left"/>
              <w:rPr>
                <w:rFonts w:ascii="Verdana" w:hAnsi="Verdana" w:cs="Verdana"/>
                <w:sz w:val="20"/>
                <w:szCs w:val="20"/>
                <w:lang w:eastAsia="bg-BG"/>
              </w:rPr>
            </w:pPr>
            <w:r w:rsidRPr="000E54EB">
              <w:rPr>
                <w:rFonts w:ascii="Verdana" w:hAnsi="Verdana" w:cs="Verdana"/>
                <w:sz w:val="20"/>
                <w:szCs w:val="20"/>
                <w:lang w:eastAsia="bg-BG"/>
              </w:rPr>
              <w:t>Възнаграждения и осигуровки за периода</w:t>
            </w:r>
          </w:p>
        </w:tc>
        <w:tc>
          <w:tcPr>
            <w:tcW w:w="3586" w:type="dxa"/>
            <w:shd w:val="clear" w:color="000000" w:fill="FFFFFF"/>
            <w:noWrap/>
            <w:vAlign w:val="center"/>
          </w:tcPr>
          <w:p w:rsidR="00863C99" w:rsidRPr="000E54EB" w:rsidRDefault="00316AFD" w:rsidP="00B1044E">
            <w:pPr>
              <w:ind w:right="213"/>
              <w:jc w:val="center"/>
              <w:rPr>
                <w:rFonts w:ascii="Verdana" w:hAnsi="Verdana" w:cs="Verdana"/>
                <w:sz w:val="20"/>
                <w:szCs w:val="20"/>
                <w:lang w:eastAsia="bg-BG"/>
              </w:rPr>
            </w:pPr>
            <w:r>
              <w:rPr>
                <w:rFonts w:ascii="Verdana" w:hAnsi="Verdana" w:cs="Verdana"/>
                <w:sz w:val="20"/>
                <w:szCs w:val="20"/>
                <w:lang w:eastAsia="bg-BG"/>
              </w:rPr>
              <w:t>36</w:t>
            </w:r>
          </w:p>
        </w:tc>
      </w:tr>
      <w:tr w:rsidR="00863C99" w:rsidRPr="000E54EB">
        <w:trPr>
          <w:trHeight w:val="300"/>
        </w:trPr>
        <w:tc>
          <w:tcPr>
            <w:tcW w:w="5969" w:type="dxa"/>
            <w:shd w:val="clear" w:color="auto" w:fill="B4C6E7"/>
            <w:noWrap/>
            <w:vAlign w:val="center"/>
          </w:tcPr>
          <w:p w:rsidR="00863C99" w:rsidRPr="000E54EB" w:rsidRDefault="00863C99" w:rsidP="00434FF5">
            <w:pPr>
              <w:jc w:val="left"/>
              <w:rPr>
                <w:rFonts w:ascii="Verdana" w:hAnsi="Verdana" w:cs="Verdana"/>
                <w:b/>
                <w:bCs/>
                <w:sz w:val="20"/>
                <w:szCs w:val="20"/>
                <w:lang w:eastAsia="bg-BG"/>
              </w:rPr>
            </w:pPr>
            <w:r w:rsidRPr="000E54EB">
              <w:rPr>
                <w:rFonts w:ascii="Verdana" w:hAnsi="Verdana" w:cs="Verdana"/>
                <w:b/>
                <w:bCs/>
                <w:sz w:val="20"/>
                <w:szCs w:val="20"/>
                <w:lang w:eastAsia="bg-BG"/>
              </w:rPr>
              <w:t>Общо:</w:t>
            </w:r>
          </w:p>
        </w:tc>
        <w:tc>
          <w:tcPr>
            <w:tcW w:w="3586" w:type="dxa"/>
            <w:shd w:val="clear" w:color="auto" w:fill="B4C6E7"/>
            <w:noWrap/>
            <w:vAlign w:val="center"/>
          </w:tcPr>
          <w:p w:rsidR="00863C99" w:rsidRPr="000E54EB" w:rsidRDefault="00316AFD" w:rsidP="00B1044E">
            <w:pPr>
              <w:ind w:right="213"/>
              <w:jc w:val="center"/>
              <w:rPr>
                <w:rFonts w:ascii="Verdana" w:hAnsi="Verdana" w:cs="Verdana"/>
                <w:b/>
                <w:bCs/>
                <w:sz w:val="20"/>
                <w:szCs w:val="20"/>
                <w:lang w:eastAsia="bg-BG"/>
              </w:rPr>
            </w:pPr>
            <w:r>
              <w:rPr>
                <w:rFonts w:ascii="Verdana" w:hAnsi="Verdana" w:cs="Verdana"/>
                <w:b/>
                <w:bCs/>
                <w:sz w:val="20"/>
                <w:szCs w:val="20"/>
                <w:lang w:eastAsia="bg-BG"/>
              </w:rPr>
              <w:t>36</w:t>
            </w:r>
          </w:p>
        </w:tc>
      </w:tr>
    </w:tbl>
    <w:p w:rsidR="00863C99" w:rsidRPr="000E54EB" w:rsidRDefault="00863C99" w:rsidP="00B66DF8">
      <w:pPr>
        <w:rPr>
          <w:rFonts w:ascii="Verdana" w:hAnsi="Verdana" w:cs="Verdana"/>
          <w:sz w:val="20"/>
          <w:szCs w:val="20"/>
        </w:rPr>
      </w:pPr>
    </w:p>
    <w:p w:rsidR="00863C99" w:rsidRPr="000E54EB" w:rsidRDefault="00863C99" w:rsidP="00B66DF8">
      <w:pPr>
        <w:pStyle w:val="Heading2"/>
        <w:spacing w:before="0"/>
        <w:rPr>
          <w:rFonts w:ascii="Verdana" w:hAnsi="Verdana" w:cs="Verdana"/>
          <w:sz w:val="20"/>
          <w:szCs w:val="20"/>
          <w:lang w:val="bg-BG"/>
        </w:rPr>
      </w:pPr>
      <w:bookmarkStart w:id="184" w:name="_Toc4328867"/>
      <w:r w:rsidRPr="000E54EB">
        <w:rPr>
          <w:rFonts w:ascii="Verdana" w:hAnsi="Verdana" w:cs="Verdana"/>
          <w:sz w:val="20"/>
          <w:szCs w:val="20"/>
          <w:lang w:val="bg-BG"/>
        </w:rPr>
        <w:t>2. Цели и политика за управление на финансовия риск</w:t>
      </w:r>
      <w:bookmarkEnd w:id="181"/>
      <w:bookmarkEnd w:id="182"/>
      <w:bookmarkEnd w:id="183"/>
      <w:bookmarkEnd w:id="184"/>
      <w:r w:rsidRPr="000E54EB">
        <w:rPr>
          <w:rFonts w:ascii="Verdana" w:hAnsi="Verdana" w:cs="Verdana"/>
          <w:sz w:val="20"/>
          <w:szCs w:val="20"/>
          <w:lang w:val="bg-BG"/>
        </w:rPr>
        <w:tab/>
      </w:r>
    </w:p>
    <w:p w:rsidR="00863C99" w:rsidRPr="000E54EB" w:rsidRDefault="00863C99" w:rsidP="000A1634">
      <w:pPr>
        <w:autoSpaceDE w:val="0"/>
        <w:autoSpaceDN w:val="0"/>
        <w:adjustRightInd w:val="0"/>
        <w:rPr>
          <w:rFonts w:ascii="Verdana" w:hAnsi="Verdana" w:cs="Verdana"/>
          <w:sz w:val="20"/>
          <w:szCs w:val="20"/>
        </w:rPr>
      </w:pPr>
      <w:bookmarkStart w:id="185" w:name="_Toc35835177"/>
      <w:bookmarkStart w:id="186" w:name="_Toc41821557"/>
      <w:bookmarkStart w:id="187" w:name="_Toc42068627"/>
      <w:bookmarkStart w:id="188" w:name="_Toc247959211"/>
      <w:r w:rsidRPr="000E54EB">
        <w:rPr>
          <w:rFonts w:ascii="Verdana" w:hAnsi="Verdana" w:cs="Verdana"/>
          <w:sz w:val="20"/>
          <w:szCs w:val="20"/>
        </w:rPr>
        <w:t>При осъществяване на своята текуща, инвестиционна и финансова дейност, Дружеството е изложено на следните финансови рискове:</w:t>
      </w:r>
    </w:p>
    <w:p w:rsidR="00863C99" w:rsidRPr="000E54EB" w:rsidRDefault="00863C99" w:rsidP="000A1634">
      <w:pPr>
        <w:autoSpaceDE w:val="0"/>
        <w:autoSpaceDN w:val="0"/>
        <w:adjustRightInd w:val="0"/>
        <w:rPr>
          <w:rFonts w:ascii="Verdana" w:hAnsi="Verdana" w:cs="Verdana"/>
          <w:sz w:val="20"/>
          <w:szCs w:val="20"/>
        </w:rPr>
      </w:pPr>
      <w:r w:rsidRPr="000E54EB">
        <w:rPr>
          <w:rFonts w:ascii="Verdana" w:hAnsi="Verdana" w:cs="Verdana"/>
          <w:sz w:val="20"/>
          <w:szCs w:val="20"/>
        </w:rPr>
        <w:t>•</w:t>
      </w:r>
      <w:r w:rsidRPr="000E54EB">
        <w:rPr>
          <w:rFonts w:ascii="Verdana" w:hAnsi="Verdana" w:cs="Verdana"/>
          <w:sz w:val="20"/>
          <w:szCs w:val="20"/>
        </w:rPr>
        <w:tab/>
        <w:t>Кредитен риск: възможността длъжник да не изплати задълженията си – изцяло или частично – или да не го изплати своевременно, предизвиквайки по този начин загуба за Дружеството;</w:t>
      </w:r>
    </w:p>
    <w:p w:rsidR="00863C99" w:rsidRPr="000E54EB" w:rsidRDefault="00863C99" w:rsidP="000A1634">
      <w:pPr>
        <w:autoSpaceDE w:val="0"/>
        <w:autoSpaceDN w:val="0"/>
        <w:adjustRightInd w:val="0"/>
        <w:rPr>
          <w:rFonts w:ascii="Verdana" w:hAnsi="Verdana" w:cs="Verdana"/>
          <w:sz w:val="20"/>
          <w:szCs w:val="20"/>
        </w:rPr>
      </w:pPr>
      <w:r w:rsidRPr="000E54EB">
        <w:rPr>
          <w:rFonts w:ascii="Verdana" w:hAnsi="Verdana" w:cs="Verdana"/>
          <w:sz w:val="20"/>
          <w:szCs w:val="20"/>
        </w:rPr>
        <w:t>•</w:t>
      </w:r>
      <w:r w:rsidRPr="000E54EB">
        <w:rPr>
          <w:rFonts w:ascii="Verdana" w:hAnsi="Verdana" w:cs="Verdana"/>
          <w:sz w:val="20"/>
          <w:szCs w:val="20"/>
        </w:rPr>
        <w:tab/>
        <w:t>Ликвиден риск: рискът Дружеството да няма или да не е в състояние да набави парични средства, когато са необходими и поради това да срещне трудности при изпълнение на своите финансови задължения;</w:t>
      </w:r>
    </w:p>
    <w:p w:rsidR="00863C99" w:rsidRPr="000E54EB" w:rsidRDefault="00863C99" w:rsidP="000A1634">
      <w:pPr>
        <w:autoSpaceDE w:val="0"/>
        <w:autoSpaceDN w:val="0"/>
        <w:adjustRightInd w:val="0"/>
        <w:rPr>
          <w:rFonts w:ascii="Verdana" w:hAnsi="Verdana" w:cs="Verdana"/>
          <w:sz w:val="20"/>
          <w:szCs w:val="20"/>
        </w:rPr>
      </w:pPr>
      <w:r w:rsidRPr="000E54EB">
        <w:rPr>
          <w:rFonts w:ascii="Verdana" w:hAnsi="Verdana" w:cs="Verdana"/>
          <w:sz w:val="20"/>
          <w:szCs w:val="20"/>
        </w:rPr>
        <w:t>•</w:t>
      </w:r>
      <w:r w:rsidRPr="000E54EB">
        <w:rPr>
          <w:rFonts w:ascii="Verdana" w:hAnsi="Verdana" w:cs="Verdana"/>
          <w:sz w:val="20"/>
          <w:szCs w:val="20"/>
        </w:rPr>
        <w:tab/>
        <w:t>Пазарен риск: рискът определен финансов инструмент да претърпи колебания по отношение на справедливата стойност или на бъдещите парични потоци в резултат на колебания на пазарните цени. Всъщност Дружеството е изложено на три компонента на пазарния риск:</w:t>
      </w:r>
    </w:p>
    <w:p w:rsidR="00863C99" w:rsidRPr="000E54EB" w:rsidRDefault="00863C99" w:rsidP="000A1634">
      <w:pPr>
        <w:autoSpaceDE w:val="0"/>
        <w:autoSpaceDN w:val="0"/>
        <w:adjustRightInd w:val="0"/>
        <w:rPr>
          <w:rFonts w:ascii="Verdana" w:hAnsi="Verdana" w:cs="Verdana"/>
          <w:sz w:val="20"/>
          <w:szCs w:val="20"/>
        </w:rPr>
      </w:pPr>
      <w:r w:rsidRPr="000E54EB">
        <w:rPr>
          <w:rFonts w:ascii="Verdana" w:hAnsi="Verdana" w:cs="Verdana"/>
          <w:sz w:val="20"/>
          <w:szCs w:val="20"/>
        </w:rPr>
        <w:t>-</w:t>
      </w:r>
      <w:r w:rsidRPr="000E54EB">
        <w:rPr>
          <w:rFonts w:ascii="Verdana" w:hAnsi="Verdana" w:cs="Verdana"/>
          <w:sz w:val="20"/>
          <w:szCs w:val="20"/>
        </w:rPr>
        <w:tab/>
        <w:t>Лихвен риск;</w:t>
      </w:r>
    </w:p>
    <w:p w:rsidR="00863C99" w:rsidRPr="000E54EB" w:rsidRDefault="00863C99" w:rsidP="000A1634">
      <w:pPr>
        <w:autoSpaceDE w:val="0"/>
        <w:autoSpaceDN w:val="0"/>
        <w:adjustRightInd w:val="0"/>
        <w:rPr>
          <w:rFonts w:ascii="Verdana" w:hAnsi="Verdana" w:cs="Verdana"/>
          <w:sz w:val="20"/>
          <w:szCs w:val="20"/>
        </w:rPr>
      </w:pPr>
      <w:r w:rsidRPr="000E54EB">
        <w:rPr>
          <w:rFonts w:ascii="Verdana" w:hAnsi="Verdana" w:cs="Verdana"/>
          <w:sz w:val="20"/>
          <w:szCs w:val="20"/>
        </w:rPr>
        <w:t>-</w:t>
      </w:r>
      <w:r w:rsidRPr="000E54EB">
        <w:rPr>
          <w:rFonts w:ascii="Verdana" w:hAnsi="Verdana" w:cs="Verdana"/>
          <w:sz w:val="20"/>
          <w:szCs w:val="20"/>
        </w:rPr>
        <w:tab/>
        <w:t>Валутен риск;</w:t>
      </w:r>
    </w:p>
    <w:p w:rsidR="00863C99" w:rsidRPr="000E54EB" w:rsidRDefault="00863C99" w:rsidP="000A1634">
      <w:pPr>
        <w:autoSpaceDE w:val="0"/>
        <w:autoSpaceDN w:val="0"/>
        <w:adjustRightInd w:val="0"/>
        <w:rPr>
          <w:rFonts w:ascii="Verdana" w:hAnsi="Verdana" w:cs="Verdana"/>
          <w:sz w:val="20"/>
          <w:szCs w:val="20"/>
        </w:rPr>
      </w:pPr>
      <w:r w:rsidRPr="000E54EB">
        <w:rPr>
          <w:rFonts w:ascii="Verdana" w:hAnsi="Verdana" w:cs="Verdana"/>
          <w:sz w:val="20"/>
          <w:szCs w:val="20"/>
        </w:rPr>
        <w:t>-</w:t>
      </w:r>
      <w:r w:rsidRPr="000E54EB">
        <w:rPr>
          <w:rFonts w:ascii="Verdana" w:hAnsi="Verdana" w:cs="Verdana"/>
          <w:sz w:val="20"/>
          <w:szCs w:val="20"/>
        </w:rPr>
        <w:tab/>
        <w:t>Риск от промяна в цената на собствения капитал.</w:t>
      </w:r>
    </w:p>
    <w:p w:rsidR="00863C99" w:rsidRPr="000E54EB" w:rsidRDefault="00863C99" w:rsidP="000A1634">
      <w:pPr>
        <w:autoSpaceDE w:val="0"/>
        <w:autoSpaceDN w:val="0"/>
        <w:adjustRightInd w:val="0"/>
        <w:rPr>
          <w:rFonts w:ascii="Verdana" w:hAnsi="Verdana" w:cs="Verdana"/>
          <w:sz w:val="20"/>
          <w:szCs w:val="20"/>
        </w:rPr>
      </w:pPr>
      <w:r w:rsidRPr="000E54EB">
        <w:rPr>
          <w:rFonts w:ascii="Verdana" w:hAnsi="Verdana" w:cs="Verdana"/>
          <w:sz w:val="20"/>
          <w:szCs w:val="20"/>
        </w:rPr>
        <w:t xml:space="preserve">За ефективно управление на тези рискове, Съветът на директорите е одобрил специфични стратегии за мениджмънт на финансовия риск, които са в съответствие с корпоративните цели. Основните насоки на тези стратегии определят краткосрочните и дългосрочните цели и действия, които трябва да се предприемат, за да се управляват финансовите рискове, пред които е изправено Дружеството. </w:t>
      </w:r>
    </w:p>
    <w:p w:rsidR="00863C99" w:rsidRPr="000E54EB" w:rsidRDefault="00863C99" w:rsidP="000A1634">
      <w:pPr>
        <w:autoSpaceDE w:val="0"/>
        <w:autoSpaceDN w:val="0"/>
        <w:adjustRightInd w:val="0"/>
        <w:rPr>
          <w:rFonts w:ascii="Verdana" w:hAnsi="Verdana" w:cs="Verdana"/>
          <w:sz w:val="20"/>
          <w:szCs w:val="20"/>
        </w:rPr>
      </w:pPr>
      <w:r w:rsidRPr="000E54EB">
        <w:rPr>
          <w:rFonts w:ascii="Verdana" w:hAnsi="Verdana" w:cs="Verdana"/>
          <w:sz w:val="20"/>
          <w:szCs w:val="20"/>
        </w:rPr>
        <w:t>Основните насоки на политиката по отношение на финансовите рискове са следните:</w:t>
      </w:r>
    </w:p>
    <w:p w:rsidR="00863C99" w:rsidRPr="000E54EB" w:rsidRDefault="00863C99" w:rsidP="000A1634">
      <w:pPr>
        <w:autoSpaceDE w:val="0"/>
        <w:autoSpaceDN w:val="0"/>
        <w:adjustRightInd w:val="0"/>
        <w:rPr>
          <w:rFonts w:ascii="Verdana" w:hAnsi="Verdana" w:cs="Verdana"/>
          <w:sz w:val="20"/>
          <w:szCs w:val="20"/>
        </w:rPr>
      </w:pPr>
      <w:r w:rsidRPr="000E54EB">
        <w:rPr>
          <w:rFonts w:ascii="Verdana" w:hAnsi="Verdana" w:cs="Verdana"/>
          <w:sz w:val="20"/>
          <w:szCs w:val="20"/>
        </w:rPr>
        <w:t>•  Минимизиране на лихвения риск, валутния риск и ценовия риск за всички видове сделки;</w:t>
      </w:r>
    </w:p>
    <w:p w:rsidR="00863C99" w:rsidRPr="000E54EB" w:rsidRDefault="00863C99" w:rsidP="000A1634">
      <w:pPr>
        <w:autoSpaceDE w:val="0"/>
        <w:autoSpaceDN w:val="0"/>
        <w:adjustRightInd w:val="0"/>
        <w:rPr>
          <w:rFonts w:ascii="Verdana" w:hAnsi="Verdana" w:cs="Verdana"/>
          <w:sz w:val="20"/>
          <w:szCs w:val="20"/>
        </w:rPr>
      </w:pPr>
      <w:r w:rsidRPr="000E54EB">
        <w:rPr>
          <w:rFonts w:ascii="Verdana" w:hAnsi="Verdana" w:cs="Verdana"/>
          <w:sz w:val="20"/>
          <w:szCs w:val="20"/>
        </w:rPr>
        <w:t>•  Максимално използване на „естественото хеджиране”, при което в максимална възможна степен се залага на естественото прихващане на продажби, разходи, дължими суми и вземания, преизчислени в съответната валута, вследствие на което се налага прилагане на стратегии на хеджиране само за салдата в превишение. Същата стратегия се прилага и по отношение на лихвения риск;</w:t>
      </w:r>
    </w:p>
    <w:p w:rsidR="00863C99" w:rsidRPr="000E54EB" w:rsidRDefault="00863C99" w:rsidP="000A1634">
      <w:pPr>
        <w:autoSpaceDE w:val="0"/>
        <w:autoSpaceDN w:val="0"/>
        <w:adjustRightInd w:val="0"/>
        <w:rPr>
          <w:rFonts w:ascii="Verdana" w:hAnsi="Verdana" w:cs="Verdana"/>
          <w:sz w:val="20"/>
          <w:szCs w:val="20"/>
        </w:rPr>
      </w:pPr>
      <w:r w:rsidRPr="000E54EB">
        <w:rPr>
          <w:rFonts w:ascii="Verdana" w:hAnsi="Verdana" w:cs="Verdana"/>
          <w:sz w:val="20"/>
          <w:szCs w:val="20"/>
        </w:rPr>
        <w:lastRenderedPageBreak/>
        <w:t>•  Внедряване на деривативи или други подобни инструменти единствено за целите на хеджиране;</w:t>
      </w:r>
    </w:p>
    <w:p w:rsidR="00863C99" w:rsidRPr="000E54EB" w:rsidRDefault="00863C99" w:rsidP="000A1634">
      <w:pPr>
        <w:autoSpaceDE w:val="0"/>
        <w:autoSpaceDN w:val="0"/>
        <w:adjustRightInd w:val="0"/>
        <w:rPr>
          <w:rFonts w:ascii="Verdana" w:hAnsi="Verdana" w:cs="Verdana"/>
          <w:sz w:val="20"/>
          <w:szCs w:val="20"/>
        </w:rPr>
      </w:pPr>
      <w:r w:rsidRPr="000E54EB">
        <w:rPr>
          <w:rFonts w:ascii="Verdana" w:hAnsi="Verdana" w:cs="Verdana"/>
          <w:sz w:val="20"/>
          <w:szCs w:val="20"/>
        </w:rPr>
        <w:t>•  Всички дейности по управление на финансовия риск се осъществяват и контролират на централно ниво;</w:t>
      </w:r>
    </w:p>
    <w:p w:rsidR="00863C99" w:rsidRPr="000E54EB" w:rsidRDefault="00863C99" w:rsidP="000A1634">
      <w:pPr>
        <w:autoSpaceDE w:val="0"/>
        <w:autoSpaceDN w:val="0"/>
        <w:adjustRightInd w:val="0"/>
        <w:rPr>
          <w:rFonts w:ascii="Verdana" w:hAnsi="Verdana" w:cs="Verdana"/>
          <w:sz w:val="20"/>
          <w:szCs w:val="20"/>
        </w:rPr>
      </w:pPr>
      <w:r w:rsidRPr="000E54EB">
        <w:rPr>
          <w:rFonts w:ascii="Verdana" w:hAnsi="Verdana" w:cs="Verdana"/>
          <w:sz w:val="20"/>
          <w:szCs w:val="20"/>
        </w:rPr>
        <w:t>•  Всички дейности по управление на финансовия риск се осъществяват на разумна и последователна основа и при спазване на най-добрите пазарни практики.</w:t>
      </w:r>
    </w:p>
    <w:p w:rsidR="00863C99" w:rsidRPr="000E54EB" w:rsidRDefault="00863C99" w:rsidP="000A1634">
      <w:pPr>
        <w:autoSpaceDE w:val="0"/>
        <w:autoSpaceDN w:val="0"/>
        <w:adjustRightInd w:val="0"/>
        <w:rPr>
          <w:rFonts w:ascii="Verdana" w:hAnsi="Verdana" w:cs="Verdana"/>
          <w:sz w:val="20"/>
          <w:szCs w:val="20"/>
        </w:rPr>
      </w:pPr>
      <w:r w:rsidRPr="000E54EB">
        <w:rPr>
          <w:rFonts w:ascii="Verdana" w:hAnsi="Verdana" w:cs="Verdana"/>
          <w:sz w:val="20"/>
          <w:szCs w:val="20"/>
        </w:rPr>
        <w:t>Дружеството може да инвестира в акции или други подобни инструменти само в случай, че е налице временна допълнителна ликвидност, като за всички подобни сделки е необходимо разрешение от Съвета на директорите.</w:t>
      </w:r>
    </w:p>
    <w:p w:rsidR="00863C99" w:rsidRPr="000E54EB" w:rsidRDefault="00863C99" w:rsidP="000A1634">
      <w:pPr>
        <w:autoSpaceDE w:val="0"/>
        <w:autoSpaceDN w:val="0"/>
        <w:adjustRightInd w:val="0"/>
        <w:rPr>
          <w:rFonts w:ascii="Verdana" w:hAnsi="Verdana" w:cs="Verdana"/>
          <w:sz w:val="20"/>
          <w:szCs w:val="20"/>
        </w:rPr>
      </w:pPr>
    </w:p>
    <w:tbl>
      <w:tblPr>
        <w:tblW w:w="9537" w:type="dxa"/>
        <w:tblInd w:w="-68" w:type="dxa"/>
        <w:tblCellMar>
          <w:left w:w="70" w:type="dxa"/>
          <w:right w:w="70" w:type="dxa"/>
        </w:tblCellMar>
        <w:tblLook w:val="00A0" w:firstRow="1" w:lastRow="0" w:firstColumn="1" w:lastColumn="0" w:noHBand="0" w:noVBand="0"/>
      </w:tblPr>
      <w:tblGrid>
        <w:gridCol w:w="6120"/>
        <w:gridCol w:w="483"/>
        <w:gridCol w:w="1233"/>
        <w:gridCol w:w="1701"/>
      </w:tblGrid>
      <w:tr w:rsidR="00863C99" w:rsidRPr="000E54EB">
        <w:trPr>
          <w:gridAfter w:val="2"/>
          <w:wAfter w:w="2934" w:type="dxa"/>
          <w:trHeight w:val="300"/>
        </w:trPr>
        <w:tc>
          <w:tcPr>
            <w:tcW w:w="6603" w:type="dxa"/>
            <w:gridSpan w:val="2"/>
            <w:tcBorders>
              <w:top w:val="nil"/>
              <w:left w:val="nil"/>
              <w:bottom w:val="single" w:sz="4" w:space="0" w:color="auto"/>
              <w:right w:val="nil"/>
            </w:tcBorders>
            <w:noWrap/>
            <w:vAlign w:val="bottom"/>
          </w:tcPr>
          <w:p w:rsidR="00863C99" w:rsidRPr="000E54EB" w:rsidRDefault="00863C99" w:rsidP="00D053E9">
            <w:pPr>
              <w:jc w:val="left"/>
              <w:rPr>
                <w:rFonts w:ascii="Verdana" w:hAnsi="Verdana" w:cs="Verdana"/>
                <w:b/>
                <w:bCs/>
                <w:sz w:val="20"/>
                <w:szCs w:val="20"/>
                <w:lang w:eastAsia="bg-BG"/>
              </w:rPr>
            </w:pPr>
            <w:r w:rsidRPr="000E54EB">
              <w:rPr>
                <w:rFonts w:ascii="Verdana" w:hAnsi="Verdana" w:cs="Verdana"/>
                <w:b/>
                <w:bCs/>
                <w:sz w:val="20"/>
                <w:szCs w:val="20"/>
                <w:lang w:eastAsia="bg-BG"/>
              </w:rPr>
              <w:t>Финансови инструменти</w:t>
            </w:r>
          </w:p>
          <w:p w:rsidR="00863C99" w:rsidRPr="000E54EB" w:rsidRDefault="00863C99" w:rsidP="00D053E9">
            <w:pPr>
              <w:jc w:val="left"/>
              <w:rPr>
                <w:rFonts w:ascii="Verdana" w:hAnsi="Verdana" w:cs="Verdana"/>
                <w:b/>
                <w:bCs/>
                <w:sz w:val="20"/>
                <w:szCs w:val="20"/>
                <w:lang w:eastAsia="bg-BG"/>
              </w:rPr>
            </w:pPr>
          </w:p>
        </w:tc>
      </w:tr>
      <w:tr w:rsidR="00863C99" w:rsidRPr="000E54EB">
        <w:trPr>
          <w:trHeight w:val="255"/>
        </w:trPr>
        <w:tc>
          <w:tcPr>
            <w:tcW w:w="6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3C99" w:rsidRPr="000E54EB" w:rsidRDefault="00863C99" w:rsidP="00D053E9">
            <w:pPr>
              <w:jc w:val="left"/>
              <w:rPr>
                <w:rFonts w:ascii="Verdana" w:hAnsi="Verdana" w:cs="Verdana"/>
                <w:b/>
                <w:bCs/>
                <w:color w:val="000000"/>
                <w:sz w:val="20"/>
                <w:szCs w:val="20"/>
                <w:lang w:eastAsia="bg-BG"/>
              </w:rPr>
            </w:pPr>
            <w:r w:rsidRPr="000E54EB">
              <w:rPr>
                <w:rFonts w:ascii="Verdana" w:hAnsi="Verdana" w:cs="Verdana"/>
                <w:b/>
                <w:bCs/>
                <w:color w:val="000000"/>
                <w:sz w:val="20"/>
                <w:szCs w:val="20"/>
                <w:lang w:eastAsia="bg-BG"/>
              </w:rPr>
              <w:t>Финансови активи</w:t>
            </w:r>
          </w:p>
        </w:tc>
        <w:tc>
          <w:tcPr>
            <w:tcW w:w="1716" w:type="dxa"/>
            <w:gridSpan w:val="2"/>
            <w:tcBorders>
              <w:top w:val="single" w:sz="4" w:space="0" w:color="auto"/>
              <w:left w:val="nil"/>
              <w:bottom w:val="single" w:sz="4" w:space="0" w:color="auto"/>
              <w:right w:val="single" w:sz="4" w:space="0" w:color="auto"/>
            </w:tcBorders>
            <w:noWrap/>
            <w:vAlign w:val="center"/>
          </w:tcPr>
          <w:p w:rsidR="00863C99" w:rsidRPr="000E54EB" w:rsidRDefault="00481CD0" w:rsidP="00C94611">
            <w:pPr>
              <w:jc w:val="center"/>
              <w:rPr>
                <w:rFonts w:ascii="Verdana" w:hAnsi="Verdana" w:cs="Verdana"/>
                <w:b/>
                <w:bCs/>
                <w:sz w:val="20"/>
                <w:szCs w:val="20"/>
                <w:lang w:eastAsia="bg-BG"/>
              </w:rPr>
            </w:pPr>
            <w:r>
              <w:rPr>
                <w:rFonts w:ascii="Verdana" w:hAnsi="Verdana" w:cs="Verdana"/>
                <w:b/>
                <w:bCs/>
                <w:sz w:val="20"/>
                <w:szCs w:val="20"/>
                <w:lang w:eastAsia="bg-BG"/>
              </w:rPr>
              <w:t>30.06.2020</w:t>
            </w:r>
            <w:r w:rsidR="00863C99" w:rsidRPr="000E54EB">
              <w:rPr>
                <w:rFonts w:ascii="Verdana" w:hAnsi="Verdana" w:cs="Verdana"/>
                <w:b/>
                <w:bCs/>
                <w:sz w:val="20"/>
                <w:szCs w:val="20"/>
                <w:lang w:eastAsia="bg-BG"/>
              </w:rPr>
              <w:t xml:space="preserve"> г.</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863C99" w:rsidRPr="000E54EB" w:rsidRDefault="00863C99" w:rsidP="00481CD0">
            <w:pPr>
              <w:jc w:val="center"/>
              <w:rPr>
                <w:rFonts w:ascii="Verdana" w:hAnsi="Verdana" w:cs="Verdana"/>
                <w:b/>
                <w:bCs/>
                <w:sz w:val="20"/>
                <w:szCs w:val="20"/>
                <w:lang w:eastAsia="bg-BG"/>
              </w:rPr>
            </w:pPr>
            <w:r w:rsidRPr="000E54EB">
              <w:rPr>
                <w:rFonts w:ascii="Verdana" w:hAnsi="Verdana" w:cs="Verdana"/>
                <w:b/>
                <w:bCs/>
                <w:sz w:val="20"/>
                <w:szCs w:val="20"/>
                <w:lang w:eastAsia="bg-BG"/>
              </w:rPr>
              <w:t>31.12.201</w:t>
            </w:r>
            <w:r w:rsidR="00481CD0">
              <w:rPr>
                <w:rFonts w:ascii="Verdana" w:hAnsi="Verdana" w:cs="Verdana"/>
                <w:b/>
                <w:bCs/>
                <w:sz w:val="20"/>
                <w:szCs w:val="20"/>
                <w:lang w:eastAsia="bg-BG"/>
              </w:rPr>
              <w:t>9</w:t>
            </w:r>
            <w:r w:rsidRPr="000E54EB">
              <w:rPr>
                <w:rFonts w:ascii="Verdana" w:hAnsi="Verdana" w:cs="Verdana"/>
                <w:b/>
                <w:bCs/>
                <w:sz w:val="20"/>
                <w:szCs w:val="20"/>
                <w:lang w:eastAsia="bg-BG"/>
              </w:rPr>
              <w:t xml:space="preserve"> г.</w:t>
            </w:r>
          </w:p>
        </w:tc>
      </w:tr>
      <w:tr w:rsidR="00481CD0" w:rsidRPr="00DC552C">
        <w:trPr>
          <w:trHeight w:val="255"/>
        </w:trPr>
        <w:tc>
          <w:tcPr>
            <w:tcW w:w="6120" w:type="dxa"/>
            <w:tcBorders>
              <w:top w:val="single" w:sz="4" w:space="0" w:color="auto"/>
              <w:left w:val="single" w:sz="4" w:space="0" w:color="auto"/>
              <w:bottom w:val="single" w:sz="4" w:space="0" w:color="auto"/>
              <w:right w:val="single" w:sz="4" w:space="0" w:color="auto"/>
            </w:tcBorders>
            <w:shd w:val="clear" w:color="000000" w:fill="FFFFFF"/>
            <w:vAlign w:val="center"/>
          </w:tcPr>
          <w:p w:rsidR="00481CD0" w:rsidRPr="00DC552C" w:rsidRDefault="00481CD0" w:rsidP="00D053E9">
            <w:pPr>
              <w:jc w:val="left"/>
              <w:rPr>
                <w:rFonts w:ascii="Verdana" w:hAnsi="Verdana" w:cs="Verdana"/>
                <w:color w:val="000000"/>
                <w:sz w:val="20"/>
                <w:szCs w:val="20"/>
                <w:lang w:eastAsia="bg-BG"/>
              </w:rPr>
            </w:pPr>
            <w:r w:rsidRPr="00DC552C">
              <w:rPr>
                <w:rFonts w:ascii="Verdana" w:hAnsi="Verdana" w:cs="Verdana"/>
                <w:color w:val="000000"/>
                <w:sz w:val="20"/>
                <w:szCs w:val="20"/>
                <w:lang w:eastAsia="bg-BG"/>
              </w:rPr>
              <w:t>Текущи търговски и други вземания</w:t>
            </w:r>
          </w:p>
        </w:tc>
        <w:tc>
          <w:tcPr>
            <w:tcW w:w="1716" w:type="dxa"/>
            <w:gridSpan w:val="2"/>
            <w:tcBorders>
              <w:top w:val="single" w:sz="4" w:space="0" w:color="auto"/>
              <w:left w:val="nil"/>
              <w:bottom w:val="single" w:sz="4" w:space="0" w:color="auto"/>
              <w:right w:val="single" w:sz="4" w:space="0" w:color="auto"/>
            </w:tcBorders>
            <w:noWrap/>
            <w:vAlign w:val="center"/>
          </w:tcPr>
          <w:p w:rsidR="00481CD0" w:rsidRPr="00DC552C" w:rsidRDefault="00482857" w:rsidP="00D053E9">
            <w:pPr>
              <w:jc w:val="center"/>
              <w:rPr>
                <w:rFonts w:ascii="Verdana" w:hAnsi="Verdana" w:cs="Verdana"/>
                <w:sz w:val="20"/>
                <w:szCs w:val="20"/>
                <w:lang w:eastAsia="bg-BG"/>
              </w:rPr>
            </w:pPr>
            <w:r>
              <w:rPr>
                <w:rFonts w:ascii="Verdana" w:hAnsi="Verdana" w:cs="Verdana"/>
                <w:sz w:val="20"/>
                <w:szCs w:val="20"/>
                <w:lang w:eastAsia="bg-BG"/>
              </w:rPr>
              <w:t>984</w:t>
            </w:r>
          </w:p>
        </w:tc>
        <w:tc>
          <w:tcPr>
            <w:tcW w:w="1701" w:type="dxa"/>
            <w:tcBorders>
              <w:top w:val="single" w:sz="4" w:space="0" w:color="auto"/>
              <w:left w:val="nil"/>
              <w:bottom w:val="single" w:sz="4" w:space="0" w:color="auto"/>
              <w:right w:val="single" w:sz="4" w:space="0" w:color="auto"/>
            </w:tcBorders>
            <w:noWrap/>
            <w:vAlign w:val="center"/>
          </w:tcPr>
          <w:p w:rsidR="00481CD0" w:rsidRPr="00DC552C" w:rsidRDefault="00481CD0" w:rsidP="00A77C33">
            <w:pPr>
              <w:jc w:val="center"/>
              <w:rPr>
                <w:rFonts w:ascii="Verdana" w:hAnsi="Verdana" w:cs="Verdana"/>
                <w:sz w:val="20"/>
                <w:szCs w:val="20"/>
                <w:lang w:eastAsia="bg-BG"/>
              </w:rPr>
            </w:pPr>
            <w:r>
              <w:rPr>
                <w:rFonts w:ascii="Verdana" w:hAnsi="Verdana" w:cs="Verdana"/>
                <w:sz w:val="20"/>
                <w:szCs w:val="20"/>
                <w:lang w:eastAsia="bg-BG"/>
              </w:rPr>
              <w:t xml:space="preserve">1 </w:t>
            </w:r>
            <w:r w:rsidR="00482857">
              <w:rPr>
                <w:rFonts w:ascii="Verdana" w:hAnsi="Verdana" w:cs="Verdana"/>
                <w:sz w:val="20"/>
                <w:szCs w:val="20"/>
                <w:lang w:eastAsia="bg-BG"/>
              </w:rPr>
              <w:t>311</w:t>
            </w:r>
          </w:p>
        </w:tc>
      </w:tr>
      <w:tr w:rsidR="00481CD0" w:rsidRPr="00DC552C">
        <w:trPr>
          <w:trHeight w:val="300"/>
        </w:trPr>
        <w:tc>
          <w:tcPr>
            <w:tcW w:w="6120" w:type="dxa"/>
            <w:tcBorders>
              <w:top w:val="single" w:sz="4" w:space="0" w:color="auto"/>
              <w:left w:val="single" w:sz="4" w:space="0" w:color="auto"/>
              <w:bottom w:val="single" w:sz="4" w:space="0" w:color="auto"/>
              <w:right w:val="single" w:sz="4" w:space="0" w:color="auto"/>
            </w:tcBorders>
            <w:shd w:val="clear" w:color="000000" w:fill="FFFFFF"/>
            <w:vAlign w:val="center"/>
          </w:tcPr>
          <w:p w:rsidR="00481CD0" w:rsidRPr="00DC552C" w:rsidRDefault="00481CD0" w:rsidP="00D053E9">
            <w:pPr>
              <w:jc w:val="left"/>
              <w:rPr>
                <w:rFonts w:ascii="Verdana" w:hAnsi="Verdana" w:cs="Verdana"/>
                <w:color w:val="000000"/>
                <w:sz w:val="20"/>
                <w:szCs w:val="20"/>
                <w:lang w:eastAsia="bg-BG"/>
              </w:rPr>
            </w:pPr>
            <w:r w:rsidRPr="00DC552C">
              <w:rPr>
                <w:rFonts w:ascii="Verdana" w:hAnsi="Verdana" w:cs="Verdana"/>
                <w:color w:val="000000"/>
                <w:sz w:val="20"/>
                <w:szCs w:val="20"/>
                <w:lang w:eastAsia="bg-BG"/>
              </w:rPr>
              <w:t>Парични средства</w:t>
            </w:r>
          </w:p>
        </w:tc>
        <w:tc>
          <w:tcPr>
            <w:tcW w:w="1716" w:type="dxa"/>
            <w:gridSpan w:val="2"/>
            <w:tcBorders>
              <w:top w:val="single" w:sz="4" w:space="0" w:color="auto"/>
              <w:left w:val="nil"/>
              <w:bottom w:val="single" w:sz="4" w:space="0" w:color="auto"/>
              <w:right w:val="single" w:sz="4" w:space="0" w:color="auto"/>
            </w:tcBorders>
            <w:noWrap/>
            <w:vAlign w:val="center"/>
          </w:tcPr>
          <w:p w:rsidR="00481CD0" w:rsidRPr="00DC552C" w:rsidRDefault="00482857" w:rsidP="00D053E9">
            <w:pPr>
              <w:jc w:val="center"/>
              <w:rPr>
                <w:rFonts w:ascii="Verdana" w:hAnsi="Verdana" w:cs="Verdana"/>
                <w:sz w:val="20"/>
                <w:szCs w:val="20"/>
                <w:lang w:eastAsia="bg-BG"/>
              </w:rPr>
            </w:pPr>
            <w:r>
              <w:rPr>
                <w:rFonts w:ascii="Verdana" w:hAnsi="Verdana" w:cs="Verdana"/>
                <w:sz w:val="20"/>
                <w:szCs w:val="20"/>
                <w:lang w:eastAsia="bg-BG"/>
              </w:rPr>
              <w:t>13</w:t>
            </w:r>
          </w:p>
        </w:tc>
        <w:tc>
          <w:tcPr>
            <w:tcW w:w="1701" w:type="dxa"/>
            <w:tcBorders>
              <w:top w:val="single" w:sz="4" w:space="0" w:color="auto"/>
              <w:left w:val="nil"/>
              <w:bottom w:val="single" w:sz="4" w:space="0" w:color="auto"/>
              <w:right w:val="single" w:sz="4" w:space="0" w:color="auto"/>
            </w:tcBorders>
            <w:noWrap/>
            <w:vAlign w:val="center"/>
          </w:tcPr>
          <w:p w:rsidR="00481CD0" w:rsidRPr="00DC552C" w:rsidRDefault="00481CD0" w:rsidP="00A77C33">
            <w:pPr>
              <w:jc w:val="center"/>
              <w:rPr>
                <w:rFonts w:ascii="Verdana" w:hAnsi="Verdana" w:cs="Verdana"/>
                <w:sz w:val="20"/>
                <w:szCs w:val="20"/>
                <w:lang w:eastAsia="bg-BG"/>
              </w:rPr>
            </w:pPr>
            <w:r>
              <w:rPr>
                <w:rFonts w:ascii="Verdana" w:hAnsi="Verdana" w:cs="Verdana"/>
                <w:sz w:val="20"/>
                <w:szCs w:val="20"/>
                <w:lang w:eastAsia="bg-BG"/>
              </w:rPr>
              <w:t>7</w:t>
            </w:r>
            <w:r w:rsidR="00482857">
              <w:rPr>
                <w:rFonts w:ascii="Verdana" w:hAnsi="Verdana" w:cs="Verdana"/>
                <w:sz w:val="20"/>
                <w:szCs w:val="20"/>
                <w:lang w:eastAsia="bg-BG"/>
              </w:rPr>
              <w:t>4</w:t>
            </w:r>
          </w:p>
        </w:tc>
      </w:tr>
      <w:tr w:rsidR="00481CD0" w:rsidRPr="000E54EB">
        <w:trPr>
          <w:trHeight w:val="300"/>
        </w:trPr>
        <w:tc>
          <w:tcPr>
            <w:tcW w:w="6120" w:type="dxa"/>
            <w:tcBorders>
              <w:top w:val="single" w:sz="4" w:space="0" w:color="auto"/>
              <w:left w:val="single" w:sz="4" w:space="0" w:color="auto"/>
              <w:bottom w:val="single" w:sz="4" w:space="0" w:color="auto"/>
              <w:right w:val="nil"/>
            </w:tcBorders>
            <w:shd w:val="clear" w:color="000000" w:fill="C5D9F1"/>
            <w:noWrap/>
            <w:vAlign w:val="bottom"/>
          </w:tcPr>
          <w:p w:rsidR="00481CD0" w:rsidRPr="000E54EB" w:rsidRDefault="00481CD0" w:rsidP="00D053E9">
            <w:pPr>
              <w:jc w:val="left"/>
              <w:rPr>
                <w:rFonts w:ascii="Verdana" w:hAnsi="Verdana" w:cs="Verdana"/>
                <w:b/>
                <w:bCs/>
                <w:sz w:val="20"/>
                <w:szCs w:val="20"/>
                <w:lang w:eastAsia="bg-BG"/>
              </w:rPr>
            </w:pPr>
            <w:r w:rsidRPr="000E54EB">
              <w:rPr>
                <w:rFonts w:ascii="Verdana" w:hAnsi="Verdana" w:cs="Verdana"/>
                <w:b/>
                <w:bCs/>
                <w:sz w:val="20"/>
                <w:szCs w:val="20"/>
                <w:lang w:eastAsia="bg-BG"/>
              </w:rPr>
              <w:t>Общо финансови активи</w:t>
            </w:r>
          </w:p>
        </w:tc>
        <w:tc>
          <w:tcPr>
            <w:tcW w:w="1716" w:type="dxa"/>
            <w:gridSpan w:val="2"/>
            <w:tcBorders>
              <w:top w:val="single" w:sz="4" w:space="0" w:color="auto"/>
              <w:left w:val="single" w:sz="4" w:space="0" w:color="auto"/>
              <w:bottom w:val="single" w:sz="4" w:space="0" w:color="auto"/>
              <w:right w:val="nil"/>
            </w:tcBorders>
            <w:shd w:val="clear" w:color="000000" w:fill="C5D9F1"/>
            <w:noWrap/>
            <w:vAlign w:val="center"/>
          </w:tcPr>
          <w:p w:rsidR="00481CD0" w:rsidRPr="000E54EB" w:rsidRDefault="00482857" w:rsidP="00D053E9">
            <w:pPr>
              <w:jc w:val="center"/>
              <w:rPr>
                <w:rFonts w:ascii="Verdana" w:hAnsi="Verdana" w:cs="Verdana"/>
                <w:b/>
                <w:bCs/>
                <w:sz w:val="20"/>
                <w:szCs w:val="20"/>
                <w:lang w:eastAsia="bg-BG"/>
              </w:rPr>
            </w:pPr>
            <w:r>
              <w:rPr>
                <w:rFonts w:ascii="Verdana" w:hAnsi="Verdana" w:cs="Verdana"/>
                <w:b/>
                <w:bCs/>
                <w:sz w:val="20"/>
                <w:szCs w:val="20"/>
                <w:lang w:eastAsia="bg-BG"/>
              </w:rPr>
              <w:t>997</w:t>
            </w:r>
          </w:p>
        </w:tc>
        <w:tc>
          <w:tcPr>
            <w:tcW w:w="1701" w:type="dxa"/>
            <w:tcBorders>
              <w:top w:val="single" w:sz="4" w:space="0" w:color="auto"/>
              <w:left w:val="single" w:sz="4" w:space="0" w:color="auto"/>
              <w:bottom w:val="single" w:sz="4" w:space="0" w:color="auto"/>
              <w:right w:val="single" w:sz="4" w:space="0" w:color="auto"/>
            </w:tcBorders>
            <w:shd w:val="clear" w:color="000000" w:fill="C5D9F1"/>
            <w:noWrap/>
            <w:vAlign w:val="center"/>
          </w:tcPr>
          <w:p w:rsidR="00481CD0" w:rsidRPr="000E54EB" w:rsidRDefault="00481CD0" w:rsidP="00A77C33">
            <w:pPr>
              <w:jc w:val="center"/>
              <w:rPr>
                <w:rFonts w:ascii="Verdana" w:hAnsi="Verdana" w:cs="Verdana"/>
                <w:b/>
                <w:bCs/>
                <w:sz w:val="20"/>
                <w:szCs w:val="20"/>
                <w:lang w:eastAsia="bg-BG"/>
              </w:rPr>
            </w:pPr>
            <w:r>
              <w:rPr>
                <w:rFonts w:ascii="Verdana" w:hAnsi="Verdana" w:cs="Verdana"/>
                <w:b/>
                <w:bCs/>
                <w:sz w:val="20"/>
                <w:szCs w:val="20"/>
                <w:lang w:eastAsia="bg-BG"/>
              </w:rPr>
              <w:t xml:space="preserve">1 </w:t>
            </w:r>
            <w:r w:rsidR="00482857">
              <w:rPr>
                <w:rFonts w:ascii="Verdana" w:hAnsi="Verdana" w:cs="Verdana"/>
                <w:b/>
                <w:bCs/>
                <w:sz w:val="20"/>
                <w:szCs w:val="20"/>
                <w:lang w:eastAsia="bg-BG"/>
              </w:rPr>
              <w:t>385</w:t>
            </w:r>
          </w:p>
        </w:tc>
      </w:tr>
      <w:tr w:rsidR="00481CD0" w:rsidRPr="000E54EB">
        <w:trPr>
          <w:trHeight w:val="300"/>
        </w:trPr>
        <w:tc>
          <w:tcPr>
            <w:tcW w:w="6120" w:type="dxa"/>
            <w:tcBorders>
              <w:top w:val="single" w:sz="4" w:space="0" w:color="auto"/>
              <w:bottom w:val="single" w:sz="4" w:space="0" w:color="auto"/>
            </w:tcBorders>
            <w:shd w:val="clear" w:color="000000" w:fill="FFFFFF"/>
            <w:noWrap/>
            <w:vAlign w:val="center"/>
          </w:tcPr>
          <w:p w:rsidR="00481CD0" w:rsidRPr="000E54EB" w:rsidRDefault="00481CD0" w:rsidP="00D053E9">
            <w:pPr>
              <w:jc w:val="left"/>
              <w:rPr>
                <w:rFonts w:ascii="Verdana" w:hAnsi="Verdana" w:cs="Verdana"/>
                <w:b/>
                <w:bCs/>
                <w:color w:val="000000"/>
                <w:sz w:val="20"/>
                <w:szCs w:val="20"/>
                <w:lang w:eastAsia="bg-BG"/>
              </w:rPr>
            </w:pPr>
          </w:p>
        </w:tc>
        <w:tc>
          <w:tcPr>
            <w:tcW w:w="1716" w:type="dxa"/>
            <w:gridSpan w:val="2"/>
            <w:tcBorders>
              <w:top w:val="single" w:sz="4" w:space="0" w:color="auto"/>
              <w:bottom w:val="single" w:sz="4" w:space="0" w:color="auto"/>
            </w:tcBorders>
            <w:shd w:val="clear" w:color="000000" w:fill="FFFFFF"/>
            <w:noWrap/>
            <w:vAlign w:val="center"/>
          </w:tcPr>
          <w:p w:rsidR="00481CD0" w:rsidRPr="000E54EB" w:rsidRDefault="00481CD0" w:rsidP="00D053E9">
            <w:pPr>
              <w:jc w:val="center"/>
              <w:rPr>
                <w:rFonts w:ascii="Verdana" w:hAnsi="Verdana" w:cs="Verdana"/>
                <w:b/>
                <w:bCs/>
                <w:color w:val="000000"/>
                <w:sz w:val="20"/>
                <w:szCs w:val="20"/>
                <w:lang w:eastAsia="bg-BG"/>
              </w:rPr>
            </w:pPr>
          </w:p>
        </w:tc>
        <w:tc>
          <w:tcPr>
            <w:tcW w:w="1701" w:type="dxa"/>
            <w:tcBorders>
              <w:top w:val="single" w:sz="4" w:space="0" w:color="auto"/>
              <w:bottom w:val="single" w:sz="4" w:space="0" w:color="auto"/>
            </w:tcBorders>
            <w:shd w:val="clear" w:color="000000" w:fill="FFFFFF"/>
            <w:noWrap/>
            <w:vAlign w:val="center"/>
          </w:tcPr>
          <w:p w:rsidR="00481CD0" w:rsidRPr="000E54EB" w:rsidRDefault="00481CD0" w:rsidP="00D053E9">
            <w:pPr>
              <w:jc w:val="center"/>
              <w:rPr>
                <w:rFonts w:ascii="Verdana" w:hAnsi="Verdana" w:cs="Verdana"/>
                <w:b/>
                <w:bCs/>
                <w:color w:val="000000"/>
                <w:sz w:val="20"/>
                <w:szCs w:val="20"/>
                <w:lang w:eastAsia="bg-BG"/>
              </w:rPr>
            </w:pPr>
          </w:p>
        </w:tc>
      </w:tr>
      <w:tr w:rsidR="00481CD0" w:rsidRPr="000E54EB">
        <w:trPr>
          <w:trHeight w:val="300"/>
        </w:trPr>
        <w:tc>
          <w:tcPr>
            <w:tcW w:w="6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81CD0" w:rsidRPr="000E54EB" w:rsidRDefault="00481CD0" w:rsidP="00D053E9">
            <w:pPr>
              <w:jc w:val="left"/>
              <w:rPr>
                <w:rFonts w:ascii="Verdana" w:hAnsi="Verdana" w:cs="Verdana"/>
                <w:b/>
                <w:bCs/>
                <w:color w:val="000000"/>
                <w:sz w:val="20"/>
                <w:szCs w:val="20"/>
                <w:lang w:eastAsia="bg-BG"/>
              </w:rPr>
            </w:pPr>
            <w:r w:rsidRPr="000E54EB">
              <w:rPr>
                <w:rFonts w:ascii="Verdana" w:hAnsi="Verdana" w:cs="Verdana"/>
                <w:b/>
                <w:bCs/>
                <w:color w:val="000000"/>
                <w:sz w:val="20"/>
                <w:szCs w:val="20"/>
                <w:lang w:eastAsia="bg-BG"/>
              </w:rPr>
              <w:t>Финансови пасиви</w:t>
            </w:r>
          </w:p>
        </w:tc>
        <w:tc>
          <w:tcPr>
            <w:tcW w:w="1716" w:type="dxa"/>
            <w:gridSpan w:val="2"/>
            <w:tcBorders>
              <w:top w:val="single" w:sz="4" w:space="0" w:color="auto"/>
              <w:left w:val="nil"/>
              <w:bottom w:val="single" w:sz="4" w:space="0" w:color="auto"/>
              <w:right w:val="single" w:sz="4" w:space="0" w:color="auto"/>
            </w:tcBorders>
            <w:shd w:val="clear" w:color="000000" w:fill="FFFFFF"/>
            <w:noWrap/>
            <w:vAlign w:val="center"/>
          </w:tcPr>
          <w:p w:rsidR="00481CD0" w:rsidRPr="000E54EB" w:rsidRDefault="00482857" w:rsidP="00C94611">
            <w:pPr>
              <w:jc w:val="center"/>
              <w:rPr>
                <w:rFonts w:ascii="Verdana" w:hAnsi="Verdana" w:cs="Verdana"/>
                <w:b/>
                <w:bCs/>
                <w:color w:val="000000"/>
                <w:sz w:val="20"/>
                <w:szCs w:val="20"/>
                <w:lang w:eastAsia="bg-BG"/>
              </w:rPr>
            </w:pPr>
            <w:r>
              <w:rPr>
                <w:rFonts w:ascii="Verdana" w:hAnsi="Verdana" w:cs="Verdana"/>
                <w:b/>
                <w:bCs/>
                <w:color w:val="000000"/>
                <w:sz w:val="20"/>
                <w:szCs w:val="20"/>
                <w:lang w:eastAsia="bg-BG"/>
              </w:rPr>
              <w:t>30.06.2020</w:t>
            </w:r>
            <w:r w:rsidR="00481CD0" w:rsidRPr="000E54EB">
              <w:rPr>
                <w:rFonts w:ascii="Verdana" w:hAnsi="Verdana" w:cs="Verdana"/>
                <w:b/>
                <w:bCs/>
                <w:color w:val="000000"/>
                <w:sz w:val="20"/>
                <w:szCs w:val="20"/>
                <w:lang w:eastAsia="bg-BG"/>
              </w:rPr>
              <w:t>г.</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481CD0" w:rsidRPr="000E54EB" w:rsidRDefault="00481CD0" w:rsidP="00C94611">
            <w:pPr>
              <w:jc w:val="center"/>
              <w:rPr>
                <w:rFonts w:ascii="Verdana" w:hAnsi="Verdana" w:cs="Verdana"/>
                <w:b/>
                <w:bCs/>
                <w:color w:val="000000"/>
                <w:sz w:val="20"/>
                <w:szCs w:val="20"/>
                <w:lang w:eastAsia="bg-BG"/>
              </w:rPr>
            </w:pPr>
            <w:r w:rsidRPr="000E54EB">
              <w:rPr>
                <w:rFonts w:ascii="Verdana" w:hAnsi="Verdana" w:cs="Verdana"/>
                <w:b/>
                <w:bCs/>
                <w:color w:val="000000"/>
                <w:sz w:val="20"/>
                <w:szCs w:val="20"/>
                <w:lang w:eastAsia="bg-BG"/>
              </w:rPr>
              <w:t>31.12.201</w:t>
            </w:r>
            <w:r w:rsidR="00482857">
              <w:rPr>
                <w:rFonts w:ascii="Verdana" w:hAnsi="Verdana" w:cs="Verdana"/>
                <w:b/>
                <w:bCs/>
                <w:color w:val="000000"/>
                <w:sz w:val="20"/>
                <w:szCs w:val="20"/>
                <w:lang w:eastAsia="bg-BG"/>
              </w:rPr>
              <w:t>9</w:t>
            </w:r>
            <w:r w:rsidRPr="000E54EB">
              <w:rPr>
                <w:rFonts w:ascii="Verdana" w:hAnsi="Verdana" w:cs="Verdana"/>
                <w:b/>
                <w:bCs/>
                <w:color w:val="000000"/>
                <w:sz w:val="20"/>
                <w:szCs w:val="20"/>
                <w:lang w:eastAsia="bg-BG"/>
              </w:rPr>
              <w:t>г.</w:t>
            </w:r>
          </w:p>
        </w:tc>
      </w:tr>
      <w:tr w:rsidR="00482857" w:rsidRPr="00DC552C">
        <w:trPr>
          <w:trHeight w:val="335"/>
        </w:trPr>
        <w:tc>
          <w:tcPr>
            <w:tcW w:w="6120" w:type="dxa"/>
            <w:tcBorders>
              <w:top w:val="single" w:sz="4" w:space="0" w:color="auto"/>
              <w:left w:val="single" w:sz="4" w:space="0" w:color="auto"/>
              <w:bottom w:val="single" w:sz="4" w:space="0" w:color="auto"/>
              <w:right w:val="single" w:sz="4" w:space="0" w:color="auto"/>
            </w:tcBorders>
            <w:shd w:val="clear" w:color="000000" w:fill="FFFFFF"/>
            <w:vAlign w:val="center"/>
          </w:tcPr>
          <w:p w:rsidR="00482857" w:rsidRPr="00DC552C" w:rsidRDefault="00482857" w:rsidP="00D053E9">
            <w:pPr>
              <w:jc w:val="left"/>
              <w:rPr>
                <w:rFonts w:ascii="Verdana" w:hAnsi="Verdana" w:cs="Verdana"/>
                <w:color w:val="000000"/>
                <w:sz w:val="20"/>
                <w:szCs w:val="20"/>
                <w:lang w:eastAsia="bg-BG"/>
              </w:rPr>
            </w:pPr>
            <w:r w:rsidRPr="00DC552C">
              <w:rPr>
                <w:rFonts w:ascii="Verdana" w:hAnsi="Verdana" w:cs="Verdana"/>
                <w:color w:val="000000"/>
                <w:sz w:val="20"/>
                <w:szCs w:val="20"/>
                <w:lang w:eastAsia="bg-BG"/>
              </w:rPr>
              <w:t>Текущи търговски и други задължения</w:t>
            </w:r>
          </w:p>
        </w:tc>
        <w:tc>
          <w:tcPr>
            <w:tcW w:w="1716" w:type="dxa"/>
            <w:gridSpan w:val="2"/>
            <w:tcBorders>
              <w:top w:val="single" w:sz="4" w:space="0" w:color="auto"/>
              <w:left w:val="nil"/>
              <w:bottom w:val="single" w:sz="4" w:space="0" w:color="auto"/>
              <w:right w:val="single" w:sz="4" w:space="0" w:color="auto"/>
            </w:tcBorders>
            <w:noWrap/>
            <w:vAlign w:val="center"/>
          </w:tcPr>
          <w:p w:rsidR="00482857" w:rsidRPr="00DC552C" w:rsidRDefault="00482857" w:rsidP="00D053E9">
            <w:pPr>
              <w:jc w:val="center"/>
              <w:rPr>
                <w:rFonts w:ascii="Verdana" w:hAnsi="Verdana" w:cs="Verdana"/>
                <w:sz w:val="20"/>
                <w:szCs w:val="20"/>
                <w:lang w:eastAsia="bg-BG"/>
              </w:rPr>
            </w:pPr>
            <w:r>
              <w:rPr>
                <w:rFonts w:ascii="Verdana" w:hAnsi="Verdana" w:cs="Verdana"/>
                <w:sz w:val="20"/>
                <w:szCs w:val="20"/>
                <w:lang w:eastAsia="bg-BG"/>
              </w:rPr>
              <w:t>1 270</w:t>
            </w:r>
          </w:p>
        </w:tc>
        <w:tc>
          <w:tcPr>
            <w:tcW w:w="1701" w:type="dxa"/>
            <w:tcBorders>
              <w:top w:val="single" w:sz="4" w:space="0" w:color="auto"/>
              <w:left w:val="nil"/>
              <w:bottom w:val="single" w:sz="4" w:space="0" w:color="auto"/>
              <w:right w:val="single" w:sz="4" w:space="0" w:color="auto"/>
            </w:tcBorders>
            <w:noWrap/>
            <w:vAlign w:val="center"/>
          </w:tcPr>
          <w:p w:rsidR="00482857" w:rsidRPr="00DC552C" w:rsidRDefault="00482857" w:rsidP="00A77C33">
            <w:pPr>
              <w:jc w:val="center"/>
              <w:rPr>
                <w:rFonts w:ascii="Verdana" w:hAnsi="Verdana" w:cs="Verdana"/>
                <w:sz w:val="20"/>
                <w:szCs w:val="20"/>
                <w:lang w:eastAsia="bg-BG"/>
              </w:rPr>
            </w:pPr>
            <w:r>
              <w:rPr>
                <w:rFonts w:ascii="Verdana" w:hAnsi="Verdana" w:cs="Verdana"/>
                <w:sz w:val="20"/>
                <w:szCs w:val="20"/>
                <w:lang w:eastAsia="bg-BG"/>
              </w:rPr>
              <w:t>2 018</w:t>
            </w:r>
          </w:p>
        </w:tc>
      </w:tr>
      <w:tr w:rsidR="00482857" w:rsidRPr="00DC552C">
        <w:trPr>
          <w:trHeight w:val="300"/>
        </w:trPr>
        <w:tc>
          <w:tcPr>
            <w:tcW w:w="6120" w:type="dxa"/>
            <w:tcBorders>
              <w:top w:val="single" w:sz="4" w:space="0" w:color="auto"/>
              <w:left w:val="single" w:sz="4" w:space="0" w:color="auto"/>
              <w:bottom w:val="single" w:sz="4" w:space="0" w:color="auto"/>
              <w:right w:val="single" w:sz="4" w:space="0" w:color="auto"/>
            </w:tcBorders>
            <w:shd w:val="clear" w:color="000000" w:fill="FFFFFF"/>
            <w:vAlign w:val="center"/>
          </w:tcPr>
          <w:p w:rsidR="00482857" w:rsidRPr="00DC552C" w:rsidRDefault="00482857" w:rsidP="00D053E9">
            <w:pPr>
              <w:jc w:val="left"/>
              <w:rPr>
                <w:rFonts w:ascii="Verdana" w:hAnsi="Verdana" w:cs="Verdana"/>
                <w:color w:val="000000"/>
                <w:sz w:val="20"/>
                <w:szCs w:val="20"/>
                <w:lang w:eastAsia="bg-BG"/>
              </w:rPr>
            </w:pPr>
            <w:r w:rsidRPr="00DC552C">
              <w:rPr>
                <w:rFonts w:ascii="Verdana" w:hAnsi="Verdana" w:cs="Verdana"/>
                <w:color w:val="000000"/>
                <w:sz w:val="20"/>
                <w:szCs w:val="20"/>
                <w:lang w:eastAsia="bg-BG"/>
              </w:rPr>
              <w:t>Задължения по кредити, в т.ч.:</w:t>
            </w:r>
          </w:p>
        </w:tc>
        <w:tc>
          <w:tcPr>
            <w:tcW w:w="1716" w:type="dxa"/>
            <w:gridSpan w:val="2"/>
            <w:tcBorders>
              <w:top w:val="single" w:sz="4" w:space="0" w:color="auto"/>
              <w:left w:val="nil"/>
              <w:bottom w:val="single" w:sz="4" w:space="0" w:color="auto"/>
              <w:right w:val="single" w:sz="4" w:space="0" w:color="auto"/>
            </w:tcBorders>
            <w:noWrap/>
            <w:vAlign w:val="center"/>
          </w:tcPr>
          <w:p w:rsidR="00482857" w:rsidRPr="00DC552C" w:rsidRDefault="00482857" w:rsidP="00D053E9">
            <w:pPr>
              <w:jc w:val="center"/>
              <w:rPr>
                <w:rFonts w:ascii="Verdana" w:hAnsi="Verdana" w:cs="Verdana"/>
                <w:sz w:val="20"/>
                <w:szCs w:val="20"/>
                <w:lang w:eastAsia="bg-BG"/>
              </w:rPr>
            </w:pPr>
            <w:r>
              <w:rPr>
                <w:rFonts w:ascii="Verdana" w:hAnsi="Verdana" w:cs="Verdana"/>
                <w:sz w:val="20"/>
                <w:szCs w:val="20"/>
                <w:lang w:eastAsia="bg-BG"/>
              </w:rPr>
              <w:t>486</w:t>
            </w:r>
          </w:p>
        </w:tc>
        <w:tc>
          <w:tcPr>
            <w:tcW w:w="1701" w:type="dxa"/>
            <w:tcBorders>
              <w:top w:val="single" w:sz="4" w:space="0" w:color="auto"/>
              <w:left w:val="nil"/>
              <w:bottom w:val="single" w:sz="4" w:space="0" w:color="auto"/>
              <w:right w:val="single" w:sz="4" w:space="0" w:color="auto"/>
            </w:tcBorders>
            <w:noWrap/>
            <w:vAlign w:val="center"/>
          </w:tcPr>
          <w:p w:rsidR="00482857" w:rsidRPr="00DC552C" w:rsidRDefault="00482857" w:rsidP="00A77C33">
            <w:pPr>
              <w:jc w:val="center"/>
              <w:rPr>
                <w:rFonts w:ascii="Verdana" w:hAnsi="Verdana" w:cs="Verdana"/>
                <w:sz w:val="20"/>
                <w:szCs w:val="20"/>
                <w:lang w:eastAsia="bg-BG"/>
              </w:rPr>
            </w:pPr>
            <w:r>
              <w:rPr>
                <w:rFonts w:ascii="Verdana" w:hAnsi="Verdana" w:cs="Verdana"/>
                <w:sz w:val="20"/>
                <w:szCs w:val="20"/>
                <w:lang w:eastAsia="bg-BG"/>
              </w:rPr>
              <w:t>409</w:t>
            </w:r>
          </w:p>
        </w:tc>
      </w:tr>
      <w:tr w:rsidR="00482857" w:rsidRPr="000E54EB">
        <w:trPr>
          <w:trHeight w:val="300"/>
        </w:trPr>
        <w:tc>
          <w:tcPr>
            <w:tcW w:w="6120" w:type="dxa"/>
            <w:tcBorders>
              <w:top w:val="single" w:sz="4" w:space="0" w:color="auto"/>
              <w:left w:val="single" w:sz="4" w:space="0" w:color="auto"/>
              <w:bottom w:val="single" w:sz="4" w:space="0" w:color="auto"/>
              <w:right w:val="single" w:sz="4" w:space="0" w:color="auto"/>
            </w:tcBorders>
            <w:shd w:val="clear" w:color="000000" w:fill="FFFFFF"/>
            <w:vAlign w:val="center"/>
          </w:tcPr>
          <w:p w:rsidR="00482857" w:rsidRPr="000E54EB" w:rsidRDefault="00482857" w:rsidP="00201B3E">
            <w:pPr>
              <w:tabs>
                <w:tab w:val="left" w:pos="497"/>
              </w:tabs>
              <w:ind w:firstLineChars="107" w:firstLine="214"/>
              <w:jc w:val="left"/>
              <w:rPr>
                <w:rFonts w:ascii="Verdana" w:hAnsi="Verdana" w:cs="Verdana"/>
                <w:color w:val="000000"/>
                <w:sz w:val="20"/>
                <w:szCs w:val="20"/>
                <w:lang w:eastAsia="bg-BG"/>
              </w:rPr>
            </w:pPr>
            <w:r w:rsidRPr="000E54EB">
              <w:rPr>
                <w:rFonts w:ascii="Verdana" w:hAnsi="Verdana" w:cs="Verdana"/>
                <w:color w:val="000000"/>
                <w:sz w:val="20"/>
                <w:szCs w:val="20"/>
                <w:lang w:eastAsia="bg-BG"/>
              </w:rPr>
              <w:t>-   Нетекущи</w:t>
            </w:r>
          </w:p>
        </w:tc>
        <w:tc>
          <w:tcPr>
            <w:tcW w:w="1716" w:type="dxa"/>
            <w:gridSpan w:val="2"/>
            <w:tcBorders>
              <w:top w:val="single" w:sz="4" w:space="0" w:color="auto"/>
              <w:left w:val="nil"/>
              <w:bottom w:val="single" w:sz="4" w:space="0" w:color="auto"/>
              <w:right w:val="single" w:sz="4" w:space="0" w:color="auto"/>
            </w:tcBorders>
            <w:noWrap/>
            <w:vAlign w:val="center"/>
          </w:tcPr>
          <w:p w:rsidR="00482857" w:rsidRPr="000E54EB" w:rsidRDefault="00482857" w:rsidP="00D053E9">
            <w:pPr>
              <w:jc w:val="center"/>
              <w:rPr>
                <w:rFonts w:ascii="Verdana" w:hAnsi="Verdana" w:cs="Verdana"/>
                <w:sz w:val="20"/>
                <w:szCs w:val="20"/>
                <w:lang w:eastAsia="bg-BG"/>
              </w:rPr>
            </w:pPr>
            <w:r>
              <w:rPr>
                <w:rFonts w:ascii="Verdana" w:hAnsi="Verdana" w:cs="Verdana"/>
                <w:sz w:val="20"/>
                <w:szCs w:val="20"/>
                <w:lang w:eastAsia="bg-BG"/>
              </w:rPr>
              <w:t>486</w:t>
            </w:r>
          </w:p>
        </w:tc>
        <w:tc>
          <w:tcPr>
            <w:tcW w:w="1701" w:type="dxa"/>
            <w:tcBorders>
              <w:top w:val="single" w:sz="4" w:space="0" w:color="auto"/>
              <w:left w:val="nil"/>
              <w:bottom w:val="single" w:sz="4" w:space="0" w:color="auto"/>
              <w:right w:val="single" w:sz="4" w:space="0" w:color="auto"/>
            </w:tcBorders>
            <w:noWrap/>
            <w:vAlign w:val="center"/>
          </w:tcPr>
          <w:p w:rsidR="00482857" w:rsidRPr="000E54EB" w:rsidRDefault="00482857" w:rsidP="00A77C33">
            <w:pPr>
              <w:jc w:val="center"/>
              <w:rPr>
                <w:rFonts w:ascii="Verdana" w:hAnsi="Verdana" w:cs="Verdana"/>
                <w:sz w:val="20"/>
                <w:szCs w:val="20"/>
                <w:lang w:eastAsia="bg-BG"/>
              </w:rPr>
            </w:pPr>
            <w:r>
              <w:rPr>
                <w:rFonts w:ascii="Verdana" w:hAnsi="Verdana" w:cs="Verdana"/>
                <w:sz w:val="20"/>
                <w:szCs w:val="20"/>
                <w:lang w:eastAsia="bg-BG"/>
              </w:rPr>
              <w:t>379</w:t>
            </w:r>
          </w:p>
        </w:tc>
      </w:tr>
      <w:tr w:rsidR="00482857" w:rsidRPr="000E54EB">
        <w:trPr>
          <w:trHeight w:val="300"/>
        </w:trPr>
        <w:tc>
          <w:tcPr>
            <w:tcW w:w="6120" w:type="dxa"/>
            <w:tcBorders>
              <w:top w:val="single" w:sz="4" w:space="0" w:color="auto"/>
              <w:left w:val="single" w:sz="4" w:space="0" w:color="auto"/>
              <w:bottom w:val="single" w:sz="4" w:space="0" w:color="auto"/>
              <w:right w:val="single" w:sz="4" w:space="0" w:color="auto"/>
            </w:tcBorders>
            <w:shd w:val="clear" w:color="000000" w:fill="FFFFFF"/>
            <w:vAlign w:val="center"/>
          </w:tcPr>
          <w:p w:rsidR="00482857" w:rsidRPr="000E54EB" w:rsidRDefault="00482857" w:rsidP="00201B3E">
            <w:pPr>
              <w:tabs>
                <w:tab w:val="left" w:pos="497"/>
              </w:tabs>
              <w:ind w:firstLineChars="107" w:firstLine="214"/>
              <w:jc w:val="left"/>
              <w:rPr>
                <w:rFonts w:ascii="Verdana" w:hAnsi="Verdana" w:cs="Verdana"/>
                <w:color w:val="000000"/>
                <w:sz w:val="20"/>
                <w:szCs w:val="20"/>
                <w:lang w:eastAsia="bg-BG"/>
              </w:rPr>
            </w:pPr>
            <w:r w:rsidRPr="000E54EB">
              <w:rPr>
                <w:rFonts w:ascii="Verdana" w:hAnsi="Verdana" w:cs="Verdana"/>
                <w:color w:val="000000"/>
                <w:sz w:val="20"/>
                <w:szCs w:val="20"/>
                <w:lang w:eastAsia="bg-BG"/>
              </w:rPr>
              <w:t>- </w:t>
            </w:r>
            <w:r>
              <w:rPr>
                <w:rFonts w:ascii="Verdana" w:hAnsi="Verdana" w:cs="Verdana"/>
                <w:color w:val="000000"/>
                <w:sz w:val="20"/>
                <w:szCs w:val="20"/>
                <w:lang w:val="en-US" w:eastAsia="bg-BG"/>
              </w:rPr>
              <w:t xml:space="preserve"> </w:t>
            </w:r>
            <w:r w:rsidRPr="000E54EB">
              <w:rPr>
                <w:rFonts w:ascii="Verdana" w:hAnsi="Verdana" w:cs="Verdana"/>
                <w:color w:val="000000"/>
                <w:sz w:val="20"/>
                <w:szCs w:val="20"/>
                <w:lang w:eastAsia="bg-BG"/>
              </w:rPr>
              <w:t xml:space="preserve"> Текущи</w:t>
            </w:r>
          </w:p>
        </w:tc>
        <w:tc>
          <w:tcPr>
            <w:tcW w:w="1716" w:type="dxa"/>
            <w:gridSpan w:val="2"/>
            <w:tcBorders>
              <w:top w:val="single" w:sz="4" w:space="0" w:color="auto"/>
              <w:left w:val="nil"/>
              <w:bottom w:val="single" w:sz="4" w:space="0" w:color="auto"/>
              <w:right w:val="single" w:sz="4" w:space="0" w:color="auto"/>
            </w:tcBorders>
            <w:noWrap/>
            <w:vAlign w:val="center"/>
          </w:tcPr>
          <w:p w:rsidR="00482857" w:rsidRPr="000E54EB" w:rsidRDefault="00482857" w:rsidP="00D053E9">
            <w:pPr>
              <w:jc w:val="center"/>
              <w:rPr>
                <w:rFonts w:ascii="Verdana" w:hAnsi="Verdana" w:cs="Verdana"/>
                <w:sz w:val="20"/>
                <w:szCs w:val="20"/>
                <w:lang w:eastAsia="bg-BG"/>
              </w:rPr>
            </w:pPr>
            <w:r>
              <w:rPr>
                <w:rFonts w:ascii="Verdana" w:hAnsi="Verdana" w:cs="Verdana"/>
                <w:sz w:val="20"/>
                <w:szCs w:val="20"/>
                <w:lang w:eastAsia="bg-BG"/>
              </w:rPr>
              <w:t>-</w:t>
            </w:r>
          </w:p>
        </w:tc>
        <w:tc>
          <w:tcPr>
            <w:tcW w:w="1701" w:type="dxa"/>
            <w:tcBorders>
              <w:top w:val="single" w:sz="4" w:space="0" w:color="auto"/>
              <w:left w:val="nil"/>
              <w:bottom w:val="single" w:sz="4" w:space="0" w:color="auto"/>
              <w:right w:val="single" w:sz="4" w:space="0" w:color="auto"/>
            </w:tcBorders>
            <w:noWrap/>
            <w:vAlign w:val="center"/>
          </w:tcPr>
          <w:p w:rsidR="00482857" w:rsidRPr="000E54EB" w:rsidRDefault="00482857" w:rsidP="00A77C33">
            <w:pPr>
              <w:jc w:val="center"/>
              <w:rPr>
                <w:rFonts w:ascii="Verdana" w:hAnsi="Verdana" w:cs="Verdana"/>
                <w:sz w:val="20"/>
                <w:szCs w:val="20"/>
                <w:lang w:eastAsia="bg-BG"/>
              </w:rPr>
            </w:pPr>
            <w:r>
              <w:rPr>
                <w:rFonts w:ascii="Verdana" w:hAnsi="Verdana" w:cs="Verdana"/>
                <w:sz w:val="20"/>
                <w:szCs w:val="20"/>
                <w:lang w:eastAsia="bg-BG"/>
              </w:rPr>
              <w:t>30</w:t>
            </w:r>
          </w:p>
        </w:tc>
      </w:tr>
      <w:tr w:rsidR="00482857" w:rsidRPr="000E54EB">
        <w:trPr>
          <w:trHeight w:val="300"/>
        </w:trPr>
        <w:tc>
          <w:tcPr>
            <w:tcW w:w="6120" w:type="dxa"/>
            <w:tcBorders>
              <w:top w:val="nil"/>
              <w:left w:val="single" w:sz="4" w:space="0" w:color="auto"/>
              <w:bottom w:val="single" w:sz="4" w:space="0" w:color="auto"/>
              <w:right w:val="nil"/>
            </w:tcBorders>
            <w:shd w:val="clear" w:color="000000" w:fill="C5D9F1"/>
            <w:noWrap/>
            <w:vAlign w:val="bottom"/>
          </w:tcPr>
          <w:p w:rsidR="00482857" w:rsidRPr="000E54EB" w:rsidRDefault="00482857" w:rsidP="00D053E9">
            <w:pPr>
              <w:jc w:val="left"/>
              <w:rPr>
                <w:rFonts w:ascii="Verdana" w:hAnsi="Verdana" w:cs="Verdana"/>
                <w:b/>
                <w:bCs/>
                <w:sz w:val="20"/>
                <w:szCs w:val="20"/>
                <w:lang w:eastAsia="bg-BG"/>
              </w:rPr>
            </w:pPr>
            <w:r w:rsidRPr="000E54EB">
              <w:rPr>
                <w:rFonts w:ascii="Verdana" w:hAnsi="Verdana" w:cs="Verdana"/>
                <w:b/>
                <w:bCs/>
                <w:sz w:val="20"/>
                <w:szCs w:val="20"/>
                <w:lang w:eastAsia="bg-BG"/>
              </w:rPr>
              <w:t>Общо финансови пасиви</w:t>
            </w:r>
          </w:p>
        </w:tc>
        <w:tc>
          <w:tcPr>
            <w:tcW w:w="1716" w:type="dxa"/>
            <w:gridSpan w:val="2"/>
            <w:tcBorders>
              <w:top w:val="nil"/>
              <w:left w:val="single" w:sz="4" w:space="0" w:color="auto"/>
              <w:bottom w:val="single" w:sz="4" w:space="0" w:color="auto"/>
              <w:right w:val="nil"/>
            </w:tcBorders>
            <w:shd w:val="clear" w:color="000000" w:fill="C5D9F1"/>
            <w:noWrap/>
            <w:vAlign w:val="center"/>
          </w:tcPr>
          <w:p w:rsidR="00482857" w:rsidRPr="000E54EB" w:rsidRDefault="00482857" w:rsidP="00D053E9">
            <w:pPr>
              <w:jc w:val="center"/>
              <w:rPr>
                <w:rFonts w:ascii="Verdana" w:hAnsi="Verdana" w:cs="Verdana"/>
                <w:b/>
                <w:bCs/>
                <w:sz w:val="20"/>
                <w:szCs w:val="20"/>
                <w:lang w:eastAsia="bg-BG"/>
              </w:rPr>
            </w:pPr>
            <w:r>
              <w:rPr>
                <w:rFonts w:ascii="Verdana" w:hAnsi="Verdana" w:cs="Verdana"/>
                <w:b/>
                <w:bCs/>
                <w:sz w:val="20"/>
                <w:szCs w:val="20"/>
                <w:lang w:eastAsia="bg-BG"/>
              </w:rPr>
              <w:t>1 756</w:t>
            </w:r>
          </w:p>
        </w:tc>
        <w:tc>
          <w:tcPr>
            <w:tcW w:w="1701" w:type="dxa"/>
            <w:tcBorders>
              <w:top w:val="nil"/>
              <w:left w:val="single" w:sz="4" w:space="0" w:color="auto"/>
              <w:bottom w:val="single" w:sz="4" w:space="0" w:color="auto"/>
              <w:right w:val="single" w:sz="4" w:space="0" w:color="auto"/>
            </w:tcBorders>
            <w:shd w:val="clear" w:color="000000" w:fill="C5D9F1"/>
            <w:noWrap/>
            <w:vAlign w:val="center"/>
          </w:tcPr>
          <w:p w:rsidR="00482857" w:rsidRPr="000E54EB" w:rsidRDefault="00482857" w:rsidP="00A77C33">
            <w:pPr>
              <w:jc w:val="center"/>
              <w:rPr>
                <w:rFonts w:ascii="Verdana" w:hAnsi="Verdana" w:cs="Verdana"/>
                <w:b/>
                <w:bCs/>
                <w:sz w:val="20"/>
                <w:szCs w:val="20"/>
                <w:lang w:eastAsia="bg-BG"/>
              </w:rPr>
            </w:pPr>
            <w:r>
              <w:rPr>
                <w:rFonts w:ascii="Verdana" w:hAnsi="Verdana" w:cs="Verdana"/>
                <w:b/>
                <w:bCs/>
                <w:sz w:val="20"/>
                <w:szCs w:val="20"/>
                <w:lang w:eastAsia="bg-BG"/>
              </w:rPr>
              <w:t>2 427</w:t>
            </w:r>
          </w:p>
        </w:tc>
      </w:tr>
    </w:tbl>
    <w:p w:rsidR="00863C99" w:rsidRPr="000E54EB" w:rsidRDefault="00863C99" w:rsidP="000A1634">
      <w:pPr>
        <w:autoSpaceDE w:val="0"/>
        <w:autoSpaceDN w:val="0"/>
        <w:adjustRightInd w:val="0"/>
        <w:rPr>
          <w:rFonts w:ascii="Verdana" w:hAnsi="Verdana" w:cs="Verdana"/>
          <w:sz w:val="20"/>
          <w:szCs w:val="20"/>
        </w:rPr>
      </w:pPr>
    </w:p>
    <w:p w:rsidR="00863C99" w:rsidRPr="000E54EB" w:rsidRDefault="00863C99" w:rsidP="000A1634">
      <w:pPr>
        <w:autoSpaceDE w:val="0"/>
        <w:autoSpaceDN w:val="0"/>
        <w:adjustRightInd w:val="0"/>
        <w:rPr>
          <w:rFonts w:ascii="Verdana" w:hAnsi="Verdana" w:cs="Verdana"/>
          <w:sz w:val="20"/>
          <w:szCs w:val="20"/>
        </w:rPr>
      </w:pPr>
    </w:p>
    <w:p w:rsidR="00863C99" w:rsidRPr="000E54EB" w:rsidRDefault="00863C99" w:rsidP="00B66DF8">
      <w:pPr>
        <w:pStyle w:val="Heading2"/>
        <w:tabs>
          <w:tab w:val="left" w:pos="227"/>
          <w:tab w:val="left" w:pos="454"/>
          <w:tab w:val="left" w:pos="680"/>
          <w:tab w:val="left" w:pos="907"/>
        </w:tabs>
        <w:spacing w:before="0"/>
        <w:rPr>
          <w:rFonts w:ascii="Verdana" w:hAnsi="Verdana" w:cs="Verdana"/>
          <w:sz w:val="20"/>
          <w:szCs w:val="20"/>
          <w:lang w:val="bg-BG"/>
        </w:rPr>
      </w:pPr>
      <w:bookmarkStart w:id="189" w:name="_Toc4328868"/>
      <w:r w:rsidRPr="000E54EB">
        <w:rPr>
          <w:rFonts w:ascii="Verdana" w:hAnsi="Verdana" w:cs="Verdana"/>
          <w:sz w:val="20"/>
          <w:szCs w:val="20"/>
          <w:lang w:val="bg-BG"/>
        </w:rPr>
        <w:t>Информация за финансовия риск</w:t>
      </w:r>
      <w:bookmarkEnd w:id="189"/>
    </w:p>
    <w:p w:rsidR="00863C99" w:rsidRPr="000E54EB" w:rsidRDefault="00863C99" w:rsidP="00B66DF8">
      <w:pPr>
        <w:pStyle w:val="Heading3"/>
        <w:spacing w:before="0"/>
        <w:rPr>
          <w:rFonts w:ascii="Verdana" w:hAnsi="Verdana" w:cs="Verdana"/>
          <w:lang w:val="bg-BG"/>
        </w:rPr>
      </w:pPr>
    </w:p>
    <w:p w:rsidR="00863C99" w:rsidRPr="000E54EB" w:rsidRDefault="00863C99" w:rsidP="00B66DF8">
      <w:pPr>
        <w:pStyle w:val="Heading3"/>
        <w:spacing w:before="0"/>
        <w:rPr>
          <w:rFonts w:ascii="Verdana" w:hAnsi="Verdana" w:cs="Verdana"/>
          <w:lang w:val="bg-BG"/>
        </w:rPr>
      </w:pPr>
      <w:bookmarkStart w:id="190" w:name="_Toc4328869"/>
      <w:r w:rsidRPr="000E54EB">
        <w:rPr>
          <w:rFonts w:ascii="Verdana" w:hAnsi="Verdana" w:cs="Verdana"/>
          <w:lang w:val="bg-BG"/>
        </w:rPr>
        <w:t>Кредитен  риск</w:t>
      </w:r>
      <w:bookmarkEnd w:id="185"/>
      <w:bookmarkEnd w:id="186"/>
      <w:bookmarkEnd w:id="187"/>
      <w:bookmarkEnd w:id="188"/>
      <w:bookmarkEnd w:id="190"/>
    </w:p>
    <w:p w:rsidR="00863C99" w:rsidRPr="000E54EB" w:rsidRDefault="00863C99" w:rsidP="0015352C">
      <w:pPr>
        <w:spacing w:line="260" w:lineRule="atLeast"/>
        <w:rPr>
          <w:rFonts w:ascii="Verdana" w:hAnsi="Verdana" w:cs="Verdana"/>
          <w:sz w:val="20"/>
          <w:szCs w:val="20"/>
        </w:rPr>
      </w:pPr>
      <w:r w:rsidRPr="000E54EB">
        <w:rPr>
          <w:rFonts w:ascii="Verdana" w:hAnsi="Verdana" w:cs="Verdana"/>
          <w:sz w:val="20"/>
          <w:szCs w:val="20"/>
        </w:rPr>
        <w:t>Дружеството контролира своята изложеност на кредитен риск чрез установяване на граници на риска по отношение на отделните клиенти. Дружеството е възприело политика на извършване на делова активност само с кредитоспособни насрещни страни.</w:t>
      </w:r>
    </w:p>
    <w:p w:rsidR="00863C99" w:rsidRPr="000E54EB" w:rsidRDefault="00863C99" w:rsidP="0015352C">
      <w:pPr>
        <w:spacing w:line="260" w:lineRule="atLeast"/>
        <w:rPr>
          <w:rFonts w:ascii="Verdana" w:hAnsi="Verdana" w:cs="Verdana"/>
          <w:sz w:val="20"/>
          <w:szCs w:val="20"/>
        </w:rPr>
      </w:pPr>
      <w:r w:rsidRPr="000E54EB">
        <w:rPr>
          <w:rFonts w:ascii="Verdana" w:hAnsi="Verdana" w:cs="Verdana"/>
          <w:sz w:val="20"/>
          <w:szCs w:val="20"/>
        </w:rPr>
        <w:t>Кредитният риск, който възниква от другите финансови активи на Дружеството, като например, парични средства и други финансови активи, представлява кредитната експозицията на Дружеството, произтичаща от възможността неговите контрагенти да не изпълнят своите задължения. Максималната кредитна експозиция на Дружеството по повод на признатите финансови активи, възлиза на съответна</w:t>
      </w:r>
      <w:r w:rsidR="00B74098">
        <w:rPr>
          <w:rFonts w:ascii="Verdana" w:hAnsi="Verdana" w:cs="Verdana"/>
          <w:sz w:val="20"/>
          <w:szCs w:val="20"/>
        </w:rPr>
        <w:t>та им стойност по баланса към 30</w:t>
      </w:r>
      <w:r w:rsidRPr="000E54EB">
        <w:rPr>
          <w:rFonts w:ascii="Verdana" w:hAnsi="Verdana" w:cs="Verdana"/>
          <w:sz w:val="20"/>
          <w:szCs w:val="20"/>
        </w:rPr>
        <w:t xml:space="preserve"> </w:t>
      </w:r>
      <w:r w:rsidR="00B74098">
        <w:rPr>
          <w:rFonts w:ascii="Verdana" w:hAnsi="Verdana" w:cs="Verdana"/>
          <w:sz w:val="20"/>
          <w:szCs w:val="20"/>
        </w:rPr>
        <w:t>юни 2020</w:t>
      </w:r>
      <w:r w:rsidRPr="000E54EB">
        <w:rPr>
          <w:rFonts w:ascii="Verdana" w:hAnsi="Verdana" w:cs="Verdana"/>
          <w:sz w:val="20"/>
          <w:szCs w:val="20"/>
        </w:rPr>
        <w:t xml:space="preserve"> г. </w:t>
      </w:r>
    </w:p>
    <w:p w:rsidR="00863C99" w:rsidRPr="000E54EB" w:rsidRDefault="00863C99" w:rsidP="00B66DF8">
      <w:pPr>
        <w:pStyle w:val="Heading3"/>
        <w:spacing w:before="0"/>
        <w:rPr>
          <w:rFonts w:ascii="Verdana" w:hAnsi="Verdana" w:cs="Verdana"/>
          <w:lang w:val="bg-BG"/>
        </w:rPr>
      </w:pPr>
    </w:p>
    <w:p w:rsidR="00863C99" w:rsidRPr="000E54EB" w:rsidRDefault="00863C99" w:rsidP="00B66DF8">
      <w:pPr>
        <w:pStyle w:val="Heading3"/>
        <w:spacing w:before="0"/>
        <w:rPr>
          <w:rFonts w:ascii="Verdana" w:hAnsi="Verdana" w:cs="Verdana"/>
          <w:lang w:val="bg-BG"/>
        </w:rPr>
      </w:pPr>
      <w:bookmarkStart w:id="191" w:name="_Toc4328870"/>
      <w:r w:rsidRPr="000E54EB">
        <w:rPr>
          <w:rFonts w:ascii="Verdana" w:hAnsi="Verdana" w:cs="Verdana"/>
          <w:lang w:val="bg-BG"/>
        </w:rPr>
        <w:t>Ликвиден риск</w:t>
      </w:r>
      <w:bookmarkEnd w:id="191"/>
    </w:p>
    <w:p w:rsidR="00863C99" w:rsidRPr="000E54EB" w:rsidRDefault="00863C99" w:rsidP="00CF72E1">
      <w:pPr>
        <w:spacing w:line="260" w:lineRule="atLeast"/>
        <w:rPr>
          <w:rFonts w:ascii="Verdana" w:hAnsi="Verdana" w:cs="Verdana"/>
          <w:sz w:val="20"/>
          <w:szCs w:val="20"/>
        </w:rPr>
      </w:pPr>
      <w:r w:rsidRPr="000E54EB">
        <w:rPr>
          <w:rFonts w:ascii="Verdana" w:hAnsi="Verdana" w:cs="Verdana"/>
          <w:sz w:val="20"/>
          <w:szCs w:val="20"/>
        </w:rPr>
        <w:t>Ликвидният риск произтича от възможността Дружеството да не осигури достатъчно външно финансиране, както и контрагентите да не изпълнят своите финансови задължения на договорените падежи. Периодично се извършва преглед и оценка на събираемостта на търговските и други краткосрочни вземания като за тези, които са трудносъбираеми и несъбираеми се заделят резерви, както е посочено по-горе.</w:t>
      </w:r>
    </w:p>
    <w:p w:rsidR="00863C99" w:rsidRPr="000E54EB" w:rsidRDefault="00863C99" w:rsidP="00CF72E1">
      <w:pPr>
        <w:spacing w:line="260" w:lineRule="atLeast"/>
        <w:rPr>
          <w:rFonts w:ascii="Verdana" w:hAnsi="Verdana" w:cs="Verdana"/>
          <w:sz w:val="20"/>
          <w:szCs w:val="20"/>
        </w:rPr>
      </w:pPr>
      <w:r w:rsidRPr="000E54EB">
        <w:rPr>
          <w:rFonts w:ascii="Verdana" w:hAnsi="Verdana" w:cs="Verdana"/>
          <w:sz w:val="20"/>
          <w:szCs w:val="20"/>
        </w:rPr>
        <w:t>Дружеството управлява ликвидния риск на базата на очакваните дати на падежа.</w:t>
      </w:r>
    </w:p>
    <w:p w:rsidR="00863C99" w:rsidRPr="000E54EB" w:rsidRDefault="00863C99" w:rsidP="00CF72E1">
      <w:pPr>
        <w:rPr>
          <w:rFonts w:ascii="Verdana" w:hAnsi="Verdana" w:cs="Verdana"/>
          <w:sz w:val="20"/>
          <w:szCs w:val="20"/>
        </w:rPr>
      </w:pPr>
    </w:p>
    <w:p w:rsidR="00863C99" w:rsidRPr="000E54EB" w:rsidRDefault="00863C99" w:rsidP="00E510BF">
      <w:pPr>
        <w:rPr>
          <w:rFonts w:ascii="Verdana" w:hAnsi="Verdana" w:cs="Verdana"/>
          <w:color w:val="FF0000"/>
          <w:sz w:val="20"/>
          <w:szCs w:val="20"/>
        </w:rPr>
      </w:pPr>
      <w:r w:rsidRPr="000E54EB">
        <w:rPr>
          <w:rFonts w:ascii="Verdana" w:hAnsi="Verdana" w:cs="Verdana"/>
          <w:sz w:val="20"/>
          <w:szCs w:val="20"/>
        </w:rPr>
        <w:t>Дружеството очаква, че от текущата дейност ще се генерират задоволителни парични постъпления, за да</w:t>
      </w:r>
      <w:r w:rsidRPr="000E54EB">
        <w:rPr>
          <w:rStyle w:val="FontStyle78"/>
          <w:rFonts w:ascii="Verdana" w:hAnsi="Verdana" w:cs="Verdana"/>
          <w:sz w:val="20"/>
          <w:szCs w:val="20"/>
        </w:rPr>
        <w:t xml:space="preserve"> </w:t>
      </w:r>
      <w:r w:rsidRPr="000E54EB">
        <w:rPr>
          <w:rFonts w:ascii="Verdana" w:hAnsi="Verdana" w:cs="Verdana"/>
          <w:sz w:val="20"/>
          <w:szCs w:val="20"/>
        </w:rPr>
        <w:t xml:space="preserve">се изпълнят тези парични ангажименти. </w:t>
      </w:r>
    </w:p>
    <w:p w:rsidR="00863C99" w:rsidRPr="000E54EB" w:rsidRDefault="00863C99" w:rsidP="00B66DF8">
      <w:pPr>
        <w:rPr>
          <w:rFonts w:ascii="Verdana" w:hAnsi="Verdana" w:cs="Verdana"/>
          <w:b/>
          <w:bCs/>
          <w:sz w:val="20"/>
          <w:szCs w:val="20"/>
          <w:highlight w:val="yellow"/>
        </w:rPr>
      </w:pPr>
    </w:p>
    <w:p w:rsidR="00863C99" w:rsidRPr="000E54EB" w:rsidRDefault="00863C99" w:rsidP="00B66DF8">
      <w:pPr>
        <w:pStyle w:val="Heading3"/>
        <w:spacing w:before="0"/>
        <w:rPr>
          <w:rFonts w:ascii="Verdana" w:hAnsi="Verdana" w:cs="Verdana"/>
          <w:lang w:val="bg-BG"/>
        </w:rPr>
      </w:pPr>
      <w:bookmarkStart w:id="192" w:name="_Toc247959212"/>
      <w:bookmarkStart w:id="193" w:name="_Toc4328871"/>
      <w:r w:rsidRPr="000E54EB">
        <w:rPr>
          <w:rFonts w:ascii="Verdana" w:hAnsi="Verdana" w:cs="Verdana"/>
          <w:lang w:val="bg-BG"/>
        </w:rPr>
        <w:t>Лихвен риск</w:t>
      </w:r>
      <w:bookmarkEnd w:id="192"/>
      <w:bookmarkEnd w:id="193"/>
    </w:p>
    <w:p w:rsidR="00863C99" w:rsidRPr="000E54EB" w:rsidRDefault="00863C99" w:rsidP="00281FF4">
      <w:pPr>
        <w:rPr>
          <w:rFonts w:ascii="Verdana" w:hAnsi="Verdana" w:cs="Verdana"/>
          <w:sz w:val="20"/>
          <w:szCs w:val="20"/>
        </w:rPr>
      </w:pPr>
      <w:r w:rsidRPr="000E54EB">
        <w:rPr>
          <w:rFonts w:ascii="Verdana" w:hAnsi="Verdana" w:cs="Verdana"/>
          <w:sz w:val="20"/>
          <w:szCs w:val="20"/>
        </w:rPr>
        <w:t>Лихвеният риск произтича от колебанията в цената на финансов инструмент в зависимост от промените в лихвените нива.</w:t>
      </w:r>
    </w:p>
    <w:p w:rsidR="00863C99" w:rsidRPr="000E54EB" w:rsidRDefault="00863C99" w:rsidP="00281FF4">
      <w:pPr>
        <w:rPr>
          <w:rFonts w:ascii="Verdana" w:hAnsi="Verdana" w:cs="Verdana"/>
          <w:sz w:val="20"/>
          <w:szCs w:val="20"/>
        </w:rPr>
      </w:pPr>
      <w:r w:rsidRPr="000E54EB">
        <w:rPr>
          <w:rFonts w:ascii="Verdana" w:hAnsi="Verdana" w:cs="Verdana"/>
          <w:sz w:val="20"/>
          <w:szCs w:val="20"/>
        </w:rPr>
        <w:lastRenderedPageBreak/>
        <w:t>Валутният риск произтича от колебанията в цената на финансов инструмент в зависимост от промените във валутните курсове.</w:t>
      </w:r>
    </w:p>
    <w:p w:rsidR="00863C99" w:rsidRPr="00B41149" w:rsidRDefault="00863C99" w:rsidP="00281FF4">
      <w:pPr>
        <w:pStyle w:val="000Normal"/>
        <w:spacing w:before="0" w:after="0" w:line="240" w:lineRule="auto"/>
        <w:rPr>
          <w:rFonts w:ascii="Verdana" w:hAnsi="Verdana" w:cs="Verdana"/>
          <w:sz w:val="20"/>
          <w:szCs w:val="20"/>
        </w:rPr>
      </w:pPr>
      <w:r w:rsidRPr="00B41149">
        <w:rPr>
          <w:rFonts w:ascii="Verdana" w:hAnsi="Verdana" w:cs="Verdana"/>
          <w:sz w:val="20"/>
          <w:szCs w:val="20"/>
        </w:rPr>
        <w:t xml:space="preserve">Основните финансови инструменти на Дружеството, различни от деривативи, включват банкови заеми, заеми от двързани лица и парични средства. Основната цел на тези финансови инструменти е да се осигури финансиране за дейността на Дружеството. Дружеството притежава и различни други финансови инструменти, като например взимания по продажби и задължения към доставчици, които възникват пряко от дейността. </w:t>
      </w:r>
    </w:p>
    <w:p w:rsidR="00863C99" w:rsidRPr="00B41149" w:rsidRDefault="00863C99" w:rsidP="00281FF4">
      <w:pPr>
        <w:pStyle w:val="000Normal"/>
        <w:spacing w:before="0" w:after="0" w:line="240" w:lineRule="auto"/>
        <w:rPr>
          <w:rFonts w:ascii="Verdana" w:hAnsi="Verdana" w:cs="Verdana"/>
          <w:sz w:val="20"/>
          <w:szCs w:val="20"/>
        </w:rPr>
      </w:pPr>
      <w:r w:rsidRPr="00B41149">
        <w:rPr>
          <w:rFonts w:ascii="Verdana" w:hAnsi="Verdana" w:cs="Verdana"/>
          <w:sz w:val="20"/>
          <w:szCs w:val="20"/>
        </w:rPr>
        <w:t xml:space="preserve">Основните рискове, произтичащи от финансовите инструменти на Дружеството, включват риск на лихвения процент, риск на ликвидността, валутен риск и кредитен риск. </w:t>
      </w:r>
    </w:p>
    <w:p w:rsidR="00863C99" w:rsidRPr="000E54EB" w:rsidRDefault="00863C99" w:rsidP="00281FF4">
      <w:pPr>
        <w:rPr>
          <w:rFonts w:ascii="Verdana" w:hAnsi="Verdana" w:cs="Verdana"/>
          <w:b/>
          <w:bCs/>
          <w:sz w:val="20"/>
          <w:szCs w:val="20"/>
          <w:lang w:eastAsia="bg-BG"/>
        </w:rPr>
      </w:pPr>
    </w:p>
    <w:p w:rsidR="00863C99" w:rsidRPr="000E54EB" w:rsidRDefault="00863C99" w:rsidP="00B66DF8">
      <w:pPr>
        <w:pStyle w:val="Heading3"/>
        <w:spacing w:before="0"/>
        <w:rPr>
          <w:rFonts w:ascii="Verdana" w:hAnsi="Verdana" w:cs="Verdana"/>
          <w:lang w:val="bg-BG"/>
        </w:rPr>
      </w:pPr>
      <w:bookmarkStart w:id="194" w:name="_Toc4328872"/>
      <w:r w:rsidRPr="000E54EB">
        <w:rPr>
          <w:rFonts w:ascii="Verdana" w:hAnsi="Verdana" w:cs="Verdana"/>
          <w:lang w:val="bg-BG"/>
        </w:rPr>
        <w:t>Валутен риск</w:t>
      </w:r>
      <w:bookmarkEnd w:id="194"/>
    </w:p>
    <w:p w:rsidR="00863C99" w:rsidRPr="00B41149" w:rsidRDefault="00863C99" w:rsidP="00B41149">
      <w:pPr>
        <w:rPr>
          <w:rFonts w:ascii="Verdana" w:hAnsi="Verdana" w:cs="Verdana"/>
          <w:sz w:val="20"/>
          <w:szCs w:val="20"/>
        </w:rPr>
      </w:pPr>
      <w:r w:rsidRPr="00B41149">
        <w:rPr>
          <w:rFonts w:ascii="Verdana" w:hAnsi="Verdana" w:cs="Verdana"/>
          <w:sz w:val="20"/>
          <w:szCs w:val="20"/>
        </w:rPr>
        <w:t>Дружеството е изложено на валутни рискове, свързани със сделки от продажби или покупки в чуждестранна валута. Дружеството има само финансови пасиви в чуждестранна валута, която е единната европейска валута – евро.</w:t>
      </w:r>
    </w:p>
    <w:p w:rsidR="00863C99" w:rsidRPr="000E54EB" w:rsidRDefault="00863C99" w:rsidP="00B66DF8">
      <w:pPr>
        <w:pStyle w:val="000Normal"/>
        <w:spacing w:before="0" w:after="0" w:line="240" w:lineRule="auto"/>
        <w:rPr>
          <w:rFonts w:ascii="Verdana" w:hAnsi="Verdana" w:cs="Verdana"/>
        </w:rPr>
      </w:pPr>
    </w:p>
    <w:p w:rsidR="00863C99" w:rsidRPr="000E54EB" w:rsidRDefault="00863C99" w:rsidP="00B66DF8">
      <w:pPr>
        <w:pStyle w:val="Heading3"/>
        <w:spacing w:before="0"/>
        <w:rPr>
          <w:rFonts w:ascii="Verdana" w:hAnsi="Verdana" w:cs="Verdana"/>
          <w:lang w:val="bg-BG"/>
        </w:rPr>
      </w:pPr>
      <w:bookmarkStart w:id="195" w:name="_Toc4328873"/>
      <w:r w:rsidRPr="000E54EB">
        <w:rPr>
          <w:rFonts w:ascii="Verdana" w:hAnsi="Verdana" w:cs="Verdana"/>
          <w:lang w:val="bg-BG"/>
        </w:rPr>
        <w:t>Пазарен риск</w:t>
      </w:r>
      <w:bookmarkEnd w:id="195"/>
    </w:p>
    <w:p w:rsidR="00863C99" w:rsidRPr="000E54EB" w:rsidRDefault="00863C99" w:rsidP="00092B05">
      <w:pPr>
        <w:autoSpaceDE w:val="0"/>
        <w:autoSpaceDN w:val="0"/>
        <w:adjustRightInd w:val="0"/>
        <w:rPr>
          <w:rFonts w:ascii="Verdana" w:hAnsi="Verdana" w:cs="Verdana"/>
          <w:color w:val="000000"/>
          <w:sz w:val="20"/>
          <w:szCs w:val="20"/>
        </w:rPr>
      </w:pPr>
      <w:r w:rsidRPr="000E54EB">
        <w:rPr>
          <w:rFonts w:ascii="Verdana" w:hAnsi="Verdana" w:cs="Verdana"/>
          <w:color w:val="000000"/>
          <w:sz w:val="20"/>
          <w:szCs w:val="20"/>
        </w:rPr>
        <w:t>Пазарен риск е рискът, че справедливата стойност на бъдещите парични потоци от даден инструмент ще варира поради промените в пазарните цени. Пазарните цени включват четири типа риск: лихвен, валутен, стоков и друг ценови риск, какво е и рискът за цената на собствения капитал. Финансовите инструменти, които биват засегнати от пазарния риск, включват заеми и привлечени средства, депозити, инструменти на разположение за продажба и деривативни финансови инструменти.</w:t>
      </w:r>
    </w:p>
    <w:p w:rsidR="00863C99" w:rsidRDefault="00863C99" w:rsidP="00092B05">
      <w:pPr>
        <w:autoSpaceDE w:val="0"/>
        <w:autoSpaceDN w:val="0"/>
        <w:adjustRightInd w:val="0"/>
        <w:rPr>
          <w:rFonts w:ascii="Verdana" w:hAnsi="Verdana" w:cs="Verdana"/>
          <w:color w:val="000000"/>
          <w:sz w:val="20"/>
          <w:szCs w:val="20"/>
        </w:rPr>
      </w:pPr>
    </w:p>
    <w:p w:rsidR="00863C99" w:rsidRPr="000E54EB" w:rsidRDefault="00863C99" w:rsidP="00092B05">
      <w:pPr>
        <w:autoSpaceDE w:val="0"/>
        <w:autoSpaceDN w:val="0"/>
        <w:adjustRightInd w:val="0"/>
        <w:rPr>
          <w:rFonts w:ascii="Verdana" w:hAnsi="Verdana" w:cs="Verdana"/>
          <w:color w:val="000000"/>
          <w:sz w:val="20"/>
          <w:szCs w:val="20"/>
        </w:rPr>
      </w:pPr>
      <w:r w:rsidRPr="000E54EB">
        <w:rPr>
          <w:rFonts w:ascii="Verdana" w:hAnsi="Verdana" w:cs="Verdana"/>
          <w:color w:val="000000"/>
          <w:sz w:val="20"/>
          <w:szCs w:val="20"/>
        </w:rPr>
        <w:t>Анализите на чувствителността са изготвени при предположението, че сумата на нетния дълг, съотношението на фиксираните към плаващите лихвени проценти по дълга и деривативите и съотношението на финансовите инструменти в чуждестранни валути, всички са постоянни и на база определянето на хеджове, както те съществуват към 31 декември.</w:t>
      </w:r>
    </w:p>
    <w:p w:rsidR="00863C99" w:rsidRPr="000E54EB" w:rsidRDefault="00863C99" w:rsidP="00092B05">
      <w:pPr>
        <w:autoSpaceDE w:val="0"/>
        <w:autoSpaceDN w:val="0"/>
        <w:adjustRightInd w:val="0"/>
        <w:rPr>
          <w:rFonts w:ascii="Verdana" w:hAnsi="Verdana" w:cs="Verdana"/>
          <w:color w:val="000000"/>
          <w:sz w:val="20"/>
          <w:szCs w:val="20"/>
        </w:rPr>
      </w:pPr>
      <w:r w:rsidRPr="000E54EB">
        <w:rPr>
          <w:rFonts w:ascii="Verdana" w:hAnsi="Verdana" w:cs="Verdana"/>
          <w:color w:val="000000"/>
          <w:sz w:val="20"/>
          <w:szCs w:val="20"/>
        </w:rPr>
        <w:t>Анализите изключват ефекта от движенията в пазарните променливи в балансовата стойност на пенсионните и други задължения след пенсиониране, провизиите и по нетекущите финансови активи и пасиви на чуждестранни дейности.</w:t>
      </w:r>
    </w:p>
    <w:p w:rsidR="00863C99" w:rsidRPr="000E54EB" w:rsidRDefault="00863C99" w:rsidP="00092B05">
      <w:pPr>
        <w:autoSpaceDE w:val="0"/>
        <w:autoSpaceDN w:val="0"/>
        <w:adjustRightInd w:val="0"/>
        <w:rPr>
          <w:rFonts w:ascii="Verdana" w:hAnsi="Verdana" w:cs="Verdana"/>
          <w:color w:val="000000"/>
          <w:sz w:val="20"/>
          <w:szCs w:val="20"/>
        </w:rPr>
      </w:pPr>
      <w:r w:rsidRPr="000E54EB">
        <w:rPr>
          <w:rFonts w:ascii="Verdana" w:hAnsi="Verdana" w:cs="Verdana"/>
          <w:color w:val="000000"/>
          <w:sz w:val="20"/>
          <w:szCs w:val="20"/>
        </w:rPr>
        <w:t>При изчисление на анализите на чувствителността са направени следните предположения:</w:t>
      </w:r>
    </w:p>
    <w:p w:rsidR="00863C99" w:rsidRPr="000E54EB" w:rsidRDefault="00863C99" w:rsidP="00092B05">
      <w:pPr>
        <w:pStyle w:val="ListParagraph"/>
        <w:numPr>
          <w:ilvl w:val="0"/>
          <w:numId w:val="2"/>
        </w:numPr>
        <w:autoSpaceDE w:val="0"/>
        <w:autoSpaceDN w:val="0"/>
        <w:adjustRightInd w:val="0"/>
        <w:rPr>
          <w:rFonts w:ascii="Verdana" w:hAnsi="Verdana" w:cs="Verdana"/>
          <w:color w:val="000000"/>
          <w:sz w:val="20"/>
          <w:szCs w:val="20"/>
        </w:rPr>
      </w:pPr>
      <w:r w:rsidRPr="000E54EB">
        <w:rPr>
          <w:rFonts w:ascii="Verdana" w:hAnsi="Verdana" w:cs="Verdana"/>
          <w:color w:val="000000"/>
          <w:sz w:val="20"/>
          <w:szCs w:val="20"/>
        </w:rPr>
        <w:t>Чувствителността на отчета за финансовото състояние е свързана единствено с деривативи и дългови инструменти на разположение за продажба;</w:t>
      </w:r>
    </w:p>
    <w:p w:rsidR="00863C99" w:rsidRPr="000E54EB" w:rsidRDefault="00863C99" w:rsidP="00092B05">
      <w:pPr>
        <w:pStyle w:val="ListParagraph"/>
        <w:numPr>
          <w:ilvl w:val="0"/>
          <w:numId w:val="2"/>
        </w:numPr>
        <w:autoSpaceDE w:val="0"/>
        <w:autoSpaceDN w:val="0"/>
        <w:adjustRightInd w:val="0"/>
        <w:rPr>
          <w:rFonts w:ascii="Verdana" w:hAnsi="Verdana" w:cs="Verdana"/>
          <w:color w:val="000000"/>
          <w:sz w:val="20"/>
          <w:szCs w:val="20"/>
        </w:rPr>
      </w:pPr>
      <w:r w:rsidRPr="000E54EB">
        <w:rPr>
          <w:rFonts w:ascii="Verdana" w:hAnsi="Verdana" w:cs="Verdana"/>
          <w:color w:val="000000"/>
          <w:sz w:val="20"/>
          <w:szCs w:val="20"/>
        </w:rPr>
        <w:t xml:space="preserve">Чувствителността на съответния отчет за доходите представлява ефекта от предполагаемите промени в пазарните рискове. Той се базира на финансовите активи и финансовите пасиви, държани към </w:t>
      </w:r>
      <w:r>
        <w:rPr>
          <w:rFonts w:ascii="Verdana" w:hAnsi="Verdana" w:cs="Verdana"/>
          <w:color w:val="000000"/>
          <w:sz w:val="20"/>
          <w:szCs w:val="20"/>
        </w:rPr>
        <w:t xml:space="preserve">30 юни 2020 г. и </w:t>
      </w:r>
      <w:r w:rsidRPr="000E54EB">
        <w:rPr>
          <w:rFonts w:ascii="Verdana" w:hAnsi="Verdana" w:cs="Verdana"/>
          <w:color w:val="000000"/>
          <w:sz w:val="20"/>
          <w:szCs w:val="20"/>
        </w:rPr>
        <w:t>31 декември 201</w:t>
      </w:r>
      <w:r w:rsidRPr="00F86F28">
        <w:rPr>
          <w:rFonts w:ascii="Verdana" w:hAnsi="Verdana" w:cs="Verdana"/>
          <w:color w:val="000000"/>
          <w:sz w:val="20"/>
          <w:szCs w:val="20"/>
          <w:lang w:val="ru-RU"/>
        </w:rPr>
        <w:t>9</w:t>
      </w:r>
      <w:r w:rsidRPr="000E54EB">
        <w:rPr>
          <w:rFonts w:ascii="Verdana" w:hAnsi="Verdana" w:cs="Verdana"/>
          <w:color w:val="000000"/>
          <w:sz w:val="20"/>
          <w:szCs w:val="20"/>
        </w:rPr>
        <w:t xml:space="preserve"> </w:t>
      </w:r>
      <w:r>
        <w:rPr>
          <w:rFonts w:ascii="Verdana" w:hAnsi="Verdana" w:cs="Verdana"/>
          <w:color w:val="000000"/>
          <w:sz w:val="20"/>
          <w:szCs w:val="20"/>
        </w:rPr>
        <w:t>г.</w:t>
      </w:r>
      <w:r w:rsidRPr="000E54EB">
        <w:rPr>
          <w:rFonts w:ascii="Verdana" w:hAnsi="Verdana" w:cs="Verdana"/>
          <w:color w:val="000000"/>
          <w:sz w:val="20"/>
          <w:szCs w:val="20"/>
        </w:rPr>
        <w:t>, включително ефект на хеджиращите инструменти;</w:t>
      </w:r>
    </w:p>
    <w:p w:rsidR="00863C99" w:rsidRPr="000E54EB" w:rsidRDefault="00863C99" w:rsidP="00092B05">
      <w:pPr>
        <w:pStyle w:val="ListParagraph"/>
        <w:numPr>
          <w:ilvl w:val="0"/>
          <w:numId w:val="2"/>
        </w:numPr>
        <w:autoSpaceDE w:val="0"/>
        <w:autoSpaceDN w:val="0"/>
        <w:adjustRightInd w:val="0"/>
        <w:rPr>
          <w:rFonts w:ascii="Verdana" w:hAnsi="Verdana" w:cs="Verdana"/>
          <w:color w:val="000000"/>
          <w:sz w:val="20"/>
          <w:szCs w:val="20"/>
        </w:rPr>
      </w:pPr>
      <w:r w:rsidRPr="000E54EB">
        <w:rPr>
          <w:rFonts w:ascii="Verdana" w:hAnsi="Verdana" w:cs="Verdana"/>
          <w:color w:val="000000"/>
          <w:sz w:val="20"/>
          <w:szCs w:val="20"/>
        </w:rPr>
        <w:t>Чувствителността на собствения капитал се изчислява като се преценява ефекта от свързаните хеджове на паричен поток и хеджове на нетна инвестиция в чужде</w:t>
      </w:r>
      <w:r w:rsidR="005A1F78">
        <w:rPr>
          <w:rFonts w:ascii="Verdana" w:hAnsi="Verdana" w:cs="Verdana"/>
          <w:color w:val="000000"/>
          <w:sz w:val="20"/>
          <w:szCs w:val="20"/>
        </w:rPr>
        <w:t>странно дъщерно дружество към 30 юни</w:t>
      </w:r>
      <w:r w:rsidRPr="000E54EB">
        <w:rPr>
          <w:rFonts w:ascii="Verdana" w:hAnsi="Verdana" w:cs="Verdana"/>
          <w:color w:val="000000"/>
          <w:sz w:val="20"/>
          <w:szCs w:val="20"/>
        </w:rPr>
        <w:t xml:space="preserve"> за ефектите от поетите промени в базовия инструмент.</w:t>
      </w:r>
    </w:p>
    <w:p w:rsidR="00863C99" w:rsidRPr="000E54EB" w:rsidRDefault="00863C99" w:rsidP="00B33719">
      <w:pPr>
        <w:pStyle w:val="ListParagraph"/>
        <w:autoSpaceDE w:val="0"/>
        <w:autoSpaceDN w:val="0"/>
        <w:adjustRightInd w:val="0"/>
        <w:rPr>
          <w:rFonts w:ascii="Verdana" w:hAnsi="Verdana" w:cs="Verdana"/>
          <w:color w:val="000000"/>
          <w:sz w:val="20"/>
          <w:szCs w:val="20"/>
        </w:rPr>
      </w:pPr>
    </w:p>
    <w:p w:rsidR="00863C99" w:rsidRPr="000E54EB" w:rsidRDefault="00863C99" w:rsidP="00B66DF8">
      <w:pPr>
        <w:pStyle w:val="Heading2"/>
        <w:spacing w:before="0"/>
        <w:rPr>
          <w:rFonts w:ascii="Verdana" w:hAnsi="Verdana" w:cs="Verdana"/>
          <w:sz w:val="20"/>
          <w:szCs w:val="20"/>
          <w:lang w:val="bg-BG"/>
        </w:rPr>
      </w:pPr>
      <w:bookmarkStart w:id="196" w:name="_Toc4328874"/>
      <w:r w:rsidRPr="000E54EB">
        <w:rPr>
          <w:rFonts w:ascii="Verdana" w:hAnsi="Verdana" w:cs="Verdana"/>
          <w:sz w:val="20"/>
          <w:szCs w:val="20"/>
          <w:lang w:val="bg-BG"/>
        </w:rPr>
        <w:t>3. Управление на капитала</w:t>
      </w:r>
      <w:bookmarkEnd w:id="196"/>
    </w:p>
    <w:p w:rsidR="00863C99" w:rsidRPr="000E54EB" w:rsidRDefault="00863C99" w:rsidP="00086127">
      <w:pPr>
        <w:autoSpaceDE w:val="0"/>
        <w:autoSpaceDN w:val="0"/>
        <w:adjustRightInd w:val="0"/>
        <w:rPr>
          <w:rFonts w:ascii="Verdana" w:hAnsi="Verdana" w:cs="Verdana"/>
          <w:sz w:val="20"/>
          <w:szCs w:val="20"/>
        </w:rPr>
      </w:pPr>
      <w:r w:rsidRPr="000E54EB">
        <w:rPr>
          <w:rFonts w:ascii="Verdana" w:hAnsi="Verdana" w:cs="Verdana"/>
          <w:sz w:val="20"/>
          <w:szCs w:val="20"/>
        </w:rPr>
        <w:t>Капиталът включва собствен капитал, принадлежащ на собствениците на дружеството-майка.</w:t>
      </w:r>
    </w:p>
    <w:p w:rsidR="00863C99" w:rsidRPr="000E54EB" w:rsidRDefault="00863C99" w:rsidP="00086127">
      <w:pPr>
        <w:autoSpaceDE w:val="0"/>
        <w:autoSpaceDN w:val="0"/>
        <w:adjustRightInd w:val="0"/>
        <w:rPr>
          <w:rFonts w:ascii="Verdana" w:hAnsi="Verdana" w:cs="Verdana"/>
          <w:sz w:val="20"/>
          <w:szCs w:val="20"/>
        </w:rPr>
      </w:pPr>
      <w:r w:rsidRPr="000E54EB">
        <w:rPr>
          <w:rFonts w:ascii="Verdana" w:hAnsi="Verdana" w:cs="Verdana"/>
          <w:sz w:val="20"/>
          <w:szCs w:val="20"/>
        </w:rPr>
        <w:t>Основната цел на управлението на капитала на Дружеството е да се гарантира, че то поддържа стабилен кредитен рейтинг и подходящи капиталови съотношения, за да поддържа бизнеса си и да увеличи максимално стойността за акционерите.</w:t>
      </w:r>
    </w:p>
    <w:p w:rsidR="00863C99" w:rsidRPr="000E54EB" w:rsidRDefault="00863C99" w:rsidP="00086127">
      <w:pPr>
        <w:autoSpaceDE w:val="0"/>
        <w:autoSpaceDN w:val="0"/>
        <w:adjustRightInd w:val="0"/>
        <w:rPr>
          <w:rFonts w:ascii="Verdana" w:hAnsi="Verdana" w:cs="Verdana"/>
          <w:sz w:val="20"/>
          <w:szCs w:val="20"/>
        </w:rPr>
      </w:pPr>
      <w:r w:rsidRPr="000E54EB">
        <w:rPr>
          <w:rFonts w:ascii="Verdana" w:hAnsi="Verdana" w:cs="Verdana"/>
          <w:sz w:val="20"/>
          <w:szCs w:val="20"/>
        </w:rPr>
        <w:t xml:space="preserve">Дружеството управлява капиталовата си структура и прави корекции в нея с оглед на промените в икономическите условия. За поддържане или коригиране на капиталовата </w:t>
      </w:r>
      <w:r w:rsidRPr="000E54EB">
        <w:rPr>
          <w:rFonts w:ascii="Verdana" w:hAnsi="Verdana" w:cs="Verdana"/>
          <w:sz w:val="20"/>
          <w:szCs w:val="20"/>
        </w:rPr>
        <w:lastRenderedPageBreak/>
        <w:t>структура Дружеството може да коригира плащането на дивиденти на акционерите, възвръщаемостта върху капитала на акционерите или емисията на нови акции.</w:t>
      </w:r>
    </w:p>
    <w:p w:rsidR="00863C99" w:rsidRPr="000E54EB" w:rsidRDefault="005A1F78" w:rsidP="00086127">
      <w:pPr>
        <w:autoSpaceDE w:val="0"/>
        <w:autoSpaceDN w:val="0"/>
        <w:adjustRightInd w:val="0"/>
        <w:rPr>
          <w:rFonts w:ascii="Verdana" w:hAnsi="Verdana" w:cs="Verdana"/>
          <w:sz w:val="20"/>
          <w:szCs w:val="20"/>
        </w:rPr>
      </w:pPr>
      <w:r>
        <w:rPr>
          <w:rFonts w:ascii="Verdana" w:hAnsi="Verdana" w:cs="Verdana"/>
          <w:sz w:val="20"/>
          <w:szCs w:val="20"/>
        </w:rPr>
        <w:t>През годините, приключващи на 30 юни 2020</w:t>
      </w:r>
      <w:r w:rsidR="00863C99" w:rsidRPr="000E54EB">
        <w:rPr>
          <w:rFonts w:ascii="Verdana" w:hAnsi="Verdana" w:cs="Verdana"/>
          <w:sz w:val="20"/>
          <w:szCs w:val="20"/>
        </w:rPr>
        <w:t>г. и 31 декември 201</w:t>
      </w:r>
      <w:r>
        <w:rPr>
          <w:rFonts w:ascii="Verdana" w:hAnsi="Verdana" w:cs="Verdana"/>
          <w:sz w:val="20"/>
          <w:szCs w:val="20"/>
          <w:lang w:val="ru-RU"/>
        </w:rPr>
        <w:t>9</w:t>
      </w:r>
      <w:r w:rsidR="00863C99" w:rsidRPr="000E54EB">
        <w:rPr>
          <w:rFonts w:ascii="Verdana" w:hAnsi="Verdana" w:cs="Verdana"/>
          <w:sz w:val="20"/>
          <w:szCs w:val="20"/>
        </w:rPr>
        <w:t>г. няма промени в целите, политиката или процесите за управление на капитала.</w:t>
      </w:r>
    </w:p>
    <w:p w:rsidR="00863C99" w:rsidRPr="000E54EB" w:rsidRDefault="00863C99" w:rsidP="00086127">
      <w:pPr>
        <w:autoSpaceDE w:val="0"/>
        <w:autoSpaceDN w:val="0"/>
        <w:adjustRightInd w:val="0"/>
        <w:rPr>
          <w:rFonts w:ascii="Verdana" w:hAnsi="Verdana" w:cs="Verdana"/>
          <w:sz w:val="20"/>
          <w:szCs w:val="20"/>
        </w:rPr>
      </w:pPr>
      <w:r w:rsidRPr="000E54EB">
        <w:rPr>
          <w:rFonts w:ascii="Verdana" w:hAnsi="Verdana" w:cs="Verdana"/>
          <w:sz w:val="20"/>
          <w:szCs w:val="20"/>
        </w:rPr>
        <w:t>Дружеството наблюдава капитала като използва съотношение на задлъжнялост, което представлява нетния дълг, разделен на общия капитал плюс нетния дълг. Дружеството включва в нетния дълг лихвоносните заеми и привлечени средства, заеми от партньори в съвместно предприятие, търговски и стокови кредити, намалени с паричните средства и паричните еквиваленти, с изключение на преустановените дейности.</w:t>
      </w:r>
    </w:p>
    <w:p w:rsidR="00863C99" w:rsidRPr="000E54EB" w:rsidRDefault="00863C99" w:rsidP="00086127">
      <w:pPr>
        <w:autoSpaceDE w:val="0"/>
        <w:autoSpaceDN w:val="0"/>
        <w:adjustRightInd w:val="0"/>
        <w:rPr>
          <w:rFonts w:ascii="Verdana" w:hAnsi="Verdana" w:cs="Verdana"/>
          <w:sz w:val="20"/>
          <w:szCs w:val="20"/>
        </w:rPr>
      </w:pPr>
    </w:p>
    <w:p w:rsidR="00863C99" w:rsidRPr="000E54EB" w:rsidRDefault="00863C99" w:rsidP="00B66DF8">
      <w:pPr>
        <w:pStyle w:val="Heading2"/>
        <w:spacing w:before="0"/>
        <w:rPr>
          <w:rFonts w:ascii="Verdana" w:hAnsi="Verdana" w:cs="Verdana"/>
          <w:sz w:val="20"/>
          <w:szCs w:val="20"/>
          <w:lang w:val="bg-BG"/>
        </w:rPr>
      </w:pPr>
      <w:bookmarkStart w:id="197" w:name="_Toc247959216"/>
      <w:bookmarkStart w:id="198" w:name="_Toc4328875"/>
      <w:bookmarkStart w:id="199" w:name="_Hlk510717333"/>
      <w:bookmarkStart w:id="200" w:name="_Hlk511574192"/>
      <w:r w:rsidRPr="000E54EB">
        <w:rPr>
          <w:rFonts w:ascii="Verdana" w:hAnsi="Verdana" w:cs="Verdana"/>
          <w:sz w:val="20"/>
          <w:szCs w:val="20"/>
          <w:lang w:val="bg-BG"/>
        </w:rPr>
        <w:t>4. Събития след края на отчетния период</w:t>
      </w:r>
      <w:bookmarkEnd w:id="197"/>
      <w:bookmarkEnd w:id="198"/>
    </w:p>
    <w:p w:rsidR="00863C99" w:rsidRPr="000E54EB" w:rsidRDefault="00863C99" w:rsidP="00B66DF8">
      <w:pPr>
        <w:pStyle w:val="BodyText"/>
        <w:spacing w:after="0"/>
        <w:rPr>
          <w:rFonts w:ascii="Verdana" w:hAnsi="Verdana" w:cs="Verdana"/>
          <w:sz w:val="20"/>
          <w:szCs w:val="20"/>
          <w:lang w:val="bg-BG"/>
        </w:rPr>
      </w:pPr>
      <w:bookmarkStart w:id="201" w:name="_Hlk510717346"/>
      <w:bookmarkEnd w:id="199"/>
      <w:r w:rsidRPr="000E54EB">
        <w:rPr>
          <w:rFonts w:ascii="Verdana" w:hAnsi="Verdana" w:cs="Verdana"/>
          <w:sz w:val="20"/>
          <w:szCs w:val="20"/>
          <w:lang w:val="bg-BG"/>
        </w:rPr>
        <w:t>Освен оповестеното по-горе в приложенията към финансовия отчет, не са настъпили събития след края на отчетния период, които да налагат допълнителни корекции и/или оповестявания във финансовия отчет на Дружеството</w:t>
      </w:r>
      <w:r>
        <w:rPr>
          <w:rFonts w:ascii="Verdana" w:hAnsi="Verdana" w:cs="Verdana"/>
          <w:sz w:val="20"/>
          <w:szCs w:val="20"/>
          <w:lang w:val="bg-BG"/>
        </w:rPr>
        <w:t>.</w:t>
      </w:r>
    </w:p>
    <w:bookmarkEnd w:id="201"/>
    <w:p w:rsidR="00863C99" w:rsidRPr="000E54EB" w:rsidRDefault="00863C99" w:rsidP="00B66DF8">
      <w:pPr>
        <w:pStyle w:val="BodyText"/>
        <w:spacing w:after="0"/>
        <w:rPr>
          <w:rFonts w:ascii="Verdana" w:hAnsi="Verdana" w:cs="Verdana"/>
          <w:sz w:val="20"/>
          <w:szCs w:val="20"/>
          <w:lang w:val="bg-BG"/>
        </w:rPr>
      </w:pPr>
    </w:p>
    <w:p w:rsidR="00863C99" w:rsidRPr="000E54EB" w:rsidRDefault="00863C99" w:rsidP="00B66DF8">
      <w:pPr>
        <w:pStyle w:val="Heading2"/>
        <w:spacing w:before="0"/>
        <w:rPr>
          <w:rFonts w:ascii="Verdana" w:hAnsi="Verdana" w:cs="Verdana"/>
          <w:sz w:val="20"/>
          <w:szCs w:val="20"/>
          <w:lang w:val="bg-BG"/>
        </w:rPr>
      </w:pPr>
      <w:bookmarkStart w:id="202" w:name="_Toc4328876"/>
      <w:bookmarkEnd w:id="200"/>
      <w:r w:rsidRPr="000E54EB">
        <w:rPr>
          <w:rFonts w:ascii="Verdana" w:hAnsi="Verdana" w:cs="Verdana"/>
          <w:sz w:val="20"/>
          <w:szCs w:val="20"/>
          <w:lang w:val="bg-BG"/>
        </w:rPr>
        <w:t>5. Възнаграждение за одит</w:t>
      </w:r>
      <w:bookmarkEnd w:id="202"/>
    </w:p>
    <w:p w:rsidR="00863C99" w:rsidRPr="000E54EB" w:rsidRDefault="00863C99" w:rsidP="00B66DF8">
      <w:pPr>
        <w:pStyle w:val="BodyText"/>
        <w:spacing w:after="0"/>
        <w:rPr>
          <w:rFonts w:ascii="Verdana" w:hAnsi="Verdana" w:cs="Verdana"/>
          <w:sz w:val="20"/>
          <w:szCs w:val="20"/>
          <w:lang w:val="bg-BG"/>
        </w:rPr>
      </w:pPr>
      <w:r w:rsidRPr="000E54EB">
        <w:rPr>
          <w:rFonts w:ascii="Verdana" w:hAnsi="Verdana" w:cs="Verdana"/>
          <w:sz w:val="20"/>
          <w:szCs w:val="20"/>
          <w:lang w:val="bg-BG"/>
        </w:rPr>
        <w:t xml:space="preserve">Съгласно чл. 30, ал. 1 от ЗС Дружеството оповестява, че възнаграждението за одит за </w:t>
      </w:r>
      <w:r>
        <w:rPr>
          <w:rFonts w:ascii="Verdana" w:hAnsi="Verdana" w:cs="Verdana"/>
          <w:sz w:val="20"/>
          <w:szCs w:val="20"/>
          <w:lang w:val="bg-BG"/>
        </w:rPr>
        <w:t>201</w:t>
      </w:r>
      <w:r w:rsidRPr="00F86F28">
        <w:rPr>
          <w:rFonts w:ascii="Verdana" w:hAnsi="Verdana" w:cs="Verdana"/>
          <w:sz w:val="20"/>
          <w:szCs w:val="20"/>
          <w:lang w:val="ru-RU"/>
        </w:rPr>
        <w:t>9</w:t>
      </w:r>
      <w:r w:rsidRPr="000E54EB">
        <w:rPr>
          <w:rFonts w:ascii="Verdana" w:hAnsi="Verdana" w:cs="Verdana"/>
          <w:sz w:val="20"/>
          <w:szCs w:val="20"/>
          <w:lang w:val="bg-BG"/>
        </w:rPr>
        <w:t>г. е в размер на 1 260 евро без ДДС.</w:t>
      </w:r>
    </w:p>
    <w:p w:rsidR="00863C99" w:rsidRDefault="00863C99" w:rsidP="00B66DF8">
      <w:pPr>
        <w:pStyle w:val="BodyText"/>
        <w:spacing w:after="0"/>
        <w:rPr>
          <w:rFonts w:ascii="Verdana" w:hAnsi="Verdana" w:cs="Verdana"/>
          <w:color w:val="FF0000"/>
          <w:sz w:val="20"/>
          <w:szCs w:val="20"/>
          <w:lang w:val="bg-BG"/>
        </w:rPr>
      </w:pPr>
    </w:p>
    <w:p w:rsidR="00863C99" w:rsidRPr="000E54EB" w:rsidRDefault="00863C99" w:rsidP="00B66DF8">
      <w:pPr>
        <w:pStyle w:val="Heading2"/>
        <w:spacing w:before="0"/>
        <w:rPr>
          <w:rFonts w:ascii="Verdana" w:hAnsi="Verdana" w:cs="Verdana"/>
          <w:sz w:val="20"/>
          <w:szCs w:val="20"/>
          <w:lang w:val="bg-BG"/>
        </w:rPr>
      </w:pPr>
      <w:bookmarkStart w:id="203" w:name="_Toc247959218"/>
      <w:bookmarkStart w:id="204" w:name="_Toc4328877"/>
      <w:bookmarkStart w:id="205" w:name="_Hlk510717358"/>
      <w:r w:rsidRPr="000E54EB">
        <w:rPr>
          <w:rFonts w:ascii="Verdana" w:hAnsi="Verdana" w:cs="Verdana"/>
          <w:sz w:val="20"/>
          <w:szCs w:val="20"/>
          <w:lang w:val="bg-BG"/>
        </w:rPr>
        <w:t xml:space="preserve">6. </w:t>
      </w:r>
      <w:bookmarkEnd w:id="203"/>
      <w:r w:rsidRPr="000E54EB">
        <w:rPr>
          <w:rFonts w:ascii="Verdana" w:hAnsi="Verdana" w:cs="Verdana"/>
          <w:sz w:val="20"/>
          <w:szCs w:val="20"/>
          <w:lang w:val="bg-BG"/>
        </w:rPr>
        <w:t>Принцип-предположение за действащо предприятие – финансово състояние</w:t>
      </w:r>
      <w:bookmarkEnd w:id="204"/>
    </w:p>
    <w:bookmarkEnd w:id="205"/>
    <w:p w:rsidR="00863C99" w:rsidRPr="000E54EB" w:rsidRDefault="00863C99" w:rsidP="00A2137D">
      <w:pPr>
        <w:autoSpaceDE w:val="0"/>
        <w:autoSpaceDN w:val="0"/>
        <w:adjustRightInd w:val="0"/>
        <w:spacing w:line="260" w:lineRule="atLeast"/>
        <w:rPr>
          <w:rFonts w:ascii="Verdana" w:hAnsi="Verdana" w:cs="Verdana"/>
          <w:color w:val="000000"/>
          <w:sz w:val="20"/>
          <w:szCs w:val="20"/>
        </w:rPr>
      </w:pPr>
      <w:r w:rsidRPr="000E54EB">
        <w:rPr>
          <w:rFonts w:ascii="Verdana" w:hAnsi="Verdana" w:cs="Verdana"/>
          <w:color w:val="000000"/>
          <w:sz w:val="20"/>
          <w:szCs w:val="20"/>
        </w:rPr>
        <w:t>Принципът-предположение за действащо предприятие е фундаментален принцип при изготвянето на финансовите отчети. Съгласно принципа-предположение за действащо предприятие,  Дружеството обикновено се разглежда като продължаващо дейността си в обозримо бъдеще без намерение или необходимост от ликвидация, преустановяване на стопанската дейност или търсене на защита от кредиторите, вследствие на съществуващи закони или други нормативни разпоредби. Съответно, активите и пасивите се отчитат на база възможността на Дружеството да реализира активите и да уреди пасивите си в нормалния ход на бизнеса. При оценката за това дали принципа-предположение за действащо предприятие е уместен, ръководството взема предвид цялата налична информация за обозримото бъдеще, която обхваща поне, но не се ограничава само до, дванадесетте месеца от края на отчетния период.</w:t>
      </w:r>
    </w:p>
    <w:p w:rsidR="00863C99" w:rsidRPr="000E54EB" w:rsidRDefault="00863C99" w:rsidP="00A2137D">
      <w:pPr>
        <w:autoSpaceDE w:val="0"/>
        <w:autoSpaceDN w:val="0"/>
        <w:adjustRightInd w:val="0"/>
        <w:spacing w:line="260" w:lineRule="atLeast"/>
        <w:rPr>
          <w:rFonts w:ascii="Verdana" w:hAnsi="Verdana" w:cs="Verdana"/>
          <w:color w:val="000000"/>
          <w:sz w:val="20"/>
          <w:szCs w:val="20"/>
        </w:rPr>
      </w:pPr>
      <w:r w:rsidRPr="000E54EB">
        <w:rPr>
          <w:rFonts w:ascii="Verdana" w:hAnsi="Verdana" w:cs="Verdana"/>
          <w:color w:val="000000"/>
          <w:sz w:val="20"/>
          <w:szCs w:val="20"/>
        </w:rPr>
        <w:t xml:space="preserve">Финансовият отчет е изготвен на принципа-предположение за действащо предприятие, който предполага, че Дружеството ще продължи дейността си в обозримото бъдеще.  </w:t>
      </w:r>
      <w:r w:rsidRPr="000E54EB">
        <w:rPr>
          <w:rFonts w:ascii="Verdana" w:hAnsi="Verdana" w:cs="Verdana"/>
          <w:color w:val="000000"/>
          <w:sz w:val="20"/>
          <w:szCs w:val="20"/>
          <w:lang w:val="ru-RU"/>
        </w:rPr>
        <w:t>Н</w:t>
      </w:r>
      <w:r w:rsidRPr="000E54EB">
        <w:rPr>
          <w:rFonts w:ascii="Verdana" w:hAnsi="Verdana" w:cs="Verdana"/>
          <w:color w:val="000000"/>
          <w:sz w:val="20"/>
          <w:szCs w:val="20"/>
        </w:rPr>
        <w:t xml:space="preserve">етните активи на дружеството са под стойността на капитала. </w:t>
      </w:r>
      <w:r w:rsidRPr="00E41BA3">
        <w:rPr>
          <w:rFonts w:ascii="Verdana" w:hAnsi="Verdana" w:cs="Verdana"/>
          <w:color w:val="000000"/>
          <w:sz w:val="20"/>
          <w:szCs w:val="20"/>
        </w:rPr>
        <w:t>Натрупаната загуба</w:t>
      </w:r>
      <w:r w:rsidR="00E41BA3" w:rsidRPr="00E41BA3">
        <w:rPr>
          <w:rFonts w:ascii="Verdana" w:hAnsi="Verdana" w:cs="Verdana"/>
          <w:color w:val="000000"/>
          <w:sz w:val="20"/>
          <w:szCs w:val="20"/>
        </w:rPr>
        <w:t xml:space="preserve"> е в размер на 6 152</w:t>
      </w:r>
      <w:r w:rsidRPr="00E41BA3">
        <w:rPr>
          <w:rFonts w:ascii="Verdana" w:hAnsi="Verdana" w:cs="Verdana"/>
          <w:color w:val="000000"/>
          <w:sz w:val="20"/>
          <w:szCs w:val="20"/>
        </w:rPr>
        <w:t xml:space="preserve"> хил. Лева. Дружеството има достъп до финансов</w:t>
      </w:r>
      <w:r w:rsidRPr="000E54EB">
        <w:rPr>
          <w:rFonts w:ascii="Verdana" w:hAnsi="Verdana" w:cs="Verdana"/>
          <w:color w:val="000000"/>
          <w:sz w:val="20"/>
          <w:szCs w:val="20"/>
        </w:rPr>
        <w:t>ите ресурси и гаранции на групата.  Общата несигурност при сегашната неблагоприятна икономическа ситуация в условията на глобална икономическа и финансова криза, породила спад в продажбите на  Дружеството ще се преодолява чрез оптимизиране на оперативната дейност и следване на стратегия, съсредоточена върху основните компетенции на  Дружеството. Освен промяна на бизнес модела и приемане на нова стратегия за функциониране в променяща се среда,  Дружеството предприема намаляване на разходите си и политика на по-бърза и ефективна адаптация към променящия се пазар.</w:t>
      </w:r>
      <w:r w:rsidRPr="000E54EB">
        <w:rPr>
          <w:rFonts w:ascii="Verdana" w:hAnsi="Verdana" w:cs="Verdana"/>
          <w:color w:val="000000"/>
          <w:sz w:val="20"/>
          <w:szCs w:val="20"/>
        </w:rPr>
        <w:tab/>
      </w:r>
    </w:p>
    <w:p w:rsidR="00863C99" w:rsidRPr="000E54EB" w:rsidRDefault="00863C99" w:rsidP="00A2137D">
      <w:pPr>
        <w:spacing w:after="60" w:line="260" w:lineRule="atLeast"/>
        <w:rPr>
          <w:rFonts w:ascii="Verdana" w:hAnsi="Verdana" w:cs="Verdana"/>
          <w:sz w:val="20"/>
          <w:szCs w:val="20"/>
        </w:rPr>
      </w:pPr>
      <w:r w:rsidRPr="000E54EB">
        <w:rPr>
          <w:rFonts w:ascii="Verdana" w:hAnsi="Verdana" w:cs="Verdana"/>
          <w:sz w:val="20"/>
          <w:szCs w:val="20"/>
        </w:rPr>
        <w:t xml:space="preserve">Ръководството на Дружеството счита, че Дружеството е действащо и ще остане действащо, няма планове и намерения за преустановяване на дейността. </w:t>
      </w:r>
    </w:p>
    <w:p w:rsidR="00863C99" w:rsidRPr="000E54EB" w:rsidRDefault="00863C99" w:rsidP="00B66DF8">
      <w:pPr>
        <w:rPr>
          <w:rFonts w:ascii="Verdana" w:hAnsi="Verdana" w:cs="Verdana"/>
          <w:b/>
          <w:bCs/>
          <w:sz w:val="20"/>
          <w:szCs w:val="20"/>
          <w:u w:val="single"/>
        </w:rPr>
      </w:pPr>
    </w:p>
    <w:sectPr w:rsidR="00863C99" w:rsidRPr="000E54EB" w:rsidSect="002540C6">
      <w:headerReference w:type="default" r:id="rId9"/>
      <w:footerReference w:type="default" r:id="rId10"/>
      <w:headerReference w:type="first" r:id="rId11"/>
      <w:footerReference w:type="first" r:id="rId12"/>
      <w:pgSz w:w="11906" w:h="16838" w:code="9"/>
      <w:pgMar w:top="1418" w:right="1021" w:bottom="1418" w:left="1418" w:header="709" w:footer="709" w:gutter="0"/>
      <w:pgNumType w:start="1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3FB" w:rsidRDefault="00AB63FB">
      <w:r>
        <w:separator/>
      </w:r>
    </w:p>
  </w:endnote>
  <w:endnote w:type="continuationSeparator" w:id="0">
    <w:p w:rsidR="00AB63FB" w:rsidRDefault="00AB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Georgia">
    <w:altName w:val="Times New Roman"/>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EY Gothic Comp BookPS">
    <w:altName w:val="Arial"/>
    <w:panose1 w:val="00000000000000000000"/>
    <w:charset w:val="00"/>
    <w:family w:val="swiss"/>
    <w:notTrueType/>
    <w:pitch w:val="variable"/>
    <w:sig w:usb0="00000003" w:usb1="00000000" w:usb2="00000000" w:usb3="00000000" w:csb0="00000001" w:csb1="00000000"/>
  </w:font>
  <w:font w:name="EUAlbertina">
    <w:altName w:val="Times New Roman"/>
    <w:panose1 w:val="00000000000000000000"/>
    <w:charset w:val="CC"/>
    <w:family w:val="roman"/>
    <w:notTrueType/>
    <w:pitch w:val="default"/>
    <w:sig w:usb0="00000203" w:usb1="00000000" w:usb2="00000000" w:usb3="00000000" w:csb0="00000005" w:csb1="00000000"/>
  </w:font>
  <w:font w:name="EYInterstate Light">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falt">
    <w:panose1 w:val="00000000000000000000"/>
    <w:charset w:val="80"/>
    <w:family w:val="modern"/>
    <w:notTrueType/>
    <w:pitch w:val="fixed"/>
    <w:sig w:usb0="00000001" w:usb1="08070000" w:usb2="00000010" w:usb3="00000000" w:csb0="00020000" w:csb1="00000000"/>
  </w:font>
  <w:font w:name="Calibri Light">
    <w:altName w:val="Arial"/>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right" w:tblpYSpec="bottom"/>
      <w:tblW w:w="4267" w:type="pct"/>
      <w:tblLayout w:type="fixed"/>
      <w:tblLook w:val="00A0" w:firstRow="1" w:lastRow="0" w:firstColumn="1" w:lastColumn="0" w:noHBand="0" w:noVBand="0"/>
    </w:tblPr>
    <w:tblGrid>
      <w:gridCol w:w="7762"/>
      <w:gridCol w:w="501"/>
    </w:tblGrid>
    <w:tr w:rsidR="00643165">
      <w:trPr>
        <w:cantSplit/>
        <w:trHeight w:val="1134"/>
      </w:trPr>
      <w:tc>
        <w:tcPr>
          <w:tcW w:w="4697" w:type="pct"/>
        </w:tcPr>
        <w:p w:rsidR="00643165" w:rsidRPr="00073605" w:rsidRDefault="00643165" w:rsidP="00073605">
          <w:pPr>
            <w:tabs>
              <w:tab w:val="left" w:pos="620"/>
              <w:tab w:val="center" w:pos="4320"/>
            </w:tabs>
            <w:jc w:val="right"/>
            <w:rPr>
              <w:rFonts w:ascii="Calibri Light" w:hAnsi="Calibri Light" w:cs="Calibri Light"/>
              <w:sz w:val="20"/>
              <w:szCs w:val="20"/>
              <w:lang w:val="en-US"/>
            </w:rPr>
          </w:pPr>
          <w:r>
            <w:rPr>
              <w:rFonts w:ascii="Calibri Light" w:hAnsi="Calibri Light" w:cs="Calibri Light"/>
              <w:sz w:val="20"/>
              <w:szCs w:val="20"/>
              <w:lang w:val="en-US"/>
            </w:rPr>
            <w:t xml:space="preserve">  </w:t>
          </w:r>
        </w:p>
      </w:tc>
      <w:tc>
        <w:tcPr>
          <w:tcW w:w="303" w:type="pct"/>
          <w:tcBorders>
            <w:left w:val="nil"/>
          </w:tcBorders>
        </w:tcPr>
        <w:p w:rsidR="00643165" w:rsidRPr="005F65B4" w:rsidRDefault="00643165" w:rsidP="00073605">
          <w:pPr>
            <w:tabs>
              <w:tab w:val="left" w:pos="1490"/>
            </w:tabs>
            <w:rPr>
              <w:rFonts w:ascii="Arial" w:hAnsi="Arial" w:cs="Arial"/>
              <w:sz w:val="18"/>
              <w:szCs w:val="18"/>
            </w:rPr>
          </w:pPr>
          <w:r>
            <w:rPr>
              <w:rFonts w:ascii="Arial" w:hAnsi="Arial" w:cs="Arial"/>
              <w:sz w:val="18"/>
              <w:szCs w:val="18"/>
              <w:lang w:val="en-US"/>
            </w:rPr>
            <w:t xml:space="preserve">     </w:t>
          </w:r>
          <w:r w:rsidRPr="005F65B4">
            <w:rPr>
              <w:rFonts w:ascii="Arial" w:hAnsi="Arial" w:cs="Arial"/>
              <w:sz w:val="18"/>
              <w:szCs w:val="18"/>
            </w:rPr>
            <w:fldChar w:fldCharType="begin"/>
          </w:r>
          <w:r w:rsidRPr="005F65B4">
            <w:rPr>
              <w:rFonts w:ascii="Arial" w:hAnsi="Arial" w:cs="Arial"/>
              <w:sz w:val="18"/>
              <w:szCs w:val="18"/>
            </w:rPr>
            <w:instrText>PAGE    \* MERGEFORMAT</w:instrText>
          </w:r>
          <w:r w:rsidRPr="005F65B4">
            <w:rPr>
              <w:rFonts w:ascii="Arial" w:hAnsi="Arial" w:cs="Arial"/>
              <w:sz w:val="18"/>
              <w:szCs w:val="18"/>
            </w:rPr>
            <w:fldChar w:fldCharType="separate"/>
          </w:r>
          <w:r w:rsidR="00876983">
            <w:rPr>
              <w:rFonts w:ascii="Arial" w:hAnsi="Arial" w:cs="Arial"/>
              <w:noProof/>
              <w:sz w:val="18"/>
              <w:szCs w:val="18"/>
            </w:rPr>
            <w:t>12</w:t>
          </w:r>
          <w:r w:rsidRPr="005F65B4">
            <w:rPr>
              <w:rFonts w:ascii="Arial" w:hAnsi="Arial" w:cs="Arial"/>
              <w:sz w:val="18"/>
              <w:szCs w:val="18"/>
            </w:rPr>
            <w:fldChar w:fldCharType="end"/>
          </w:r>
        </w:p>
      </w:tc>
    </w:tr>
  </w:tbl>
  <w:p w:rsidR="00643165" w:rsidRDefault="00643165" w:rsidP="006157BC">
    <w:pPr>
      <w:pStyle w:val="Header"/>
      <w:jc w:val="center"/>
      <w:rPr>
        <w:rFonts w:ascii="Verdana" w:hAnsi="Verdana" w:cs="Verdana"/>
        <w:sz w:val="18"/>
        <w:szCs w:val="18"/>
        <w:lang w:val="en-US"/>
      </w:rPr>
    </w:pPr>
  </w:p>
  <w:p w:rsidR="00643165" w:rsidRDefault="00643165" w:rsidP="006157BC">
    <w:pPr>
      <w:pStyle w:val="Header"/>
      <w:jc w:val="center"/>
      <w:rPr>
        <w:rFonts w:ascii="Verdana" w:hAnsi="Verdana" w:cs="Verdana"/>
        <w:sz w:val="18"/>
        <w:szCs w:val="18"/>
        <w:lang w:val="en-US"/>
      </w:rPr>
    </w:pPr>
  </w:p>
  <w:p w:rsidR="00643165" w:rsidRPr="00073605" w:rsidRDefault="00643165" w:rsidP="00B521CF">
    <w:pPr>
      <w:pStyle w:val="Header"/>
      <w:tabs>
        <w:tab w:val="left" w:pos="885"/>
        <w:tab w:val="center" w:pos="4733"/>
      </w:tabs>
      <w:rPr>
        <w:rFonts w:ascii="Verdana" w:hAnsi="Verdana" w:cs="Verdana"/>
        <w:sz w:val="16"/>
        <w:szCs w:val="16"/>
      </w:rPr>
    </w:pPr>
    <w:r>
      <w:rPr>
        <w:rFonts w:ascii="Verdana" w:hAnsi="Verdana" w:cs="Verdana"/>
        <w:sz w:val="16"/>
        <w:szCs w:val="16"/>
      </w:rPr>
      <w:tab/>
      <w:t xml:space="preserve">    </w:t>
    </w:r>
    <w:r>
      <w:rPr>
        <w:rFonts w:ascii="Verdana" w:hAnsi="Verdana" w:cs="Verdana"/>
        <w:sz w:val="16"/>
        <w:szCs w:val="16"/>
      </w:rPr>
      <w:tab/>
      <w:t>„</w:t>
    </w:r>
    <w:r w:rsidRPr="00073605">
      <w:rPr>
        <w:rFonts w:ascii="Verdana" w:hAnsi="Verdana" w:cs="Verdana"/>
        <w:sz w:val="16"/>
        <w:szCs w:val="16"/>
      </w:rPr>
      <w:t>ТОПЛОФИКАЦИЯ РАЗГРАД</w:t>
    </w:r>
    <w:r>
      <w:rPr>
        <w:rFonts w:ascii="Verdana" w:hAnsi="Verdana" w:cs="Verdana"/>
        <w:sz w:val="16"/>
        <w:szCs w:val="16"/>
      </w:rPr>
      <w:t xml:space="preserve">” </w:t>
    </w:r>
    <w:r w:rsidRPr="00073605">
      <w:rPr>
        <w:rFonts w:ascii="Verdana" w:hAnsi="Verdana" w:cs="Verdana"/>
        <w:sz w:val="16"/>
        <w:szCs w:val="16"/>
      </w:rPr>
      <w:t>АД,</w:t>
    </w:r>
    <w:r w:rsidRPr="00F86F28">
      <w:rPr>
        <w:rFonts w:ascii="Verdana" w:hAnsi="Verdana" w:cs="Verdana"/>
        <w:sz w:val="16"/>
        <w:szCs w:val="16"/>
        <w:lang w:val="ru-RU"/>
      </w:rPr>
      <w:t xml:space="preserve"> </w:t>
    </w:r>
    <w:r w:rsidRPr="00073605">
      <w:rPr>
        <w:rFonts w:ascii="Verdana" w:hAnsi="Verdana" w:cs="Verdana"/>
        <w:sz w:val="16"/>
        <w:szCs w:val="16"/>
      </w:rPr>
      <w:t xml:space="preserve">7 200, гр. Разград, ул. "Черна" тел: 084/ 626 -832, </w:t>
    </w:r>
  </w:p>
  <w:p w:rsidR="00643165" w:rsidRPr="00F86F28" w:rsidRDefault="00643165" w:rsidP="00073605">
    <w:pPr>
      <w:pStyle w:val="Header"/>
      <w:jc w:val="center"/>
      <w:rPr>
        <w:rFonts w:ascii="Verdana" w:hAnsi="Verdana" w:cs="Verdana"/>
        <w:sz w:val="16"/>
        <w:szCs w:val="16"/>
        <w:lang w:val="ru-RU"/>
      </w:rPr>
    </w:pPr>
    <w:r w:rsidRPr="00073605">
      <w:rPr>
        <w:rFonts w:ascii="Verdana" w:hAnsi="Verdana" w:cs="Verdana"/>
        <w:sz w:val="16"/>
        <w:szCs w:val="16"/>
      </w:rPr>
      <w:t xml:space="preserve">факс: 084/662-473 </w:t>
    </w:r>
    <w:r w:rsidRPr="00073605">
      <w:rPr>
        <w:rFonts w:ascii="Verdana" w:hAnsi="Verdana" w:cs="Verdana"/>
        <w:color w:val="000000"/>
        <w:sz w:val="16"/>
        <w:szCs w:val="16"/>
      </w:rPr>
      <w:t xml:space="preserve">e-mail: </w:t>
    </w:r>
    <w:hyperlink r:id="rId1" w:history="1">
      <w:r w:rsidRPr="00073605">
        <w:rPr>
          <w:rStyle w:val="Hyperlink"/>
          <w:rFonts w:ascii="Verdana" w:hAnsi="Verdana" w:cs="Verdana"/>
          <w:color w:val="000000"/>
          <w:sz w:val="16"/>
          <w:szCs w:val="16"/>
          <w:u w:val="none"/>
        </w:rPr>
        <w:t>toplo</w:t>
      </w:r>
      <w:r w:rsidRPr="00073605">
        <w:rPr>
          <w:rStyle w:val="Hyperlink"/>
          <w:rFonts w:ascii="Verdana" w:hAnsi="Verdana" w:cs="Verdana"/>
          <w:color w:val="000000"/>
          <w:sz w:val="16"/>
          <w:szCs w:val="16"/>
          <w:u w:val="none"/>
          <w:lang w:val="ru-RU"/>
        </w:rPr>
        <w:t>_</w:t>
      </w:r>
      <w:r w:rsidRPr="00073605">
        <w:rPr>
          <w:rStyle w:val="Hyperlink"/>
          <w:rFonts w:ascii="Verdana" w:hAnsi="Verdana" w:cs="Verdana"/>
          <w:color w:val="000000"/>
          <w:sz w:val="16"/>
          <w:szCs w:val="16"/>
          <w:u w:val="none"/>
        </w:rPr>
        <w:t>rz@overgas</w:t>
      </w:r>
      <w:r w:rsidRPr="00073605">
        <w:rPr>
          <w:rStyle w:val="Hyperlink"/>
          <w:rFonts w:ascii="Verdana" w:hAnsi="Verdana" w:cs="Verdana"/>
          <w:color w:val="000000"/>
          <w:sz w:val="16"/>
          <w:szCs w:val="16"/>
          <w:u w:val="none"/>
          <w:lang w:val="ru-RU"/>
        </w:rPr>
        <w:t>.</w:t>
      </w:r>
      <w:r w:rsidRPr="00073605">
        <w:rPr>
          <w:rStyle w:val="Hyperlink"/>
          <w:rFonts w:ascii="Verdana" w:hAnsi="Verdana" w:cs="Verdana"/>
          <w:color w:val="000000"/>
          <w:sz w:val="16"/>
          <w:szCs w:val="16"/>
          <w:u w:val="none"/>
        </w:rPr>
        <w:t>bg</w:t>
      </w:r>
    </w:hyperlink>
    <w:r w:rsidRPr="00073605">
      <w:rPr>
        <w:rFonts w:ascii="Verdana" w:hAnsi="Verdana" w:cs="Verdana"/>
        <w:sz w:val="16"/>
        <w:szCs w:val="16"/>
      </w:rPr>
      <w:t>; www.toplo-razgrad.com</w:t>
    </w:r>
  </w:p>
  <w:p w:rsidR="00643165" w:rsidRPr="00F86F28" w:rsidRDefault="00643165" w:rsidP="006157BC">
    <w:pPr>
      <w:pStyle w:val="Footer"/>
      <w:jc w:val="center"/>
      <w:rPr>
        <w:lang w:val="ru-RU"/>
      </w:rPr>
    </w:pPr>
    <w:r w:rsidRPr="00F86F28">
      <w:rPr>
        <w:lang w:val="ru-RU"/>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165" w:rsidRDefault="00643165" w:rsidP="006157B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3FB" w:rsidRDefault="00AB63FB">
      <w:r>
        <w:separator/>
      </w:r>
    </w:p>
  </w:footnote>
  <w:footnote w:type="continuationSeparator" w:id="0">
    <w:p w:rsidR="00AB63FB" w:rsidRDefault="00AB63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165" w:rsidRPr="00B73916" w:rsidRDefault="00643165" w:rsidP="00DE402D">
    <w:pPr>
      <w:pStyle w:val="Header"/>
      <w:jc w:val="center"/>
      <w:rPr>
        <w:rFonts w:ascii="Verdana" w:hAnsi="Verdana" w:cs="Verdana"/>
        <w:b/>
        <w:bCs/>
        <w:sz w:val="20"/>
        <w:szCs w:val="20"/>
      </w:rPr>
    </w:pPr>
    <w:r>
      <w:rPr>
        <w:rFonts w:ascii="Verdana" w:hAnsi="Verdana" w:cs="Verdana"/>
        <w:b/>
        <w:bCs/>
        <w:sz w:val="20"/>
        <w:szCs w:val="20"/>
      </w:rPr>
      <w:t xml:space="preserve">„ТОПЛОФИКАЦИЯ РАЗГРАД” </w:t>
    </w:r>
    <w:r w:rsidRPr="00B73916">
      <w:rPr>
        <w:rFonts w:ascii="Verdana" w:hAnsi="Verdana" w:cs="Verdana"/>
        <w:b/>
        <w:bCs/>
        <w:sz w:val="20"/>
        <w:szCs w:val="20"/>
      </w:rPr>
      <w:t>АД</w:t>
    </w:r>
  </w:p>
  <w:p w:rsidR="00643165" w:rsidRPr="00B73916" w:rsidRDefault="00643165" w:rsidP="00DE402D">
    <w:pPr>
      <w:pStyle w:val="Header"/>
      <w:jc w:val="center"/>
      <w:rPr>
        <w:rFonts w:ascii="Verdana" w:hAnsi="Verdana" w:cs="Verdana"/>
        <w:b/>
        <w:bCs/>
        <w:sz w:val="20"/>
        <w:szCs w:val="20"/>
      </w:rPr>
    </w:pPr>
    <w:r w:rsidRPr="00B73916">
      <w:rPr>
        <w:rFonts w:ascii="Verdana" w:hAnsi="Verdana" w:cs="Verdana"/>
        <w:b/>
        <w:bCs/>
        <w:sz w:val="20"/>
        <w:szCs w:val="20"/>
      </w:rPr>
      <w:t xml:space="preserve">Доклад за дейността и Финансов отчет за годината, </w:t>
    </w:r>
    <w:r w:rsidRPr="006D5623">
      <w:rPr>
        <w:rFonts w:ascii="Verdana" w:hAnsi="Verdana" w:cs="Verdana"/>
        <w:b/>
        <w:bCs/>
        <w:sz w:val="20"/>
        <w:szCs w:val="20"/>
      </w:rPr>
      <w:t xml:space="preserve">завършваща на 30.06.2020г. </w:t>
    </w:r>
    <w:r w:rsidR="00AB63FB">
      <w:rPr>
        <w:rFonts w:ascii="Verdana" w:hAnsi="Verdana" w:cs="Verdana"/>
        <w:b/>
        <w:bCs/>
        <w:sz w:val="20"/>
        <w:szCs w:val="20"/>
      </w:rPr>
      <w:pict>
        <v:rect id="_x0000_i1025" style="width:0;height:1.5pt" o:hralign="center" o:hrstd="t" o:hr="t" fillcolor="gray"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167"/>
      <w:gridCol w:w="7120"/>
    </w:tblGrid>
    <w:tr w:rsidR="00643165" w:rsidTr="002744EF">
      <w:trPr>
        <w:trHeight w:val="1618"/>
      </w:trPr>
      <w:tc>
        <w:tcPr>
          <w:tcW w:w="2167" w:type="dxa"/>
          <w:tcBorders>
            <w:bottom w:val="single" w:sz="4" w:space="0" w:color="000000"/>
          </w:tcBorders>
          <w:shd w:val="clear" w:color="auto" w:fill="auto"/>
        </w:tcPr>
        <w:p w:rsidR="00643165" w:rsidRDefault="00643165" w:rsidP="002744EF">
          <w:pPr>
            <w:pStyle w:val="Header"/>
            <w:tabs>
              <w:tab w:val="center" w:pos="935"/>
            </w:tabs>
            <w:snapToGrid w:val="0"/>
          </w:pPr>
          <w:r>
            <w:rPr>
              <w:noProof/>
              <w:lang w:eastAsia="bg-BG"/>
            </w:rPr>
            <w:drawing>
              <wp:inline distT="0" distB="0" distL="0" distR="0">
                <wp:extent cx="1152525" cy="990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990600"/>
                        </a:xfrm>
                        <a:prstGeom prst="rect">
                          <a:avLst/>
                        </a:prstGeom>
                        <a:solidFill>
                          <a:srgbClr val="FFFFFF"/>
                        </a:solidFill>
                        <a:ln>
                          <a:noFill/>
                        </a:ln>
                      </pic:spPr>
                    </pic:pic>
                  </a:graphicData>
                </a:graphic>
              </wp:inline>
            </w:drawing>
          </w:r>
        </w:p>
      </w:tc>
      <w:tc>
        <w:tcPr>
          <w:tcW w:w="7120" w:type="dxa"/>
          <w:tcBorders>
            <w:bottom w:val="single" w:sz="4" w:space="0" w:color="000000"/>
          </w:tcBorders>
          <w:shd w:val="clear" w:color="auto" w:fill="auto"/>
        </w:tcPr>
        <w:p w:rsidR="00643165" w:rsidRDefault="00643165" w:rsidP="002744EF">
          <w:pPr>
            <w:pStyle w:val="Header"/>
            <w:tabs>
              <w:tab w:val="left" w:pos="0"/>
              <w:tab w:val="center" w:pos="888"/>
              <w:tab w:val="left" w:pos="1122"/>
              <w:tab w:val="left" w:pos="1683"/>
            </w:tabs>
            <w:snapToGrid w:val="0"/>
            <w:rPr>
              <w:sz w:val="16"/>
              <w:szCs w:val="16"/>
            </w:rPr>
          </w:pPr>
          <w:r>
            <w:rPr>
              <w:noProof/>
              <w:lang w:eastAsia="bg-BG"/>
            </w:rPr>
            <w:drawing>
              <wp:inline distT="0" distB="0" distL="0" distR="0">
                <wp:extent cx="4095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FFFFFF"/>
                        </a:solidFill>
                        <a:ln>
                          <a:noFill/>
                        </a:ln>
                      </pic:spPr>
                    </pic:pic>
                  </a:graphicData>
                </a:graphic>
              </wp:inline>
            </w:drawing>
          </w:r>
          <w:r w:rsidRPr="002744EF">
            <w:rPr>
              <w:lang w:val="en-US"/>
            </w:rPr>
            <w:t xml:space="preserve">                </w:t>
          </w:r>
          <w:r>
            <w:rPr>
              <w:u w:val="single"/>
            </w:rPr>
            <w:t>“ТОПЛОФИКАЦИЯ-РАЗГРАД” АД гр. РАЗГРАД</w:t>
          </w:r>
        </w:p>
        <w:p w:rsidR="00643165" w:rsidRDefault="00643165" w:rsidP="002744EF">
          <w:pPr>
            <w:pStyle w:val="Header"/>
            <w:jc w:val="center"/>
            <w:rPr>
              <w:color w:val="000000"/>
              <w:sz w:val="16"/>
              <w:szCs w:val="16"/>
            </w:rPr>
          </w:pPr>
          <w:r>
            <w:rPr>
              <w:sz w:val="16"/>
              <w:szCs w:val="16"/>
            </w:rPr>
            <w:t xml:space="preserve">                7 200, гр. Разград, ул. "Черна" тел: 084/ 626 -832, факс: 084/662-473</w:t>
          </w:r>
        </w:p>
        <w:p w:rsidR="00643165" w:rsidRDefault="00643165" w:rsidP="002744EF">
          <w:pPr>
            <w:pStyle w:val="Header"/>
            <w:jc w:val="center"/>
          </w:pPr>
          <w:r>
            <w:rPr>
              <w:color w:val="000000"/>
              <w:sz w:val="16"/>
              <w:szCs w:val="16"/>
            </w:rPr>
            <w:t xml:space="preserve">  e-mail:</w:t>
          </w:r>
          <w:r w:rsidRPr="002744EF">
            <w:rPr>
              <w:color w:val="000000"/>
              <w:sz w:val="16"/>
              <w:szCs w:val="16"/>
            </w:rPr>
            <w:t xml:space="preserve"> </w:t>
          </w:r>
          <w:hyperlink r:id="rId3" w:history="1">
            <w:r w:rsidRPr="002744EF">
              <w:rPr>
                <w:rStyle w:val="Hyperlink"/>
                <w:color w:val="000000"/>
                <w:sz w:val="16"/>
                <w:szCs w:val="16"/>
                <w:u w:val="none"/>
              </w:rPr>
              <w:t>toplo</w:t>
            </w:r>
            <w:r w:rsidRPr="002744EF">
              <w:rPr>
                <w:rStyle w:val="Hyperlink"/>
                <w:color w:val="000000"/>
                <w:sz w:val="16"/>
                <w:szCs w:val="16"/>
                <w:u w:val="none"/>
                <w:lang w:val="ru-RU"/>
              </w:rPr>
              <w:t>_</w:t>
            </w:r>
            <w:r w:rsidRPr="002744EF">
              <w:rPr>
                <w:rStyle w:val="Hyperlink"/>
                <w:color w:val="000000"/>
                <w:sz w:val="16"/>
                <w:szCs w:val="16"/>
                <w:u w:val="none"/>
              </w:rPr>
              <w:t>rz@overgas</w:t>
            </w:r>
            <w:r w:rsidRPr="002744EF">
              <w:rPr>
                <w:rStyle w:val="Hyperlink"/>
                <w:color w:val="000000"/>
                <w:sz w:val="16"/>
                <w:szCs w:val="16"/>
                <w:u w:val="none"/>
                <w:lang w:val="ru-RU"/>
              </w:rPr>
              <w:t>.</w:t>
            </w:r>
            <w:r w:rsidRPr="002744EF">
              <w:rPr>
                <w:rStyle w:val="Hyperlink"/>
                <w:color w:val="000000"/>
                <w:sz w:val="16"/>
                <w:szCs w:val="16"/>
                <w:u w:val="none"/>
              </w:rPr>
              <w:t>bg</w:t>
            </w:r>
          </w:hyperlink>
          <w:r>
            <w:rPr>
              <w:b/>
              <w:bCs/>
              <w:sz w:val="16"/>
              <w:szCs w:val="16"/>
            </w:rPr>
            <w:t xml:space="preserve">; </w:t>
          </w:r>
          <w:r>
            <w:rPr>
              <w:sz w:val="16"/>
              <w:szCs w:val="16"/>
            </w:rPr>
            <w:t>www.toplo-razgrad.com</w:t>
          </w:r>
        </w:p>
      </w:tc>
    </w:tr>
  </w:tbl>
  <w:p w:rsidR="00643165" w:rsidRDefault="00643165" w:rsidP="006157BC">
    <w:pPr>
      <w:pStyle w:val="Header"/>
      <w:jc w:val="center"/>
    </w:pPr>
    <w:r>
      <w:rPr>
        <w:sz w:val="20"/>
        <w:szCs w:val="20"/>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428C"/>
    <w:multiLevelType w:val="hybridMultilevel"/>
    <w:tmpl w:val="5A0A97BC"/>
    <w:lvl w:ilvl="0" w:tplc="0402000D">
      <w:start w:val="1"/>
      <w:numFmt w:val="bullet"/>
      <w:lvlText w:val=""/>
      <w:lvlJc w:val="left"/>
      <w:pPr>
        <w:ind w:left="720" w:hanging="360"/>
      </w:pPr>
      <w:rPr>
        <w:rFonts w:ascii="Wingdings" w:hAnsi="Wingdings" w:cs="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
    <w:nsid w:val="045F65AF"/>
    <w:multiLevelType w:val="hybridMultilevel"/>
    <w:tmpl w:val="5E22CC1C"/>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
    <w:nsid w:val="04642E29"/>
    <w:multiLevelType w:val="hybridMultilevel"/>
    <w:tmpl w:val="3056D120"/>
    <w:lvl w:ilvl="0" w:tplc="04020001">
      <w:start w:val="1"/>
      <w:numFmt w:val="bullet"/>
      <w:lvlText w:val=""/>
      <w:lvlJc w:val="left"/>
      <w:pPr>
        <w:tabs>
          <w:tab w:val="num" w:pos="360"/>
        </w:tabs>
        <w:ind w:left="360" w:hanging="360"/>
      </w:pPr>
      <w:rPr>
        <w:rFonts w:ascii="Symbol" w:hAnsi="Symbol" w:cs="Symbol"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cs="Wingdings" w:hint="default"/>
      </w:rPr>
    </w:lvl>
    <w:lvl w:ilvl="3" w:tplc="04020001">
      <w:start w:val="1"/>
      <w:numFmt w:val="bullet"/>
      <w:lvlText w:val=""/>
      <w:lvlJc w:val="left"/>
      <w:pPr>
        <w:tabs>
          <w:tab w:val="num" w:pos="2520"/>
        </w:tabs>
        <w:ind w:left="2520" w:hanging="360"/>
      </w:pPr>
      <w:rPr>
        <w:rFonts w:ascii="Symbol" w:hAnsi="Symbol" w:cs="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cs="Wingdings" w:hint="default"/>
      </w:rPr>
    </w:lvl>
    <w:lvl w:ilvl="6" w:tplc="04020001">
      <w:start w:val="1"/>
      <w:numFmt w:val="bullet"/>
      <w:lvlText w:val=""/>
      <w:lvlJc w:val="left"/>
      <w:pPr>
        <w:tabs>
          <w:tab w:val="num" w:pos="4680"/>
        </w:tabs>
        <w:ind w:left="4680" w:hanging="360"/>
      </w:pPr>
      <w:rPr>
        <w:rFonts w:ascii="Symbol" w:hAnsi="Symbol" w:cs="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cs="Wingdings" w:hint="default"/>
      </w:rPr>
    </w:lvl>
  </w:abstractNum>
  <w:abstractNum w:abstractNumId="3">
    <w:nsid w:val="08E97C04"/>
    <w:multiLevelType w:val="hybridMultilevel"/>
    <w:tmpl w:val="049E9336"/>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4">
    <w:nsid w:val="09095559"/>
    <w:multiLevelType w:val="hybridMultilevel"/>
    <w:tmpl w:val="1D90707E"/>
    <w:lvl w:ilvl="0" w:tplc="00F63400">
      <w:start w:val="1"/>
      <w:numFmt w:val="bullet"/>
      <w:lvlText w:val="•"/>
      <w:lvlJc w:val="left"/>
      <w:pPr>
        <w:tabs>
          <w:tab w:val="num" w:pos="720"/>
        </w:tabs>
        <w:ind w:left="720" w:hanging="360"/>
      </w:pPr>
      <w:rPr>
        <w:rFonts w:ascii="Arial" w:hAnsi="Arial" w:cs="Arial" w:hint="default"/>
      </w:rPr>
    </w:lvl>
    <w:lvl w:ilvl="1" w:tplc="5FC6B1D2">
      <w:start w:val="617"/>
      <w:numFmt w:val="bullet"/>
      <w:lvlText w:val="–"/>
      <w:lvlJc w:val="left"/>
      <w:pPr>
        <w:tabs>
          <w:tab w:val="num" w:pos="1440"/>
        </w:tabs>
        <w:ind w:left="1440" w:hanging="360"/>
      </w:pPr>
      <w:rPr>
        <w:rFonts w:ascii="Arial" w:hAnsi="Arial" w:cs="Arial" w:hint="default"/>
      </w:rPr>
    </w:lvl>
    <w:lvl w:ilvl="2" w:tplc="52029350">
      <w:start w:val="1"/>
      <w:numFmt w:val="bullet"/>
      <w:lvlText w:val="•"/>
      <w:lvlJc w:val="left"/>
      <w:pPr>
        <w:tabs>
          <w:tab w:val="num" w:pos="2160"/>
        </w:tabs>
        <w:ind w:left="2160" w:hanging="360"/>
      </w:pPr>
      <w:rPr>
        <w:rFonts w:ascii="Arial" w:hAnsi="Arial" w:cs="Arial" w:hint="default"/>
      </w:rPr>
    </w:lvl>
    <w:lvl w:ilvl="3" w:tplc="021ADCD4">
      <w:start w:val="1"/>
      <w:numFmt w:val="bullet"/>
      <w:lvlText w:val="•"/>
      <w:lvlJc w:val="left"/>
      <w:pPr>
        <w:tabs>
          <w:tab w:val="num" w:pos="2880"/>
        </w:tabs>
        <w:ind w:left="2880" w:hanging="360"/>
      </w:pPr>
      <w:rPr>
        <w:rFonts w:ascii="Arial" w:hAnsi="Arial" w:cs="Arial" w:hint="default"/>
      </w:rPr>
    </w:lvl>
    <w:lvl w:ilvl="4" w:tplc="41D26D82">
      <w:start w:val="1"/>
      <w:numFmt w:val="bullet"/>
      <w:lvlText w:val="•"/>
      <w:lvlJc w:val="left"/>
      <w:pPr>
        <w:tabs>
          <w:tab w:val="num" w:pos="3600"/>
        </w:tabs>
        <w:ind w:left="3600" w:hanging="360"/>
      </w:pPr>
      <w:rPr>
        <w:rFonts w:ascii="Arial" w:hAnsi="Arial" w:cs="Arial" w:hint="default"/>
      </w:rPr>
    </w:lvl>
    <w:lvl w:ilvl="5" w:tplc="A7224E1C">
      <w:start w:val="1"/>
      <w:numFmt w:val="bullet"/>
      <w:lvlText w:val="•"/>
      <w:lvlJc w:val="left"/>
      <w:pPr>
        <w:tabs>
          <w:tab w:val="num" w:pos="4320"/>
        </w:tabs>
        <w:ind w:left="4320" w:hanging="360"/>
      </w:pPr>
      <w:rPr>
        <w:rFonts w:ascii="Arial" w:hAnsi="Arial" w:cs="Arial" w:hint="default"/>
      </w:rPr>
    </w:lvl>
    <w:lvl w:ilvl="6" w:tplc="1D06BFD4">
      <w:start w:val="1"/>
      <w:numFmt w:val="bullet"/>
      <w:lvlText w:val="•"/>
      <w:lvlJc w:val="left"/>
      <w:pPr>
        <w:tabs>
          <w:tab w:val="num" w:pos="5040"/>
        </w:tabs>
        <w:ind w:left="5040" w:hanging="360"/>
      </w:pPr>
      <w:rPr>
        <w:rFonts w:ascii="Arial" w:hAnsi="Arial" w:cs="Arial" w:hint="default"/>
      </w:rPr>
    </w:lvl>
    <w:lvl w:ilvl="7" w:tplc="D2ACBE2A">
      <w:start w:val="1"/>
      <w:numFmt w:val="bullet"/>
      <w:lvlText w:val="•"/>
      <w:lvlJc w:val="left"/>
      <w:pPr>
        <w:tabs>
          <w:tab w:val="num" w:pos="5760"/>
        </w:tabs>
        <w:ind w:left="5760" w:hanging="360"/>
      </w:pPr>
      <w:rPr>
        <w:rFonts w:ascii="Arial" w:hAnsi="Arial" w:cs="Arial" w:hint="default"/>
      </w:rPr>
    </w:lvl>
    <w:lvl w:ilvl="8" w:tplc="CE38CB4E">
      <w:start w:val="1"/>
      <w:numFmt w:val="bullet"/>
      <w:lvlText w:val="•"/>
      <w:lvlJc w:val="left"/>
      <w:pPr>
        <w:tabs>
          <w:tab w:val="num" w:pos="6480"/>
        </w:tabs>
        <w:ind w:left="6480" w:hanging="360"/>
      </w:pPr>
      <w:rPr>
        <w:rFonts w:ascii="Arial" w:hAnsi="Arial" w:cs="Arial" w:hint="default"/>
      </w:rPr>
    </w:lvl>
  </w:abstractNum>
  <w:abstractNum w:abstractNumId="5">
    <w:nsid w:val="09BB7F6E"/>
    <w:multiLevelType w:val="hybridMultilevel"/>
    <w:tmpl w:val="E880F818"/>
    <w:lvl w:ilvl="0" w:tplc="04020001">
      <w:start w:val="1"/>
      <w:numFmt w:val="bullet"/>
      <w:lvlText w:val=""/>
      <w:lvlJc w:val="left"/>
      <w:pPr>
        <w:tabs>
          <w:tab w:val="num" w:pos="720"/>
        </w:tabs>
        <w:ind w:left="720" w:hanging="360"/>
      </w:pPr>
      <w:rPr>
        <w:rFonts w:ascii="Symbol" w:hAnsi="Symbol" w:cs="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6">
    <w:nsid w:val="109D0B13"/>
    <w:multiLevelType w:val="hybridMultilevel"/>
    <w:tmpl w:val="DEBC8D82"/>
    <w:lvl w:ilvl="0" w:tplc="2440035A">
      <w:start w:val="1"/>
      <w:numFmt w:val="decimal"/>
      <w:lvlText w:val="%1."/>
      <w:lvlJc w:val="left"/>
      <w:pPr>
        <w:ind w:left="720" w:hanging="360"/>
      </w:pPr>
      <w:rPr>
        <w:rFonts w:ascii="Verdana" w:hAnsi="Verdana" w:cs="Verdana" w:hint="default"/>
        <w:sz w:val="20"/>
        <w:szCs w:val="2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
    <w:nsid w:val="12FA2F02"/>
    <w:multiLevelType w:val="hybridMultilevel"/>
    <w:tmpl w:val="2F6464F0"/>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8">
    <w:nsid w:val="13BC42EA"/>
    <w:multiLevelType w:val="hybridMultilevel"/>
    <w:tmpl w:val="925EB60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9">
    <w:nsid w:val="147E470F"/>
    <w:multiLevelType w:val="hybridMultilevel"/>
    <w:tmpl w:val="8FB825B0"/>
    <w:lvl w:ilvl="0" w:tplc="0402000D">
      <w:start w:val="1"/>
      <w:numFmt w:val="bullet"/>
      <w:lvlText w:val=""/>
      <w:lvlJc w:val="left"/>
      <w:pPr>
        <w:ind w:left="720" w:hanging="360"/>
      </w:pPr>
      <w:rPr>
        <w:rFonts w:ascii="Wingdings" w:hAnsi="Wingdings" w:cs="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0">
    <w:nsid w:val="1E914FA8"/>
    <w:multiLevelType w:val="hybridMultilevel"/>
    <w:tmpl w:val="2E664FD0"/>
    <w:lvl w:ilvl="0" w:tplc="59F2FBC2">
      <w:start w:val="1"/>
      <w:numFmt w:val="decimal"/>
      <w:lvlText w:val="%1."/>
      <w:lvlJc w:val="left"/>
      <w:pPr>
        <w:ind w:left="720" w:hanging="360"/>
      </w:pPr>
      <w:rPr>
        <w:rFonts w:hint="default"/>
        <w:b w:val="0"/>
        <w:bCs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1">
    <w:nsid w:val="269A2635"/>
    <w:multiLevelType w:val="hybridMultilevel"/>
    <w:tmpl w:val="E4FE8F46"/>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2">
    <w:nsid w:val="2B4376C3"/>
    <w:multiLevelType w:val="hybridMultilevel"/>
    <w:tmpl w:val="6E10C66E"/>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3">
    <w:nsid w:val="2CF443F3"/>
    <w:multiLevelType w:val="hybridMultilevel"/>
    <w:tmpl w:val="2C5AC45E"/>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4">
    <w:nsid w:val="36D7152E"/>
    <w:multiLevelType w:val="hybridMultilevel"/>
    <w:tmpl w:val="86C23412"/>
    <w:lvl w:ilvl="0" w:tplc="0402000D">
      <w:start w:val="1"/>
      <w:numFmt w:val="bullet"/>
      <w:lvlText w:val=""/>
      <w:lvlJc w:val="left"/>
      <w:pPr>
        <w:ind w:left="720" w:hanging="360"/>
      </w:pPr>
      <w:rPr>
        <w:rFonts w:ascii="Wingdings" w:hAnsi="Wingdings" w:cs="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5">
    <w:nsid w:val="38861CC8"/>
    <w:multiLevelType w:val="hybridMultilevel"/>
    <w:tmpl w:val="C91E1560"/>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6">
    <w:nsid w:val="42C9600A"/>
    <w:multiLevelType w:val="hybridMultilevel"/>
    <w:tmpl w:val="F18C4E4E"/>
    <w:lvl w:ilvl="0" w:tplc="60B0D4EC">
      <w:start w:val="1"/>
      <w:numFmt w:val="bullet"/>
      <w:lvlText w:val="-"/>
      <w:lvlJc w:val="left"/>
      <w:pPr>
        <w:ind w:left="720" w:hanging="360"/>
      </w:pPr>
      <w:rPr>
        <w:rFonts w:ascii="Verdana" w:eastAsia="Times New Roman" w:hAnsi="Verdana"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7">
    <w:nsid w:val="435A175A"/>
    <w:multiLevelType w:val="hybridMultilevel"/>
    <w:tmpl w:val="25B84908"/>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8">
    <w:nsid w:val="4F2F77B6"/>
    <w:multiLevelType w:val="hybridMultilevel"/>
    <w:tmpl w:val="C8BED93A"/>
    <w:lvl w:ilvl="0" w:tplc="04020001">
      <w:start w:val="1"/>
      <w:numFmt w:val="bullet"/>
      <w:lvlText w:val=""/>
      <w:lvlJc w:val="left"/>
      <w:pPr>
        <w:ind w:left="1140" w:hanging="360"/>
      </w:pPr>
      <w:rPr>
        <w:rFonts w:ascii="Symbol" w:hAnsi="Symbol" w:cs="Symbol" w:hint="default"/>
      </w:rPr>
    </w:lvl>
    <w:lvl w:ilvl="1" w:tplc="04020003">
      <w:start w:val="1"/>
      <w:numFmt w:val="bullet"/>
      <w:lvlText w:val="o"/>
      <w:lvlJc w:val="left"/>
      <w:pPr>
        <w:ind w:left="1860" w:hanging="360"/>
      </w:pPr>
      <w:rPr>
        <w:rFonts w:ascii="Courier New" w:hAnsi="Courier New" w:cs="Courier New" w:hint="default"/>
      </w:rPr>
    </w:lvl>
    <w:lvl w:ilvl="2" w:tplc="04020005">
      <w:start w:val="1"/>
      <w:numFmt w:val="bullet"/>
      <w:lvlText w:val=""/>
      <w:lvlJc w:val="left"/>
      <w:pPr>
        <w:ind w:left="2580" w:hanging="360"/>
      </w:pPr>
      <w:rPr>
        <w:rFonts w:ascii="Wingdings" w:hAnsi="Wingdings" w:cs="Wingdings" w:hint="default"/>
      </w:rPr>
    </w:lvl>
    <w:lvl w:ilvl="3" w:tplc="04020001">
      <w:start w:val="1"/>
      <w:numFmt w:val="bullet"/>
      <w:lvlText w:val=""/>
      <w:lvlJc w:val="left"/>
      <w:pPr>
        <w:ind w:left="3300" w:hanging="360"/>
      </w:pPr>
      <w:rPr>
        <w:rFonts w:ascii="Symbol" w:hAnsi="Symbol" w:cs="Symbol" w:hint="default"/>
      </w:rPr>
    </w:lvl>
    <w:lvl w:ilvl="4" w:tplc="04020003">
      <w:start w:val="1"/>
      <w:numFmt w:val="bullet"/>
      <w:lvlText w:val="o"/>
      <w:lvlJc w:val="left"/>
      <w:pPr>
        <w:ind w:left="4020" w:hanging="360"/>
      </w:pPr>
      <w:rPr>
        <w:rFonts w:ascii="Courier New" w:hAnsi="Courier New" w:cs="Courier New" w:hint="default"/>
      </w:rPr>
    </w:lvl>
    <w:lvl w:ilvl="5" w:tplc="04020005">
      <w:start w:val="1"/>
      <w:numFmt w:val="bullet"/>
      <w:lvlText w:val=""/>
      <w:lvlJc w:val="left"/>
      <w:pPr>
        <w:ind w:left="4740" w:hanging="360"/>
      </w:pPr>
      <w:rPr>
        <w:rFonts w:ascii="Wingdings" w:hAnsi="Wingdings" w:cs="Wingdings" w:hint="default"/>
      </w:rPr>
    </w:lvl>
    <w:lvl w:ilvl="6" w:tplc="04020001">
      <w:start w:val="1"/>
      <w:numFmt w:val="bullet"/>
      <w:lvlText w:val=""/>
      <w:lvlJc w:val="left"/>
      <w:pPr>
        <w:ind w:left="5460" w:hanging="360"/>
      </w:pPr>
      <w:rPr>
        <w:rFonts w:ascii="Symbol" w:hAnsi="Symbol" w:cs="Symbol" w:hint="default"/>
      </w:rPr>
    </w:lvl>
    <w:lvl w:ilvl="7" w:tplc="04020003">
      <w:start w:val="1"/>
      <w:numFmt w:val="bullet"/>
      <w:lvlText w:val="o"/>
      <w:lvlJc w:val="left"/>
      <w:pPr>
        <w:ind w:left="6180" w:hanging="360"/>
      </w:pPr>
      <w:rPr>
        <w:rFonts w:ascii="Courier New" w:hAnsi="Courier New" w:cs="Courier New" w:hint="default"/>
      </w:rPr>
    </w:lvl>
    <w:lvl w:ilvl="8" w:tplc="04020005">
      <w:start w:val="1"/>
      <w:numFmt w:val="bullet"/>
      <w:lvlText w:val=""/>
      <w:lvlJc w:val="left"/>
      <w:pPr>
        <w:ind w:left="6900" w:hanging="360"/>
      </w:pPr>
      <w:rPr>
        <w:rFonts w:ascii="Wingdings" w:hAnsi="Wingdings" w:cs="Wingdings" w:hint="default"/>
      </w:rPr>
    </w:lvl>
  </w:abstractNum>
  <w:abstractNum w:abstractNumId="19">
    <w:nsid w:val="522927F2"/>
    <w:multiLevelType w:val="hybridMultilevel"/>
    <w:tmpl w:val="5472ED9E"/>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0">
    <w:nsid w:val="539D07CE"/>
    <w:multiLevelType w:val="hybridMultilevel"/>
    <w:tmpl w:val="58D42358"/>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1">
    <w:nsid w:val="5ADE5018"/>
    <w:multiLevelType w:val="hybridMultilevel"/>
    <w:tmpl w:val="537E9B22"/>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2">
    <w:nsid w:val="5F632AD3"/>
    <w:multiLevelType w:val="hybridMultilevel"/>
    <w:tmpl w:val="E6804D4C"/>
    <w:lvl w:ilvl="0" w:tplc="D3166AF0">
      <w:start w:val="1"/>
      <w:numFmt w:val="bullet"/>
      <w:lvlText w:val="-"/>
      <w:lvlJc w:val="left"/>
      <w:pPr>
        <w:ind w:left="720" w:hanging="360"/>
      </w:pPr>
      <w:rPr>
        <w:rFonts w:ascii="Calibri" w:eastAsia="Times New Roman" w:hAnsi="Calibri"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3">
    <w:nsid w:val="62814500"/>
    <w:multiLevelType w:val="hybridMultilevel"/>
    <w:tmpl w:val="2292BFDA"/>
    <w:lvl w:ilvl="0" w:tplc="46F801A2">
      <w:start w:val="1"/>
      <w:numFmt w:val="bullet"/>
      <w:lvlText w:val="-"/>
      <w:lvlJc w:val="left"/>
      <w:pPr>
        <w:ind w:left="1140" w:hanging="360"/>
      </w:pPr>
      <w:rPr>
        <w:rFonts w:ascii="Georgia" w:eastAsia="Times New Roman" w:hAnsi="Georgia" w:hint="default"/>
      </w:rPr>
    </w:lvl>
    <w:lvl w:ilvl="1" w:tplc="04020003">
      <w:start w:val="1"/>
      <w:numFmt w:val="bullet"/>
      <w:lvlText w:val="o"/>
      <w:lvlJc w:val="left"/>
      <w:pPr>
        <w:ind w:left="1860" w:hanging="360"/>
      </w:pPr>
      <w:rPr>
        <w:rFonts w:ascii="Courier New" w:hAnsi="Courier New" w:cs="Courier New" w:hint="default"/>
      </w:rPr>
    </w:lvl>
    <w:lvl w:ilvl="2" w:tplc="04020005">
      <w:start w:val="1"/>
      <w:numFmt w:val="bullet"/>
      <w:lvlText w:val=""/>
      <w:lvlJc w:val="left"/>
      <w:pPr>
        <w:ind w:left="2580" w:hanging="360"/>
      </w:pPr>
      <w:rPr>
        <w:rFonts w:ascii="Wingdings" w:hAnsi="Wingdings" w:cs="Wingdings" w:hint="default"/>
      </w:rPr>
    </w:lvl>
    <w:lvl w:ilvl="3" w:tplc="04020001">
      <w:start w:val="1"/>
      <w:numFmt w:val="bullet"/>
      <w:lvlText w:val=""/>
      <w:lvlJc w:val="left"/>
      <w:pPr>
        <w:ind w:left="3300" w:hanging="360"/>
      </w:pPr>
      <w:rPr>
        <w:rFonts w:ascii="Symbol" w:hAnsi="Symbol" w:cs="Symbol" w:hint="default"/>
      </w:rPr>
    </w:lvl>
    <w:lvl w:ilvl="4" w:tplc="04020003">
      <w:start w:val="1"/>
      <w:numFmt w:val="bullet"/>
      <w:lvlText w:val="o"/>
      <w:lvlJc w:val="left"/>
      <w:pPr>
        <w:ind w:left="4020" w:hanging="360"/>
      </w:pPr>
      <w:rPr>
        <w:rFonts w:ascii="Courier New" w:hAnsi="Courier New" w:cs="Courier New" w:hint="default"/>
      </w:rPr>
    </w:lvl>
    <w:lvl w:ilvl="5" w:tplc="04020005">
      <w:start w:val="1"/>
      <w:numFmt w:val="bullet"/>
      <w:lvlText w:val=""/>
      <w:lvlJc w:val="left"/>
      <w:pPr>
        <w:ind w:left="4740" w:hanging="360"/>
      </w:pPr>
      <w:rPr>
        <w:rFonts w:ascii="Wingdings" w:hAnsi="Wingdings" w:cs="Wingdings" w:hint="default"/>
      </w:rPr>
    </w:lvl>
    <w:lvl w:ilvl="6" w:tplc="04020001">
      <w:start w:val="1"/>
      <w:numFmt w:val="bullet"/>
      <w:lvlText w:val=""/>
      <w:lvlJc w:val="left"/>
      <w:pPr>
        <w:ind w:left="5460" w:hanging="360"/>
      </w:pPr>
      <w:rPr>
        <w:rFonts w:ascii="Symbol" w:hAnsi="Symbol" w:cs="Symbol" w:hint="default"/>
      </w:rPr>
    </w:lvl>
    <w:lvl w:ilvl="7" w:tplc="04020003">
      <w:start w:val="1"/>
      <w:numFmt w:val="bullet"/>
      <w:lvlText w:val="o"/>
      <w:lvlJc w:val="left"/>
      <w:pPr>
        <w:ind w:left="6180" w:hanging="360"/>
      </w:pPr>
      <w:rPr>
        <w:rFonts w:ascii="Courier New" w:hAnsi="Courier New" w:cs="Courier New" w:hint="default"/>
      </w:rPr>
    </w:lvl>
    <w:lvl w:ilvl="8" w:tplc="04020005">
      <w:start w:val="1"/>
      <w:numFmt w:val="bullet"/>
      <w:lvlText w:val=""/>
      <w:lvlJc w:val="left"/>
      <w:pPr>
        <w:ind w:left="6900" w:hanging="360"/>
      </w:pPr>
      <w:rPr>
        <w:rFonts w:ascii="Wingdings" w:hAnsi="Wingdings" w:cs="Wingdings" w:hint="default"/>
      </w:rPr>
    </w:lvl>
  </w:abstractNum>
  <w:abstractNum w:abstractNumId="24">
    <w:nsid w:val="69761977"/>
    <w:multiLevelType w:val="hybridMultilevel"/>
    <w:tmpl w:val="B934B4F6"/>
    <w:lvl w:ilvl="0" w:tplc="C994DD12">
      <w:start w:val="1"/>
      <w:numFmt w:val="decimal"/>
      <w:lvlText w:val="%1."/>
      <w:lvlJc w:val="left"/>
      <w:pPr>
        <w:tabs>
          <w:tab w:val="num" w:pos="720"/>
        </w:tabs>
        <w:ind w:left="720" w:hanging="360"/>
      </w:pPr>
      <w:rPr>
        <w:rFonts w:hint="default"/>
        <w:b w:val="0"/>
        <w:bCs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5">
    <w:nsid w:val="6B5F795B"/>
    <w:multiLevelType w:val="hybridMultilevel"/>
    <w:tmpl w:val="D164868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6">
    <w:nsid w:val="6BCF2FFB"/>
    <w:multiLevelType w:val="hybridMultilevel"/>
    <w:tmpl w:val="F468B966"/>
    <w:lvl w:ilvl="0" w:tplc="0402000D">
      <w:start w:val="1"/>
      <w:numFmt w:val="bullet"/>
      <w:lvlText w:val=""/>
      <w:lvlJc w:val="left"/>
      <w:pPr>
        <w:ind w:left="720" w:hanging="360"/>
      </w:pPr>
      <w:rPr>
        <w:rFonts w:ascii="Wingdings" w:hAnsi="Wingdings" w:cs="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7">
    <w:nsid w:val="6CFE1507"/>
    <w:multiLevelType w:val="hybridMultilevel"/>
    <w:tmpl w:val="C7BE3C84"/>
    <w:lvl w:ilvl="0" w:tplc="0402000D">
      <w:start w:val="1"/>
      <w:numFmt w:val="bullet"/>
      <w:lvlText w:val=""/>
      <w:lvlJc w:val="left"/>
      <w:pPr>
        <w:ind w:left="720" w:hanging="360"/>
      </w:pPr>
      <w:rPr>
        <w:rFonts w:ascii="Wingdings" w:hAnsi="Wingdings" w:cs="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8">
    <w:nsid w:val="6F347A2E"/>
    <w:multiLevelType w:val="multilevel"/>
    <w:tmpl w:val="324294F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nsid w:val="705E19C3"/>
    <w:multiLevelType w:val="hybridMultilevel"/>
    <w:tmpl w:val="2052678E"/>
    <w:lvl w:ilvl="0" w:tplc="0402000D">
      <w:start w:val="1"/>
      <w:numFmt w:val="bullet"/>
      <w:lvlText w:val=""/>
      <w:lvlJc w:val="left"/>
      <w:pPr>
        <w:ind w:left="720" w:hanging="360"/>
      </w:pPr>
      <w:rPr>
        <w:rFonts w:ascii="Wingdings" w:hAnsi="Wingdings" w:cs="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30">
    <w:nsid w:val="733F0F39"/>
    <w:multiLevelType w:val="hybridMultilevel"/>
    <w:tmpl w:val="61FC6594"/>
    <w:lvl w:ilvl="0" w:tplc="0402000D">
      <w:start w:val="1"/>
      <w:numFmt w:val="bullet"/>
      <w:lvlText w:val=""/>
      <w:lvlJc w:val="left"/>
      <w:pPr>
        <w:ind w:left="720" w:hanging="360"/>
      </w:pPr>
      <w:rPr>
        <w:rFonts w:ascii="Wingdings" w:hAnsi="Wingdings" w:cs="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31">
    <w:nsid w:val="73740368"/>
    <w:multiLevelType w:val="hybridMultilevel"/>
    <w:tmpl w:val="9330014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2">
    <w:nsid w:val="73BD72EF"/>
    <w:multiLevelType w:val="hybridMultilevel"/>
    <w:tmpl w:val="1EC499B6"/>
    <w:lvl w:ilvl="0" w:tplc="0402000B">
      <w:start w:val="1"/>
      <w:numFmt w:val="bullet"/>
      <w:lvlText w:val=""/>
      <w:lvlJc w:val="left"/>
      <w:pPr>
        <w:ind w:left="928" w:hanging="360"/>
      </w:pPr>
      <w:rPr>
        <w:rFonts w:ascii="Wingdings" w:hAnsi="Wingdings" w:cs="Wingdings" w:hint="default"/>
      </w:rPr>
    </w:lvl>
    <w:lvl w:ilvl="1" w:tplc="04020003">
      <w:start w:val="1"/>
      <w:numFmt w:val="bullet"/>
      <w:lvlText w:val="o"/>
      <w:lvlJc w:val="left"/>
      <w:pPr>
        <w:ind w:left="1648" w:hanging="360"/>
      </w:pPr>
      <w:rPr>
        <w:rFonts w:ascii="Courier New" w:hAnsi="Courier New" w:cs="Courier New" w:hint="default"/>
      </w:rPr>
    </w:lvl>
    <w:lvl w:ilvl="2" w:tplc="04020005">
      <w:start w:val="1"/>
      <w:numFmt w:val="bullet"/>
      <w:lvlText w:val=""/>
      <w:lvlJc w:val="left"/>
      <w:pPr>
        <w:ind w:left="2368" w:hanging="360"/>
      </w:pPr>
      <w:rPr>
        <w:rFonts w:ascii="Wingdings" w:hAnsi="Wingdings" w:cs="Wingdings" w:hint="default"/>
      </w:rPr>
    </w:lvl>
    <w:lvl w:ilvl="3" w:tplc="04020001">
      <w:start w:val="1"/>
      <w:numFmt w:val="bullet"/>
      <w:lvlText w:val=""/>
      <w:lvlJc w:val="left"/>
      <w:pPr>
        <w:ind w:left="3088" w:hanging="360"/>
      </w:pPr>
      <w:rPr>
        <w:rFonts w:ascii="Symbol" w:hAnsi="Symbol" w:cs="Symbol" w:hint="default"/>
      </w:rPr>
    </w:lvl>
    <w:lvl w:ilvl="4" w:tplc="04020003">
      <w:start w:val="1"/>
      <w:numFmt w:val="bullet"/>
      <w:lvlText w:val="o"/>
      <w:lvlJc w:val="left"/>
      <w:pPr>
        <w:ind w:left="3808" w:hanging="360"/>
      </w:pPr>
      <w:rPr>
        <w:rFonts w:ascii="Courier New" w:hAnsi="Courier New" w:cs="Courier New" w:hint="default"/>
      </w:rPr>
    </w:lvl>
    <w:lvl w:ilvl="5" w:tplc="04020005">
      <w:start w:val="1"/>
      <w:numFmt w:val="bullet"/>
      <w:lvlText w:val=""/>
      <w:lvlJc w:val="left"/>
      <w:pPr>
        <w:ind w:left="4528" w:hanging="360"/>
      </w:pPr>
      <w:rPr>
        <w:rFonts w:ascii="Wingdings" w:hAnsi="Wingdings" w:cs="Wingdings" w:hint="default"/>
      </w:rPr>
    </w:lvl>
    <w:lvl w:ilvl="6" w:tplc="04020001">
      <w:start w:val="1"/>
      <w:numFmt w:val="bullet"/>
      <w:lvlText w:val=""/>
      <w:lvlJc w:val="left"/>
      <w:pPr>
        <w:ind w:left="5248" w:hanging="360"/>
      </w:pPr>
      <w:rPr>
        <w:rFonts w:ascii="Symbol" w:hAnsi="Symbol" w:cs="Symbol" w:hint="default"/>
      </w:rPr>
    </w:lvl>
    <w:lvl w:ilvl="7" w:tplc="04020003">
      <w:start w:val="1"/>
      <w:numFmt w:val="bullet"/>
      <w:lvlText w:val="o"/>
      <w:lvlJc w:val="left"/>
      <w:pPr>
        <w:ind w:left="5968" w:hanging="360"/>
      </w:pPr>
      <w:rPr>
        <w:rFonts w:ascii="Courier New" w:hAnsi="Courier New" w:cs="Courier New" w:hint="default"/>
      </w:rPr>
    </w:lvl>
    <w:lvl w:ilvl="8" w:tplc="04020005">
      <w:start w:val="1"/>
      <w:numFmt w:val="bullet"/>
      <w:lvlText w:val=""/>
      <w:lvlJc w:val="left"/>
      <w:pPr>
        <w:ind w:left="6688" w:hanging="360"/>
      </w:pPr>
      <w:rPr>
        <w:rFonts w:ascii="Wingdings" w:hAnsi="Wingdings" w:cs="Wingdings" w:hint="default"/>
      </w:rPr>
    </w:lvl>
  </w:abstractNum>
  <w:abstractNum w:abstractNumId="33">
    <w:nsid w:val="78F5217D"/>
    <w:multiLevelType w:val="hybridMultilevel"/>
    <w:tmpl w:val="143816C0"/>
    <w:lvl w:ilvl="0" w:tplc="106C6F2A">
      <w:start w:val="155"/>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34">
    <w:nsid w:val="7B443233"/>
    <w:multiLevelType w:val="hybridMultilevel"/>
    <w:tmpl w:val="3500CE22"/>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35">
    <w:nsid w:val="7C98308F"/>
    <w:multiLevelType w:val="hybridMultilevel"/>
    <w:tmpl w:val="C1E60D56"/>
    <w:lvl w:ilvl="0" w:tplc="42D0BA54">
      <w:start w:val="2"/>
      <w:numFmt w:val="bullet"/>
      <w:lvlText w:val="-"/>
      <w:lvlJc w:val="left"/>
      <w:pPr>
        <w:ind w:left="720" w:hanging="360"/>
      </w:pPr>
      <w:rPr>
        <w:rFonts w:ascii="Verdana" w:eastAsia="Times New Roman" w:hAnsi="Verdana"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36">
    <w:nsid w:val="7CFC2502"/>
    <w:multiLevelType w:val="hybridMultilevel"/>
    <w:tmpl w:val="E958653E"/>
    <w:lvl w:ilvl="0" w:tplc="ABD24518">
      <w:numFmt w:val="bullet"/>
      <w:lvlText w:val="-"/>
      <w:lvlJc w:val="left"/>
      <w:pPr>
        <w:ind w:left="720" w:hanging="360"/>
      </w:pPr>
      <w:rPr>
        <w:rFonts w:ascii="Calibri" w:eastAsia="Times New Roman" w:hAnsi="Calibri"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37">
    <w:nsid w:val="7F441F90"/>
    <w:multiLevelType w:val="hybridMultilevel"/>
    <w:tmpl w:val="FA82DE56"/>
    <w:lvl w:ilvl="0" w:tplc="0402000D">
      <w:start w:val="1"/>
      <w:numFmt w:val="bullet"/>
      <w:lvlText w:val=""/>
      <w:lvlJc w:val="left"/>
      <w:pPr>
        <w:ind w:left="720" w:hanging="360"/>
      </w:pPr>
      <w:rPr>
        <w:rFonts w:ascii="Wingdings" w:hAnsi="Wingdings" w:cs="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num w:numId="1">
    <w:abstractNumId w:val="30"/>
  </w:num>
  <w:num w:numId="2">
    <w:abstractNumId w:val="37"/>
  </w:num>
  <w:num w:numId="3">
    <w:abstractNumId w:val="5"/>
  </w:num>
  <w:num w:numId="4">
    <w:abstractNumId w:val="17"/>
  </w:num>
  <w:num w:numId="5">
    <w:abstractNumId w:val="11"/>
  </w:num>
  <w:num w:numId="6">
    <w:abstractNumId w:val="15"/>
  </w:num>
  <w:num w:numId="7">
    <w:abstractNumId w:val="1"/>
  </w:num>
  <w:num w:numId="8">
    <w:abstractNumId w:val="19"/>
  </w:num>
  <w:num w:numId="9">
    <w:abstractNumId w:val="3"/>
  </w:num>
  <w:num w:numId="10">
    <w:abstractNumId w:val="36"/>
  </w:num>
  <w:num w:numId="11">
    <w:abstractNumId w:val="29"/>
  </w:num>
  <w:num w:numId="12">
    <w:abstractNumId w:val="27"/>
  </w:num>
  <w:num w:numId="13">
    <w:abstractNumId w:val="0"/>
  </w:num>
  <w:num w:numId="14">
    <w:abstractNumId w:val="4"/>
  </w:num>
  <w:num w:numId="15">
    <w:abstractNumId w:val="9"/>
  </w:num>
  <w:num w:numId="16">
    <w:abstractNumId w:val="14"/>
  </w:num>
  <w:num w:numId="17">
    <w:abstractNumId w:val="26"/>
  </w:num>
  <w:num w:numId="18">
    <w:abstractNumId w:val="23"/>
  </w:num>
  <w:num w:numId="19">
    <w:abstractNumId w:val="18"/>
  </w:num>
  <w:num w:numId="20">
    <w:abstractNumId w:val="33"/>
  </w:num>
  <w:num w:numId="21">
    <w:abstractNumId w:val="7"/>
  </w:num>
  <w:num w:numId="22">
    <w:abstractNumId w:val="34"/>
  </w:num>
  <w:num w:numId="23">
    <w:abstractNumId w:val="22"/>
  </w:num>
  <w:num w:numId="24">
    <w:abstractNumId w:val="25"/>
  </w:num>
  <w:num w:numId="25">
    <w:abstractNumId w:val="21"/>
  </w:num>
  <w:num w:numId="26">
    <w:abstractNumId w:val="12"/>
  </w:num>
  <w:num w:numId="27">
    <w:abstractNumId w:val="20"/>
  </w:num>
  <w:num w:numId="28">
    <w:abstractNumId w:val="2"/>
  </w:num>
  <w:num w:numId="29">
    <w:abstractNumId w:val="24"/>
  </w:num>
  <w:num w:numId="30">
    <w:abstractNumId w:val="8"/>
  </w:num>
  <w:num w:numId="31">
    <w:abstractNumId w:val="28"/>
  </w:num>
  <w:num w:numId="32">
    <w:abstractNumId w:val="10"/>
  </w:num>
  <w:num w:numId="33">
    <w:abstractNumId w:val="13"/>
  </w:num>
  <w:num w:numId="34">
    <w:abstractNumId w:val="35"/>
  </w:num>
  <w:num w:numId="35">
    <w:abstractNumId w:val="16"/>
  </w:num>
  <w:num w:numId="36">
    <w:abstractNumId w:val="32"/>
  </w:num>
  <w:num w:numId="37">
    <w:abstractNumId w:val="6"/>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DF8"/>
    <w:rsid w:val="00003402"/>
    <w:rsid w:val="00003B80"/>
    <w:rsid w:val="00006712"/>
    <w:rsid w:val="00007ECD"/>
    <w:rsid w:val="000118AF"/>
    <w:rsid w:val="0001283B"/>
    <w:rsid w:val="0001365D"/>
    <w:rsid w:val="000143BB"/>
    <w:rsid w:val="0001548B"/>
    <w:rsid w:val="0002039A"/>
    <w:rsid w:val="000211F9"/>
    <w:rsid w:val="00021995"/>
    <w:rsid w:val="00023B45"/>
    <w:rsid w:val="00024287"/>
    <w:rsid w:val="000262ED"/>
    <w:rsid w:val="00026511"/>
    <w:rsid w:val="00026659"/>
    <w:rsid w:val="00026B82"/>
    <w:rsid w:val="000314BF"/>
    <w:rsid w:val="00031575"/>
    <w:rsid w:val="0003509F"/>
    <w:rsid w:val="0003656C"/>
    <w:rsid w:val="00036D4E"/>
    <w:rsid w:val="00040562"/>
    <w:rsid w:val="00047549"/>
    <w:rsid w:val="00047D2A"/>
    <w:rsid w:val="000543B0"/>
    <w:rsid w:val="00055F4A"/>
    <w:rsid w:val="00061274"/>
    <w:rsid w:val="00061737"/>
    <w:rsid w:val="00061D55"/>
    <w:rsid w:val="000635FE"/>
    <w:rsid w:val="000636DE"/>
    <w:rsid w:val="00064787"/>
    <w:rsid w:val="00065AA7"/>
    <w:rsid w:val="000721BA"/>
    <w:rsid w:val="00073605"/>
    <w:rsid w:val="000737D5"/>
    <w:rsid w:val="0007516E"/>
    <w:rsid w:val="00076522"/>
    <w:rsid w:val="00083303"/>
    <w:rsid w:val="00086127"/>
    <w:rsid w:val="000913CA"/>
    <w:rsid w:val="00092B05"/>
    <w:rsid w:val="00096312"/>
    <w:rsid w:val="000974BE"/>
    <w:rsid w:val="000A1634"/>
    <w:rsid w:val="000A1F70"/>
    <w:rsid w:val="000A2467"/>
    <w:rsid w:val="000A4927"/>
    <w:rsid w:val="000A4B47"/>
    <w:rsid w:val="000A7AA2"/>
    <w:rsid w:val="000B0416"/>
    <w:rsid w:val="000B1461"/>
    <w:rsid w:val="000B6D2A"/>
    <w:rsid w:val="000B6EE4"/>
    <w:rsid w:val="000C03F6"/>
    <w:rsid w:val="000C2A87"/>
    <w:rsid w:val="000C3D26"/>
    <w:rsid w:val="000C5FDD"/>
    <w:rsid w:val="000C704B"/>
    <w:rsid w:val="000D0402"/>
    <w:rsid w:val="000D0F39"/>
    <w:rsid w:val="000D2947"/>
    <w:rsid w:val="000D3143"/>
    <w:rsid w:val="000D3C8E"/>
    <w:rsid w:val="000D70F2"/>
    <w:rsid w:val="000E01C5"/>
    <w:rsid w:val="000E28E1"/>
    <w:rsid w:val="000E49AA"/>
    <w:rsid w:val="000E4B7B"/>
    <w:rsid w:val="000E4E47"/>
    <w:rsid w:val="000E54EB"/>
    <w:rsid w:val="000F258F"/>
    <w:rsid w:val="000F5174"/>
    <w:rsid w:val="000F5659"/>
    <w:rsid w:val="000F5C89"/>
    <w:rsid w:val="000F632F"/>
    <w:rsid w:val="00100633"/>
    <w:rsid w:val="00102504"/>
    <w:rsid w:val="00107748"/>
    <w:rsid w:val="001107A1"/>
    <w:rsid w:val="00111F4D"/>
    <w:rsid w:val="00112F6B"/>
    <w:rsid w:val="00121642"/>
    <w:rsid w:val="0012194C"/>
    <w:rsid w:val="00121BDD"/>
    <w:rsid w:val="00123320"/>
    <w:rsid w:val="0012513F"/>
    <w:rsid w:val="00126518"/>
    <w:rsid w:val="001305C3"/>
    <w:rsid w:val="00133B04"/>
    <w:rsid w:val="00133E03"/>
    <w:rsid w:val="001343DE"/>
    <w:rsid w:val="001365E1"/>
    <w:rsid w:val="00140959"/>
    <w:rsid w:val="0014103A"/>
    <w:rsid w:val="001424F9"/>
    <w:rsid w:val="00143E0F"/>
    <w:rsid w:val="00145102"/>
    <w:rsid w:val="00145A71"/>
    <w:rsid w:val="00146096"/>
    <w:rsid w:val="0015352C"/>
    <w:rsid w:val="00154BF0"/>
    <w:rsid w:val="00154CE3"/>
    <w:rsid w:val="00155A50"/>
    <w:rsid w:val="00155AB4"/>
    <w:rsid w:val="00156EDE"/>
    <w:rsid w:val="001603DE"/>
    <w:rsid w:val="00172CA7"/>
    <w:rsid w:val="00174387"/>
    <w:rsid w:val="00174E0C"/>
    <w:rsid w:val="001761F5"/>
    <w:rsid w:val="00180CAE"/>
    <w:rsid w:val="00180D33"/>
    <w:rsid w:val="001834EC"/>
    <w:rsid w:val="00185214"/>
    <w:rsid w:val="001867E1"/>
    <w:rsid w:val="0018718B"/>
    <w:rsid w:val="00187ABE"/>
    <w:rsid w:val="0019267F"/>
    <w:rsid w:val="0019283E"/>
    <w:rsid w:val="0019466F"/>
    <w:rsid w:val="001971B4"/>
    <w:rsid w:val="001A1576"/>
    <w:rsid w:val="001A57AB"/>
    <w:rsid w:val="001A5912"/>
    <w:rsid w:val="001B14B6"/>
    <w:rsid w:val="001B24C7"/>
    <w:rsid w:val="001B2D28"/>
    <w:rsid w:val="001B3F30"/>
    <w:rsid w:val="001B4E27"/>
    <w:rsid w:val="001C07A3"/>
    <w:rsid w:val="001C161C"/>
    <w:rsid w:val="001C2D70"/>
    <w:rsid w:val="001C4FA7"/>
    <w:rsid w:val="001C5EDA"/>
    <w:rsid w:val="001C7008"/>
    <w:rsid w:val="001C7A2B"/>
    <w:rsid w:val="001D082F"/>
    <w:rsid w:val="001D2C11"/>
    <w:rsid w:val="001D3D57"/>
    <w:rsid w:val="001D5566"/>
    <w:rsid w:val="001D7738"/>
    <w:rsid w:val="001D780E"/>
    <w:rsid w:val="001E09C3"/>
    <w:rsid w:val="001E711A"/>
    <w:rsid w:val="001F2932"/>
    <w:rsid w:val="001F3278"/>
    <w:rsid w:val="001F36EB"/>
    <w:rsid w:val="001F4E64"/>
    <w:rsid w:val="001F667F"/>
    <w:rsid w:val="001F704A"/>
    <w:rsid w:val="001F7841"/>
    <w:rsid w:val="00201B3E"/>
    <w:rsid w:val="002020B5"/>
    <w:rsid w:val="002030FC"/>
    <w:rsid w:val="00210C58"/>
    <w:rsid w:val="00214263"/>
    <w:rsid w:val="00215B84"/>
    <w:rsid w:val="00217E55"/>
    <w:rsid w:val="00224EA9"/>
    <w:rsid w:val="00227552"/>
    <w:rsid w:val="00227972"/>
    <w:rsid w:val="002315FF"/>
    <w:rsid w:val="0023433E"/>
    <w:rsid w:val="002345EC"/>
    <w:rsid w:val="002348BB"/>
    <w:rsid w:val="00234C94"/>
    <w:rsid w:val="00235E42"/>
    <w:rsid w:val="0024498D"/>
    <w:rsid w:val="0024683B"/>
    <w:rsid w:val="00250342"/>
    <w:rsid w:val="00251371"/>
    <w:rsid w:val="00251EFE"/>
    <w:rsid w:val="002530AA"/>
    <w:rsid w:val="00253DFF"/>
    <w:rsid w:val="00253EF4"/>
    <w:rsid w:val="002540C6"/>
    <w:rsid w:val="00266134"/>
    <w:rsid w:val="00266E90"/>
    <w:rsid w:val="00273B1A"/>
    <w:rsid w:val="002744EF"/>
    <w:rsid w:val="00274B9A"/>
    <w:rsid w:val="00281963"/>
    <w:rsid w:val="00281FF4"/>
    <w:rsid w:val="002826F9"/>
    <w:rsid w:val="00282A1E"/>
    <w:rsid w:val="00283F46"/>
    <w:rsid w:val="002860C2"/>
    <w:rsid w:val="00286BC6"/>
    <w:rsid w:val="0028742C"/>
    <w:rsid w:val="00293DB9"/>
    <w:rsid w:val="002962A7"/>
    <w:rsid w:val="002A0A07"/>
    <w:rsid w:val="002A5F25"/>
    <w:rsid w:val="002A67E0"/>
    <w:rsid w:val="002A6C3A"/>
    <w:rsid w:val="002B2DE8"/>
    <w:rsid w:val="002C1099"/>
    <w:rsid w:val="002C528D"/>
    <w:rsid w:val="002C7521"/>
    <w:rsid w:val="002C78E7"/>
    <w:rsid w:val="002C7C1F"/>
    <w:rsid w:val="002D25A4"/>
    <w:rsid w:val="002D3971"/>
    <w:rsid w:val="002E0734"/>
    <w:rsid w:val="002E4EBE"/>
    <w:rsid w:val="002E5FE2"/>
    <w:rsid w:val="002E6042"/>
    <w:rsid w:val="002F0C97"/>
    <w:rsid w:val="003011DA"/>
    <w:rsid w:val="00305188"/>
    <w:rsid w:val="00305D4E"/>
    <w:rsid w:val="00311478"/>
    <w:rsid w:val="00311A44"/>
    <w:rsid w:val="003124A1"/>
    <w:rsid w:val="00313C9E"/>
    <w:rsid w:val="00316AFD"/>
    <w:rsid w:val="00321429"/>
    <w:rsid w:val="00321D26"/>
    <w:rsid w:val="003241D1"/>
    <w:rsid w:val="00326B1C"/>
    <w:rsid w:val="003312C8"/>
    <w:rsid w:val="003329A1"/>
    <w:rsid w:val="00333A45"/>
    <w:rsid w:val="00334065"/>
    <w:rsid w:val="003403EC"/>
    <w:rsid w:val="00341B34"/>
    <w:rsid w:val="00342616"/>
    <w:rsid w:val="0034401E"/>
    <w:rsid w:val="00344E19"/>
    <w:rsid w:val="00345D9F"/>
    <w:rsid w:val="003465FA"/>
    <w:rsid w:val="003522F3"/>
    <w:rsid w:val="0035416A"/>
    <w:rsid w:val="00356D44"/>
    <w:rsid w:val="003615C2"/>
    <w:rsid w:val="003626D1"/>
    <w:rsid w:val="00362DF8"/>
    <w:rsid w:val="003650F3"/>
    <w:rsid w:val="003657CB"/>
    <w:rsid w:val="00365894"/>
    <w:rsid w:val="003714F1"/>
    <w:rsid w:val="003721D8"/>
    <w:rsid w:val="003736B2"/>
    <w:rsid w:val="003768C6"/>
    <w:rsid w:val="00376939"/>
    <w:rsid w:val="0038040F"/>
    <w:rsid w:val="00380EDB"/>
    <w:rsid w:val="00381AD3"/>
    <w:rsid w:val="00383333"/>
    <w:rsid w:val="00387324"/>
    <w:rsid w:val="003873B7"/>
    <w:rsid w:val="00390D16"/>
    <w:rsid w:val="00391013"/>
    <w:rsid w:val="00391423"/>
    <w:rsid w:val="003914AF"/>
    <w:rsid w:val="00391CC3"/>
    <w:rsid w:val="00392055"/>
    <w:rsid w:val="003930B6"/>
    <w:rsid w:val="00396ABA"/>
    <w:rsid w:val="00397204"/>
    <w:rsid w:val="00397327"/>
    <w:rsid w:val="003A26A3"/>
    <w:rsid w:val="003A7047"/>
    <w:rsid w:val="003A73FF"/>
    <w:rsid w:val="003A7A87"/>
    <w:rsid w:val="003B00BC"/>
    <w:rsid w:val="003B027D"/>
    <w:rsid w:val="003B11CA"/>
    <w:rsid w:val="003B3EE9"/>
    <w:rsid w:val="003B5D4B"/>
    <w:rsid w:val="003B6FD0"/>
    <w:rsid w:val="003C08EB"/>
    <w:rsid w:val="003C312B"/>
    <w:rsid w:val="003C65AE"/>
    <w:rsid w:val="003C7828"/>
    <w:rsid w:val="003D442F"/>
    <w:rsid w:val="003D6AAC"/>
    <w:rsid w:val="003D7006"/>
    <w:rsid w:val="003D748A"/>
    <w:rsid w:val="003E0522"/>
    <w:rsid w:val="003E116A"/>
    <w:rsid w:val="003E1E58"/>
    <w:rsid w:val="003E25A2"/>
    <w:rsid w:val="003E292C"/>
    <w:rsid w:val="003E3F7F"/>
    <w:rsid w:val="003E62C0"/>
    <w:rsid w:val="003E7E6D"/>
    <w:rsid w:val="003F0467"/>
    <w:rsid w:val="003F0D81"/>
    <w:rsid w:val="003F385C"/>
    <w:rsid w:val="003F5986"/>
    <w:rsid w:val="003F7FC6"/>
    <w:rsid w:val="00400351"/>
    <w:rsid w:val="004040AA"/>
    <w:rsid w:val="004076F9"/>
    <w:rsid w:val="00410B5B"/>
    <w:rsid w:val="00411052"/>
    <w:rsid w:val="00411D30"/>
    <w:rsid w:val="00416428"/>
    <w:rsid w:val="00426BBA"/>
    <w:rsid w:val="004308F9"/>
    <w:rsid w:val="00432B15"/>
    <w:rsid w:val="00434FF5"/>
    <w:rsid w:val="00437025"/>
    <w:rsid w:val="004435F7"/>
    <w:rsid w:val="00452584"/>
    <w:rsid w:val="00452EA4"/>
    <w:rsid w:val="004552B6"/>
    <w:rsid w:val="004567BD"/>
    <w:rsid w:val="004578F8"/>
    <w:rsid w:val="00460830"/>
    <w:rsid w:val="00461836"/>
    <w:rsid w:val="00463B9A"/>
    <w:rsid w:val="00465C21"/>
    <w:rsid w:val="00471FD6"/>
    <w:rsid w:val="00474323"/>
    <w:rsid w:val="00477BD4"/>
    <w:rsid w:val="004811DC"/>
    <w:rsid w:val="00481CD0"/>
    <w:rsid w:val="00481E23"/>
    <w:rsid w:val="00482857"/>
    <w:rsid w:val="00482E75"/>
    <w:rsid w:val="00485C46"/>
    <w:rsid w:val="00490385"/>
    <w:rsid w:val="00497993"/>
    <w:rsid w:val="004A19BF"/>
    <w:rsid w:val="004A1CD5"/>
    <w:rsid w:val="004A1DC8"/>
    <w:rsid w:val="004A1FA3"/>
    <w:rsid w:val="004A4ACA"/>
    <w:rsid w:val="004A7DE7"/>
    <w:rsid w:val="004B52A8"/>
    <w:rsid w:val="004B791E"/>
    <w:rsid w:val="004C2A58"/>
    <w:rsid w:val="004C2FEC"/>
    <w:rsid w:val="004C3709"/>
    <w:rsid w:val="004C461A"/>
    <w:rsid w:val="004C6958"/>
    <w:rsid w:val="004D016D"/>
    <w:rsid w:val="004D0AB9"/>
    <w:rsid w:val="004D35E1"/>
    <w:rsid w:val="004D46BC"/>
    <w:rsid w:val="004D7A29"/>
    <w:rsid w:val="004D7C02"/>
    <w:rsid w:val="004D7CDF"/>
    <w:rsid w:val="004E1076"/>
    <w:rsid w:val="004E25BA"/>
    <w:rsid w:val="004E4417"/>
    <w:rsid w:val="004E4B15"/>
    <w:rsid w:val="004F03A5"/>
    <w:rsid w:val="004F4469"/>
    <w:rsid w:val="004F5107"/>
    <w:rsid w:val="004F598D"/>
    <w:rsid w:val="004F6BB9"/>
    <w:rsid w:val="00500D31"/>
    <w:rsid w:val="0050274A"/>
    <w:rsid w:val="00502806"/>
    <w:rsid w:val="00502C48"/>
    <w:rsid w:val="005033B7"/>
    <w:rsid w:val="005048E0"/>
    <w:rsid w:val="00504FE4"/>
    <w:rsid w:val="0050563E"/>
    <w:rsid w:val="005058D3"/>
    <w:rsid w:val="0050748C"/>
    <w:rsid w:val="0050776F"/>
    <w:rsid w:val="005118FC"/>
    <w:rsid w:val="00511F82"/>
    <w:rsid w:val="005145DA"/>
    <w:rsid w:val="005159A6"/>
    <w:rsid w:val="00522965"/>
    <w:rsid w:val="00522E96"/>
    <w:rsid w:val="00526AD9"/>
    <w:rsid w:val="00535A16"/>
    <w:rsid w:val="005365CD"/>
    <w:rsid w:val="00537B3C"/>
    <w:rsid w:val="00537CD2"/>
    <w:rsid w:val="00540829"/>
    <w:rsid w:val="00542E12"/>
    <w:rsid w:val="00544A09"/>
    <w:rsid w:val="00544D40"/>
    <w:rsid w:val="00544EFC"/>
    <w:rsid w:val="005464B0"/>
    <w:rsid w:val="00547D01"/>
    <w:rsid w:val="00553763"/>
    <w:rsid w:val="00554AA7"/>
    <w:rsid w:val="00557B4E"/>
    <w:rsid w:val="00562342"/>
    <w:rsid w:val="00566815"/>
    <w:rsid w:val="005670A5"/>
    <w:rsid w:val="00567263"/>
    <w:rsid w:val="00572E15"/>
    <w:rsid w:val="00574B53"/>
    <w:rsid w:val="00587AE3"/>
    <w:rsid w:val="00592D21"/>
    <w:rsid w:val="00592DAB"/>
    <w:rsid w:val="00593B1C"/>
    <w:rsid w:val="00595F2C"/>
    <w:rsid w:val="005963A7"/>
    <w:rsid w:val="005A0C91"/>
    <w:rsid w:val="005A1F78"/>
    <w:rsid w:val="005A3611"/>
    <w:rsid w:val="005A368F"/>
    <w:rsid w:val="005A62A6"/>
    <w:rsid w:val="005A72D5"/>
    <w:rsid w:val="005B1422"/>
    <w:rsid w:val="005B53DF"/>
    <w:rsid w:val="005B54CD"/>
    <w:rsid w:val="005B77E1"/>
    <w:rsid w:val="005C124E"/>
    <w:rsid w:val="005C269F"/>
    <w:rsid w:val="005C5E53"/>
    <w:rsid w:val="005C6661"/>
    <w:rsid w:val="005C6A94"/>
    <w:rsid w:val="005D253E"/>
    <w:rsid w:val="005D55CA"/>
    <w:rsid w:val="005D55D0"/>
    <w:rsid w:val="005D7D49"/>
    <w:rsid w:val="005E1578"/>
    <w:rsid w:val="005E5724"/>
    <w:rsid w:val="005E69AD"/>
    <w:rsid w:val="005F0EB7"/>
    <w:rsid w:val="005F65B4"/>
    <w:rsid w:val="005F694A"/>
    <w:rsid w:val="00600BB3"/>
    <w:rsid w:val="006017AE"/>
    <w:rsid w:val="0060197F"/>
    <w:rsid w:val="006038D6"/>
    <w:rsid w:val="00604A9E"/>
    <w:rsid w:val="006066BB"/>
    <w:rsid w:val="00610D9C"/>
    <w:rsid w:val="00610F57"/>
    <w:rsid w:val="00611ED0"/>
    <w:rsid w:val="00612C5F"/>
    <w:rsid w:val="00613385"/>
    <w:rsid w:val="006157BC"/>
    <w:rsid w:val="00616786"/>
    <w:rsid w:val="00617C53"/>
    <w:rsid w:val="00624416"/>
    <w:rsid w:val="00625D8E"/>
    <w:rsid w:val="006267C6"/>
    <w:rsid w:val="006406D1"/>
    <w:rsid w:val="00640DD7"/>
    <w:rsid w:val="00643165"/>
    <w:rsid w:val="0064373F"/>
    <w:rsid w:val="006500BF"/>
    <w:rsid w:val="00650B72"/>
    <w:rsid w:val="00650EDF"/>
    <w:rsid w:val="006512F9"/>
    <w:rsid w:val="00651B6D"/>
    <w:rsid w:val="00655ECC"/>
    <w:rsid w:val="00656D1C"/>
    <w:rsid w:val="00660380"/>
    <w:rsid w:val="00661ACD"/>
    <w:rsid w:val="00662C25"/>
    <w:rsid w:val="00666E41"/>
    <w:rsid w:val="00675FFC"/>
    <w:rsid w:val="00675FFF"/>
    <w:rsid w:val="00684AB3"/>
    <w:rsid w:val="00684FD8"/>
    <w:rsid w:val="006861FA"/>
    <w:rsid w:val="006928C1"/>
    <w:rsid w:val="00692B62"/>
    <w:rsid w:val="0069511F"/>
    <w:rsid w:val="006A3431"/>
    <w:rsid w:val="006A4E36"/>
    <w:rsid w:val="006A51F6"/>
    <w:rsid w:val="006A6817"/>
    <w:rsid w:val="006B03E9"/>
    <w:rsid w:val="006B49B9"/>
    <w:rsid w:val="006B5169"/>
    <w:rsid w:val="006C08F4"/>
    <w:rsid w:val="006C1997"/>
    <w:rsid w:val="006C26BD"/>
    <w:rsid w:val="006C3CE9"/>
    <w:rsid w:val="006C3E18"/>
    <w:rsid w:val="006C7AE4"/>
    <w:rsid w:val="006D142E"/>
    <w:rsid w:val="006D1A89"/>
    <w:rsid w:val="006D2BBF"/>
    <w:rsid w:val="006D524D"/>
    <w:rsid w:val="006D5623"/>
    <w:rsid w:val="006D5AEF"/>
    <w:rsid w:val="006D77C8"/>
    <w:rsid w:val="006D7F6A"/>
    <w:rsid w:val="006E549E"/>
    <w:rsid w:val="006E69DA"/>
    <w:rsid w:val="006E6D4F"/>
    <w:rsid w:val="006E76CB"/>
    <w:rsid w:val="006F43FA"/>
    <w:rsid w:val="006F4FF2"/>
    <w:rsid w:val="006F5935"/>
    <w:rsid w:val="00700D54"/>
    <w:rsid w:val="00704582"/>
    <w:rsid w:val="00712EAB"/>
    <w:rsid w:val="007138E8"/>
    <w:rsid w:val="007142A0"/>
    <w:rsid w:val="00715397"/>
    <w:rsid w:val="007155E7"/>
    <w:rsid w:val="0072102B"/>
    <w:rsid w:val="00723A46"/>
    <w:rsid w:val="007249BB"/>
    <w:rsid w:val="00724C74"/>
    <w:rsid w:val="0072534A"/>
    <w:rsid w:val="00726218"/>
    <w:rsid w:val="00730887"/>
    <w:rsid w:val="007347D0"/>
    <w:rsid w:val="007357D2"/>
    <w:rsid w:val="00736C2C"/>
    <w:rsid w:val="00736F25"/>
    <w:rsid w:val="00737F19"/>
    <w:rsid w:val="00740961"/>
    <w:rsid w:val="00742C47"/>
    <w:rsid w:val="007435FF"/>
    <w:rsid w:val="00745423"/>
    <w:rsid w:val="007458C8"/>
    <w:rsid w:val="00745CFB"/>
    <w:rsid w:val="007460BA"/>
    <w:rsid w:val="00751151"/>
    <w:rsid w:val="00754045"/>
    <w:rsid w:val="007541AF"/>
    <w:rsid w:val="007548AB"/>
    <w:rsid w:val="00755229"/>
    <w:rsid w:val="007573F4"/>
    <w:rsid w:val="00757AE2"/>
    <w:rsid w:val="00762785"/>
    <w:rsid w:val="00763BCD"/>
    <w:rsid w:val="00763C86"/>
    <w:rsid w:val="00763F3F"/>
    <w:rsid w:val="00764190"/>
    <w:rsid w:val="0076711B"/>
    <w:rsid w:val="00770E2F"/>
    <w:rsid w:val="007734B4"/>
    <w:rsid w:val="00775D75"/>
    <w:rsid w:val="00776014"/>
    <w:rsid w:val="00776852"/>
    <w:rsid w:val="0078057E"/>
    <w:rsid w:val="007826D1"/>
    <w:rsid w:val="00784217"/>
    <w:rsid w:val="00784D37"/>
    <w:rsid w:val="007928B0"/>
    <w:rsid w:val="00794F8B"/>
    <w:rsid w:val="0079512A"/>
    <w:rsid w:val="00795311"/>
    <w:rsid w:val="007969BE"/>
    <w:rsid w:val="0079730E"/>
    <w:rsid w:val="007A0222"/>
    <w:rsid w:val="007A1614"/>
    <w:rsid w:val="007A1DDA"/>
    <w:rsid w:val="007A3CB3"/>
    <w:rsid w:val="007B34DE"/>
    <w:rsid w:val="007B574D"/>
    <w:rsid w:val="007B72E0"/>
    <w:rsid w:val="007C054B"/>
    <w:rsid w:val="007C0F31"/>
    <w:rsid w:val="007C44E4"/>
    <w:rsid w:val="007D08CF"/>
    <w:rsid w:val="007D166C"/>
    <w:rsid w:val="007D1C91"/>
    <w:rsid w:val="007D28D2"/>
    <w:rsid w:val="007D41E5"/>
    <w:rsid w:val="007D4F64"/>
    <w:rsid w:val="007D5043"/>
    <w:rsid w:val="007D5B65"/>
    <w:rsid w:val="007D72CC"/>
    <w:rsid w:val="007E101E"/>
    <w:rsid w:val="007E2997"/>
    <w:rsid w:val="007E39CF"/>
    <w:rsid w:val="007E740E"/>
    <w:rsid w:val="007F6AB2"/>
    <w:rsid w:val="008000E9"/>
    <w:rsid w:val="0080247E"/>
    <w:rsid w:val="0080266A"/>
    <w:rsid w:val="00802EED"/>
    <w:rsid w:val="00803BEB"/>
    <w:rsid w:val="00811E6B"/>
    <w:rsid w:val="0081227F"/>
    <w:rsid w:val="008132EA"/>
    <w:rsid w:val="0081440F"/>
    <w:rsid w:val="00830B78"/>
    <w:rsid w:val="008334ED"/>
    <w:rsid w:val="008335CF"/>
    <w:rsid w:val="008364CE"/>
    <w:rsid w:val="00845C85"/>
    <w:rsid w:val="00845FCC"/>
    <w:rsid w:val="00847384"/>
    <w:rsid w:val="008530A8"/>
    <w:rsid w:val="00856239"/>
    <w:rsid w:val="00860D43"/>
    <w:rsid w:val="00863C99"/>
    <w:rsid w:val="008656E6"/>
    <w:rsid w:val="008717DC"/>
    <w:rsid w:val="00874507"/>
    <w:rsid w:val="00874E2B"/>
    <w:rsid w:val="00876983"/>
    <w:rsid w:val="00880830"/>
    <w:rsid w:val="00882009"/>
    <w:rsid w:val="008837C1"/>
    <w:rsid w:val="008909E2"/>
    <w:rsid w:val="008933A9"/>
    <w:rsid w:val="008935AE"/>
    <w:rsid w:val="00895C6C"/>
    <w:rsid w:val="008A348B"/>
    <w:rsid w:val="008A4423"/>
    <w:rsid w:val="008B2BEB"/>
    <w:rsid w:val="008B2E8C"/>
    <w:rsid w:val="008B343E"/>
    <w:rsid w:val="008B54F9"/>
    <w:rsid w:val="008B5819"/>
    <w:rsid w:val="008C00E5"/>
    <w:rsid w:val="008C332A"/>
    <w:rsid w:val="008C548C"/>
    <w:rsid w:val="008C56B1"/>
    <w:rsid w:val="008C7143"/>
    <w:rsid w:val="008C7E3D"/>
    <w:rsid w:val="008D17FA"/>
    <w:rsid w:val="008D2681"/>
    <w:rsid w:val="008D650A"/>
    <w:rsid w:val="008D68FE"/>
    <w:rsid w:val="008E0CDC"/>
    <w:rsid w:val="008E0F7D"/>
    <w:rsid w:val="008E1815"/>
    <w:rsid w:val="008E3CBC"/>
    <w:rsid w:val="008E5729"/>
    <w:rsid w:val="008F1F01"/>
    <w:rsid w:val="008F202B"/>
    <w:rsid w:val="008F20BE"/>
    <w:rsid w:val="00900BD6"/>
    <w:rsid w:val="00904E4F"/>
    <w:rsid w:val="0090621D"/>
    <w:rsid w:val="009127FA"/>
    <w:rsid w:val="00913F34"/>
    <w:rsid w:val="00913FAE"/>
    <w:rsid w:val="00914521"/>
    <w:rsid w:val="00915829"/>
    <w:rsid w:val="00917886"/>
    <w:rsid w:val="009208BF"/>
    <w:rsid w:val="00922466"/>
    <w:rsid w:val="00922BE3"/>
    <w:rsid w:val="00927F08"/>
    <w:rsid w:val="00933344"/>
    <w:rsid w:val="009361C3"/>
    <w:rsid w:val="00937F77"/>
    <w:rsid w:val="009424ED"/>
    <w:rsid w:val="00942817"/>
    <w:rsid w:val="00943A76"/>
    <w:rsid w:val="00946B9C"/>
    <w:rsid w:val="009503E5"/>
    <w:rsid w:val="00950E5A"/>
    <w:rsid w:val="009528C1"/>
    <w:rsid w:val="009546BE"/>
    <w:rsid w:val="00957091"/>
    <w:rsid w:val="0096036B"/>
    <w:rsid w:val="009614AF"/>
    <w:rsid w:val="0096244C"/>
    <w:rsid w:val="00964ECD"/>
    <w:rsid w:val="00966623"/>
    <w:rsid w:val="00971C10"/>
    <w:rsid w:val="00972050"/>
    <w:rsid w:val="0097527C"/>
    <w:rsid w:val="00977EB3"/>
    <w:rsid w:val="00980B01"/>
    <w:rsid w:val="009921A1"/>
    <w:rsid w:val="00995E55"/>
    <w:rsid w:val="009972FF"/>
    <w:rsid w:val="009A0B4C"/>
    <w:rsid w:val="009A16C5"/>
    <w:rsid w:val="009A17BB"/>
    <w:rsid w:val="009A2ABF"/>
    <w:rsid w:val="009A3CAA"/>
    <w:rsid w:val="009B0AA5"/>
    <w:rsid w:val="009B3049"/>
    <w:rsid w:val="009B3236"/>
    <w:rsid w:val="009B34C7"/>
    <w:rsid w:val="009B6381"/>
    <w:rsid w:val="009B79B2"/>
    <w:rsid w:val="009C3259"/>
    <w:rsid w:val="009D23D9"/>
    <w:rsid w:val="009D3F98"/>
    <w:rsid w:val="009E060C"/>
    <w:rsid w:val="009E4A8D"/>
    <w:rsid w:val="009E4C1A"/>
    <w:rsid w:val="009F0F96"/>
    <w:rsid w:val="009F1108"/>
    <w:rsid w:val="009F459D"/>
    <w:rsid w:val="009F53AD"/>
    <w:rsid w:val="009F5C7D"/>
    <w:rsid w:val="009F724A"/>
    <w:rsid w:val="00A0095D"/>
    <w:rsid w:val="00A019B1"/>
    <w:rsid w:val="00A01D53"/>
    <w:rsid w:val="00A023DD"/>
    <w:rsid w:val="00A02AAF"/>
    <w:rsid w:val="00A04154"/>
    <w:rsid w:val="00A04292"/>
    <w:rsid w:val="00A05DA7"/>
    <w:rsid w:val="00A10031"/>
    <w:rsid w:val="00A11464"/>
    <w:rsid w:val="00A11A3C"/>
    <w:rsid w:val="00A13023"/>
    <w:rsid w:val="00A2137D"/>
    <w:rsid w:val="00A21767"/>
    <w:rsid w:val="00A238A6"/>
    <w:rsid w:val="00A251CA"/>
    <w:rsid w:val="00A26C08"/>
    <w:rsid w:val="00A345B6"/>
    <w:rsid w:val="00A35B6B"/>
    <w:rsid w:val="00A371ED"/>
    <w:rsid w:val="00A40282"/>
    <w:rsid w:val="00A40448"/>
    <w:rsid w:val="00A40A8C"/>
    <w:rsid w:val="00A41E43"/>
    <w:rsid w:val="00A44B76"/>
    <w:rsid w:val="00A47449"/>
    <w:rsid w:val="00A50EB3"/>
    <w:rsid w:val="00A52D1E"/>
    <w:rsid w:val="00A52F10"/>
    <w:rsid w:val="00A54E3F"/>
    <w:rsid w:val="00A60A83"/>
    <w:rsid w:val="00A62E59"/>
    <w:rsid w:val="00A63671"/>
    <w:rsid w:val="00A64D1D"/>
    <w:rsid w:val="00A76B7F"/>
    <w:rsid w:val="00A77C33"/>
    <w:rsid w:val="00A77DB9"/>
    <w:rsid w:val="00A808A4"/>
    <w:rsid w:val="00A81E0A"/>
    <w:rsid w:val="00A836A3"/>
    <w:rsid w:val="00A83D3B"/>
    <w:rsid w:val="00A84F3C"/>
    <w:rsid w:val="00A86A67"/>
    <w:rsid w:val="00A92C5A"/>
    <w:rsid w:val="00A955B4"/>
    <w:rsid w:val="00A95774"/>
    <w:rsid w:val="00AA0484"/>
    <w:rsid w:val="00AA1C9F"/>
    <w:rsid w:val="00AA3E8E"/>
    <w:rsid w:val="00AA40B0"/>
    <w:rsid w:val="00AA7265"/>
    <w:rsid w:val="00AA7388"/>
    <w:rsid w:val="00AB63FB"/>
    <w:rsid w:val="00AB7507"/>
    <w:rsid w:val="00AC14F7"/>
    <w:rsid w:val="00AC240B"/>
    <w:rsid w:val="00AC2797"/>
    <w:rsid w:val="00AC351C"/>
    <w:rsid w:val="00AC3778"/>
    <w:rsid w:val="00AC381D"/>
    <w:rsid w:val="00AC5FB0"/>
    <w:rsid w:val="00AC7A8C"/>
    <w:rsid w:val="00AD4EC9"/>
    <w:rsid w:val="00AD50C6"/>
    <w:rsid w:val="00AD7F0E"/>
    <w:rsid w:val="00AE0B36"/>
    <w:rsid w:val="00AE3C5D"/>
    <w:rsid w:val="00AE4786"/>
    <w:rsid w:val="00AE5C75"/>
    <w:rsid w:val="00AE70DF"/>
    <w:rsid w:val="00AF14DB"/>
    <w:rsid w:val="00AF1BDD"/>
    <w:rsid w:val="00AF4C41"/>
    <w:rsid w:val="00AF4F28"/>
    <w:rsid w:val="00AF5B61"/>
    <w:rsid w:val="00AF5CAA"/>
    <w:rsid w:val="00AF5DD1"/>
    <w:rsid w:val="00AF6831"/>
    <w:rsid w:val="00B012B8"/>
    <w:rsid w:val="00B020AF"/>
    <w:rsid w:val="00B0561A"/>
    <w:rsid w:val="00B064CD"/>
    <w:rsid w:val="00B07320"/>
    <w:rsid w:val="00B1044E"/>
    <w:rsid w:val="00B12A73"/>
    <w:rsid w:val="00B12E4D"/>
    <w:rsid w:val="00B203F1"/>
    <w:rsid w:val="00B32431"/>
    <w:rsid w:val="00B33719"/>
    <w:rsid w:val="00B34F0E"/>
    <w:rsid w:val="00B41149"/>
    <w:rsid w:val="00B43F0A"/>
    <w:rsid w:val="00B44141"/>
    <w:rsid w:val="00B521CF"/>
    <w:rsid w:val="00B53C60"/>
    <w:rsid w:val="00B54DAA"/>
    <w:rsid w:val="00B617CE"/>
    <w:rsid w:val="00B630E5"/>
    <w:rsid w:val="00B64B0E"/>
    <w:rsid w:val="00B652C9"/>
    <w:rsid w:val="00B66027"/>
    <w:rsid w:val="00B6699C"/>
    <w:rsid w:val="00B66DF8"/>
    <w:rsid w:val="00B67B2D"/>
    <w:rsid w:val="00B72B19"/>
    <w:rsid w:val="00B73916"/>
    <w:rsid w:val="00B73C56"/>
    <w:rsid w:val="00B74098"/>
    <w:rsid w:val="00B740FB"/>
    <w:rsid w:val="00B75471"/>
    <w:rsid w:val="00B75773"/>
    <w:rsid w:val="00B80550"/>
    <w:rsid w:val="00B81455"/>
    <w:rsid w:val="00B83C0D"/>
    <w:rsid w:val="00B856E8"/>
    <w:rsid w:val="00B862F5"/>
    <w:rsid w:val="00B95806"/>
    <w:rsid w:val="00BA09B6"/>
    <w:rsid w:val="00BA0F26"/>
    <w:rsid w:val="00BA4362"/>
    <w:rsid w:val="00BB33C5"/>
    <w:rsid w:val="00BB6D8D"/>
    <w:rsid w:val="00BC239C"/>
    <w:rsid w:val="00BC4BEC"/>
    <w:rsid w:val="00BC4F83"/>
    <w:rsid w:val="00BC5E1E"/>
    <w:rsid w:val="00BC7FC7"/>
    <w:rsid w:val="00BD0FC9"/>
    <w:rsid w:val="00BD1C93"/>
    <w:rsid w:val="00BD39F1"/>
    <w:rsid w:val="00BD406A"/>
    <w:rsid w:val="00BD61BC"/>
    <w:rsid w:val="00BD61E5"/>
    <w:rsid w:val="00BE01D8"/>
    <w:rsid w:val="00BE2F67"/>
    <w:rsid w:val="00BE41A7"/>
    <w:rsid w:val="00BE5095"/>
    <w:rsid w:val="00BE6832"/>
    <w:rsid w:val="00BE77CF"/>
    <w:rsid w:val="00BF0FA8"/>
    <w:rsid w:val="00BF2298"/>
    <w:rsid w:val="00BF2709"/>
    <w:rsid w:val="00BF3C91"/>
    <w:rsid w:val="00BF3E24"/>
    <w:rsid w:val="00BF41B7"/>
    <w:rsid w:val="00BF562A"/>
    <w:rsid w:val="00BF6AAB"/>
    <w:rsid w:val="00BF7229"/>
    <w:rsid w:val="00BF784C"/>
    <w:rsid w:val="00BF7D2C"/>
    <w:rsid w:val="00C00938"/>
    <w:rsid w:val="00C02F29"/>
    <w:rsid w:val="00C05FDF"/>
    <w:rsid w:val="00C11AEF"/>
    <w:rsid w:val="00C148A8"/>
    <w:rsid w:val="00C213D6"/>
    <w:rsid w:val="00C2255D"/>
    <w:rsid w:val="00C230B7"/>
    <w:rsid w:val="00C24495"/>
    <w:rsid w:val="00C268D6"/>
    <w:rsid w:val="00C30487"/>
    <w:rsid w:val="00C30599"/>
    <w:rsid w:val="00C33E80"/>
    <w:rsid w:val="00C374C7"/>
    <w:rsid w:val="00C427ED"/>
    <w:rsid w:val="00C42F01"/>
    <w:rsid w:val="00C42F05"/>
    <w:rsid w:val="00C44262"/>
    <w:rsid w:val="00C442D2"/>
    <w:rsid w:val="00C46C41"/>
    <w:rsid w:val="00C501D0"/>
    <w:rsid w:val="00C5374B"/>
    <w:rsid w:val="00C53E4B"/>
    <w:rsid w:val="00C62128"/>
    <w:rsid w:val="00C62BEE"/>
    <w:rsid w:val="00C648C0"/>
    <w:rsid w:val="00C66B04"/>
    <w:rsid w:val="00C72098"/>
    <w:rsid w:val="00C77486"/>
    <w:rsid w:val="00C822E6"/>
    <w:rsid w:val="00C8513D"/>
    <w:rsid w:val="00C874BE"/>
    <w:rsid w:val="00C87652"/>
    <w:rsid w:val="00C94611"/>
    <w:rsid w:val="00C96234"/>
    <w:rsid w:val="00C97C40"/>
    <w:rsid w:val="00CA0A18"/>
    <w:rsid w:val="00CA452D"/>
    <w:rsid w:val="00CA67E9"/>
    <w:rsid w:val="00CB3740"/>
    <w:rsid w:val="00CB5F63"/>
    <w:rsid w:val="00CC6471"/>
    <w:rsid w:val="00CC65D3"/>
    <w:rsid w:val="00CC727E"/>
    <w:rsid w:val="00CC7C50"/>
    <w:rsid w:val="00CD238C"/>
    <w:rsid w:val="00CD39A3"/>
    <w:rsid w:val="00CD6063"/>
    <w:rsid w:val="00CD64B7"/>
    <w:rsid w:val="00CD6A4B"/>
    <w:rsid w:val="00CE2A55"/>
    <w:rsid w:val="00CE63BD"/>
    <w:rsid w:val="00CE6D02"/>
    <w:rsid w:val="00CE7901"/>
    <w:rsid w:val="00CF2829"/>
    <w:rsid w:val="00CF512C"/>
    <w:rsid w:val="00CF5DAE"/>
    <w:rsid w:val="00CF5EFB"/>
    <w:rsid w:val="00CF6C6C"/>
    <w:rsid w:val="00CF72E1"/>
    <w:rsid w:val="00CF76C8"/>
    <w:rsid w:val="00D01AF9"/>
    <w:rsid w:val="00D01BC1"/>
    <w:rsid w:val="00D0272B"/>
    <w:rsid w:val="00D053E9"/>
    <w:rsid w:val="00D05777"/>
    <w:rsid w:val="00D0663C"/>
    <w:rsid w:val="00D11AFE"/>
    <w:rsid w:val="00D151A7"/>
    <w:rsid w:val="00D21197"/>
    <w:rsid w:val="00D22BDD"/>
    <w:rsid w:val="00D23B9D"/>
    <w:rsid w:val="00D23F9F"/>
    <w:rsid w:val="00D31330"/>
    <w:rsid w:val="00D31B60"/>
    <w:rsid w:val="00D3568E"/>
    <w:rsid w:val="00D3689E"/>
    <w:rsid w:val="00D3742D"/>
    <w:rsid w:val="00D40870"/>
    <w:rsid w:val="00D41196"/>
    <w:rsid w:val="00D415ED"/>
    <w:rsid w:val="00D4273B"/>
    <w:rsid w:val="00D4286B"/>
    <w:rsid w:val="00D45DF2"/>
    <w:rsid w:val="00D45E39"/>
    <w:rsid w:val="00D51A01"/>
    <w:rsid w:val="00D53597"/>
    <w:rsid w:val="00D54226"/>
    <w:rsid w:val="00D56F61"/>
    <w:rsid w:val="00D60861"/>
    <w:rsid w:val="00D61C1C"/>
    <w:rsid w:val="00D63529"/>
    <w:rsid w:val="00D645A4"/>
    <w:rsid w:val="00D72B5F"/>
    <w:rsid w:val="00D73397"/>
    <w:rsid w:val="00D737C5"/>
    <w:rsid w:val="00D81268"/>
    <w:rsid w:val="00D8454E"/>
    <w:rsid w:val="00D9117D"/>
    <w:rsid w:val="00D9395B"/>
    <w:rsid w:val="00D95CB5"/>
    <w:rsid w:val="00DA0CE1"/>
    <w:rsid w:val="00DB0ACF"/>
    <w:rsid w:val="00DB19CA"/>
    <w:rsid w:val="00DB29A0"/>
    <w:rsid w:val="00DB37F7"/>
    <w:rsid w:val="00DB391C"/>
    <w:rsid w:val="00DB53D4"/>
    <w:rsid w:val="00DB6BA2"/>
    <w:rsid w:val="00DC01A7"/>
    <w:rsid w:val="00DC02A4"/>
    <w:rsid w:val="00DC0561"/>
    <w:rsid w:val="00DC25FB"/>
    <w:rsid w:val="00DC552C"/>
    <w:rsid w:val="00DD09F5"/>
    <w:rsid w:val="00DD20C6"/>
    <w:rsid w:val="00DD21F9"/>
    <w:rsid w:val="00DD233C"/>
    <w:rsid w:val="00DD2ED8"/>
    <w:rsid w:val="00DD36D0"/>
    <w:rsid w:val="00DD3764"/>
    <w:rsid w:val="00DD418F"/>
    <w:rsid w:val="00DD5142"/>
    <w:rsid w:val="00DE3183"/>
    <w:rsid w:val="00DE402D"/>
    <w:rsid w:val="00DE46B0"/>
    <w:rsid w:val="00DE7930"/>
    <w:rsid w:val="00DF2DB5"/>
    <w:rsid w:val="00DF3178"/>
    <w:rsid w:val="00DF626B"/>
    <w:rsid w:val="00DF6348"/>
    <w:rsid w:val="00DF63CB"/>
    <w:rsid w:val="00DF6FD3"/>
    <w:rsid w:val="00E01E8F"/>
    <w:rsid w:val="00E06CA2"/>
    <w:rsid w:val="00E12540"/>
    <w:rsid w:val="00E1514B"/>
    <w:rsid w:val="00E15C17"/>
    <w:rsid w:val="00E16388"/>
    <w:rsid w:val="00E17CEA"/>
    <w:rsid w:val="00E2154B"/>
    <w:rsid w:val="00E225DF"/>
    <w:rsid w:val="00E25078"/>
    <w:rsid w:val="00E25E4E"/>
    <w:rsid w:val="00E271A2"/>
    <w:rsid w:val="00E303EE"/>
    <w:rsid w:val="00E307EB"/>
    <w:rsid w:val="00E309A0"/>
    <w:rsid w:val="00E31C3D"/>
    <w:rsid w:val="00E33DDE"/>
    <w:rsid w:val="00E35E48"/>
    <w:rsid w:val="00E36A7C"/>
    <w:rsid w:val="00E41603"/>
    <w:rsid w:val="00E41616"/>
    <w:rsid w:val="00E41BA3"/>
    <w:rsid w:val="00E4228B"/>
    <w:rsid w:val="00E456E4"/>
    <w:rsid w:val="00E4680C"/>
    <w:rsid w:val="00E510BF"/>
    <w:rsid w:val="00E51865"/>
    <w:rsid w:val="00E52A8D"/>
    <w:rsid w:val="00E52F28"/>
    <w:rsid w:val="00E5321D"/>
    <w:rsid w:val="00E53814"/>
    <w:rsid w:val="00E53E54"/>
    <w:rsid w:val="00E57083"/>
    <w:rsid w:val="00E606C4"/>
    <w:rsid w:val="00E609E3"/>
    <w:rsid w:val="00E609F7"/>
    <w:rsid w:val="00E60E88"/>
    <w:rsid w:val="00E620AC"/>
    <w:rsid w:val="00E6325A"/>
    <w:rsid w:val="00E648B0"/>
    <w:rsid w:val="00E64E62"/>
    <w:rsid w:val="00E66583"/>
    <w:rsid w:val="00E72B83"/>
    <w:rsid w:val="00E732ED"/>
    <w:rsid w:val="00E7545D"/>
    <w:rsid w:val="00E75D9E"/>
    <w:rsid w:val="00E7632F"/>
    <w:rsid w:val="00E76649"/>
    <w:rsid w:val="00E77701"/>
    <w:rsid w:val="00E81E86"/>
    <w:rsid w:val="00E82B6F"/>
    <w:rsid w:val="00E836F6"/>
    <w:rsid w:val="00E87A80"/>
    <w:rsid w:val="00E94400"/>
    <w:rsid w:val="00E94581"/>
    <w:rsid w:val="00E9504D"/>
    <w:rsid w:val="00E96966"/>
    <w:rsid w:val="00EA097D"/>
    <w:rsid w:val="00EA48AE"/>
    <w:rsid w:val="00EA5902"/>
    <w:rsid w:val="00EA698B"/>
    <w:rsid w:val="00EA7B6B"/>
    <w:rsid w:val="00EB2D80"/>
    <w:rsid w:val="00EB4A86"/>
    <w:rsid w:val="00EB4B4A"/>
    <w:rsid w:val="00EB561F"/>
    <w:rsid w:val="00EC3327"/>
    <w:rsid w:val="00EC4F0D"/>
    <w:rsid w:val="00EC6664"/>
    <w:rsid w:val="00ED1C62"/>
    <w:rsid w:val="00ED357E"/>
    <w:rsid w:val="00ED560C"/>
    <w:rsid w:val="00ED78B5"/>
    <w:rsid w:val="00EE0528"/>
    <w:rsid w:val="00EE1A21"/>
    <w:rsid w:val="00EE3B63"/>
    <w:rsid w:val="00EE581F"/>
    <w:rsid w:val="00EE5E1A"/>
    <w:rsid w:val="00EF6BCD"/>
    <w:rsid w:val="00F02BD0"/>
    <w:rsid w:val="00F04442"/>
    <w:rsid w:val="00F07FB4"/>
    <w:rsid w:val="00F10409"/>
    <w:rsid w:val="00F17E0B"/>
    <w:rsid w:val="00F2339F"/>
    <w:rsid w:val="00F25615"/>
    <w:rsid w:val="00F25A16"/>
    <w:rsid w:val="00F26D24"/>
    <w:rsid w:val="00F2790F"/>
    <w:rsid w:val="00F30433"/>
    <w:rsid w:val="00F315BA"/>
    <w:rsid w:val="00F32015"/>
    <w:rsid w:val="00F41403"/>
    <w:rsid w:val="00F44044"/>
    <w:rsid w:val="00F464C9"/>
    <w:rsid w:val="00F46625"/>
    <w:rsid w:val="00F5134B"/>
    <w:rsid w:val="00F527BE"/>
    <w:rsid w:val="00F53C34"/>
    <w:rsid w:val="00F54074"/>
    <w:rsid w:val="00F54C1B"/>
    <w:rsid w:val="00F561A2"/>
    <w:rsid w:val="00F57299"/>
    <w:rsid w:val="00F5742B"/>
    <w:rsid w:val="00F64ABB"/>
    <w:rsid w:val="00F65A90"/>
    <w:rsid w:val="00F677AE"/>
    <w:rsid w:val="00F72F41"/>
    <w:rsid w:val="00F7567A"/>
    <w:rsid w:val="00F8032D"/>
    <w:rsid w:val="00F8141A"/>
    <w:rsid w:val="00F82713"/>
    <w:rsid w:val="00F831CD"/>
    <w:rsid w:val="00F8609F"/>
    <w:rsid w:val="00F86F28"/>
    <w:rsid w:val="00F95122"/>
    <w:rsid w:val="00F97369"/>
    <w:rsid w:val="00FA061F"/>
    <w:rsid w:val="00FA57BF"/>
    <w:rsid w:val="00FA622F"/>
    <w:rsid w:val="00FA71EB"/>
    <w:rsid w:val="00FB0C14"/>
    <w:rsid w:val="00FB1F3A"/>
    <w:rsid w:val="00FB5FAA"/>
    <w:rsid w:val="00FB7094"/>
    <w:rsid w:val="00FC0103"/>
    <w:rsid w:val="00FC06B5"/>
    <w:rsid w:val="00FC61FD"/>
    <w:rsid w:val="00FC631D"/>
    <w:rsid w:val="00FC6AA2"/>
    <w:rsid w:val="00FC7969"/>
    <w:rsid w:val="00FD0ACF"/>
    <w:rsid w:val="00FD10C9"/>
    <w:rsid w:val="00FD29AB"/>
    <w:rsid w:val="00FD2CD4"/>
    <w:rsid w:val="00FD41D5"/>
    <w:rsid w:val="00FD4729"/>
    <w:rsid w:val="00FE78B1"/>
    <w:rsid w:val="00FF1DBE"/>
    <w:rsid w:val="00FF393B"/>
    <w:rsid w:val="00FF3B4B"/>
    <w:rsid w:val="00FF49D7"/>
    <w:rsid w:val="00FF67A5"/>
    <w:rsid w:val="00FF705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B66DF8"/>
    <w:pPr>
      <w:jc w:val="both"/>
    </w:pPr>
    <w:rPr>
      <w:rFonts w:ascii="Times New Roman" w:eastAsia="Times New Roman" w:hAnsi="Times New Roman"/>
      <w:sz w:val="22"/>
      <w:szCs w:val="22"/>
      <w:lang w:eastAsia="en-US"/>
    </w:rPr>
  </w:style>
  <w:style w:type="paragraph" w:styleId="Heading1">
    <w:name w:val="heading 1"/>
    <w:basedOn w:val="Normal"/>
    <w:next w:val="Normal"/>
    <w:link w:val="Heading1Char"/>
    <w:uiPriority w:val="99"/>
    <w:qFormat/>
    <w:rsid w:val="00B66DF8"/>
    <w:pPr>
      <w:keepNext/>
      <w:keepLines/>
      <w:spacing w:before="480"/>
      <w:outlineLvl w:val="0"/>
    </w:pPr>
    <w:rPr>
      <w:rFonts w:ascii="Cambria" w:hAnsi="Cambria" w:cs="Cambria"/>
      <w:b/>
      <w:bCs/>
      <w:color w:val="365F91"/>
      <w:sz w:val="28"/>
      <w:szCs w:val="28"/>
      <w:lang w:val="en-US"/>
    </w:rPr>
  </w:style>
  <w:style w:type="paragraph" w:styleId="Heading2">
    <w:name w:val="heading 2"/>
    <w:basedOn w:val="Normal"/>
    <w:next w:val="Normal"/>
    <w:link w:val="Heading2Char"/>
    <w:uiPriority w:val="99"/>
    <w:qFormat/>
    <w:rsid w:val="00B66DF8"/>
    <w:pPr>
      <w:keepNext/>
      <w:keepLines/>
      <w:spacing w:before="200"/>
      <w:outlineLvl w:val="1"/>
    </w:pPr>
    <w:rPr>
      <w:rFonts w:ascii="Cambria" w:hAnsi="Cambria" w:cs="Cambria"/>
      <w:b/>
      <w:bCs/>
      <w:color w:val="4F81BD"/>
      <w:sz w:val="26"/>
      <w:szCs w:val="26"/>
      <w:lang w:val="en-US"/>
    </w:rPr>
  </w:style>
  <w:style w:type="paragraph" w:styleId="Heading3">
    <w:name w:val="heading 3"/>
    <w:basedOn w:val="Normal"/>
    <w:next w:val="Normal"/>
    <w:link w:val="Heading3Char"/>
    <w:uiPriority w:val="99"/>
    <w:qFormat/>
    <w:rsid w:val="00B66DF8"/>
    <w:pPr>
      <w:keepNext/>
      <w:keepLines/>
      <w:spacing w:before="200"/>
      <w:outlineLvl w:val="2"/>
    </w:pPr>
    <w:rPr>
      <w:rFonts w:ascii="Cambria" w:hAnsi="Cambria" w:cs="Cambria"/>
      <w:b/>
      <w:bCs/>
      <w:color w:val="4F81BD"/>
      <w:sz w:val="20"/>
      <w:szCs w:val="20"/>
      <w:lang w:val="en-US"/>
    </w:rPr>
  </w:style>
  <w:style w:type="paragraph" w:styleId="Heading4">
    <w:name w:val="heading 4"/>
    <w:basedOn w:val="Normal"/>
    <w:next w:val="Normal"/>
    <w:link w:val="Heading4Char"/>
    <w:uiPriority w:val="99"/>
    <w:qFormat/>
    <w:rsid w:val="00B66DF8"/>
    <w:pPr>
      <w:keepNext/>
      <w:keepLines/>
      <w:spacing w:before="200"/>
      <w:outlineLvl w:val="3"/>
    </w:pPr>
    <w:rPr>
      <w:rFonts w:ascii="Cambria" w:hAnsi="Cambria" w:cs="Cambria"/>
      <w:b/>
      <w:bCs/>
      <w:i/>
      <w:iCs/>
      <w:color w:val="4F81BD"/>
      <w:sz w:val="20"/>
      <w:szCs w:val="20"/>
      <w:lang w:val="en-US"/>
    </w:rPr>
  </w:style>
  <w:style w:type="paragraph" w:styleId="Heading5">
    <w:name w:val="heading 5"/>
    <w:basedOn w:val="Normal"/>
    <w:next w:val="Normal"/>
    <w:link w:val="Heading5Char"/>
    <w:uiPriority w:val="99"/>
    <w:qFormat/>
    <w:rsid w:val="00B66DF8"/>
    <w:pPr>
      <w:spacing w:before="240" w:after="60"/>
      <w:outlineLvl w:val="4"/>
    </w:pPr>
    <w:rPr>
      <w:b/>
      <w:bCs/>
      <w:i/>
      <w:iCs/>
      <w:sz w:val="26"/>
      <w:szCs w:val="26"/>
      <w:lang w:val="en-US"/>
    </w:rPr>
  </w:style>
  <w:style w:type="paragraph" w:styleId="Heading6">
    <w:name w:val="heading 6"/>
    <w:basedOn w:val="Normal"/>
    <w:next w:val="Normal"/>
    <w:link w:val="Heading6Char"/>
    <w:uiPriority w:val="99"/>
    <w:qFormat/>
    <w:rsid w:val="00B66DF8"/>
    <w:pPr>
      <w:spacing w:before="240" w:after="60"/>
      <w:outlineLvl w:val="5"/>
    </w:pPr>
    <w:rPr>
      <w:b/>
      <w:bCs/>
      <w:sz w:val="20"/>
      <w:szCs w:val="20"/>
      <w:lang w:val="en-US"/>
    </w:rPr>
  </w:style>
  <w:style w:type="paragraph" w:styleId="Heading7">
    <w:name w:val="heading 7"/>
    <w:basedOn w:val="Normal"/>
    <w:next w:val="Normal"/>
    <w:link w:val="Heading7Char"/>
    <w:uiPriority w:val="99"/>
    <w:qFormat/>
    <w:rsid w:val="00B66DF8"/>
    <w:pPr>
      <w:keepNext/>
      <w:keepLines/>
      <w:spacing w:before="200"/>
      <w:outlineLvl w:val="6"/>
    </w:pPr>
    <w:rPr>
      <w:rFonts w:ascii="Cambria" w:hAnsi="Cambria" w:cs="Cambria"/>
      <w:i/>
      <w:iCs/>
      <w:color w:val="404040"/>
      <w:sz w:val="20"/>
      <w:szCs w:val="20"/>
      <w:lang w:val="en-US"/>
    </w:rPr>
  </w:style>
  <w:style w:type="paragraph" w:styleId="Heading8">
    <w:name w:val="heading 8"/>
    <w:basedOn w:val="Normal"/>
    <w:next w:val="Normal"/>
    <w:link w:val="Heading8Char"/>
    <w:uiPriority w:val="99"/>
    <w:qFormat/>
    <w:rsid w:val="00B66DF8"/>
    <w:pPr>
      <w:spacing w:before="240" w:after="60"/>
      <w:outlineLvl w:val="7"/>
    </w:pPr>
    <w:rPr>
      <w:i/>
      <w:iCs/>
      <w:sz w:val="24"/>
      <w:szCs w:val="24"/>
      <w:lang w:val="en-US"/>
    </w:rPr>
  </w:style>
  <w:style w:type="paragraph" w:styleId="Heading9">
    <w:name w:val="heading 9"/>
    <w:basedOn w:val="Normal"/>
    <w:next w:val="Normal"/>
    <w:link w:val="Heading9Char"/>
    <w:uiPriority w:val="99"/>
    <w:qFormat/>
    <w:rsid w:val="00B66DF8"/>
    <w:pPr>
      <w:spacing w:before="240" w:after="60"/>
      <w:outlineLvl w:val="8"/>
    </w:pPr>
    <w:rPr>
      <w:rFonts w:ascii="Arial" w:hAnsi="Arial"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6DF8"/>
    <w:rPr>
      <w:rFonts w:ascii="Cambria" w:hAnsi="Cambria" w:cs="Cambria"/>
      <w:b/>
      <w:bCs/>
      <w:color w:val="365F91"/>
      <w:sz w:val="28"/>
      <w:szCs w:val="28"/>
      <w:lang w:val="en-US"/>
    </w:rPr>
  </w:style>
  <w:style w:type="character" w:customStyle="1" w:styleId="Heading2Char">
    <w:name w:val="Heading 2 Char"/>
    <w:basedOn w:val="DefaultParagraphFont"/>
    <w:link w:val="Heading2"/>
    <w:uiPriority w:val="99"/>
    <w:locked/>
    <w:rsid w:val="00B66DF8"/>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locked/>
    <w:rsid w:val="00B66DF8"/>
    <w:rPr>
      <w:rFonts w:ascii="Cambria" w:hAnsi="Cambria" w:cs="Cambria"/>
      <w:b/>
      <w:bCs/>
      <w:color w:val="4F81BD"/>
      <w:sz w:val="20"/>
      <w:szCs w:val="20"/>
      <w:lang w:val="en-US"/>
    </w:rPr>
  </w:style>
  <w:style w:type="character" w:customStyle="1" w:styleId="Heading4Char">
    <w:name w:val="Heading 4 Char"/>
    <w:basedOn w:val="DefaultParagraphFont"/>
    <w:link w:val="Heading4"/>
    <w:uiPriority w:val="99"/>
    <w:locked/>
    <w:rsid w:val="00B66DF8"/>
    <w:rPr>
      <w:rFonts w:ascii="Cambria" w:hAnsi="Cambria" w:cs="Cambria"/>
      <w:b/>
      <w:bCs/>
      <w:i/>
      <w:iCs/>
      <w:color w:val="4F81BD"/>
      <w:sz w:val="20"/>
      <w:szCs w:val="20"/>
      <w:lang w:val="en-US"/>
    </w:rPr>
  </w:style>
  <w:style w:type="character" w:customStyle="1" w:styleId="Heading5Char">
    <w:name w:val="Heading 5 Char"/>
    <w:basedOn w:val="DefaultParagraphFont"/>
    <w:link w:val="Heading5"/>
    <w:uiPriority w:val="99"/>
    <w:locked/>
    <w:rsid w:val="00B66DF8"/>
    <w:rPr>
      <w:rFonts w:ascii="Times New Roman" w:hAnsi="Times New Roman" w:cs="Times New Roman"/>
      <w:b/>
      <w:bCs/>
      <w:i/>
      <w:iCs/>
      <w:sz w:val="26"/>
      <w:szCs w:val="26"/>
      <w:lang w:val="en-US"/>
    </w:rPr>
  </w:style>
  <w:style w:type="character" w:customStyle="1" w:styleId="Heading6Char">
    <w:name w:val="Heading 6 Char"/>
    <w:basedOn w:val="DefaultParagraphFont"/>
    <w:link w:val="Heading6"/>
    <w:uiPriority w:val="99"/>
    <w:locked/>
    <w:rsid w:val="00B66DF8"/>
    <w:rPr>
      <w:rFonts w:ascii="Times New Roman" w:hAnsi="Times New Roman" w:cs="Times New Roman"/>
      <w:b/>
      <w:bCs/>
      <w:sz w:val="20"/>
      <w:szCs w:val="20"/>
      <w:lang w:val="en-US"/>
    </w:rPr>
  </w:style>
  <w:style w:type="character" w:customStyle="1" w:styleId="Heading7Char">
    <w:name w:val="Heading 7 Char"/>
    <w:basedOn w:val="DefaultParagraphFont"/>
    <w:link w:val="Heading7"/>
    <w:uiPriority w:val="99"/>
    <w:locked/>
    <w:rsid w:val="00B66DF8"/>
    <w:rPr>
      <w:rFonts w:ascii="Cambria" w:hAnsi="Cambria" w:cs="Cambria"/>
      <w:i/>
      <w:iCs/>
      <w:color w:val="404040"/>
      <w:sz w:val="20"/>
      <w:szCs w:val="20"/>
      <w:lang w:val="en-US"/>
    </w:rPr>
  </w:style>
  <w:style w:type="character" w:customStyle="1" w:styleId="Heading8Char">
    <w:name w:val="Heading 8 Char"/>
    <w:basedOn w:val="DefaultParagraphFont"/>
    <w:link w:val="Heading8"/>
    <w:uiPriority w:val="99"/>
    <w:locked/>
    <w:rsid w:val="00B66DF8"/>
    <w:rPr>
      <w:rFonts w:ascii="Times New Roman" w:hAnsi="Times New Roman" w:cs="Times New Roman"/>
      <w:i/>
      <w:iCs/>
      <w:sz w:val="24"/>
      <w:szCs w:val="24"/>
      <w:lang w:val="en-US"/>
    </w:rPr>
  </w:style>
  <w:style w:type="character" w:customStyle="1" w:styleId="Heading9Char">
    <w:name w:val="Heading 9 Char"/>
    <w:basedOn w:val="DefaultParagraphFont"/>
    <w:link w:val="Heading9"/>
    <w:uiPriority w:val="99"/>
    <w:locked/>
    <w:rsid w:val="00B66DF8"/>
    <w:rPr>
      <w:rFonts w:ascii="Arial" w:hAnsi="Arial" w:cs="Arial"/>
      <w:sz w:val="20"/>
      <w:szCs w:val="20"/>
      <w:lang w:val="en-US"/>
    </w:rPr>
  </w:style>
  <w:style w:type="paragraph" w:styleId="Header">
    <w:name w:val="header"/>
    <w:basedOn w:val="Normal"/>
    <w:link w:val="HeaderChar"/>
    <w:rsid w:val="00B66DF8"/>
    <w:pPr>
      <w:tabs>
        <w:tab w:val="center" w:pos="4536"/>
        <w:tab w:val="right" w:pos="9072"/>
      </w:tabs>
      <w:jc w:val="left"/>
    </w:pPr>
    <w:rPr>
      <w:rFonts w:ascii="Calibri" w:eastAsia="Calibri" w:hAnsi="Calibri" w:cs="Calibri"/>
    </w:rPr>
  </w:style>
  <w:style w:type="character" w:customStyle="1" w:styleId="HeaderChar">
    <w:name w:val="Header Char"/>
    <w:basedOn w:val="DefaultParagraphFont"/>
    <w:link w:val="Header"/>
    <w:uiPriority w:val="99"/>
    <w:locked/>
    <w:rsid w:val="00B66DF8"/>
    <w:rPr>
      <w:rFonts w:ascii="Calibri" w:hAnsi="Calibri" w:cs="Calibri"/>
    </w:rPr>
  </w:style>
  <w:style w:type="paragraph" w:styleId="Footer">
    <w:name w:val="footer"/>
    <w:basedOn w:val="Normal"/>
    <w:link w:val="FooterChar"/>
    <w:uiPriority w:val="99"/>
    <w:rsid w:val="00B66DF8"/>
    <w:pPr>
      <w:tabs>
        <w:tab w:val="center" w:pos="4536"/>
        <w:tab w:val="right" w:pos="9072"/>
      </w:tabs>
      <w:jc w:val="left"/>
    </w:pPr>
    <w:rPr>
      <w:rFonts w:ascii="Calibri" w:eastAsia="Calibri" w:hAnsi="Calibri" w:cs="Calibri"/>
    </w:rPr>
  </w:style>
  <w:style w:type="character" w:customStyle="1" w:styleId="FooterChar">
    <w:name w:val="Footer Char"/>
    <w:basedOn w:val="DefaultParagraphFont"/>
    <w:link w:val="Footer"/>
    <w:uiPriority w:val="99"/>
    <w:locked/>
    <w:rsid w:val="00B66DF8"/>
    <w:rPr>
      <w:rFonts w:ascii="Calibri" w:hAnsi="Calibri" w:cs="Calibri"/>
    </w:rPr>
  </w:style>
  <w:style w:type="paragraph" w:styleId="BalloonText">
    <w:name w:val="Balloon Text"/>
    <w:basedOn w:val="Normal"/>
    <w:link w:val="BalloonTextChar"/>
    <w:uiPriority w:val="99"/>
    <w:semiHidden/>
    <w:rsid w:val="00B66DF8"/>
    <w:pPr>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locked/>
    <w:rsid w:val="00B66DF8"/>
    <w:rPr>
      <w:rFonts w:ascii="Tahoma" w:hAnsi="Tahoma" w:cs="Tahoma"/>
      <w:sz w:val="16"/>
      <w:szCs w:val="16"/>
    </w:rPr>
  </w:style>
  <w:style w:type="paragraph" w:styleId="BodyTextIndent">
    <w:name w:val="Body Text Indent"/>
    <w:basedOn w:val="Normal"/>
    <w:link w:val="BodyTextIndentChar"/>
    <w:uiPriority w:val="99"/>
    <w:rsid w:val="00B66DF8"/>
    <w:pPr>
      <w:spacing w:before="120"/>
      <w:ind w:left="709"/>
    </w:pPr>
    <w:rPr>
      <w:sz w:val="24"/>
      <w:szCs w:val="24"/>
    </w:rPr>
  </w:style>
  <w:style w:type="character" w:customStyle="1" w:styleId="BodyTextIndentChar">
    <w:name w:val="Body Text Indent Char"/>
    <w:basedOn w:val="DefaultParagraphFont"/>
    <w:link w:val="BodyTextIndent"/>
    <w:uiPriority w:val="99"/>
    <w:locked/>
    <w:rsid w:val="00B66DF8"/>
    <w:rPr>
      <w:rFonts w:ascii="Times New Roman" w:hAnsi="Times New Roman" w:cs="Times New Roman"/>
      <w:snapToGrid w:val="0"/>
      <w:sz w:val="24"/>
      <w:szCs w:val="24"/>
    </w:rPr>
  </w:style>
  <w:style w:type="paragraph" w:styleId="BodyText">
    <w:name w:val="Body Text"/>
    <w:basedOn w:val="Normal"/>
    <w:link w:val="BodyTextChar"/>
    <w:uiPriority w:val="99"/>
    <w:rsid w:val="00B66DF8"/>
    <w:pPr>
      <w:spacing w:after="120"/>
    </w:pPr>
    <w:rPr>
      <w:sz w:val="24"/>
      <w:szCs w:val="24"/>
      <w:lang w:val="en-US"/>
    </w:rPr>
  </w:style>
  <w:style w:type="character" w:customStyle="1" w:styleId="BodyTextChar">
    <w:name w:val="Body Text Char"/>
    <w:basedOn w:val="DefaultParagraphFont"/>
    <w:link w:val="BodyText"/>
    <w:uiPriority w:val="99"/>
    <w:locked/>
    <w:rsid w:val="00B66DF8"/>
    <w:rPr>
      <w:rFonts w:ascii="Times New Roman" w:hAnsi="Times New Roman" w:cs="Times New Roman"/>
      <w:sz w:val="24"/>
      <w:szCs w:val="24"/>
      <w:lang w:val="en-US"/>
    </w:rPr>
  </w:style>
  <w:style w:type="paragraph" w:styleId="TOC1">
    <w:name w:val="toc 1"/>
    <w:basedOn w:val="Normal"/>
    <w:next w:val="Normal"/>
    <w:autoRedefine/>
    <w:uiPriority w:val="99"/>
    <w:semiHidden/>
    <w:rsid w:val="0024683B"/>
    <w:pPr>
      <w:tabs>
        <w:tab w:val="right" w:leader="dot" w:pos="9457"/>
      </w:tabs>
    </w:pPr>
    <w:rPr>
      <w:rFonts w:ascii="Verdana" w:hAnsi="Verdana" w:cs="Verdana"/>
      <w:b/>
      <w:bCs/>
      <w:noProof/>
      <w:sz w:val="20"/>
      <w:szCs w:val="20"/>
    </w:rPr>
  </w:style>
  <w:style w:type="paragraph" w:customStyle="1" w:styleId="Document1">
    <w:name w:val="Document 1"/>
    <w:link w:val="Document1Char"/>
    <w:uiPriority w:val="99"/>
    <w:rsid w:val="00B66DF8"/>
    <w:pPr>
      <w:keepNext/>
      <w:keepLines/>
      <w:widowControl w:val="0"/>
      <w:tabs>
        <w:tab w:val="left" w:pos="-720"/>
      </w:tabs>
      <w:suppressAutoHyphens/>
    </w:pPr>
    <w:rPr>
      <w:rFonts w:ascii="Bodoni Book 12pt" w:hAnsi="Bodoni Book 12pt"/>
      <w:sz w:val="22"/>
      <w:szCs w:val="22"/>
      <w:lang w:val="en-US"/>
    </w:rPr>
  </w:style>
  <w:style w:type="character" w:customStyle="1" w:styleId="Document1Char">
    <w:name w:val="Document 1 Char"/>
    <w:link w:val="Document1"/>
    <w:uiPriority w:val="99"/>
    <w:locked/>
    <w:rsid w:val="00B66DF8"/>
    <w:rPr>
      <w:rFonts w:ascii="Bodoni Book 12pt" w:hAnsi="Bodoni Book 12pt"/>
      <w:sz w:val="22"/>
      <w:szCs w:val="22"/>
      <w:lang w:val="en-US" w:bidi="ar-SA"/>
    </w:rPr>
  </w:style>
  <w:style w:type="paragraph" w:styleId="List">
    <w:name w:val="List"/>
    <w:basedOn w:val="Normal"/>
    <w:uiPriority w:val="99"/>
    <w:rsid w:val="00B66DF8"/>
    <w:pPr>
      <w:ind w:left="283" w:hanging="283"/>
      <w:jc w:val="left"/>
    </w:pPr>
    <w:rPr>
      <w:sz w:val="20"/>
      <w:szCs w:val="20"/>
      <w:lang w:val="en-AU"/>
    </w:rPr>
  </w:style>
  <w:style w:type="paragraph" w:styleId="ListContinue">
    <w:name w:val="List Continue"/>
    <w:basedOn w:val="Normal"/>
    <w:uiPriority w:val="99"/>
    <w:rsid w:val="00B66DF8"/>
    <w:pPr>
      <w:spacing w:after="120"/>
      <w:ind w:left="283"/>
      <w:jc w:val="left"/>
    </w:pPr>
    <w:rPr>
      <w:sz w:val="20"/>
      <w:szCs w:val="20"/>
      <w:lang w:val="en-AU"/>
    </w:rPr>
  </w:style>
  <w:style w:type="paragraph" w:styleId="EndnoteText">
    <w:name w:val="endnote text"/>
    <w:basedOn w:val="Normal"/>
    <w:link w:val="EndnoteTextChar"/>
    <w:uiPriority w:val="99"/>
    <w:semiHidden/>
    <w:rsid w:val="00B66DF8"/>
    <w:pPr>
      <w:tabs>
        <w:tab w:val="left" w:pos="709"/>
        <w:tab w:val="left" w:pos="1418"/>
        <w:tab w:val="left" w:pos="2127"/>
        <w:tab w:val="right" w:pos="5954"/>
        <w:tab w:val="right" w:pos="7371"/>
        <w:tab w:val="right" w:pos="8789"/>
      </w:tabs>
      <w:spacing w:after="240"/>
      <w:jc w:val="left"/>
    </w:pPr>
    <w:rPr>
      <w:rFonts w:ascii="Arial" w:hAnsi="Arial" w:cs="Arial"/>
      <w:sz w:val="20"/>
      <w:szCs w:val="20"/>
      <w:lang w:val="en-GB"/>
    </w:rPr>
  </w:style>
  <w:style w:type="character" w:customStyle="1" w:styleId="EndnoteTextChar">
    <w:name w:val="Endnote Text Char"/>
    <w:basedOn w:val="DefaultParagraphFont"/>
    <w:link w:val="EndnoteText"/>
    <w:uiPriority w:val="99"/>
    <w:locked/>
    <w:rsid w:val="00B66DF8"/>
    <w:rPr>
      <w:rFonts w:ascii="Arial" w:hAnsi="Arial" w:cs="Arial"/>
      <w:sz w:val="24"/>
      <w:szCs w:val="24"/>
      <w:lang w:val="en-GB"/>
    </w:rPr>
  </w:style>
  <w:style w:type="paragraph" w:customStyle="1" w:styleId="firstline">
    <w:name w:val="firstline"/>
    <w:basedOn w:val="Normal"/>
    <w:uiPriority w:val="99"/>
    <w:rsid w:val="00B66DF8"/>
    <w:pPr>
      <w:spacing w:before="100" w:beforeAutospacing="1" w:after="100" w:afterAutospacing="1"/>
      <w:jc w:val="left"/>
    </w:pPr>
    <w:rPr>
      <w:sz w:val="24"/>
      <w:szCs w:val="24"/>
      <w:lang w:eastAsia="bg-BG"/>
    </w:rPr>
  </w:style>
  <w:style w:type="paragraph" w:customStyle="1" w:styleId="000Normal">
    <w:name w:val="000 Normal"/>
    <w:basedOn w:val="Normal"/>
    <w:link w:val="000NormalChar"/>
    <w:uiPriority w:val="99"/>
    <w:rsid w:val="00B66DF8"/>
    <w:pPr>
      <w:overflowPunct w:val="0"/>
      <w:autoSpaceDE w:val="0"/>
      <w:autoSpaceDN w:val="0"/>
      <w:adjustRightInd w:val="0"/>
      <w:spacing w:before="60" w:after="40" w:line="220" w:lineRule="exact"/>
      <w:textAlignment w:val="baseline"/>
    </w:pPr>
    <w:rPr>
      <w:rFonts w:ascii="Garamond" w:eastAsia="Calibri" w:hAnsi="Garamond"/>
      <w:sz w:val="24"/>
      <w:szCs w:val="24"/>
    </w:rPr>
  </w:style>
  <w:style w:type="paragraph" w:styleId="TOCHeading">
    <w:name w:val="TOC Heading"/>
    <w:basedOn w:val="Heading1"/>
    <w:next w:val="Normal"/>
    <w:uiPriority w:val="99"/>
    <w:qFormat/>
    <w:rsid w:val="00B66DF8"/>
    <w:pPr>
      <w:spacing w:line="276" w:lineRule="auto"/>
      <w:jc w:val="left"/>
      <w:outlineLvl w:val="9"/>
    </w:pPr>
  </w:style>
  <w:style w:type="paragraph" w:styleId="TOC2">
    <w:name w:val="toc 2"/>
    <w:basedOn w:val="Normal"/>
    <w:next w:val="Normal"/>
    <w:autoRedefine/>
    <w:uiPriority w:val="99"/>
    <w:semiHidden/>
    <w:rsid w:val="00B66DF8"/>
    <w:pPr>
      <w:spacing w:after="100"/>
      <w:ind w:left="220"/>
    </w:pPr>
  </w:style>
  <w:style w:type="paragraph" w:styleId="TOC3">
    <w:name w:val="toc 3"/>
    <w:basedOn w:val="Normal"/>
    <w:next w:val="Normal"/>
    <w:autoRedefine/>
    <w:uiPriority w:val="99"/>
    <w:semiHidden/>
    <w:rsid w:val="00B66DF8"/>
    <w:pPr>
      <w:spacing w:after="100"/>
      <w:ind w:left="440"/>
    </w:pPr>
  </w:style>
  <w:style w:type="character" w:styleId="Hyperlink">
    <w:name w:val="Hyperlink"/>
    <w:basedOn w:val="DefaultParagraphFont"/>
    <w:rsid w:val="00B66DF8"/>
    <w:rPr>
      <w:color w:val="0000FF"/>
      <w:u w:val="single"/>
    </w:rPr>
  </w:style>
  <w:style w:type="paragraph" w:styleId="ListParagraph">
    <w:name w:val="List Paragraph"/>
    <w:basedOn w:val="Normal"/>
    <w:uiPriority w:val="99"/>
    <w:qFormat/>
    <w:rsid w:val="00B66DF8"/>
    <w:pPr>
      <w:ind w:left="720"/>
    </w:pPr>
  </w:style>
  <w:style w:type="paragraph" w:customStyle="1" w:styleId="IASBPrinciple">
    <w:name w:val="IASB Principle"/>
    <w:basedOn w:val="Normal"/>
    <w:uiPriority w:val="99"/>
    <w:rsid w:val="00B66DF8"/>
    <w:pPr>
      <w:spacing w:before="100" w:after="100"/>
    </w:pPr>
    <w:rPr>
      <w:b/>
      <w:bCs/>
      <w:sz w:val="24"/>
      <w:szCs w:val="24"/>
      <w:lang w:eastAsia="bg-BG"/>
    </w:rPr>
  </w:style>
  <w:style w:type="character" w:customStyle="1" w:styleId="tabletxteygChar">
    <w:name w:val="tabletxt eyg Char"/>
    <w:link w:val="tabletxteyg"/>
    <w:uiPriority w:val="99"/>
    <w:locked/>
    <w:rsid w:val="00B66DF8"/>
    <w:rPr>
      <w:rFonts w:ascii="EY Gothic Comp BookPS" w:hAnsi="EY Gothic Comp BookPS" w:cs="EY Gothic Comp BookPS"/>
      <w:color w:val="000000"/>
      <w:lang w:val="en-GB"/>
    </w:rPr>
  </w:style>
  <w:style w:type="paragraph" w:customStyle="1" w:styleId="tabletxteyg">
    <w:name w:val="tabletxt eyg"/>
    <w:basedOn w:val="Normal"/>
    <w:link w:val="tabletxteygChar"/>
    <w:uiPriority w:val="99"/>
    <w:rsid w:val="00B66DF8"/>
    <w:pPr>
      <w:tabs>
        <w:tab w:val="right" w:leader="dot" w:pos="9739"/>
      </w:tabs>
      <w:overflowPunct w:val="0"/>
      <w:autoSpaceDE w:val="0"/>
      <w:autoSpaceDN w:val="0"/>
      <w:adjustRightInd w:val="0"/>
      <w:spacing w:after="80" w:line="240" w:lineRule="exact"/>
      <w:jc w:val="left"/>
      <w:textAlignment w:val="baseline"/>
    </w:pPr>
    <w:rPr>
      <w:rFonts w:ascii="EY Gothic Comp BookPS" w:eastAsia="Calibri" w:hAnsi="EY Gothic Comp BookPS"/>
      <w:color w:val="000000"/>
      <w:sz w:val="20"/>
      <w:szCs w:val="20"/>
      <w:lang w:val="en-GB"/>
    </w:rPr>
  </w:style>
  <w:style w:type="paragraph" w:customStyle="1" w:styleId="Style1">
    <w:name w:val="Style 1"/>
    <w:basedOn w:val="Normal"/>
    <w:uiPriority w:val="99"/>
    <w:rsid w:val="00B66DF8"/>
    <w:pPr>
      <w:widowControl w:val="0"/>
      <w:autoSpaceDE w:val="0"/>
      <w:autoSpaceDN w:val="0"/>
      <w:adjustRightInd w:val="0"/>
      <w:jc w:val="left"/>
    </w:pPr>
    <w:rPr>
      <w:sz w:val="20"/>
      <w:szCs w:val="20"/>
    </w:rPr>
  </w:style>
  <w:style w:type="paragraph" w:customStyle="1" w:styleId="CM4">
    <w:name w:val="CM4"/>
    <w:basedOn w:val="Normal"/>
    <w:next w:val="Normal"/>
    <w:uiPriority w:val="99"/>
    <w:rsid w:val="00B66DF8"/>
    <w:pPr>
      <w:autoSpaceDE w:val="0"/>
      <w:autoSpaceDN w:val="0"/>
      <w:adjustRightInd w:val="0"/>
      <w:jc w:val="left"/>
    </w:pPr>
    <w:rPr>
      <w:rFonts w:ascii="EUAlbertina" w:hAnsi="EUAlbertina" w:cs="EUAlbertina"/>
      <w:sz w:val="24"/>
      <w:szCs w:val="24"/>
      <w:lang w:eastAsia="bg-BG"/>
    </w:rPr>
  </w:style>
  <w:style w:type="paragraph" w:customStyle="1" w:styleId="bluesubhead">
    <w:name w:val="blue subhead"/>
    <w:basedOn w:val="Normal"/>
    <w:uiPriority w:val="99"/>
    <w:rsid w:val="00B66DF8"/>
    <w:pPr>
      <w:overflowPunct w:val="0"/>
      <w:autoSpaceDE w:val="0"/>
      <w:autoSpaceDN w:val="0"/>
      <w:adjustRightInd w:val="0"/>
      <w:spacing w:line="240" w:lineRule="exact"/>
      <w:jc w:val="left"/>
      <w:textAlignment w:val="baseline"/>
    </w:pPr>
    <w:rPr>
      <w:rFonts w:ascii="EY Gothic Comp BookPS" w:hAnsi="EY Gothic Comp BookPS" w:cs="EY Gothic Comp BookPS"/>
      <w:b/>
      <w:bCs/>
      <w:color w:val="000080"/>
      <w:sz w:val="20"/>
      <w:szCs w:val="20"/>
    </w:rPr>
  </w:style>
  <w:style w:type="paragraph" w:customStyle="1" w:styleId="Notesbodytext">
    <w:name w:val="Notes body text"/>
    <w:basedOn w:val="BodyText"/>
    <w:link w:val="NotesbodytextChar"/>
    <w:uiPriority w:val="99"/>
    <w:rsid w:val="00B66DF8"/>
    <w:pPr>
      <w:overflowPunct w:val="0"/>
      <w:autoSpaceDE w:val="0"/>
      <w:autoSpaceDN w:val="0"/>
      <w:adjustRightInd w:val="0"/>
      <w:spacing w:line="240" w:lineRule="exact"/>
      <w:jc w:val="left"/>
      <w:textAlignment w:val="baseline"/>
    </w:pPr>
    <w:rPr>
      <w:rFonts w:ascii="EYInterstate Light" w:eastAsia="Calibri" w:hAnsi="EYInterstate Light"/>
      <w:color w:val="000000"/>
      <w:sz w:val="20"/>
      <w:szCs w:val="20"/>
      <w:lang w:val="en-GB"/>
    </w:rPr>
  </w:style>
  <w:style w:type="character" w:customStyle="1" w:styleId="NotesbodytextChar">
    <w:name w:val="Notes body text Char"/>
    <w:link w:val="Notesbodytext"/>
    <w:uiPriority w:val="99"/>
    <w:locked/>
    <w:rsid w:val="00B66DF8"/>
    <w:rPr>
      <w:rFonts w:ascii="EYInterstate Light" w:hAnsi="EYInterstate Light" w:cs="EYInterstate Light"/>
      <w:color w:val="000000"/>
      <w:sz w:val="20"/>
      <w:szCs w:val="20"/>
      <w:lang w:val="en-GB"/>
    </w:rPr>
  </w:style>
  <w:style w:type="paragraph" w:customStyle="1" w:styleId="italsubhd">
    <w:name w:val="italsubhd"/>
    <w:basedOn w:val="Normal"/>
    <w:link w:val="italsubhdChar"/>
    <w:uiPriority w:val="99"/>
    <w:rsid w:val="00B66DF8"/>
    <w:pPr>
      <w:tabs>
        <w:tab w:val="right" w:leader="dot" w:pos="9739"/>
      </w:tabs>
      <w:overflowPunct w:val="0"/>
      <w:autoSpaceDE w:val="0"/>
      <w:autoSpaceDN w:val="0"/>
      <w:adjustRightInd w:val="0"/>
      <w:spacing w:before="60" w:line="240" w:lineRule="exact"/>
      <w:jc w:val="left"/>
      <w:textAlignment w:val="baseline"/>
    </w:pPr>
    <w:rPr>
      <w:rFonts w:ascii="EY Gothic Comp BookPS" w:eastAsia="Calibri" w:hAnsi="EY Gothic Comp BookPS"/>
      <w:i/>
      <w:iCs/>
      <w:noProof/>
      <w:color w:val="000000"/>
      <w:sz w:val="20"/>
      <w:szCs w:val="20"/>
      <w:lang w:val="en-GB"/>
    </w:rPr>
  </w:style>
  <w:style w:type="character" w:customStyle="1" w:styleId="italsubhdChar">
    <w:name w:val="italsubhd Char"/>
    <w:link w:val="italsubhd"/>
    <w:uiPriority w:val="99"/>
    <w:locked/>
    <w:rsid w:val="00B66DF8"/>
    <w:rPr>
      <w:rFonts w:ascii="EY Gothic Comp BookPS" w:hAnsi="EY Gothic Comp BookPS" w:cs="EY Gothic Comp BookPS"/>
      <w:i/>
      <w:iCs/>
      <w:noProof/>
      <w:color w:val="000000"/>
      <w:sz w:val="20"/>
      <w:szCs w:val="20"/>
      <w:lang w:val="en-GB"/>
    </w:rPr>
  </w:style>
  <w:style w:type="character" w:customStyle="1" w:styleId="tw4winMark">
    <w:name w:val="tw4winMark"/>
    <w:uiPriority w:val="99"/>
    <w:rsid w:val="00B66DF8"/>
    <w:rPr>
      <w:rFonts w:ascii="Courier New" w:hAnsi="Courier New" w:cs="Courier New"/>
      <w:color w:val="800080"/>
      <w:vertAlign w:val="subscript"/>
    </w:rPr>
  </w:style>
  <w:style w:type="paragraph" w:customStyle="1" w:styleId="IASBNormal">
    <w:name w:val="IASB Normal"/>
    <w:uiPriority w:val="99"/>
    <w:rsid w:val="00B66DF8"/>
    <w:pPr>
      <w:suppressAutoHyphens/>
      <w:spacing w:before="100" w:after="100"/>
      <w:jc w:val="both"/>
    </w:pPr>
    <w:rPr>
      <w:rFonts w:ascii="Times New Roman" w:eastAsia="Times New Roman" w:hAnsi="Times New Roman"/>
      <w:sz w:val="22"/>
      <w:szCs w:val="22"/>
      <w:lang w:eastAsia="ar-SA"/>
    </w:rPr>
  </w:style>
  <w:style w:type="paragraph" w:styleId="BodyText2">
    <w:name w:val="Body Text 2"/>
    <w:basedOn w:val="Normal"/>
    <w:link w:val="BodyText2Char"/>
    <w:uiPriority w:val="99"/>
    <w:rsid w:val="00B66DF8"/>
    <w:pPr>
      <w:spacing w:after="120" w:line="480" w:lineRule="auto"/>
    </w:pPr>
    <w:rPr>
      <w:sz w:val="20"/>
      <w:szCs w:val="20"/>
      <w:lang w:val="en-US"/>
    </w:rPr>
  </w:style>
  <w:style w:type="character" w:customStyle="1" w:styleId="BodyText2Char">
    <w:name w:val="Body Text 2 Char"/>
    <w:basedOn w:val="DefaultParagraphFont"/>
    <w:link w:val="BodyText2"/>
    <w:uiPriority w:val="99"/>
    <w:locked/>
    <w:rsid w:val="00B66DF8"/>
    <w:rPr>
      <w:rFonts w:ascii="Times New Roman" w:hAnsi="Times New Roman" w:cs="Times New Roman"/>
      <w:sz w:val="20"/>
      <w:szCs w:val="20"/>
      <w:lang w:val="en-US"/>
    </w:rPr>
  </w:style>
  <w:style w:type="paragraph" w:customStyle="1" w:styleId="010Subheading1">
    <w:name w:val="010 Subheading 1"/>
    <w:basedOn w:val="000Normal"/>
    <w:uiPriority w:val="99"/>
    <w:rsid w:val="00B66DF8"/>
    <w:pPr>
      <w:tabs>
        <w:tab w:val="num" w:pos="425"/>
      </w:tabs>
      <w:spacing w:before="0"/>
      <w:ind w:left="425" w:hanging="425"/>
    </w:pPr>
    <w:rPr>
      <w:lang w:val="en-GB"/>
    </w:rPr>
  </w:style>
  <w:style w:type="paragraph" w:customStyle="1" w:styleId="--">
    <w:name w:val="--&gt;"/>
    <w:uiPriority w:val="99"/>
    <w:rsid w:val="00B66DF8"/>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odytext0">
    <w:name w:val="body_text"/>
    <w:basedOn w:val="Normal"/>
    <w:uiPriority w:val="99"/>
    <w:rsid w:val="00B66DF8"/>
    <w:pPr>
      <w:spacing w:before="120" w:after="120"/>
    </w:pPr>
  </w:style>
  <w:style w:type="paragraph" w:styleId="BodyTextIndent3">
    <w:name w:val="Body Text Indent 3"/>
    <w:basedOn w:val="Normal"/>
    <w:link w:val="BodyTextIndent3Char"/>
    <w:uiPriority w:val="99"/>
    <w:rsid w:val="00B66DF8"/>
    <w:pPr>
      <w:spacing w:after="120"/>
      <w:ind w:left="283"/>
    </w:pPr>
    <w:rPr>
      <w:sz w:val="16"/>
      <w:szCs w:val="16"/>
      <w:lang w:val="en-US"/>
    </w:rPr>
  </w:style>
  <w:style w:type="character" w:customStyle="1" w:styleId="BodyTextIndent3Char">
    <w:name w:val="Body Text Indent 3 Char"/>
    <w:basedOn w:val="DefaultParagraphFont"/>
    <w:link w:val="BodyTextIndent3"/>
    <w:uiPriority w:val="99"/>
    <w:locked/>
    <w:rsid w:val="00B66DF8"/>
    <w:rPr>
      <w:rFonts w:ascii="Times New Roman" w:hAnsi="Times New Roman" w:cs="Times New Roman"/>
      <w:sz w:val="16"/>
      <w:szCs w:val="16"/>
      <w:lang w:val="en-US"/>
    </w:rPr>
  </w:style>
  <w:style w:type="paragraph" w:customStyle="1" w:styleId="FR1">
    <w:name w:val="FR1"/>
    <w:uiPriority w:val="99"/>
    <w:rsid w:val="00B66DF8"/>
    <w:pPr>
      <w:widowControl w:val="0"/>
      <w:spacing w:before="180" w:line="640" w:lineRule="auto"/>
      <w:ind w:left="240" w:right="3600" w:hanging="260"/>
    </w:pPr>
    <w:rPr>
      <w:rFonts w:ascii="Times New Roman" w:eastAsia="Times New Roman" w:hAnsi="Times New Roman"/>
      <w:sz w:val="18"/>
      <w:szCs w:val="18"/>
      <w:lang w:eastAsia="en-US"/>
    </w:rPr>
  </w:style>
  <w:style w:type="paragraph" w:styleId="BodyTextIndent2">
    <w:name w:val="Body Text Indent 2"/>
    <w:basedOn w:val="Normal"/>
    <w:link w:val="BodyTextIndent2Char"/>
    <w:uiPriority w:val="99"/>
    <w:rsid w:val="00B66DF8"/>
    <w:pPr>
      <w:spacing w:after="120" w:line="480" w:lineRule="auto"/>
      <w:ind w:left="283"/>
    </w:pPr>
    <w:rPr>
      <w:sz w:val="20"/>
      <w:szCs w:val="20"/>
      <w:lang w:val="en-US"/>
    </w:rPr>
  </w:style>
  <w:style w:type="character" w:customStyle="1" w:styleId="BodyTextIndent2Char">
    <w:name w:val="Body Text Indent 2 Char"/>
    <w:basedOn w:val="DefaultParagraphFont"/>
    <w:link w:val="BodyTextIndent2"/>
    <w:uiPriority w:val="99"/>
    <w:locked/>
    <w:rsid w:val="00B66DF8"/>
    <w:rPr>
      <w:rFonts w:ascii="Times New Roman" w:hAnsi="Times New Roman" w:cs="Times New Roman"/>
      <w:sz w:val="20"/>
      <w:szCs w:val="20"/>
      <w:lang w:val="en-US"/>
    </w:rPr>
  </w:style>
  <w:style w:type="table" w:styleId="TableGrid">
    <w:name w:val="Table Grid"/>
    <w:basedOn w:val="TableNormal"/>
    <w:uiPriority w:val="99"/>
    <w:rsid w:val="00B66DF8"/>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B66DF8"/>
  </w:style>
  <w:style w:type="paragraph" w:customStyle="1" w:styleId="241Singleline">
    <w:name w:val="241 Single line"/>
    <w:basedOn w:val="240Noline"/>
    <w:uiPriority w:val="99"/>
    <w:rsid w:val="00B66DF8"/>
    <w:pPr>
      <w:pBdr>
        <w:bottom w:val="single" w:sz="4" w:space="1" w:color="auto"/>
      </w:pBdr>
    </w:pPr>
  </w:style>
  <w:style w:type="paragraph" w:customStyle="1" w:styleId="240Noline">
    <w:name w:val="240 No line"/>
    <w:basedOn w:val="000Normal"/>
    <w:uiPriority w:val="99"/>
    <w:rsid w:val="00B66DF8"/>
    <w:pPr>
      <w:spacing w:before="0" w:after="0" w:line="14" w:lineRule="exact"/>
    </w:pPr>
  </w:style>
  <w:style w:type="paragraph" w:customStyle="1" w:styleId="200Tableleft">
    <w:name w:val="200 Table left"/>
    <w:basedOn w:val="000Normal"/>
    <w:uiPriority w:val="99"/>
    <w:rsid w:val="00B66DF8"/>
    <w:pPr>
      <w:spacing w:before="20" w:after="0" w:line="200" w:lineRule="exact"/>
      <w:jc w:val="left"/>
    </w:pPr>
  </w:style>
  <w:style w:type="paragraph" w:customStyle="1" w:styleId="210Tableright">
    <w:name w:val="210 Table right"/>
    <w:basedOn w:val="200Tableleft"/>
    <w:uiPriority w:val="99"/>
    <w:rsid w:val="00B66DF8"/>
    <w:pPr>
      <w:jc w:val="right"/>
    </w:pPr>
  </w:style>
  <w:style w:type="paragraph" w:customStyle="1" w:styleId="202Tableleftindent2">
    <w:name w:val="202 Table left indent 2"/>
    <w:basedOn w:val="201Tableleftindent1"/>
    <w:uiPriority w:val="99"/>
    <w:rsid w:val="00B66DF8"/>
    <w:pPr>
      <w:ind w:left="340"/>
    </w:pPr>
  </w:style>
  <w:style w:type="paragraph" w:customStyle="1" w:styleId="201Tableleftindent1">
    <w:name w:val="201 Table left indent 1"/>
    <w:basedOn w:val="200Tableleft"/>
    <w:uiPriority w:val="99"/>
    <w:rsid w:val="00B66DF8"/>
    <w:pPr>
      <w:ind w:left="170" w:hanging="170"/>
    </w:pPr>
  </w:style>
  <w:style w:type="character" w:customStyle="1" w:styleId="IASBFootnoteSign">
    <w:name w:val="IASB Footnote Sign"/>
    <w:uiPriority w:val="99"/>
    <w:rsid w:val="00B66DF8"/>
    <w:rPr>
      <w:vertAlign w:val="superscript"/>
    </w:rPr>
  </w:style>
  <w:style w:type="paragraph" w:customStyle="1" w:styleId="wfxRecipient">
    <w:name w:val="wfxRecipient"/>
    <w:basedOn w:val="Normal"/>
    <w:uiPriority w:val="99"/>
    <w:rsid w:val="00B66DF8"/>
    <w:pPr>
      <w:spacing w:line="240" w:lineRule="atLeast"/>
    </w:pPr>
    <w:rPr>
      <w:sz w:val="20"/>
      <w:szCs w:val="20"/>
    </w:rPr>
  </w:style>
  <w:style w:type="paragraph" w:customStyle="1" w:styleId="NormalText">
    <w:name w:val="Normal Text"/>
    <w:basedOn w:val="Normal"/>
    <w:uiPriority w:val="99"/>
    <w:rsid w:val="00B66DF8"/>
    <w:pPr>
      <w:spacing w:after="240" w:line="240" w:lineRule="atLeast"/>
    </w:pPr>
    <w:rPr>
      <w:sz w:val="20"/>
      <w:szCs w:val="20"/>
    </w:rPr>
  </w:style>
  <w:style w:type="paragraph" w:customStyle="1" w:styleId="CharCharCharCharCharChar1CharCharCharChar">
    <w:name w:val="Char Char Char Char Char Char1 Char Char Char Char"/>
    <w:basedOn w:val="Normal"/>
    <w:uiPriority w:val="99"/>
    <w:rsid w:val="00B66DF8"/>
    <w:pPr>
      <w:tabs>
        <w:tab w:val="left" w:pos="709"/>
      </w:tabs>
      <w:jc w:val="left"/>
    </w:pPr>
    <w:rPr>
      <w:rFonts w:ascii="Tahoma" w:hAnsi="Tahoma" w:cs="Tahoma"/>
      <w:sz w:val="24"/>
      <w:szCs w:val="24"/>
      <w:lang w:val="pl-PL" w:eastAsia="pl-PL"/>
    </w:rPr>
  </w:style>
  <w:style w:type="paragraph" w:customStyle="1" w:styleId="Subject">
    <w:name w:val="Subject"/>
    <w:basedOn w:val="Normal"/>
    <w:uiPriority w:val="99"/>
    <w:rsid w:val="00B66DF8"/>
    <w:pPr>
      <w:keepNext/>
      <w:keepLines/>
      <w:spacing w:line="290" w:lineRule="atLeast"/>
      <w:jc w:val="left"/>
    </w:pPr>
    <w:rPr>
      <w:b/>
      <w:bCs/>
      <w:sz w:val="24"/>
      <w:szCs w:val="24"/>
      <w:lang w:val="en-GB"/>
    </w:rPr>
  </w:style>
  <w:style w:type="paragraph" w:customStyle="1" w:styleId="CharCharCharCarattereCarattereCharCharCharCharCharCharCharCharCharChar">
    <w:name w:val="Char Char Char Carattere Carattere Char Char Char Char Char Char Char Char Char Char"/>
    <w:basedOn w:val="Normal"/>
    <w:uiPriority w:val="99"/>
    <w:semiHidden/>
    <w:rsid w:val="00B66DF8"/>
    <w:pPr>
      <w:spacing w:after="160" w:line="240" w:lineRule="exact"/>
      <w:jc w:val="left"/>
    </w:pPr>
    <w:rPr>
      <w:rFonts w:ascii="Tahoma" w:hAnsi="Tahoma" w:cs="Tahoma"/>
      <w:sz w:val="18"/>
      <w:szCs w:val="18"/>
    </w:rPr>
  </w:style>
  <w:style w:type="paragraph" w:customStyle="1" w:styleId="BodyText21">
    <w:name w:val="Body Text 21"/>
    <w:basedOn w:val="Normal"/>
    <w:uiPriority w:val="99"/>
    <w:rsid w:val="00B66DF8"/>
    <w:pPr>
      <w:spacing w:line="240" w:lineRule="atLeast"/>
    </w:pPr>
    <w:rPr>
      <w:sz w:val="20"/>
      <w:szCs w:val="20"/>
    </w:rPr>
  </w:style>
  <w:style w:type="paragraph" w:customStyle="1" w:styleId="a">
    <w:name w:val="Нова страница"/>
    <w:basedOn w:val="Normal"/>
    <w:uiPriority w:val="99"/>
    <w:rsid w:val="00B66DF8"/>
    <w:pPr>
      <w:tabs>
        <w:tab w:val="right" w:pos="6123"/>
      </w:tabs>
      <w:spacing w:before="160" w:line="258" w:lineRule="exact"/>
      <w:ind w:firstLine="397"/>
    </w:pPr>
    <w:rPr>
      <w:kern w:val="18"/>
    </w:rPr>
  </w:style>
  <w:style w:type="paragraph" w:customStyle="1" w:styleId="TableText">
    <w:name w:val="Table Text"/>
    <w:basedOn w:val="Normal"/>
    <w:link w:val="TableTextChar1"/>
    <w:uiPriority w:val="99"/>
    <w:rsid w:val="00B66DF8"/>
    <w:pPr>
      <w:keepNext/>
      <w:keepLines/>
      <w:jc w:val="left"/>
    </w:pPr>
    <w:rPr>
      <w:rFonts w:ascii="Arial" w:eastAsia="Calibri" w:hAnsi="Arial"/>
      <w:sz w:val="18"/>
      <w:szCs w:val="18"/>
      <w:lang w:val="en-GB"/>
    </w:rPr>
  </w:style>
  <w:style w:type="character" w:customStyle="1" w:styleId="TableTextChar1">
    <w:name w:val="Table Text Char1"/>
    <w:link w:val="TableText"/>
    <w:uiPriority w:val="99"/>
    <w:locked/>
    <w:rsid w:val="00B66DF8"/>
    <w:rPr>
      <w:rFonts w:ascii="Arial" w:hAnsi="Arial" w:cs="Arial"/>
      <w:sz w:val="18"/>
      <w:szCs w:val="18"/>
      <w:lang w:val="en-GB"/>
    </w:rPr>
  </w:style>
  <w:style w:type="paragraph" w:customStyle="1" w:styleId="TableTextBold">
    <w:name w:val="TableTextBold"/>
    <w:basedOn w:val="Normal"/>
    <w:uiPriority w:val="99"/>
    <w:rsid w:val="00B66DF8"/>
    <w:pPr>
      <w:widowControl w:val="0"/>
      <w:autoSpaceDE w:val="0"/>
      <w:autoSpaceDN w:val="0"/>
      <w:adjustRightInd w:val="0"/>
      <w:jc w:val="left"/>
    </w:pPr>
    <w:rPr>
      <w:rFonts w:ascii="Garamond" w:hAnsi="Garamond" w:cs="Garamond"/>
      <w:b/>
      <w:bCs/>
      <w:color w:val="000000"/>
      <w:sz w:val="20"/>
      <w:szCs w:val="20"/>
      <w:lang w:val="en-GB" w:eastAsia="en-GB"/>
    </w:rPr>
  </w:style>
  <w:style w:type="paragraph" w:customStyle="1" w:styleId="TableTextNormal">
    <w:name w:val="TableTextNormal"/>
    <w:basedOn w:val="Normal"/>
    <w:uiPriority w:val="99"/>
    <w:rsid w:val="00B66DF8"/>
    <w:pPr>
      <w:widowControl w:val="0"/>
      <w:autoSpaceDE w:val="0"/>
      <w:autoSpaceDN w:val="0"/>
      <w:adjustRightInd w:val="0"/>
      <w:jc w:val="left"/>
    </w:pPr>
    <w:rPr>
      <w:rFonts w:ascii="Garamond" w:hAnsi="Garamond" w:cs="Garamond"/>
      <w:color w:val="000000"/>
      <w:sz w:val="20"/>
      <w:szCs w:val="20"/>
      <w:lang w:val="en-GB" w:eastAsia="en-GB"/>
    </w:rPr>
  </w:style>
  <w:style w:type="paragraph" w:styleId="TOC4">
    <w:name w:val="toc 4"/>
    <w:basedOn w:val="Normal"/>
    <w:next w:val="Normal"/>
    <w:autoRedefine/>
    <w:uiPriority w:val="99"/>
    <w:semiHidden/>
    <w:rsid w:val="00B66DF8"/>
    <w:pPr>
      <w:spacing w:after="100" w:line="276" w:lineRule="auto"/>
      <w:ind w:left="660"/>
      <w:jc w:val="left"/>
    </w:pPr>
    <w:rPr>
      <w:rFonts w:ascii="Calibri" w:hAnsi="Calibri" w:cs="Calibri"/>
      <w:lang w:eastAsia="bg-BG"/>
    </w:rPr>
  </w:style>
  <w:style w:type="paragraph" w:styleId="TOC5">
    <w:name w:val="toc 5"/>
    <w:basedOn w:val="Normal"/>
    <w:next w:val="Normal"/>
    <w:autoRedefine/>
    <w:uiPriority w:val="99"/>
    <w:semiHidden/>
    <w:rsid w:val="00B66DF8"/>
    <w:pPr>
      <w:spacing w:after="100" w:line="276" w:lineRule="auto"/>
      <w:ind w:left="880"/>
      <w:jc w:val="left"/>
    </w:pPr>
    <w:rPr>
      <w:rFonts w:ascii="Calibri" w:hAnsi="Calibri" w:cs="Calibri"/>
      <w:lang w:eastAsia="bg-BG"/>
    </w:rPr>
  </w:style>
  <w:style w:type="paragraph" w:styleId="TOC6">
    <w:name w:val="toc 6"/>
    <w:basedOn w:val="Normal"/>
    <w:next w:val="Normal"/>
    <w:autoRedefine/>
    <w:uiPriority w:val="99"/>
    <w:semiHidden/>
    <w:rsid w:val="00B66DF8"/>
    <w:pPr>
      <w:spacing w:after="100" w:line="276" w:lineRule="auto"/>
      <w:ind w:left="1100"/>
      <w:jc w:val="left"/>
    </w:pPr>
    <w:rPr>
      <w:rFonts w:ascii="Calibri" w:hAnsi="Calibri" w:cs="Calibri"/>
      <w:lang w:eastAsia="bg-BG"/>
    </w:rPr>
  </w:style>
  <w:style w:type="paragraph" w:styleId="TOC7">
    <w:name w:val="toc 7"/>
    <w:basedOn w:val="Normal"/>
    <w:next w:val="Normal"/>
    <w:autoRedefine/>
    <w:uiPriority w:val="99"/>
    <w:semiHidden/>
    <w:rsid w:val="00B66DF8"/>
    <w:pPr>
      <w:spacing w:after="100" w:line="276" w:lineRule="auto"/>
      <w:ind w:left="1320"/>
      <w:jc w:val="left"/>
    </w:pPr>
    <w:rPr>
      <w:rFonts w:ascii="Calibri" w:hAnsi="Calibri" w:cs="Calibri"/>
      <w:lang w:eastAsia="bg-BG"/>
    </w:rPr>
  </w:style>
  <w:style w:type="paragraph" w:styleId="TOC8">
    <w:name w:val="toc 8"/>
    <w:basedOn w:val="Normal"/>
    <w:next w:val="Normal"/>
    <w:autoRedefine/>
    <w:uiPriority w:val="99"/>
    <w:semiHidden/>
    <w:rsid w:val="00B66DF8"/>
    <w:pPr>
      <w:spacing w:after="100" w:line="276" w:lineRule="auto"/>
      <w:ind w:left="1540"/>
      <w:jc w:val="left"/>
    </w:pPr>
    <w:rPr>
      <w:rFonts w:ascii="Calibri" w:hAnsi="Calibri" w:cs="Calibri"/>
      <w:lang w:eastAsia="bg-BG"/>
    </w:rPr>
  </w:style>
  <w:style w:type="paragraph" w:styleId="TOC9">
    <w:name w:val="toc 9"/>
    <w:basedOn w:val="Normal"/>
    <w:next w:val="Normal"/>
    <w:autoRedefine/>
    <w:uiPriority w:val="99"/>
    <w:semiHidden/>
    <w:rsid w:val="00B66DF8"/>
    <w:pPr>
      <w:spacing w:after="100" w:line="276" w:lineRule="auto"/>
      <w:ind w:left="1760"/>
      <w:jc w:val="left"/>
    </w:pPr>
    <w:rPr>
      <w:rFonts w:ascii="Calibri" w:hAnsi="Calibri" w:cs="Calibri"/>
      <w:lang w:eastAsia="bg-BG"/>
    </w:rPr>
  </w:style>
  <w:style w:type="paragraph" w:customStyle="1" w:styleId="xl36">
    <w:name w:val="xl36"/>
    <w:basedOn w:val="Normal"/>
    <w:uiPriority w:val="99"/>
    <w:rsid w:val="00B66DF8"/>
    <w:pPr>
      <w:spacing w:before="100" w:beforeAutospacing="1" w:after="100" w:afterAutospacing="1"/>
      <w:jc w:val="left"/>
    </w:pPr>
    <w:rPr>
      <w:rFonts w:eastAsia="Arial Unicode MS"/>
      <w:b/>
      <w:bCs/>
      <w:color w:val="000000"/>
      <w:lang w:val="en-GB"/>
    </w:rPr>
  </w:style>
  <w:style w:type="paragraph" w:customStyle="1" w:styleId="xl54">
    <w:name w:val="xl54"/>
    <w:basedOn w:val="Normal"/>
    <w:uiPriority w:val="99"/>
    <w:rsid w:val="00B66DF8"/>
    <w:pPr>
      <w:spacing w:before="100" w:beforeAutospacing="1" w:after="100" w:afterAutospacing="1"/>
      <w:jc w:val="left"/>
      <w:textAlignment w:val="center"/>
    </w:pPr>
    <w:rPr>
      <w:rFonts w:eastAsia="Arial Unicode MS"/>
      <w:i/>
      <w:iCs/>
      <w:lang w:val="en-GB"/>
    </w:rPr>
  </w:style>
  <w:style w:type="character" w:customStyle="1" w:styleId="hps">
    <w:name w:val="hps"/>
    <w:basedOn w:val="DefaultParagraphFont"/>
    <w:uiPriority w:val="99"/>
    <w:rsid w:val="00B66DF8"/>
  </w:style>
  <w:style w:type="paragraph" w:styleId="HTMLPreformatted">
    <w:name w:val="HTML Preformatted"/>
    <w:basedOn w:val="Normal"/>
    <w:link w:val="HTMLPreformattedChar"/>
    <w:uiPriority w:val="99"/>
    <w:rsid w:val="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cs="Courier"/>
      <w:sz w:val="13"/>
      <w:szCs w:val="13"/>
    </w:rPr>
  </w:style>
  <w:style w:type="character" w:customStyle="1" w:styleId="HTMLPreformattedChar">
    <w:name w:val="HTML Preformatted Char"/>
    <w:basedOn w:val="DefaultParagraphFont"/>
    <w:link w:val="HTMLPreformatted"/>
    <w:uiPriority w:val="99"/>
    <w:locked/>
    <w:rsid w:val="00B66DF8"/>
    <w:rPr>
      <w:rFonts w:ascii="Courier" w:hAnsi="Courier" w:cs="Courier"/>
      <w:sz w:val="13"/>
      <w:szCs w:val="13"/>
    </w:rPr>
  </w:style>
  <w:style w:type="character" w:customStyle="1" w:styleId="atn">
    <w:name w:val="atn"/>
    <w:basedOn w:val="DefaultParagraphFont"/>
    <w:uiPriority w:val="99"/>
    <w:rsid w:val="00B66DF8"/>
  </w:style>
  <w:style w:type="character" w:customStyle="1" w:styleId="apple-style-span">
    <w:name w:val="apple-style-span"/>
    <w:basedOn w:val="DefaultParagraphFont"/>
    <w:uiPriority w:val="99"/>
    <w:rsid w:val="00B66DF8"/>
  </w:style>
  <w:style w:type="character" w:customStyle="1" w:styleId="3">
    <w:name w:val="Основен текст (3)_"/>
    <w:link w:val="30"/>
    <w:uiPriority w:val="99"/>
    <w:locked/>
    <w:rsid w:val="00B66DF8"/>
    <w:rPr>
      <w:rFonts w:ascii="Times New Roman" w:hAnsi="Times New Roman" w:cs="Times New Roman"/>
      <w:b/>
      <w:bCs/>
      <w:i/>
      <w:iCs/>
      <w:spacing w:val="-3"/>
      <w:sz w:val="18"/>
      <w:szCs w:val="18"/>
      <w:shd w:val="clear" w:color="auto" w:fill="FFFFFF"/>
    </w:rPr>
  </w:style>
  <w:style w:type="paragraph" w:customStyle="1" w:styleId="30">
    <w:name w:val="Основен текст (3)"/>
    <w:basedOn w:val="Normal"/>
    <w:link w:val="3"/>
    <w:uiPriority w:val="99"/>
    <w:rsid w:val="00B66DF8"/>
    <w:pPr>
      <w:widowControl w:val="0"/>
      <w:shd w:val="clear" w:color="auto" w:fill="FFFFFF"/>
      <w:spacing w:after="60" w:line="240" w:lineRule="atLeast"/>
      <w:jc w:val="left"/>
    </w:pPr>
    <w:rPr>
      <w:rFonts w:eastAsia="Calibri"/>
      <w:b/>
      <w:bCs/>
      <w:i/>
      <w:iCs/>
      <w:spacing w:val="-3"/>
      <w:sz w:val="18"/>
      <w:szCs w:val="18"/>
    </w:rPr>
  </w:style>
  <w:style w:type="character" w:customStyle="1" w:styleId="a0">
    <w:name w:val="Основен текст_"/>
    <w:link w:val="a1"/>
    <w:uiPriority w:val="99"/>
    <w:locked/>
    <w:rsid w:val="00B66DF8"/>
    <w:rPr>
      <w:rFonts w:ascii="Times New Roman" w:hAnsi="Times New Roman" w:cs="Times New Roman"/>
      <w:spacing w:val="2"/>
      <w:sz w:val="16"/>
      <w:szCs w:val="16"/>
      <w:shd w:val="clear" w:color="auto" w:fill="FFFFFF"/>
    </w:rPr>
  </w:style>
  <w:style w:type="paragraph" w:customStyle="1" w:styleId="a1">
    <w:name w:val="Основен текст"/>
    <w:basedOn w:val="Normal"/>
    <w:link w:val="a0"/>
    <w:uiPriority w:val="99"/>
    <w:rsid w:val="00B66DF8"/>
    <w:pPr>
      <w:widowControl w:val="0"/>
      <w:shd w:val="clear" w:color="auto" w:fill="FFFFFF"/>
      <w:spacing w:before="60" w:after="180" w:line="262" w:lineRule="exact"/>
    </w:pPr>
    <w:rPr>
      <w:rFonts w:eastAsia="Calibri"/>
      <w:spacing w:val="2"/>
      <w:sz w:val="16"/>
      <w:szCs w:val="16"/>
    </w:rPr>
  </w:style>
  <w:style w:type="character" w:customStyle="1" w:styleId="4">
    <w:name w:val="Основен текст (4)_"/>
    <w:link w:val="40"/>
    <w:uiPriority w:val="99"/>
    <w:locked/>
    <w:rsid w:val="00B66DF8"/>
    <w:rPr>
      <w:rFonts w:ascii="Times New Roman" w:hAnsi="Times New Roman" w:cs="Times New Roman"/>
      <w:i/>
      <w:iCs/>
      <w:sz w:val="18"/>
      <w:szCs w:val="18"/>
      <w:shd w:val="clear" w:color="auto" w:fill="FFFFFF"/>
    </w:rPr>
  </w:style>
  <w:style w:type="paragraph" w:customStyle="1" w:styleId="40">
    <w:name w:val="Основен текст (4)"/>
    <w:basedOn w:val="Normal"/>
    <w:link w:val="4"/>
    <w:uiPriority w:val="99"/>
    <w:rsid w:val="00B66DF8"/>
    <w:pPr>
      <w:widowControl w:val="0"/>
      <w:shd w:val="clear" w:color="auto" w:fill="FFFFFF"/>
      <w:spacing w:before="180" w:after="180" w:line="240" w:lineRule="atLeast"/>
      <w:jc w:val="left"/>
    </w:pPr>
    <w:rPr>
      <w:rFonts w:eastAsia="Calibri"/>
      <w:i/>
      <w:iCs/>
      <w:sz w:val="18"/>
      <w:szCs w:val="18"/>
    </w:rPr>
  </w:style>
  <w:style w:type="character" w:customStyle="1" w:styleId="5">
    <w:name w:val="Основен текст (5)_"/>
    <w:link w:val="50"/>
    <w:uiPriority w:val="99"/>
    <w:locked/>
    <w:rsid w:val="00B66DF8"/>
    <w:rPr>
      <w:rFonts w:ascii="Times New Roman" w:hAnsi="Times New Roman" w:cs="Times New Roman"/>
      <w:b/>
      <w:bCs/>
      <w:spacing w:val="2"/>
      <w:sz w:val="17"/>
      <w:szCs w:val="17"/>
      <w:shd w:val="clear" w:color="auto" w:fill="FFFFFF"/>
    </w:rPr>
  </w:style>
  <w:style w:type="paragraph" w:customStyle="1" w:styleId="50">
    <w:name w:val="Основен текст (5)"/>
    <w:basedOn w:val="Normal"/>
    <w:link w:val="5"/>
    <w:uiPriority w:val="99"/>
    <w:rsid w:val="00B66DF8"/>
    <w:pPr>
      <w:widowControl w:val="0"/>
      <w:shd w:val="clear" w:color="auto" w:fill="FFFFFF"/>
      <w:spacing w:line="240" w:lineRule="atLeast"/>
      <w:ind w:hanging="460"/>
      <w:jc w:val="left"/>
    </w:pPr>
    <w:rPr>
      <w:rFonts w:eastAsia="Calibri"/>
      <w:b/>
      <w:bCs/>
      <w:spacing w:val="2"/>
      <w:sz w:val="17"/>
      <w:szCs w:val="17"/>
    </w:rPr>
  </w:style>
  <w:style w:type="character" w:customStyle="1" w:styleId="10pt">
    <w:name w:val="Основен текст + 10 pt"/>
    <w:aliases w:val="Разредка 0 pt,Мащаб 80%"/>
    <w:uiPriority w:val="99"/>
    <w:rsid w:val="00B66DF8"/>
    <w:rPr>
      <w:rFonts w:ascii="Times New Roman" w:hAnsi="Times New Roman" w:cs="Times New Roman"/>
      <w:color w:val="000000"/>
      <w:spacing w:val="1"/>
      <w:w w:val="80"/>
      <w:position w:val="0"/>
      <w:sz w:val="20"/>
      <w:szCs w:val="20"/>
      <w:u w:val="none"/>
      <w:shd w:val="clear" w:color="auto" w:fill="FFFFFF"/>
      <w:lang w:val="bg-BG"/>
    </w:rPr>
  </w:style>
  <w:style w:type="character" w:customStyle="1" w:styleId="0pt">
    <w:name w:val="Основен текст + Разредка 0 pt"/>
    <w:uiPriority w:val="99"/>
    <w:rsid w:val="00B66DF8"/>
    <w:rPr>
      <w:rFonts w:ascii="Times New Roman" w:hAnsi="Times New Roman" w:cs="Times New Roman"/>
      <w:color w:val="000000"/>
      <w:spacing w:val="9"/>
      <w:w w:val="100"/>
      <w:position w:val="0"/>
      <w:sz w:val="16"/>
      <w:szCs w:val="16"/>
      <w:u w:val="none"/>
      <w:shd w:val="clear" w:color="auto" w:fill="FFFFFF"/>
      <w:lang w:val="bg-BG"/>
    </w:rPr>
  </w:style>
  <w:style w:type="character" w:customStyle="1" w:styleId="59pt">
    <w:name w:val="Основен текст (5) + 9 pt"/>
    <w:aliases w:val="Курсив,Разредка 0 pt1"/>
    <w:uiPriority w:val="99"/>
    <w:rsid w:val="00B66DF8"/>
    <w:rPr>
      <w:rFonts w:ascii="Times New Roman" w:hAnsi="Times New Roman" w:cs="Times New Roman"/>
      <w:i/>
      <w:iCs/>
      <w:color w:val="000000"/>
      <w:spacing w:val="-3"/>
      <w:w w:val="100"/>
      <w:position w:val="0"/>
      <w:sz w:val="18"/>
      <w:szCs w:val="18"/>
      <w:u w:val="none"/>
      <w:shd w:val="clear" w:color="auto" w:fill="FFFFFF"/>
      <w:lang w:val="bg-BG"/>
    </w:rPr>
  </w:style>
  <w:style w:type="character" w:customStyle="1" w:styleId="1">
    <w:name w:val="Заглавие #1_"/>
    <w:link w:val="10"/>
    <w:uiPriority w:val="99"/>
    <w:locked/>
    <w:rsid w:val="00B66DF8"/>
    <w:rPr>
      <w:rFonts w:ascii="Times New Roman" w:hAnsi="Times New Roman" w:cs="Times New Roman"/>
      <w:spacing w:val="1"/>
      <w:w w:val="80"/>
      <w:shd w:val="clear" w:color="auto" w:fill="FFFFFF"/>
    </w:rPr>
  </w:style>
  <w:style w:type="paragraph" w:customStyle="1" w:styleId="10">
    <w:name w:val="Заглавие #1"/>
    <w:basedOn w:val="Normal"/>
    <w:link w:val="1"/>
    <w:uiPriority w:val="99"/>
    <w:rsid w:val="00B66DF8"/>
    <w:pPr>
      <w:widowControl w:val="0"/>
      <w:shd w:val="clear" w:color="auto" w:fill="FFFFFF"/>
      <w:spacing w:line="262" w:lineRule="exact"/>
      <w:outlineLvl w:val="0"/>
    </w:pPr>
    <w:rPr>
      <w:rFonts w:eastAsia="Calibri"/>
      <w:spacing w:val="1"/>
      <w:w w:val="80"/>
      <w:sz w:val="20"/>
      <w:szCs w:val="20"/>
    </w:rPr>
  </w:style>
  <w:style w:type="paragraph" w:customStyle="1" w:styleId="Style46">
    <w:name w:val="Style46"/>
    <w:basedOn w:val="Normal"/>
    <w:uiPriority w:val="99"/>
    <w:rsid w:val="00B66DF8"/>
    <w:pPr>
      <w:widowControl w:val="0"/>
      <w:autoSpaceDE w:val="0"/>
      <w:autoSpaceDN w:val="0"/>
      <w:adjustRightInd w:val="0"/>
      <w:spacing w:line="211" w:lineRule="exact"/>
      <w:jc w:val="left"/>
    </w:pPr>
    <w:rPr>
      <w:rFonts w:ascii="Arial" w:eastAsia="MS Minchofalt" w:hAnsi="Arial" w:cs="Arial"/>
      <w:sz w:val="24"/>
      <w:szCs w:val="24"/>
      <w:lang w:eastAsia="ja-JP"/>
    </w:rPr>
  </w:style>
  <w:style w:type="paragraph" w:customStyle="1" w:styleId="Style47">
    <w:name w:val="Style47"/>
    <w:basedOn w:val="Normal"/>
    <w:uiPriority w:val="99"/>
    <w:rsid w:val="00B66DF8"/>
    <w:pPr>
      <w:widowControl w:val="0"/>
      <w:autoSpaceDE w:val="0"/>
      <w:autoSpaceDN w:val="0"/>
      <w:adjustRightInd w:val="0"/>
      <w:jc w:val="left"/>
    </w:pPr>
    <w:rPr>
      <w:rFonts w:ascii="Arial" w:eastAsia="MS Minchofalt" w:hAnsi="Arial" w:cs="Arial"/>
      <w:sz w:val="24"/>
      <w:szCs w:val="24"/>
      <w:lang w:eastAsia="ja-JP"/>
    </w:rPr>
  </w:style>
  <w:style w:type="paragraph" w:customStyle="1" w:styleId="Style48">
    <w:name w:val="Style48"/>
    <w:basedOn w:val="Normal"/>
    <w:uiPriority w:val="99"/>
    <w:rsid w:val="00B66DF8"/>
    <w:pPr>
      <w:widowControl w:val="0"/>
      <w:autoSpaceDE w:val="0"/>
      <w:autoSpaceDN w:val="0"/>
      <w:adjustRightInd w:val="0"/>
      <w:spacing w:line="211" w:lineRule="exact"/>
      <w:ind w:hanging="293"/>
      <w:jc w:val="left"/>
    </w:pPr>
    <w:rPr>
      <w:rFonts w:ascii="Arial" w:eastAsia="MS Minchofalt" w:hAnsi="Arial" w:cs="Arial"/>
      <w:sz w:val="24"/>
      <w:szCs w:val="24"/>
      <w:lang w:eastAsia="ja-JP"/>
    </w:rPr>
  </w:style>
  <w:style w:type="character" w:customStyle="1" w:styleId="FontStyle78">
    <w:name w:val="Font Style78"/>
    <w:uiPriority w:val="99"/>
    <w:rsid w:val="00B66DF8"/>
    <w:rPr>
      <w:rFonts w:ascii="Arial" w:hAnsi="Arial" w:cs="Arial"/>
      <w:sz w:val="14"/>
      <w:szCs w:val="14"/>
    </w:rPr>
  </w:style>
  <w:style w:type="paragraph" w:customStyle="1" w:styleId="Style4">
    <w:name w:val="Style4"/>
    <w:basedOn w:val="Normal"/>
    <w:uiPriority w:val="99"/>
    <w:rsid w:val="00B66DF8"/>
    <w:pPr>
      <w:widowControl w:val="0"/>
      <w:autoSpaceDE w:val="0"/>
      <w:autoSpaceDN w:val="0"/>
      <w:adjustRightInd w:val="0"/>
      <w:jc w:val="left"/>
    </w:pPr>
    <w:rPr>
      <w:rFonts w:ascii="Arial" w:eastAsia="MS Minchofalt" w:hAnsi="Arial" w:cs="Arial"/>
      <w:sz w:val="24"/>
      <w:szCs w:val="24"/>
      <w:lang w:eastAsia="ja-JP"/>
    </w:rPr>
  </w:style>
  <w:style w:type="paragraph" w:customStyle="1" w:styleId="Style50">
    <w:name w:val="Style50"/>
    <w:basedOn w:val="Normal"/>
    <w:uiPriority w:val="99"/>
    <w:rsid w:val="00B66DF8"/>
    <w:pPr>
      <w:widowControl w:val="0"/>
      <w:autoSpaceDE w:val="0"/>
      <w:autoSpaceDN w:val="0"/>
      <w:adjustRightInd w:val="0"/>
      <w:spacing w:line="211" w:lineRule="exact"/>
      <w:ind w:hanging="293"/>
      <w:jc w:val="left"/>
    </w:pPr>
    <w:rPr>
      <w:rFonts w:ascii="Arial" w:eastAsia="MS Minchofalt" w:hAnsi="Arial" w:cs="Arial"/>
      <w:sz w:val="24"/>
      <w:szCs w:val="24"/>
      <w:lang w:eastAsia="ja-JP"/>
    </w:rPr>
  </w:style>
  <w:style w:type="paragraph" w:customStyle="1" w:styleId="Style51">
    <w:name w:val="Style51"/>
    <w:basedOn w:val="Normal"/>
    <w:uiPriority w:val="99"/>
    <w:rsid w:val="00B66DF8"/>
    <w:pPr>
      <w:widowControl w:val="0"/>
      <w:autoSpaceDE w:val="0"/>
      <w:autoSpaceDN w:val="0"/>
      <w:adjustRightInd w:val="0"/>
      <w:spacing w:line="211" w:lineRule="exact"/>
      <w:jc w:val="left"/>
    </w:pPr>
    <w:rPr>
      <w:rFonts w:ascii="Arial" w:eastAsia="MS Minchofalt" w:hAnsi="Arial" w:cs="Arial"/>
      <w:sz w:val="24"/>
      <w:szCs w:val="24"/>
      <w:lang w:eastAsia="ja-JP"/>
    </w:rPr>
  </w:style>
  <w:style w:type="paragraph" w:customStyle="1" w:styleId="Style9">
    <w:name w:val="Style9"/>
    <w:basedOn w:val="Normal"/>
    <w:uiPriority w:val="99"/>
    <w:rsid w:val="00B66DF8"/>
    <w:pPr>
      <w:widowControl w:val="0"/>
      <w:autoSpaceDE w:val="0"/>
      <w:autoSpaceDN w:val="0"/>
      <w:adjustRightInd w:val="0"/>
      <w:jc w:val="left"/>
    </w:pPr>
    <w:rPr>
      <w:rFonts w:ascii="Arial" w:eastAsia="MS Minchofalt" w:hAnsi="Arial" w:cs="Arial"/>
      <w:sz w:val="24"/>
      <w:szCs w:val="24"/>
      <w:lang w:eastAsia="ja-JP"/>
    </w:rPr>
  </w:style>
  <w:style w:type="paragraph" w:customStyle="1" w:styleId="Style14">
    <w:name w:val="Style14"/>
    <w:basedOn w:val="Normal"/>
    <w:uiPriority w:val="99"/>
    <w:rsid w:val="00B66DF8"/>
    <w:pPr>
      <w:widowControl w:val="0"/>
      <w:autoSpaceDE w:val="0"/>
      <w:autoSpaceDN w:val="0"/>
      <w:adjustRightInd w:val="0"/>
      <w:spacing w:line="266" w:lineRule="exact"/>
    </w:pPr>
    <w:rPr>
      <w:rFonts w:ascii="Arial" w:eastAsia="MS Minchofalt" w:hAnsi="Arial" w:cs="Arial"/>
      <w:sz w:val="24"/>
      <w:szCs w:val="24"/>
      <w:lang w:eastAsia="ja-JP"/>
    </w:rPr>
  </w:style>
  <w:style w:type="paragraph" w:customStyle="1" w:styleId="Style15">
    <w:name w:val="Style15"/>
    <w:basedOn w:val="Normal"/>
    <w:uiPriority w:val="99"/>
    <w:rsid w:val="00B66DF8"/>
    <w:pPr>
      <w:widowControl w:val="0"/>
      <w:autoSpaceDE w:val="0"/>
      <w:autoSpaceDN w:val="0"/>
      <w:adjustRightInd w:val="0"/>
      <w:spacing w:line="216" w:lineRule="exact"/>
      <w:ind w:firstLine="106"/>
    </w:pPr>
    <w:rPr>
      <w:rFonts w:ascii="Arial" w:eastAsia="MS Minchofalt" w:hAnsi="Arial" w:cs="Arial"/>
      <w:sz w:val="24"/>
      <w:szCs w:val="24"/>
      <w:lang w:eastAsia="ja-JP"/>
    </w:rPr>
  </w:style>
  <w:style w:type="character" w:customStyle="1" w:styleId="FontStyle27">
    <w:name w:val="Font Style27"/>
    <w:uiPriority w:val="99"/>
    <w:rsid w:val="00B66DF8"/>
    <w:rPr>
      <w:rFonts w:ascii="Arial" w:hAnsi="Arial" w:cs="Arial"/>
      <w:b/>
      <w:bCs/>
      <w:sz w:val="18"/>
      <w:szCs w:val="18"/>
    </w:rPr>
  </w:style>
  <w:style w:type="character" w:customStyle="1" w:styleId="FontStyle28">
    <w:name w:val="Font Style28"/>
    <w:uiPriority w:val="99"/>
    <w:rsid w:val="00B66DF8"/>
    <w:rPr>
      <w:rFonts w:ascii="Arial" w:hAnsi="Arial" w:cs="Arial"/>
      <w:sz w:val="16"/>
      <w:szCs w:val="16"/>
    </w:rPr>
  </w:style>
  <w:style w:type="paragraph" w:customStyle="1" w:styleId="Style12">
    <w:name w:val="Style12"/>
    <w:basedOn w:val="Normal"/>
    <w:uiPriority w:val="99"/>
    <w:rsid w:val="00B66DF8"/>
    <w:pPr>
      <w:widowControl w:val="0"/>
      <w:autoSpaceDE w:val="0"/>
      <w:autoSpaceDN w:val="0"/>
      <w:adjustRightInd w:val="0"/>
      <w:jc w:val="left"/>
    </w:pPr>
    <w:rPr>
      <w:rFonts w:ascii="Arial" w:eastAsia="MS Minchofalt" w:hAnsi="Arial" w:cs="Arial"/>
      <w:sz w:val="24"/>
      <w:szCs w:val="24"/>
      <w:lang w:eastAsia="ja-JP"/>
    </w:rPr>
  </w:style>
  <w:style w:type="character" w:customStyle="1" w:styleId="FontStyle33">
    <w:name w:val="Font Style33"/>
    <w:uiPriority w:val="99"/>
    <w:rsid w:val="00B66DF8"/>
    <w:rPr>
      <w:rFonts w:ascii="Arial" w:hAnsi="Arial" w:cs="Arial"/>
      <w:sz w:val="14"/>
      <w:szCs w:val="14"/>
    </w:rPr>
  </w:style>
  <w:style w:type="paragraph" w:styleId="NormalWeb">
    <w:name w:val="Normal (Web)"/>
    <w:basedOn w:val="Normal"/>
    <w:uiPriority w:val="99"/>
    <w:rsid w:val="00B66DF8"/>
    <w:pPr>
      <w:spacing w:before="100" w:beforeAutospacing="1" w:after="100" w:afterAutospacing="1"/>
      <w:jc w:val="left"/>
    </w:pPr>
    <w:rPr>
      <w:sz w:val="24"/>
      <w:szCs w:val="24"/>
      <w:lang w:eastAsia="bg-BG"/>
    </w:rPr>
  </w:style>
  <w:style w:type="paragraph" w:styleId="FootnoteText">
    <w:name w:val="footnote text"/>
    <w:basedOn w:val="Normal"/>
    <w:link w:val="FootnoteTextChar"/>
    <w:uiPriority w:val="99"/>
    <w:semiHidden/>
    <w:rsid w:val="00B66DF8"/>
    <w:pPr>
      <w:spacing w:after="200" w:line="276" w:lineRule="auto"/>
      <w:jc w:val="left"/>
    </w:pPr>
    <w:rPr>
      <w:rFonts w:ascii="Calibri" w:eastAsia="Calibri" w:hAnsi="Calibri" w:cs="Calibri"/>
      <w:sz w:val="20"/>
      <w:szCs w:val="20"/>
    </w:rPr>
  </w:style>
  <w:style w:type="character" w:customStyle="1" w:styleId="FootnoteTextChar">
    <w:name w:val="Footnote Text Char"/>
    <w:basedOn w:val="DefaultParagraphFont"/>
    <w:link w:val="FootnoteText"/>
    <w:uiPriority w:val="99"/>
    <w:locked/>
    <w:rsid w:val="00B66DF8"/>
    <w:rPr>
      <w:rFonts w:ascii="Calibri" w:hAnsi="Calibri" w:cs="Calibri"/>
      <w:sz w:val="20"/>
      <w:szCs w:val="20"/>
    </w:rPr>
  </w:style>
  <w:style w:type="character" w:styleId="FootnoteReference">
    <w:name w:val="footnote reference"/>
    <w:basedOn w:val="DefaultParagraphFont"/>
    <w:uiPriority w:val="99"/>
    <w:semiHidden/>
    <w:rsid w:val="00B66DF8"/>
    <w:rPr>
      <w:vertAlign w:val="superscript"/>
    </w:rPr>
  </w:style>
  <w:style w:type="character" w:customStyle="1" w:styleId="ldef">
    <w:name w:val="ldef"/>
    <w:uiPriority w:val="99"/>
    <w:rsid w:val="00B66DF8"/>
  </w:style>
  <w:style w:type="character" w:styleId="EndnoteReference">
    <w:name w:val="endnote reference"/>
    <w:basedOn w:val="DefaultParagraphFont"/>
    <w:uiPriority w:val="99"/>
    <w:semiHidden/>
    <w:rsid w:val="00B66DF8"/>
    <w:rPr>
      <w:vertAlign w:val="superscript"/>
    </w:rPr>
  </w:style>
  <w:style w:type="paragraph" w:styleId="DocumentMap">
    <w:name w:val="Document Map"/>
    <w:basedOn w:val="Normal"/>
    <w:link w:val="DocumentMapChar"/>
    <w:uiPriority w:val="99"/>
    <w:semiHidden/>
    <w:rsid w:val="00B66DF8"/>
    <w:rPr>
      <w:rFonts w:ascii="Tahoma" w:hAnsi="Tahoma" w:cs="Tahoma"/>
      <w:sz w:val="16"/>
      <w:szCs w:val="16"/>
      <w:lang w:val="en-US"/>
    </w:rPr>
  </w:style>
  <w:style w:type="character" w:customStyle="1" w:styleId="DocumentMapChar">
    <w:name w:val="Document Map Char"/>
    <w:basedOn w:val="DefaultParagraphFont"/>
    <w:link w:val="DocumentMap"/>
    <w:uiPriority w:val="99"/>
    <w:locked/>
    <w:rsid w:val="00B66DF8"/>
    <w:rPr>
      <w:rFonts w:ascii="Tahoma" w:hAnsi="Tahoma" w:cs="Tahoma"/>
      <w:sz w:val="16"/>
      <w:szCs w:val="16"/>
      <w:lang w:val="en-US"/>
    </w:rPr>
  </w:style>
  <w:style w:type="character" w:customStyle="1" w:styleId="search1">
    <w:name w:val="search1"/>
    <w:uiPriority w:val="99"/>
    <w:rsid w:val="00B66DF8"/>
  </w:style>
  <w:style w:type="character" w:customStyle="1" w:styleId="move-down">
    <w:name w:val="move-down"/>
    <w:uiPriority w:val="99"/>
    <w:rsid w:val="00B66DF8"/>
  </w:style>
  <w:style w:type="paragraph" w:styleId="Revision">
    <w:name w:val="Revision"/>
    <w:hidden/>
    <w:uiPriority w:val="99"/>
    <w:semiHidden/>
    <w:rsid w:val="00B66DF8"/>
    <w:rPr>
      <w:rFonts w:ascii="Times New Roman" w:eastAsia="Times New Roman" w:hAnsi="Times New Roman"/>
      <w:sz w:val="22"/>
      <w:szCs w:val="22"/>
      <w:lang w:eastAsia="en-US"/>
    </w:rPr>
  </w:style>
  <w:style w:type="paragraph" w:customStyle="1" w:styleId="CM1">
    <w:name w:val="CM1"/>
    <w:basedOn w:val="Normal"/>
    <w:next w:val="Normal"/>
    <w:uiPriority w:val="99"/>
    <w:rsid w:val="00B66DF8"/>
    <w:pPr>
      <w:autoSpaceDE w:val="0"/>
      <w:autoSpaceDN w:val="0"/>
      <w:adjustRightInd w:val="0"/>
      <w:jc w:val="left"/>
    </w:pPr>
    <w:rPr>
      <w:rFonts w:eastAsia="Calibri"/>
      <w:sz w:val="24"/>
      <w:szCs w:val="24"/>
      <w:lang w:eastAsia="bg-BG"/>
    </w:rPr>
  </w:style>
  <w:style w:type="paragraph" w:customStyle="1" w:styleId="CM3">
    <w:name w:val="CM3"/>
    <w:basedOn w:val="Normal"/>
    <w:next w:val="Normal"/>
    <w:uiPriority w:val="99"/>
    <w:rsid w:val="00B66DF8"/>
    <w:pPr>
      <w:autoSpaceDE w:val="0"/>
      <w:autoSpaceDN w:val="0"/>
      <w:adjustRightInd w:val="0"/>
      <w:jc w:val="left"/>
    </w:pPr>
    <w:rPr>
      <w:rFonts w:eastAsia="Calibri"/>
      <w:sz w:val="24"/>
      <w:szCs w:val="24"/>
      <w:lang w:eastAsia="bg-BG"/>
    </w:rPr>
  </w:style>
  <w:style w:type="paragraph" w:customStyle="1" w:styleId="CM10">
    <w:name w:val="CM10"/>
    <w:basedOn w:val="Normal"/>
    <w:uiPriority w:val="99"/>
    <w:rsid w:val="00B66DF8"/>
    <w:pPr>
      <w:widowControl w:val="0"/>
      <w:autoSpaceDE w:val="0"/>
      <w:autoSpaceDN w:val="0"/>
      <w:adjustRightInd w:val="0"/>
      <w:spacing w:before="120" w:after="120" w:line="260" w:lineRule="atLeast"/>
      <w:jc w:val="left"/>
    </w:pPr>
    <w:rPr>
      <w:color w:val="211E1F"/>
      <w:sz w:val="20"/>
      <w:szCs w:val="20"/>
      <w:lang w:val="en-GB"/>
    </w:rPr>
  </w:style>
  <w:style w:type="character" w:customStyle="1" w:styleId="UnresolvedMention1">
    <w:name w:val="Unresolved Mention1"/>
    <w:uiPriority w:val="99"/>
    <w:semiHidden/>
    <w:rsid w:val="00B66DF8"/>
    <w:rPr>
      <w:color w:val="auto"/>
      <w:shd w:val="clear" w:color="auto" w:fill="auto"/>
    </w:rPr>
  </w:style>
  <w:style w:type="paragraph" w:styleId="z-TopofForm">
    <w:name w:val="HTML Top of Form"/>
    <w:basedOn w:val="Normal"/>
    <w:next w:val="Normal"/>
    <w:link w:val="z-TopofFormChar"/>
    <w:hidden/>
    <w:uiPriority w:val="99"/>
    <w:semiHidden/>
    <w:rsid w:val="003312C8"/>
    <w:pPr>
      <w:pBdr>
        <w:bottom w:val="single" w:sz="6" w:space="1" w:color="auto"/>
      </w:pBdr>
      <w:jc w:val="center"/>
    </w:pPr>
    <w:rPr>
      <w:rFonts w:ascii="Arial" w:hAnsi="Arial" w:cs="Arial"/>
      <w:vanish/>
      <w:sz w:val="16"/>
      <w:szCs w:val="16"/>
      <w:lang w:eastAsia="bg-BG"/>
    </w:rPr>
  </w:style>
  <w:style w:type="character" w:customStyle="1" w:styleId="z-TopofFormChar">
    <w:name w:val="z-Top of Form Char"/>
    <w:basedOn w:val="DefaultParagraphFont"/>
    <w:link w:val="z-TopofForm"/>
    <w:uiPriority w:val="99"/>
    <w:semiHidden/>
    <w:locked/>
    <w:rsid w:val="003312C8"/>
    <w:rPr>
      <w:rFonts w:ascii="Arial" w:hAnsi="Arial" w:cs="Arial"/>
      <w:vanish/>
      <w:sz w:val="16"/>
      <w:szCs w:val="16"/>
      <w:lang w:eastAsia="bg-BG"/>
    </w:rPr>
  </w:style>
  <w:style w:type="paragraph" w:styleId="z-BottomofForm">
    <w:name w:val="HTML Bottom of Form"/>
    <w:basedOn w:val="Normal"/>
    <w:next w:val="Normal"/>
    <w:link w:val="z-BottomofFormChar"/>
    <w:hidden/>
    <w:uiPriority w:val="99"/>
    <w:rsid w:val="003312C8"/>
    <w:pPr>
      <w:pBdr>
        <w:top w:val="single" w:sz="6" w:space="1" w:color="auto"/>
      </w:pBdr>
      <w:jc w:val="center"/>
    </w:pPr>
    <w:rPr>
      <w:rFonts w:ascii="Arial" w:hAnsi="Arial" w:cs="Arial"/>
      <w:vanish/>
      <w:sz w:val="16"/>
      <w:szCs w:val="16"/>
      <w:lang w:eastAsia="bg-BG"/>
    </w:rPr>
  </w:style>
  <w:style w:type="character" w:customStyle="1" w:styleId="z-BottomofFormChar">
    <w:name w:val="z-Bottom of Form Char"/>
    <w:basedOn w:val="DefaultParagraphFont"/>
    <w:link w:val="z-BottomofForm"/>
    <w:uiPriority w:val="99"/>
    <w:locked/>
    <w:rsid w:val="003312C8"/>
    <w:rPr>
      <w:rFonts w:ascii="Arial" w:hAnsi="Arial" w:cs="Arial"/>
      <w:vanish/>
      <w:sz w:val="16"/>
      <w:szCs w:val="16"/>
      <w:lang w:eastAsia="bg-BG"/>
    </w:rPr>
  </w:style>
  <w:style w:type="character" w:customStyle="1" w:styleId="a2">
    <w:name w:val="Горен или долен колонтитул_"/>
    <w:basedOn w:val="DefaultParagraphFont"/>
    <w:link w:val="11"/>
    <w:uiPriority w:val="99"/>
    <w:locked/>
    <w:rsid w:val="00341B34"/>
    <w:rPr>
      <w:rFonts w:ascii="Times New Roman" w:hAnsi="Times New Roman" w:cs="Times New Roman"/>
      <w:b/>
      <w:bCs/>
      <w:sz w:val="18"/>
      <w:szCs w:val="18"/>
      <w:shd w:val="clear" w:color="auto" w:fill="FFFFFF"/>
    </w:rPr>
  </w:style>
  <w:style w:type="character" w:customStyle="1" w:styleId="41">
    <w:name w:val="Основен текст4"/>
    <w:basedOn w:val="a0"/>
    <w:uiPriority w:val="99"/>
    <w:rsid w:val="00341B34"/>
    <w:rPr>
      <w:rFonts w:ascii="Times New Roman" w:hAnsi="Times New Roman" w:cs="Times New Roman"/>
      <w:spacing w:val="2"/>
      <w:sz w:val="20"/>
      <w:szCs w:val="20"/>
      <w:u w:val="none"/>
      <w:shd w:val="clear" w:color="auto" w:fill="FFFFFF"/>
    </w:rPr>
  </w:style>
  <w:style w:type="character" w:customStyle="1" w:styleId="2">
    <w:name w:val="Горен или долен колонтитул2"/>
    <w:basedOn w:val="a2"/>
    <w:uiPriority w:val="99"/>
    <w:rsid w:val="00341B34"/>
    <w:rPr>
      <w:rFonts w:ascii="Times New Roman" w:hAnsi="Times New Roman" w:cs="Times New Roman"/>
      <w:b/>
      <w:bCs/>
      <w:sz w:val="18"/>
      <w:szCs w:val="18"/>
      <w:u w:val="single"/>
      <w:shd w:val="clear" w:color="auto" w:fill="FFFFFF"/>
    </w:rPr>
  </w:style>
  <w:style w:type="character" w:customStyle="1" w:styleId="31">
    <w:name w:val="Основен текст (3) + Удебелен"/>
    <w:basedOn w:val="3"/>
    <w:uiPriority w:val="99"/>
    <w:rsid w:val="00341B34"/>
    <w:rPr>
      <w:rFonts w:ascii="Times New Roman" w:hAnsi="Times New Roman" w:cs="Times New Roman"/>
      <w:b/>
      <w:bCs/>
      <w:i/>
      <w:iCs/>
      <w:spacing w:val="-3"/>
      <w:sz w:val="20"/>
      <w:szCs w:val="20"/>
      <w:u w:val="none"/>
      <w:shd w:val="clear" w:color="auto" w:fill="FFFFFF"/>
    </w:rPr>
  </w:style>
  <w:style w:type="paragraph" w:customStyle="1" w:styleId="12">
    <w:name w:val="Основен текст1"/>
    <w:basedOn w:val="Normal"/>
    <w:uiPriority w:val="99"/>
    <w:rsid w:val="00341B34"/>
    <w:pPr>
      <w:widowControl w:val="0"/>
      <w:shd w:val="clear" w:color="auto" w:fill="FFFFFF"/>
      <w:spacing w:after="240" w:line="240" w:lineRule="atLeast"/>
      <w:ind w:hanging="6540"/>
    </w:pPr>
    <w:rPr>
      <w:sz w:val="20"/>
      <w:szCs w:val="20"/>
      <w:lang w:eastAsia="bg-BG"/>
    </w:rPr>
  </w:style>
  <w:style w:type="paragraph" w:customStyle="1" w:styleId="11">
    <w:name w:val="Горен или долен колонтитул1"/>
    <w:basedOn w:val="Normal"/>
    <w:link w:val="a2"/>
    <w:uiPriority w:val="99"/>
    <w:rsid w:val="00341B34"/>
    <w:pPr>
      <w:widowControl w:val="0"/>
      <w:shd w:val="clear" w:color="auto" w:fill="FFFFFF"/>
      <w:spacing w:line="240" w:lineRule="atLeast"/>
      <w:jc w:val="left"/>
    </w:pPr>
    <w:rPr>
      <w:rFonts w:eastAsia="Calibri"/>
      <w:b/>
      <w:bCs/>
      <w:sz w:val="18"/>
      <w:szCs w:val="18"/>
    </w:rPr>
  </w:style>
  <w:style w:type="table" w:styleId="LightShading-Accent3">
    <w:name w:val="Light Shading Accent 3"/>
    <w:basedOn w:val="TableNormal"/>
    <w:uiPriority w:val="99"/>
    <w:rsid w:val="00DA0CE1"/>
    <w:rPr>
      <w:rFonts w:cs="Calibri"/>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character" w:customStyle="1" w:styleId="a3">
    <w:name w:val="Заглавие на таблица"/>
    <w:uiPriority w:val="99"/>
    <w:rsid w:val="00B73916"/>
    <w:rPr>
      <w:rFonts w:ascii="Times New Roman" w:hAnsi="Times New Roman" w:cs="Times New Roman"/>
      <w:b/>
      <w:bCs/>
      <w:color w:val="000000"/>
      <w:spacing w:val="0"/>
      <w:w w:val="100"/>
      <w:position w:val="0"/>
      <w:sz w:val="23"/>
      <w:szCs w:val="23"/>
      <w:u w:val="single"/>
      <w:lang w:val="bg-BG"/>
    </w:rPr>
  </w:style>
  <w:style w:type="character" w:customStyle="1" w:styleId="a4">
    <w:name w:val="Основен текст + Курсив"/>
    <w:uiPriority w:val="99"/>
    <w:rsid w:val="00B73916"/>
    <w:rPr>
      <w:rFonts w:ascii="Times New Roman" w:hAnsi="Times New Roman" w:cs="Times New Roman"/>
      <w:b/>
      <w:bCs/>
      <w:i/>
      <w:iCs/>
      <w:color w:val="000000"/>
      <w:spacing w:val="0"/>
      <w:w w:val="100"/>
      <w:position w:val="0"/>
      <w:sz w:val="23"/>
      <w:szCs w:val="23"/>
      <w:u w:val="none"/>
      <w:shd w:val="clear" w:color="auto" w:fill="FFFFFF"/>
      <w:lang w:val="bg-BG"/>
    </w:rPr>
  </w:style>
  <w:style w:type="paragraph" w:customStyle="1" w:styleId="xl55">
    <w:name w:val="xl55"/>
    <w:basedOn w:val="Normal"/>
    <w:uiPriority w:val="99"/>
    <w:rsid w:val="00B73916"/>
    <w:pPr>
      <w:spacing w:before="100" w:beforeAutospacing="1" w:after="100" w:afterAutospacing="1"/>
      <w:jc w:val="left"/>
      <w:textAlignment w:val="center"/>
    </w:pPr>
    <w:rPr>
      <w:rFonts w:eastAsia="Arial Unicode MS"/>
      <w:sz w:val="24"/>
      <w:szCs w:val="24"/>
      <w:lang w:val="en-GB"/>
    </w:rPr>
  </w:style>
  <w:style w:type="character" w:styleId="Emphasis">
    <w:name w:val="Emphasis"/>
    <w:basedOn w:val="DefaultParagraphFont"/>
    <w:uiPriority w:val="99"/>
    <w:qFormat/>
    <w:rsid w:val="00B73916"/>
    <w:rPr>
      <w:i/>
      <w:iCs/>
    </w:rPr>
  </w:style>
  <w:style w:type="paragraph" w:customStyle="1" w:styleId="Standard">
    <w:name w:val="Standard"/>
    <w:uiPriority w:val="99"/>
    <w:rsid w:val="00B73916"/>
    <w:pPr>
      <w:widowControl w:val="0"/>
      <w:suppressAutoHyphens/>
      <w:autoSpaceDN w:val="0"/>
      <w:textAlignment w:val="baseline"/>
    </w:pPr>
    <w:rPr>
      <w:rFonts w:ascii="Times New Roman" w:hAnsi="Times New Roman"/>
      <w:kern w:val="3"/>
      <w:sz w:val="24"/>
      <w:szCs w:val="24"/>
      <w:lang w:val="de-DE" w:eastAsia="ja-JP"/>
    </w:rPr>
  </w:style>
  <w:style w:type="character" w:customStyle="1" w:styleId="EndnoteTextChar1">
    <w:name w:val="Endnote Text Char1"/>
    <w:uiPriority w:val="99"/>
    <w:rsid w:val="00B73916"/>
    <w:rPr>
      <w:rFonts w:ascii="Arial" w:hAnsi="Arial" w:cs="Arial"/>
      <w:sz w:val="24"/>
      <w:szCs w:val="24"/>
      <w:lang w:val="en-GB"/>
    </w:rPr>
  </w:style>
  <w:style w:type="paragraph" w:styleId="NoSpacing">
    <w:name w:val="No Spacing"/>
    <w:uiPriority w:val="99"/>
    <w:qFormat/>
    <w:rsid w:val="00B73916"/>
    <w:pPr>
      <w:jc w:val="both"/>
    </w:pPr>
    <w:rPr>
      <w:rFonts w:ascii="Times New Roman" w:eastAsia="Times New Roman" w:hAnsi="Times New Roman"/>
      <w:sz w:val="22"/>
      <w:szCs w:val="22"/>
      <w:lang w:eastAsia="en-US"/>
    </w:rPr>
  </w:style>
  <w:style w:type="character" w:customStyle="1" w:styleId="000NormalChar">
    <w:name w:val="000 Normal Char"/>
    <w:link w:val="000Normal"/>
    <w:uiPriority w:val="99"/>
    <w:locked/>
    <w:rsid w:val="00B73916"/>
    <w:rPr>
      <w:rFonts w:ascii="Garamond" w:hAnsi="Garamond" w:cs="Garamond"/>
      <w:sz w:val="24"/>
      <w:szCs w:val="24"/>
    </w:rPr>
  </w:style>
  <w:style w:type="character" w:styleId="Strong">
    <w:name w:val="Strong"/>
    <w:basedOn w:val="DefaultParagraphFont"/>
    <w:uiPriority w:val="99"/>
    <w:qFormat/>
    <w:rsid w:val="00B73916"/>
    <w:rPr>
      <w:b/>
      <w:bCs/>
    </w:rPr>
  </w:style>
  <w:style w:type="paragraph" w:customStyle="1" w:styleId="Default">
    <w:name w:val="Default"/>
    <w:uiPriority w:val="99"/>
    <w:rsid w:val="00942817"/>
    <w:pPr>
      <w:suppressAutoHyphens/>
      <w:autoSpaceDE w:val="0"/>
      <w:autoSpaceDN w:val="0"/>
      <w:textAlignment w:val="baseline"/>
    </w:pPr>
    <w:rPr>
      <w:rFonts w:ascii="Times New Roman"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B66DF8"/>
    <w:pPr>
      <w:jc w:val="both"/>
    </w:pPr>
    <w:rPr>
      <w:rFonts w:ascii="Times New Roman" w:eastAsia="Times New Roman" w:hAnsi="Times New Roman"/>
      <w:sz w:val="22"/>
      <w:szCs w:val="22"/>
      <w:lang w:eastAsia="en-US"/>
    </w:rPr>
  </w:style>
  <w:style w:type="paragraph" w:styleId="Heading1">
    <w:name w:val="heading 1"/>
    <w:basedOn w:val="Normal"/>
    <w:next w:val="Normal"/>
    <w:link w:val="Heading1Char"/>
    <w:uiPriority w:val="99"/>
    <w:qFormat/>
    <w:rsid w:val="00B66DF8"/>
    <w:pPr>
      <w:keepNext/>
      <w:keepLines/>
      <w:spacing w:before="480"/>
      <w:outlineLvl w:val="0"/>
    </w:pPr>
    <w:rPr>
      <w:rFonts w:ascii="Cambria" w:hAnsi="Cambria" w:cs="Cambria"/>
      <w:b/>
      <w:bCs/>
      <w:color w:val="365F91"/>
      <w:sz w:val="28"/>
      <w:szCs w:val="28"/>
      <w:lang w:val="en-US"/>
    </w:rPr>
  </w:style>
  <w:style w:type="paragraph" w:styleId="Heading2">
    <w:name w:val="heading 2"/>
    <w:basedOn w:val="Normal"/>
    <w:next w:val="Normal"/>
    <w:link w:val="Heading2Char"/>
    <w:uiPriority w:val="99"/>
    <w:qFormat/>
    <w:rsid w:val="00B66DF8"/>
    <w:pPr>
      <w:keepNext/>
      <w:keepLines/>
      <w:spacing w:before="200"/>
      <w:outlineLvl w:val="1"/>
    </w:pPr>
    <w:rPr>
      <w:rFonts w:ascii="Cambria" w:hAnsi="Cambria" w:cs="Cambria"/>
      <w:b/>
      <w:bCs/>
      <w:color w:val="4F81BD"/>
      <w:sz w:val="26"/>
      <w:szCs w:val="26"/>
      <w:lang w:val="en-US"/>
    </w:rPr>
  </w:style>
  <w:style w:type="paragraph" w:styleId="Heading3">
    <w:name w:val="heading 3"/>
    <w:basedOn w:val="Normal"/>
    <w:next w:val="Normal"/>
    <w:link w:val="Heading3Char"/>
    <w:uiPriority w:val="99"/>
    <w:qFormat/>
    <w:rsid w:val="00B66DF8"/>
    <w:pPr>
      <w:keepNext/>
      <w:keepLines/>
      <w:spacing w:before="200"/>
      <w:outlineLvl w:val="2"/>
    </w:pPr>
    <w:rPr>
      <w:rFonts w:ascii="Cambria" w:hAnsi="Cambria" w:cs="Cambria"/>
      <w:b/>
      <w:bCs/>
      <w:color w:val="4F81BD"/>
      <w:sz w:val="20"/>
      <w:szCs w:val="20"/>
      <w:lang w:val="en-US"/>
    </w:rPr>
  </w:style>
  <w:style w:type="paragraph" w:styleId="Heading4">
    <w:name w:val="heading 4"/>
    <w:basedOn w:val="Normal"/>
    <w:next w:val="Normal"/>
    <w:link w:val="Heading4Char"/>
    <w:uiPriority w:val="99"/>
    <w:qFormat/>
    <w:rsid w:val="00B66DF8"/>
    <w:pPr>
      <w:keepNext/>
      <w:keepLines/>
      <w:spacing w:before="200"/>
      <w:outlineLvl w:val="3"/>
    </w:pPr>
    <w:rPr>
      <w:rFonts w:ascii="Cambria" w:hAnsi="Cambria" w:cs="Cambria"/>
      <w:b/>
      <w:bCs/>
      <w:i/>
      <w:iCs/>
      <w:color w:val="4F81BD"/>
      <w:sz w:val="20"/>
      <w:szCs w:val="20"/>
      <w:lang w:val="en-US"/>
    </w:rPr>
  </w:style>
  <w:style w:type="paragraph" w:styleId="Heading5">
    <w:name w:val="heading 5"/>
    <w:basedOn w:val="Normal"/>
    <w:next w:val="Normal"/>
    <w:link w:val="Heading5Char"/>
    <w:uiPriority w:val="99"/>
    <w:qFormat/>
    <w:rsid w:val="00B66DF8"/>
    <w:pPr>
      <w:spacing w:before="240" w:after="60"/>
      <w:outlineLvl w:val="4"/>
    </w:pPr>
    <w:rPr>
      <w:b/>
      <w:bCs/>
      <w:i/>
      <w:iCs/>
      <w:sz w:val="26"/>
      <w:szCs w:val="26"/>
      <w:lang w:val="en-US"/>
    </w:rPr>
  </w:style>
  <w:style w:type="paragraph" w:styleId="Heading6">
    <w:name w:val="heading 6"/>
    <w:basedOn w:val="Normal"/>
    <w:next w:val="Normal"/>
    <w:link w:val="Heading6Char"/>
    <w:uiPriority w:val="99"/>
    <w:qFormat/>
    <w:rsid w:val="00B66DF8"/>
    <w:pPr>
      <w:spacing w:before="240" w:after="60"/>
      <w:outlineLvl w:val="5"/>
    </w:pPr>
    <w:rPr>
      <w:b/>
      <w:bCs/>
      <w:sz w:val="20"/>
      <w:szCs w:val="20"/>
      <w:lang w:val="en-US"/>
    </w:rPr>
  </w:style>
  <w:style w:type="paragraph" w:styleId="Heading7">
    <w:name w:val="heading 7"/>
    <w:basedOn w:val="Normal"/>
    <w:next w:val="Normal"/>
    <w:link w:val="Heading7Char"/>
    <w:uiPriority w:val="99"/>
    <w:qFormat/>
    <w:rsid w:val="00B66DF8"/>
    <w:pPr>
      <w:keepNext/>
      <w:keepLines/>
      <w:spacing w:before="200"/>
      <w:outlineLvl w:val="6"/>
    </w:pPr>
    <w:rPr>
      <w:rFonts w:ascii="Cambria" w:hAnsi="Cambria" w:cs="Cambria"/>
      <w:i/>
      <w:iCs/>
      <w:color w:val="404040"/>
      <w:sz w:val="20"/>
      <w:szCs w:val="20"/>
      <w:lang w:val="en-US"/>
    </w:rPr>
  </w:style>
  <w:style w:type="paragraph" w:styleId="Heading8">
    <w:name w:val="heading 8"/>
    <w:basedOn w:val="Normal"/>
    <w:next w:val="Normal"/>
    <w:link w:val="Heading8Char"/>
    <w:uiPriority w:val="99"/>
    <w:qFormat/>
    <w:rsid w:val="00B66DF8"/>
    <w:pPr>
      <w:spacing w:before="240" w:after="60"/>
      <w:outlineLvl w:val="7"/>
    </w:pPr>
    <w:rPr>
      <w:i/>
      <w:iCs/>
      <w:sz w:val="24"/>
      <w:szCs w:val="24"/>
      <w:lang w:val="en-US"/>
    </w:rPr>
  </w:style>
  <w:style w:type="paragraph" w:styleId="Heading9">
    <w:name w:val="heading 9"/>
    <w:basedOn w:val="Normal"/>
    <w:next w:val="Normal"/>
    <w:link w:val="Heading9Char"/>
    <w:uiPriority w:val="99"/>
    <w:qFormat/>
    <w:rsid w:val="00B66DF8"/>
    <w:pPr>
      <w:spacing w:before="240" w:after="60"/>
      <w:outlineLvl w:val="8"/>
    </w:pPr>
    <w:rPr>
      <w:rFonts w:ascii="Arial" w:hAnsi="Arial"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6DF8"/>
    <w:rPr>
      <w:rFonts w:ascii="Cambria" w:hAnsi="Cambria" w:cs="Cambria"/>
      <w:b/>
      <w:bCs/>
      <w:color w:val="365F91"/>
      <w:sz w:val="28"/>
      <w:szCs w:val="28"/>
      <w:lang w:val="en-US"/>
    </w:rPr>
  </w:style>
  <w:style w:type="character" w:customStyle="1" w:styleId="Heading2Char">
    <w:name w:val="Heading 2 Char"/>
    <w:basedOn w:val="DefaultParagraphFont"/>
    <w:link w:val="Heading2"/>
    <w:uiPriority w:val="99"/>
    <w:locked/>
    <w:rsid w:val="00B66DF8"/>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locked/>
    <w:rsid w:val="00B66DF8"/>
    <w:rPr>
      <w:rFonts w:ascii="Cambria" w:hAnsi="Cambria" w:cs="Cambria"/>
      <w:b/>
      <w:bCs/>
      <w:color w:val="4F81BD"/>
      <w:sz w:val="20"/>
      <w:szCs w:val="20"/>
      <w:lang w:val="en-US"/>
    </w:rPr>
  </w:style>
  <w:style w:type="character" w:customStyle="1" w:styleId="Heading4Char">
    <w:name w:val="Heading 4 Char"/>
    <w:basedOn w:val="DefaultParagraphFont"/>
    <w:link w:val="Heading4"/>
    <w:uiPriority w:val="99"/>
    <w:locked/>
    <w:rsid w:val="00B66DF8"/>
    <w:rPr>
      <w:rFonts w:ascii="Cambria" w:hAnsi="Cambria" w:cs="Cambria"/>
      <w:b/>
      <w:bCs/>
      <w:i/>
      <w:iCs/>
      <w:color w:val="4F81BD"/>
      <w:sz w:val="20"/>
      <w:szCs w:val="20"/>
      <w:lang w:val="en-US"/>
    </w:rPr>
  </w:style>
  <w:style w:type="character" w:customStyle="1" w:styleId="Heading5Char">
    <w:name w:val="Heading 5 Char"/>
    <w:basedOn w:val="DefaultParagraphFont"/>
    <w:link w:val="Heading5"/>
    <w:uiPriority w:val="99"/>
    <w:locked/>
    <w:rsid w:val="00B66DF8"/>
    <w:rPr>
      <w:rFonts w:ascii="Times New Roman" w:hAnsi="Times New Roman" w:cs="Times New Roman"/>
      <w:b/>
      <w:bCs/>
      <w:i/>
      <w:iCs/>
      <w:sz w:val="26"/>
      <w:szCs w:val="26"/>
      <w:lang w:val="en-US"/>
    </w:rPr>
  </w:style>
  <w:style w:type="character" w:customStyle="1" w:styleId="Heading6Char">
    <w:name w:val="Heading 6 Char"/>
    <w:basedOn w:val="DefaultParagraphFont"/>
    <w:link w:val="Heading6"/>
    <w:uiPriority w:val="99"/>
    <w:locked/>
    <w:rsid w:val="00B66DF8"/>
    <w:rPr>
      <w:rFonts w:ascii="Times New Roman" w:hAnsi="Times New Roman" w:cs="Times New Roman"/>
      <w:b/>
      <w:bCs/>
      <w:sz w:val="20"/>
      <w:szCs w:val="20"/>
      <w:lang w:val="en-US"/>
    </w:rPr>
  </w:style>
  <w:style w:type="character" w:customStyle="1" w:styleId="Heading7Char">
    <w:name w:val="Heading 7 Char"/>
    <w:basedOn w:val="DefaultParagraphFont"/>
    <w:link w:val="Heading7"/>
    <w:uiPriority w:val="99"/>
    <w:locked/>
    <w:rsid w:val="00B66DF8"/>
    <w:rPr>
      <w:rFonts w:ascii="Cambria" w:hAnsi="Cambria" w:cs="Cambria"/>
      <w:i/>
      <w:iCs/>
      <w:color w:val="404040"/>
      <w:sz w:val="20"/>
      <w:szCs w:val="20"/>
      <w:lang w:val="en-US"/>
    </w:rPr>
  </w:style>
  <w:style w:type="character" w:customStyle="1" w:styleId="Heading8Char">
    <w:name w:val="Heading 8 Char"/>
    <w:basedOn w:val="DefaultParagraphFont"/>
    <w:link w:val="Heading8"/>
    <w:uiPriority w:val="99"/>
    <w:locked/>
    <w:rsid w:val="00B66DF8"/>
    <w:rPr>
      <w:rFonts w:ascii="Times New Roman" w:hAnsi="Times New Roman" w:cs="Times New Roman"/>
      <w:i/>
      <w:iCs/>
      <w:sz w:val="24"/>
      <w:szCs w:val="24"/>
      <w:lang w:val="en-US"/>
    </w:rPr>
  </w:style>
  <w:style w:type="character" w:customStyle="1" w:styleId="Heading9Char">
    <w:name w:val="Heading 9 Char"/>
    <w:basedOn w:val="DefaultParagraphFont"/>
    <w:link w:val="Heading9"/>
    <w:uiPriority w:val="99"/>
    <w:locked/>
    <w:rsid w:val="00B66DF8"/>
    <w:rPr>
      <w:rFonts w:ascii="Arial" w:hAnsi="Arial" w:cs="Arial"/>
      <w:sz w:val="20"/>
      <w:szCs w:val="20"/>
      <w:lang w:val="en-US"/>
    </w:rPr>
  </w:style>
  <w:style w:type="paragraph" w:styleId="Header">
    <w:name w:val="header"/>
    <w:basedOn w:val="Normal"/>
    <w:link w:val="HeaderChar"/>
    <w:rsid w:val="00B66DF8"/>
    <w:pPr>
      <w:tabs>
        <w:tab w:val="center" w:pos="4536"/>
        <w:tab w:val="right" w:pos="9072"/>
      </w:tabs>
      <w:jc w:val="left"/>
    </w:pPr>
    <w:rPr>
      <w:rFonts w:ascii="Calibri" w:eastAsia="Calibri" w:hAnsi="Calibri" w:cs="Calibri"/>
    </w:rPr>
  </w:style>
  <w:style w:type="character" w:customStyle="1" w:styleId="HeaderChar">
    <w:name w:val="Header Char"/>
    <w:basedOn w:val="DefaultParagraphFont"/>
    <w:link w:val="Header"/>
    <w:uiPriority w:val="99"/>
    <w:locked/>
    <w:rsid w:val="00B66DF8"/>
    <w:rPr>
      <w:rFonts w:ascii="Calibri" w:hAnsi="Calibri" w:cs="Calibri"/>
    </w:rPr>
  </w:style>
  <w:style w:type="paragraph" w:styleId="Footer">
    <w:name w:val="footer"/>
    <w:basedOn w:val="Normal"/>
    <w:link w:val="FooterChar"/>
    <w:uiPriority w:val="99"/>
    <w:rsid w:val="00B66DF8"/>
    <w:pPr>
      <w:tabs>
        <w:tab w:val="center" w:pos="4536"/>
        <w:tab w:val="right" w:pos="9072"/>
      </w:tabs>
      <w:jc w:val="left"/>
    </w:pPr>
    <w:rPr>
      <w:rFonts w:ascii="Calibri" w:eastAsia="Calibri" w:hAnsi="Calibri" w:cs="Calibri"/>
    </w:rPr>
  </w:style>
  <w:style w:type="character" w:customStyle="1" w:styleId="FooterChar">
    <w:name w:val="Footer Char"/>
    <w:basedOn w:val="DefaultParagraphFont"/>
    <w:link w:val="Footer"/>
    <w:uiPriority w:val="99"/>
    <w:locked/>
    <w:rsid w:val="00B66DF8"/>
    <w:rPr>
      <w:rFonts w:ascii="Calibri" w:hAnsi="Calibri" w:cs="Calibri"/>
    </w:rPr>
  </w:style>
  <w:style w:type="paragraph" w:styleId="BalloonText">
    <w:name w:val="Balloon Text"/>
    <w:basedOn w:val="Normal"/>
    <w:link w:val="BalloonTextChar"/>
    <w:uiPriority w:val="99"/>
    <w:semiHidden/>
    <w:rsid w:val="00B66DF8"/>
    <w:pPr>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locked/>
    <w:rsid w:val="00B66DF8"/>
    <w:rPr>
      <w:rFonts w:ascii="Tahoma" w:hAnsi="Tahoma" w:cs="Tahoma"/>
      <w:sz w:val="16"/>
      <w:szCs w:val="16"/>
    </w:rPr>
  </w:style>
  <w:style w:type="paragraph" w:styleId="BodyTextIndent">
    <w:name w:val="Body Text Indent"/>
    <w:basedOn w:val="Normal"/>
    <w:link w:val="BodyTextIndentChar"/>
    <w:uiPriority w:val="99"/>
    <w:rsid w:val="00B66DF8"/>
    <w:pPr>
      <w:spacing w:before="120"/>
      <w:ind w:left="709"/>
    </w:pPr>
    <w:rPr>
      <w:sz w:val="24"/>
      <w:szCs w:val="24"/>
    </w:rPr>
  </w:style>
  <w:style w:type="character" w:customStyle="1" w:styleId="BodyTextIndentChar">
    <w:name w:val="Body Text Indent Char"/>
    <w:basedOn w:val="DefaultParagraphFont"/>
    <w:link w:val="BodyTextIndent"/>
    <w:uiPriority w:val="99"/>
    <w:locked/>
    <w:rsid w:val="00B66DF8"/>
    <w:rPr>
      <w:rFonts w:ascii="Times New Roman" w:hAnsi="Times New Roman" w:cs="Times New Roman"/>
      <w:snapToGrid w:val="0"/>
      <w:sz w:val="24"/>
      <w:szCs w:val="24"/>
    </w:rPr>
  </w:style>
  <w:style w:type="paragraph" w:styleId="BodyText">
    <w:name w:val="Body Text"/>
    <w:basedOn w:val="Normal"/>
    <w:link w:val="BodyTextChar"/>
    <w:uiPriority w:val="99"/>
    <w:rsid w:val="00B66DF8"/>
    <w:pPr>
      <w:spacing w:after="120"/>
    </w:pPr>
    <w:rPr>
      <w:sz w:val="24"/>
      <w:szCs w:val="24"/>
      <w:lang w:val="en-US"/>
    </w:rPr>
  </w:style>
  <w:style w:type="character" w:customStyle="1" w:styleId="BodyTextChar">
    <w:name w:val="Body Text Char"/>
    <w:basedOn w:val="DefaultParagraphFont"/>
    <w:link w:val="BodyText"/>
    <w:uiPriority w:val="99"/>
    <w:locked/>
    <w:rsid w:val="00B66DF8"/>
    <w:rPr>
      <w:rFonts w:ascii="Times New Roman" w:hAnsi="Times New Roman" w:cs="Times New Roman"/>
      <w:sz w:val="24"/>
      <w:szCs w:val="24"/>
      <w:lang w:val="en-US"/>
    </w:rPr>
  </w:style>
  <w:style w:type="paragraph" w:styleId="TOC1">
    <w:name w:val="toc 1"/>
    <w:basedOn w:val="Normal"/>
    <w:next w:val="Normal"/>
    <w:autoRedefine/>
    <w:uiPriority w:val="99"/>
    <w:semiHidden/>
    <w:rsid w:val="0024683B"/>
    <w:pPr>
      <w:tabs>
        <w:tab w:val="right" w:leader="dot" w:pos="9457"/>
      </w:tabs>
    </w:pPr>
    <w:rPr>
      <w:rFonts w:ascii="Verdana" w:hAnsi="Verdana" w:cs="Verdana"/>
      <w:b/>
      <w:bCs/>
      <w:noProof/>
      <w:sz w:val="20"/>
      <w:szCs w:val="20"/>
    </w:rPr>
  </w:style>
  <w:style w:type="paragraph" w:customStyle="1" w:styleId="Document1">
    <w:name w:val="Document 1"/>
    <w:link w:val="Document1Char"/>
    <w:uiPriority w:val="99"/>
    <w:rsid w:val="00B66DF8"/>
    <w:pPr>
      <w:keepNext/>
      <w:keepLines/>
      <w:widowControl w:val="0"/>
      <w:tabs>
        <w:tab w:val="left" w:pos="-720"/>
      </w:tabs>
      <w:suppressAutoHyphens/>
    </w:pPr>
    <w:rPr>
      <w:rFonts w:ascii="Bodoni Book 12pt" w:hAnsi="Bodoni Book 12pt"/>
      <w:sz w:val="22"/>
      <w:szCs w:val="22"/>
      <w:lang w:val="en-US"/>
    </w:rPr>
  </w:style>
  <w:style w:type="character" w:customStyle="1" w:styleId="Document1Char">
    <w:name w:val="Document 1 Char"/>
    <w:link w:val="Document1"/>
    <w:uiPriority w:val="99"/>
    <w:locked/>
    <w:rsid w:val="00B66DF8"/>
    <w:rPr>
      <w:rFonts w:ascii="Bodoni Book 12pt" w:hAnsi="Bodoni Book 12pt"/>
      <w:sz w:val="22"/>
      <w:szCs w:val="22"/>
      <w:lang w:val="en-US" w:bidi="ar-SA"/>
    </w:rPr>
  </w:style>
  <w:style w:type="paragraph" w:styleId="List">
    <w:name w:val="List"/>
    <w:basedOn w:val="Normal"/>
    <w:uiPriority w:val="99"/>
    <w:rsid w:val="00B66DF8"/>
    <w:pPr>
      <w:ind w:left="283" w:hanging="283"/>
      <w:jc w:val="left"/>
    </w:pPr>
    <w:rPr>
      <w:sz w:val="20"/>
      <w:szCs w:val="20"/>
      <w:lang w:val="en-AU"/>
    </w:rPr>
  </w:style>
  <w:style w:type="paragraph" w:styleId="ListContinue">
    <w:name w:val="List Continue"/>
    <w:basedOn w:val="Normal"/>
    <w:uiPriority w:val="99"/>
    <w:rsid w:val="00B66DF8"/>
    <w:pPr>
      <w:spacing w:after="120"/>
      <w:ind w:left="283"/>
      <w:jc w:val="left"/>
    </w:pPr>
    <w:rPr>
      <w:sz w:val="20"/>
      <w:szCs w:val="20"/>
      <w:lang w:val="en-AU"/>
    </w:rPr>
  </w:style>
  <w:style w:type="paragraph" w:styleId="EndnoteText">
    <w:name w:val="endnote text"/>
    <w:basedOn w:val="Normal"/>
    <w:link w:val="EndnoteTextChar"/>
    <w:uiPriority w:val="99"/>
    <w:semiHidden/>
    <w:rsid w:val="00B66DF8"/>
    <w:pPr>
      <w:tabs>
        <w:tab w:val="left" w:pos="709"/>
        <w:tab w:val="left" w:pos="1418"/>
        <w:tab w:val="left" w:pos="2127"/>
        <w:tab w:val="right" w:pos="5954"/>
        <w:tab w:val="right" w:pos="7371"/>
        <w:tab w:val="right" w:pos="8789"/>
      </w:tabs>
      <w:spacing w:after="240"/>
      <w:jc w:val="left"/>
    </w:pPr>
    <w:rPr>
      <w:rFonts w:ascii="Arial" w:hAnsi="Arial" w:cs="Arial"/>
      <w:sz w:val="20"/>
      <w:szCs w:val="20"/>
      <w:lang w:val="en-GB"/>
    </w:rPr>
  </w:style>
  <w:style w:type="character" w:customStyle="1" w:styleId="EndnoteTextChar">
    <w:name w:val="Endnote Text Char"/>
    <w:basedOn w:val="DefaultParagraphFont"/>
    <w:link w:val="EndnoteText"/>
    <w:uiPriority w:val="99"/>
    <w:locked/>
    <w:rsid w:val="00B66DF8"/>
    <w:rPr>
      <w:rFonts w:ascii="Arial" w:hAnsi="Arial" w:cs="Arial"/>
      <w:sz w:val="24"/>
      <w:szCs w:val="24"/>
      <w:lang w:val="en-GB"/>
    </w:rPr>
  </w:style>
  <w:style w:type="paragraph" w:customStyle="1" w:styleId="firstline">
    <w:name w:val="firstline"/>
    <w:basedOn w:val="Normal"/>
    <w:uiPriority w:val="99"/>
    <w:rsid w:val="00B66DF8"/>
    <w:pPr>
      <w:spacing w:before="100" w:beforeAutospacing="1" w:after="100" w:afterAutospacing="1"/>
      <w:jc w:val="left"/>
    </w:pPr>
    <w:rPr>
      <w:sz w:val="24"/>
      <w:szCs w:val="24"/>
      <w:lang w:eastAsia="bg-BG"/>
    </w:rPr>
  </w:style>
  <w:style w:type="paragraph" w:customStyle="1" w:styleId="000Normal">
    <w:name w:val="000 Normal"/>
    <w:basedOn w:val="Normal"/>
    <w:link w:val="000NormalChar"/>
    <w:uiPriority w:val="99"/>
    <w:rsid w:val="00B66DF8"/>
    <w:pPr>
      <w:overflowPunct w:val="0"/>
      <w:autoSpaceDE w:val="0"/>
      <w:autoSpaceDN w:val="0"/>
      <w:adjustRightInd w:val="0"/>
      <w:spacing w:before="60" w:after="40" w:line="220" w:lineRule="exact"/>
      <w:textAlignment w:val="baseline"/>
    </w:pPr>
    <w:rPr>
      <w:rFonts w:ascii="Garamond" w:eastAsia="Calibri" w:hAnsi="Garamond"/>
      <w:sz w:val="24"/>
      <w:szCs w:val="24"/>
    </w:rPr>
  </w:style>
  <w:style w:type="paragraph" w:styleId="TOCHeading">
    <w:name w:val="TOC Heading"/>
    <w:basedOn w:val="Heading1"/>
    <w:next w:val="Normal"/>
    <w:uiPriority w:val="99"/>
    <w:qFormat/>
    <w:rsid w:val="00B66DF8"/>
    <w:pPr>
      <w:spacing w:line="276" w:lineRule="auto"/>
      <w:jc w:val="left"/>
      <w:outlineLvl w:val="9"/>
    </w:pPr>
  </w:style>
  <w:style w:type="paragraph" w:styleId="TOC2">
    <w:name w:val="toc 2"/>
    <w:basedOn w:val="Normal"/>
    <w:next w:val="Normal"/>
    <w:autoRedefine/>
    <w:uiPriority w:val="99"/>
    <w:semiHidden/>
    <w:rsid w:val="00B66DF8"/>
    <w:pPr>
      <w:spacing w:after="100"/>
      <w:ind w:left="220"/>
    </w:pPr>
  </w:style>
  <w:style w:type="paragraph" w:styleId="TOC3">
    <w:name w:val="toc 3"/>
    <w:basedOn w:val="Normal"/>
    <w:next w:val="Normal"/>
    <w:autoRedefine/>
    <w:uiPriority w:val="99"/>
    <w:semiHidden/>
    <w:rsid w:val="00B66DF8"/>
    <w:pPr>
      <w:spacing w:after="100"/>
      <w:ind w:left="440"/>
    </w:pPr>
  </w:style>
  <w:style w:type="character" w:styleId="Hyperlink">
    <w:name w:val="Hyperlink"/>
    <w:basedOn w:val="DefaultParagraphFont"/>
    <w:rsid w:val="00B66DF8"/>
    <w:rPr>
      <w:color w:val="0000FF"/>
      <w:u w:val="single"/>
    </w:rPr>
  </w:style>
  <w:style w:type="paragraph" w:styleId="ListParagraph">
    <w:name w:val="List Paragraph"/>
    <w:basedOn w:val="Normal"/>
    <w:uiPriority w:val="99"/>
    <w:qFormat/>
    <w:rsid w:val="00B66DF8"/>
    <w:pPr>
      <w:ind w:left="720"/>
    </w:pPr>
  </w:style>
  <w:style w:type="paragraph" w:customStyle="1" w:styleId="IASBPrinciple">
    <w:name w:val="IASB Principle"/>
    <w:basedOn w:val="Normal"/>
    <w:uiPriority w:val="99"/>
    <w:rsid w:val="00B66DF8"/>
    <w:pPr>
      <w:spacing w:before="100" w:after="100"/>
    </w:pPr>
    <w:rPr>
      <w:b/>
      <w:bCs/>
      <w:sz w:val="24"/>
      <w:szCs w:val="24"/>
      <w:lang w:eastAsia="bg-BG"/>
    </w:rPr>
  </w:style>
  <w:style w:type="character" w:customStyle="1" w:styleId="tabletxteygChar">
    <w:name w:val="tabletxt eyg Char"/>
    <w:link w:val="tabletxteyg"/>
    <w:uiPriority w:val="99"/>
    <w:locked/>
    <w:rsid w:val="00B66DF8"/>
    <w:rPr>
      <w:rFonts w:ascii="EY Gothic Comp BookPS" w:hAnsi="EY Gothic Comp BookPS" w:cs="EY Gothic Comp BookPS"/>
      <w:color w:val="000000"/>
      <w:lang w:val="en-GB"/>
    </w:rPr>
  </w:style>
  <w:style w:type="paragraph" w:customStyle="1" w:styleId="tabletxteyg">
    <w:name w:val="tabletxt eyg"/>
    <w:basedOn w:val="Normal"/>
    <w:link w:val="tabletxteygChar"/>
    <w:uiPriority w:val="99"/>
    <w:rsid w:val="00B66DF8"/>
    <w:pPr>
      <w:tabs>
        <w:tab w:val="right" w:leader="dot" w:pos="9739"/>
      </w:tabs>
      <w:overflowPunct w:val="0"/>
      <w:autoSpaceDE w:val="0"/>
      <w:autoSpaceDN w:val="0"/>
      <w:adjustRightInd w:val="0"/>
      <w:spacing w:after="80" w:line="240" w:lineRule="exact"/>
      <w:jc w:val="left"/>
      <w:textAlignment w:val="baseline"/>
    </w:pPr>
    <w:rPr>
      <w:rFonts w:ascii="EY Gothic Comp BookPS" w:eastAsia="Calibri" w:hAnsi="EY Gothic Comp BookPS"/>
      <w:color w:val="000000"/>
      <w:sz w:val="20"/>
      <w:szCs w:val="20"/>
      <w:lang w:val="en-GB"/>
    </w:rPr>
  </w:style>
  <w:style w:type="paragraph" w:customStyle="1" w:styleId="Style1">
    <w:name w:val="Style 1"/>
    <w:basedOn w:val="Normal"/>
    <w:uiPriority w:val="99"/>
    <w:rsid w:val="00B66DF8"/>
    <w:pPr>
      <w:widowControl w:val="0"/>
      <w:autoSpaceDE w:val="0"/>
      <w:autoSpaceDN w:val="0"/>
      <w:adjustRightInd w:val="0"/>
      <w:jc w:val="left"/>
    </w:pPr>
    <w:rPr>
      <w:sz w:val="20"/>
      <w:szCs w:val="20"/>
    </w:rPr>
  </w:style>
  <w:style w:type="paragraph" w:customStyle="1" w:styleId="CM4">
    <w:name w:val="CM4"/>
    <w:basedOn w:val="Normal"/>
    <w:next w:val="Normal"/>
    <w:uiPriority w:val="99"/>
    <w:rsid w:val="00B66DF8"/>
    <w:pPr>
      <w:autoSpaceDE w:val="0"/>
      <w:autoSpaceDN w:val="0"/>
      <w:adjustRightInd w:val="0"/>
      <w:jc w:val="left"/>
    </w:pPr>
    <w:rPr>
      <w:rFonts w:ascii="EUAlbertina" w:hAnsi="EUAlbertina" w:cs="EUAlbertina"/>
      <w:sz w:val="24"/>
      <w:szCs w:val="24"/>
      <w:lang w:eastAsia="bg-BG"/>
    </w:rPr>
  </w:style>
  <w:style w:type="paragraph" w:customStyle="1" w:styleId="bluesubhead">
    <w:name w:val="blue subhead"/>
    <w:basedOn w:val="Normal"/>
    <w:uiPriority w:val="99"/>
    <w:rsid w:val="00B66DF8"/>
    <w:pPr>
      <w:overflowPunct w:val="0"/>
      <w:autoSpaceDE w:val="0"/>
      <w:autoSpaceDN w:val="0"/>
      <w:adjustRightInd w:val="0"/>
      <w:spacing w:line="240" w:lineRule="exact"/>
      <w:jc w:val="left"/>
      <w:textAlignment w:val="baseline"/>
    </w:pPr>
    <w:rPr>
      <w:rFonts w:ascii="EY Gothic Comp BookPS" w:hAnsi="EY Gothic Comp BookPS" w:cs="EY Gothic Comp BookPS"/>
      <w:b/>
      <w:bCs/>
      <w:color w:val="000080"/>
      <w:sz w:val="20"/>
      <w:szCs w:val="20"/>
    </w:rPr>
  </w:style>
  <w:style w:type="paragraph" w:customStyle="1" w:styleId="Notesbodytext">
    <w:name w:val="Notes body text"/>
    <w:basedOn w:val="BodyText"/>
    <w:link w:val="NotesbodytextChar"/>
    <w:uiPriority w:val="99"/>
    <w:rsid w:val="00B66DF8"/>
    <w:pPr>
      <w:overflowPunct w:val="0"/>
      <w:autoSpaceDE w:val="0"/>
      <w:autoSpaceDN w:val="0"/>
      <w:adjustRightInd w:val="0"/>
      <w:spacing w:line="240" w:lineRule="exact"/>
      <w:jc w:val="left"/>
      <w:textAlignment w:val="baseline"/>
    </w:pPr>
    <w:rPr>
      <w:rFonts w:ascii="EYInterstate Light" w:eastAsia="Calibri" w:hAnsi="EYInterstate Light"/>
      <w:color w:val="000000"/>
      <w:sz w:val="20"/>
      <w:szCs w:val="20"/>
      <w:lang w:val="en-GB"/>
    </w:rPr>
  </w:style>
  <w:style w:type="character" w:customStyle="1" w:styleId="NotesbodytextChar">
    <w:name w:val="Notes body text Char"/>
    <w:link w:val="Notesbodytext"/>
    <w:uiPriority w:val="99"/>
    <w:locked/>
    <w:rsid w:val="00B66DF8"/>
    <w:rPr>
      <w:rFonts w:ascii="EYInterstate Light" w:hAnsi="EYInterstate Light" w:cs="EYInterstate Light"/>
      <w:color w:val="000000"/>
      <w:sz w:val="20"/>
      <w:szCs w:val="20"/>
      <w:lang w:val="en-GB"/>
    </w:rPr>
  </w:style>
  <w:style w:type="paragraph" w:customStyle="1" w:styleId="italsubhd">
    <w:name w:val="italsubhd"/>
    <w:basedOn w:val="Normal"/>
    <w:link w:val="italsubhdChar"/>
    <w:uiPriority w:val="99"/>
    <w:rsid w:val="00B66DF8"/>
    <w:pPr>
      <w:tabs>
        <w:tab w:val="right" w:leader="dot" w:pos="9739"/>
      </w:tabs>
      <w:overflowPunct w:val="0"/>
      <w:autoSpaceDE w:val="0"/>
      <w:autoSpaceDN w:val="0"/>
      <w:adjustRightInd w:val="0"/>
      <w:spacing w:before="60" w:line="240" w:lineRule="exact"/>
      <w:jc w:val="left"/>
      <w:textAlignment w:val="baseline"/>
    </w:pPr>
    <w:rPr>
      <w:rFonts w:ascii="EY Gothic Comp BookPS" w:eastAsia="Calibri" w:hAnsi="EY Gothic Comp BookPS"/>
      <w:i/>
      <w:iCs/>
      <w:noProof/>
      <w:color w:val="000000"/>
      <w:sz w:val="20"/>
      <w:szCs w:val="20"/>
      <w:lang w:val="en-GB"/>
    </w:rPr>
  </w:style>
  <w:style w:type="character" w:customStyle="1" w:styleId="italsubhdChar">
    <w:name w:val="italsubhd Char"/>
    <w:link w:val="italsubhd"/>
    <w:uiPriority w:val="99"/>
    <w:locked/>
    <w:rsid w:val="00B66DF8"/>
    <w:rPr>
      <w:rFonts w:ascii="EY Gothic Comp BookPS" w:hAnsi="EY Gothic Comp BookPS" w:cs="EY Gothic Comp BookPS"/>
      <w:i/>
      <w:iCs/>
      <w:noProof/>
      <w:color w:val="000000"/>
      <w:sz w:val="20"/>
      <w:szCs w:val="20"/>
      <w:lang w:val="en-GB"/>
    </w:rPr>
  </w:style>
  <w:style w:type="character" w:customStyle="1" w:styleId="tw4winMark">
    <w:name w:val="tw4winMark"/>
    <w:uiPriority w:val="99"/>
    <w:rsid w:val="00B66DF8"/>
    <w:rPr>
      <w:rFonts w:ascii="Courier New" w:hAnsi="Courier New" w:cs="Courier New"/>
      <w:color w:val="800080"/>
      <w:vertAlign w:val="subscript"/>
    </w:rPr>
  </w:style>
  <w:style w:type="paragraph" w:customStyle="1" w:styleId="IASBNormal">
    <w:name w:val="IASB Normal"/>
    <w:uiPriority w:val="99"/>
    <w:rsid w:val="00B66DF8"/>
    <w:pPr>
      <w:suppressAutoHyphens/>
      <w:spacing w:before="100" w:after="100"/>
      <w:jc w:val="both"/>
    </w:pPr>
    <w:rPr>
      <w:rFonts w:ascii="Times New Roman" w:eastAsia="Times New Roman" w:hAnsi="Times New Roman"/>
      <w:sz w:val="22"/>
      <w:szCs w:val="22"/>
      <w:lang w:eastAsia="ar-SA"/>
    </w:rPr>
  </w:style>
  <w:style w:type="paragraph" w:styleId="BodyText2">
    <w:name w:val="Body Text 2"/>
    <w:basedOn w:val="Normal"/>
    <w:link w:val="BodyText2Char"/>
    <w:uiPriority w:val="99"/>
    <w:rsid w:val="00B66DF8"/>
    <w:pPr>
      <w:spacing w:after="120" w:line="480" w:lineRule="auto"/>
    </w:pPr>
    <w:rPr>
      <w:sz w:val="20"/>
      <w:szCs w:val="20"/>
      <w:lang w:val="en-US"/>
    </w:rPr>
  </w:style>
  <w:style w:type="character" w:customStyle="1" w:styleId="BodyText2Char">
    <w:name w:val="Body Text 2 Char"/>
    <w:basedOn w:val="DefaultParagraphFont"/>
    <w:link w:val="BodyText2"/>
    <w:uiPriority w:val="99"/>
    <w:locked/>
    <w:rsid w:val="00B66DF8"/>
    <w:rPr>
      <w:rFonts w:ascii="Times New Roman" w:hAnsi="Times New Roman" w:cs="Times New Roman"/>
      <w:sz w:val="20"/>
      <w:szCs w:val="20"/>
      <w:lang w:val="en-US"/>
    </w:rPr>
  </w:style>
  <w:style w:type="paragraph" w:customStyle="1" w:styleId="010Subheading1">
    <w:name w:val="010 Subheading 1"/>
    <w:basedOn w:val="000Normal"/>
    <w:uiPriority w:val="99"/>
    <w:rsid w:val="00B66DF8"/>
    <w:pPr>
      <w:tabs>
        <w:tab w:val="num" w:pos="425"/>
      </w:tabs>
      <w:spacing w:before="0"/>
      <w:ind w:left="425" w:hanging="425"/>
    </w:pPr>
    <w:rPr>
      <w:lang w:val="en-GB"/>
    </w:rPr>
  </w:style>
  <w:style w:type="paragraph" w:customStyle="1" w:styleId="--">
    <w:name w:val="--&gt;"/>
    <w:uiPriority w:val="99"/>
    <w:rsid w:val="00B66DF8"/>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odytext0">
    <w:name w:val="body_text"/>
    <w:basedOn w:val="Normal"/>
    <w:uiPriority w:val="99"/>
    <w:rsid w:val="00B66DF8"/>
    <w:pPr>
      <w:spacing w:before="120" w:after="120"/>
    </w:pPr>
  </w:style>
  <w:style w:type="paragraph" w:styleId="BodyTextIndent3">
    <w:name w:val="Body Text Indent 3"/>
    <w:basedOn w:val="Normal"/>
    <w:link w:val="BodyTextIndent3Char"/>
    <w:uiPriority w:val="99"/>
    <w:rsid w:val="00B66DF8"/>
    <w:pPr>
      <w:spacing w:after="120"/>
      <w:ind w:left="283"/>
    </w:pPr>
    <w:rPr>
      <w:sz w:val="16"/>
      <w:szCs w:val="16"/>
      <w:lang w:val="en-US"/>
    </w:rPr>
  </w:style>
  <w:style w:type="character" w:customStyle="1" w:styleId="BodyTextIndent3Char">
    <w:name w:val="Body Text Indent 3 Char"/>
    <w:basedOn w:val="DefaultParagraphFont"/>
    <w:link w:val="BodyTextIndent3"/>
    <w:uiPriority w:val="99"/>
    <w:locked/>
    <w:rsid w:val="00B66DF8"/>
    <w:rPr>
      <w:rFonts w:ascii="Times New Roman" w:hAnsi="Times New Roman" w:cs="Times New Roman"/>
      <w:sz w:val="16"/>
      <w:szCs w:val="16"/>
      <w:lang w:val="en-US"/>
    </w:rPr>
  </w:style>
  <w:style w:type="paragraph" w:customStyle="1" w:styleId="FR1">
    <w:name w:val="FR1"/>
    <w:uiPriority w:val="99"/>
    <w:rsid w:val="00B66DF8"/>
    <w:pPr>
      <w:widowControl w:val="0"/>
      <w:spacing w:before="180" w:line="640" w:lineRule="auto"/>
      <w:ind w:left="240" w:right="3600" w:hanging="260"/>
    </w:pPr>
    <w:rPr>
      <w:rFonts w:ascii="Times New Roman" w:eastAsia="Times New Roman" w:hAnsi="Times New Roman"/>
      <w:sz w:val="18"/>
      <w:szCs w:val="18"/>
      <w:lang w:eastAsia="en-US"/>
    </w:rPr>
  </w:style>
  <w:style w:type="paragraph" w:styleId="BodyTextIndent2">
    <w:name w:val="Body Text Indent 2"/>
    <w:basedOn w:val="Normal"/>
    <w:link w:val="BodyTextIndent2Char"/>
    <w:uiPriority w:val="99"/>
    <w:rsid w:val="00B66DF8"/>
    <w:pPr>
      <w:spacing w:after="120" w:line="480" w:lineRule="auto"/>
      <w:ind w:left="283"/>
    </w:pPr>
    <w:rPr>
      <w:sz w:val="20"/>
      <w:szCs w:val="20"/>
      <w:lang w:val="en-US"/>
    </w:rPr>
  </w:style>
  <w:style w:type="character" w:customStyle="1" w:styleId="BodyTextIndent2Char">
    <w:name w:val="Body Text Indent 2 Char"/>
    <w:basedOn w:val="DefaultParagraphFont"/>
    <w:link w:val="BodyTextIndent2"/>
    <w:uiPriority w:val="99"/>
    <w:locked/>
    <w:rsid w:val="00B66DF8"/>
    <w:rPr>
      <w:rFonts w:ascii="Times New Roman" w:hAnsi="Times New Roman" w:cs="Times New Roman"/>
      <w:sz w:val="20"/>
      <w:szCs w:val="20"/>
      <w:lang w:val="en-US"/>
    </w:rPr>
  </w:style>
  <w:style w:type="table" w:styleId="TableGrid">
    <w:name w:val="Table Grid"/>
    <w:basedOn w:val="TableNormal"/>
    <w:uiPriority w:val="99"/>
    <w:rsid w:val="00B66DF8"/>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B66DF8"/>
  </w:style>
  <w:style w:type="paragraph" w:customStyle="1" w:styleId="241Singleline">
    <w:name w:val="241 Single line"/>
    <w:basedOn w:val="240Noline"/>
    <w:uiPriority w:val="99"/>
    <w:rsid w:val="00B66DF8"/>
    <w:pPr>
      <w:pBdr>
        <w:bottom w:val="single" w:sz="4" w:space="1" w:color="auto"/>
      </w:pBdr>
    </w:pPr>
  </w:style>
  <w:style w:type="paragraph" w:customStyle="1" w:styleId="240Noline">
    <w:name w:val="240 No line"/>
    <w:basedOn w:val="000Normal"/>
    <w:uiPriority w:val="99"/>
    <w:rsid w:val="00B66DF8"/>
    <w:pPr>
      <w:spacing w:before="0" w:after="0" w:line="14" w:lineRule="exact"/>
    </w:pPr>
  </w:style>
  <w:style w:type="paragraph" w:customStyle="1" w:styleId="200Tableleft">
    <w:name w:val="200 Table left"/>
    <w:basedOn w:val="000Normal"/>
    <w:uiPriority w:val="99"/>
    <w:rsid w:val="00B66DF8"/>
    <w:pPr>
      <w:spacing w:before="20" w:after="0" w:line="200" w:lineRule="exact"/>
      <w:jc w:val="left"/>
    </w:pPr>
  </w:style>
  <w:style w:type="paragraph" w:customStyle="1" w:styleId="210Tableright">
    <w:name w:val="210 Table right"/>
    <w:basedOn w:val="200Tableleft"/>
    <w:uiPriority w:val="99"/>
    <w:rsid w:val="00B66DF8"/>
    <w:pPr>
      <w:jc w:val="right"/>
    </w:pPr>
  </w:style>
  <w:style w:type="paragraph" w:customStyle="1" w:styleId="202Tableleftindent2">
    <w:name w:val="202 Table left indent 2"/>
    <w:basedOn w:val="201Tableleftindent1"/>
    <w:uiPriority w:val="99"/>
    <w:rsid w:val="00B66DF8"/>
    <w:pPr>
      <w:ind w:left="340"/>
    </w:pPr>
  </w:style>
  <w:style w:type="paragraph" w:customStyle="1" w:styleId="201Tableleftindent1">
    <w:name w:val="201 Table left indent 1"/>
    <w:basedOn w:val="200Tableleft"/>
    <w:uiPriority w:val="99"/>
    <w:rsid w:val="00B66DF8"/>
    <w:pPr>
      <w:ind w:left="170" w:hanging="170"/>
    </w:pPr>
  </w:style>
  <w:style w:type="character" w:customStyle="1" w:styleId="IASBFootnoteSign">
    <w:name w:val="IASB Footnote Sign"/>
    <w:uiPriority w:val="99"/>
    <w:rsid w:val="00B66DF8"/>
    <w:rPr>
      <w:vertAlign w:val="superscript"/>
    </w:rPr>
  </w:style>
  <w:style w:type="paragraph" w:customStyle="1" w:styleId="wfxRecipient">
    <w:name w:val="wfxRecipient"/>
    <w:basedOn w:val="Normal"/>
    <w:uiPriority w:val="99"/>
    <w:rsid w:val="00B66DF8"/>
    <w:pPr>
      <w:spacing w:line="240" w:lineRule="atLeast"/>
    </w:pPr>
    <w:rPr>
      <w:sz w:val="20"/>
      <w:szCs w:val="20"/>
    </w:rPr>
  </w:style>
  <w:style w:type="paragraph" w:customStyle="1" w:styleId="NormalText">
    <w:name w:val="Normal Text"/>
    <w:basedOn w:val="Normal"/>
    <w:uiPriority w:val="99"/>
    <w:rsid w:val="00B66DF8"/>
    <w:pPr>
      <w:spacing w:after="240" w:line="240" w:lineRule="atLeast"/>
    </w:pPr>
    <w:rPr>
      <w:sz w:val="20"/>
      <w:szCs w:val="20"/>
    </w:rPr>
  </w:style>
  <w:style w:type="paragraph" w:customStyle="1" w:styleId="CharCharCharCharCharChar1CharCharCharChar">
    <w:name w:val="Char Char Char Char Char Char1 Char Char Char Char"/>
    <w:basedOn w:val="Normal"/>
    <w:uiPriority w:val="99"/>
    <w:rsid w:val="00B66DF8"/>
    <w:pPr>
      <w:tabs>
        <w:tab w:val="left" w:pos="709"/>
      </w:tabs>
      <w:jc w:val="left"/>
    </w:pPr>
    <w:rPr>
      <w:rFonts w:ascii="Tahoma" w:hAnsi="Tahoma" w:cs="Tahoma"/>
      <w:sz w:val="24"/>
      <w:szCs w:val="24"/>
      <w:lang w:val="pl-PL" w:eastAsia="pl-PL"/>
    </w:rPr>
  </w:style>
  <w:style w:type="paragraph" w:customStyle="1" w:styleId="Subject">
    <w:name w:val="Subject"/>
    <w:basedOn w:val="Normal"/>
    <w:uiPriority w:val="99"/>
    <w:rsid w:val="00B66DF8"/>
    <w:pPr>
      <w:keepNext/>
      <w:keepLines/>
      <w:spacing w:line="290" w:lineRule="atLeast"/>
      <w:jc w:val="left"/>
    </w:pPr>
    <w:rPr>
      <w:b/>
      <w:bCs/>
      <w:sz w:val="24"/>
      <w:szCs w:val="24"/>
      <w:lang w:val="en-GB"/>
    </w:rPr>
  </w:style>
  <w:style w:type="paragraph" w:customStyle="1" w:styleId="CharCharCharCarattereCarattereCharCharCharCharCharCharCharCharCharChar">
    <w:name w:val="Char Char Char Carattere Carattere Char Char Char Char Char Char Char Char Char Char"/>
    <w:basedOn w:val="Normal"/>
    <w:uiPriority w:val="99"/>
    <w:semiHidden/>
    <w:rsid w:val="00B66DF8"/>
    <w:pPr>
      <w:spacing w:after="160" w:line="240" w:lineRule="exact"/>
      <w:jc w:val="left"/>
    </w:pPr>
    <w:rPr>
      <w:rFonts w:ascii="Tahoma" w:hAnsi="Tahoma" w:cs="Tahoma"/>
      <w:sz w:val="18"/>
      <w:szCs w:val="18"/>
    </w:rPr>
  </w:style>
  <w:style w:type="paragraph" w:customStyle="1" w:styleId="BodyText21">
    <w:name w:val="Body Text 21"/>
    <w:basedOn w:val="Normal"/>
    <w:uiPriority w:val="99"/>
    <w:rsid w:val="00B66DF8"/>
    <w:pPr>
      <w:spacing w:line="240" w:lineRule="atLeast"/>
    </w:pPr>
    <w:rPr>
      <w:sz w:val="20"/>
      <w:szCs w:val="20"/>
    </w:rPr>
  </w:style>
  <w:style w:type="paragraph" w:customStyle="1" w:styleId="a">
    <w:name w:val="Нова страница"/>
    <w:basedOn w:val="Normal"/>
    <w:uiPriority w:val="99"/>
    <w:rsid w:val="00B66DF8"/>
    <w:pPr>
      <w:tabs>
        <w:tab w:val="right" w:pos="6123"/>
      </w:tabs>
      <w:spacing w:before="160" w:line="258" w:lineRule="exact"/>
      <w:ind w:firstLine="397"/>
    </w:pPr>
    <w:rPr>
      <w:kern w:val="18"/>
    </w:rPr>
  </w:style>
  <w:style w:type="paragraph" w:customStyle="1" w:styleId="TableText">
    <w:name w:val="Table Text"/>
    <w:basedOn w:val="Normal"/>
    <w:link w:val="TableTextChar1"/>
    <w:uiPriority w:val="99"/>
    <w:rsid w:val="00B66DF8"/>
    <w:pPr>
      <w:keepNext/>
      <w:keepLines/>
      <w:jc w:val="left"/>
    </w:pPr>
    <w:rPr>
      <w:rFonts w:ascii="Arial" w:eastAsia="Calibri" w:hAnsi="Arial"/>
      <w:sz w:val="18"/>
      <w:szCs w:val="18"/>
      <w:lang w:val="en-GB"/>
    </w:rPr>
  </w:style>
  <w:style w:type="character" w:customStyle="1" w:styleId="TableTextChar1">
    <w:name w:val="Table Text Char1"/>
    <w:link w:val="TableText"/>
    <w:uiPriority w:val="99"/>
    <w:locked/>
    <w:rsid w:val="00B66DF8"/>
    <w:rPr>
      <w:rFonts w:ascii="Arial" w:hAnsi="Arial" w:cs="Arial"/>
      <w:sz w:val="18"/>
      <w:szCs w:val="18"/>
      <w:lang w:val="en-GB"/>
    </w:rPr>
  </w:style>
  <w:style w:type="paragraph" w:customStyle="1" w:styleId="TableTextBold">
    <w:name w:val="TableTextBold"/>
    <w:basedOn w:val="Normal"/>
    <w:uiPriority w:val="99"/>
    <w:rsid w:val="00B66DF8"/>
    <w:pPr>
      <w:widowControl w:val="0"/>
      <w:autoSpaceDE w:val="0"/>
      <w:autoSpaceDN w:val="0"/>
      <w:adjustRightInd w:val="0"/>
      <w:jc w:val="left"/>
    </w:pPr>
    <w:rPr>
      <w:rFonts w:ascii="Garamond" w:hAnsi="Garamond" w:cs="Garamond"/>
      <w:b/>
      <w:bCs/>
      <w:color w:val="000000"/>
      <w:sz w:val="20"/>
      <w:szCs w:val="20"/>
      <w:lang w:val="en-GB" w:eastAsia="en-GB"/>
    </w:rPr>
  </w:style>
  <w:style w:type="paragraph" w:customStyle="1" w:styleId="TableTextNormal">
    <w:name w:val="TableTextNormal"/>
    <w:basedOn w:val="Normal"/>
    <w:uiPriority w:val="99"/>
    <w:rsid w:val="00B66DF8"/>
    <w:pPr>
      <w:widowControl w:val="0"/>
      <w:autoSpaceDE w:val="0"/>
      <w:autoSpaceDN w:val="0"/>
      <w:adjustRightInd w:val="0"/>
      <w:jc w:val="left"/>
    </w:pPr>
    <w:rPr>
      <w:rFonts w:ascii="Garamond" w:hAnsi="Garamond" w:cs="Garamond"/>
      <w:color w:val="000000"/>
      <w:sz w:val="20"/>
      <w:szCs w:val="20"/>
      <w:lang w:val="en-GB" w:eastAsia="en-GB"/>
    </w:rPr>
  </w:style>
  <w:style w:type="paragraph" w:styleId="TOC4">
    <w:name w:val="toc 4"/>
    <w:basedOn w:val="Normal"/>
    <w:next w:val="Normal"/>
    <w:autoRedefine/>
    <w:uiPriority w:val="99"/>
    <w:semiHidden/>
    <w:rsid w:val="00B66DF8"/>
    <w:pPr>
      <w:spacing w:after="100" w:line="276" w:lineRule="auto"/>
      <w:ind w:left="660"/>
      <w:jc w:val="left"/>
    </w:pPr>
    <w:rPr>
      <w:rFonts w:ascii="Calibri" w:hAnsi="Calibri" w:cs="Calibri"/>
      <w:lang w:eastAsia="bg-BG"/>
    </w:rPr>
  </w:style>
  <w:style w:type="paragraph" w:styleId="TOC5">
    <w:name w:val="toc 5"/>
    <w:basedOn w:val="Normal"/>
    <w:next w:val="Normal"/>
    <w:autoRedefine/>
    <w:uiPriority w:val="99"/>
    <w:semiHidden/>
    <w:rsid w:val="00B66DF8"/>
    <w:pPr>
      <w:spacing w:after="100" w:line="276" w:lineRule="auto"/>
      <w:ind w:left="880"/>
      <w:jc w:val="left"/>
    </w:pPr>
    <w:rPr>
      <w:rFonts w:ascii="Calibri" w:hAnsi="Calibri" w:cs="Calibri"/>
      <w:lang w:eastAsia="bg-BG"/>
    </w:rPr>
  </w:style>
  <w:style w:type="paragraph" w:styleId="TOC6">
    <w:name w:val="toc 6"/>
    <w:basedOn w:val="Normal"/>
    <w:next w:val="Normal"/>
    <w:autoRedefine/>
    <w:uiPriority w:val="99"/>
    <w:semiHidden/>
    <w:rsid w:val="00B66DF8"/>
    <w:pPr>
      <w:spacing w:after="100" w:line="276" w:lineRule="auto"/>
      <w:ind w:left="1100"/>
      <w:jc w:val="left"/>
    </w:pPr>
    <w:rPr>
      <w:rFonts w:ascii="Calibri" w:hAnsi="Calibri" w:cs="Calibri"/>
      <w:lang w:eastAsia="bg-BG"/>
    </w:rPr>
  </w:style>
  <w:style w:type="paragraph" w:styleId="TOC7">
    <w:name w:val="toc 7"/>
    <w:basedOn w:val="Normal"/>
    <w:next w:val="Normal"/>
    <w:autoRedefine/>
    <w:uiPriority w:val="99"/>
    <w:semiHidden/>
    <w:rsid w:val="00B66DF8"/>
    <w:pPr>
      <w:spacing w:after="100" w:line="276" w:lineRule="auto"/>
      <w:ind w:left="1320"/>
      <w:jc w:val="left"/>
    </w:pPr>
    <w:rPr>
      <w:rFonts w:ascii="Calibri" w:hAnsi="Calibri" w:cs="Calibri"/>
      <w:lang w:eastAsia="bg-BG"/>
    </w:rPr>
  </w:style>
  <w:style w:type="paragraph" w:styleId="TOC8">
    <w:name w:val="toc 8"/>
    <w:basedOn w:val="Normal"/>
    <w:next w:val="Normal"/>
    <w:autoRedefine/>
    <w:uiPriority w:val="99"/>
    <w:semiHidden/>
    <w:rsid w:val="00B66DF8"/>
    <w:pPr>
      <w:spacing w:after="100" w:line="276" w:lineRule="auto"/>
      <w:ind w:left="1540"/>
      <w:jc w:val="left"/>
    </w:pPr>
    <w:rPr>
      <w:rFonts w:ascii="Calibri" w:hAnsi="Calibri" w:cs="Calibri"/>
      <w:lang w:eastAsia="bg-BG"/>
    </w:rPr>
  </w:style>
  <w:style w:type="paragraph" w:styleId="TOC9">
    <w:name w:val="toc 9"/>
    <w:basedOn w:val="Normal"/>
    <w:next w:val="Normal"/>
    <w:autoRedefine/>
    <w:uiPriority w:val="99"/>
    <w:semiHidden/>
    <w:rsid w:val="00B66DF8"/>
    <w:pPr>
      <w:spacing w:after="100" w:line="276" w:lineRule="auto"/>
      <w:ind w:left="1760"/>
      <w:jc w:val="left"/>
    </w:pPr>
    <w:rPr>
      <w:rFonts w:ascii="Calibri" w:hAnsi="Calibri" w:cs="Calibri"/>
      <w:lang w:eastAsia="bg-BG"/>
    </w:rPr>
  </w:style>
  <w:style w:type="paragraph" w:customStyle="1" w:styleId="xl36">
    <w:name w:val="xl36"/>
    <w:basedOn w:val="Normal"/>
    <w:uiPriority w:val="99"/>
    <w:rsid w:val="00B66DF8"/>
    <w:pPr>
      <w:spacing w:before="100" w:beforeAutospacing="1" w:after="100" w:afterAutospacing="1"/>
      <w:jc w:val="left"/>
    </w:pPr>
    <w:rPr>
      <w:rFonts w:eastAsia="Arial Unicode MS"/>
      <w:b/>
      <w:bCs/>
      <w:color w:val="000000"/>
      <w:lang w:val="en-GB"/>
    </w:rPr>
  </w:style>
  <w:style w:type="paragraph" w:customStyle="1" w:styleId="xl54">
    <w:name w:val="xl54"/>
    <w:basedOn w:val="Normal"/>
    <w:uiPriority w:val="99"/>
    <w:rsid w:val="00B66DF8"/>
    <w:pPr>
      <w:spacing w:before="100" w:beforeAutospacing="1" w:after="100" w:afterAutospacing="1"/>
      <w:jc w:val="left"/>
      <w:textAlignment w:val="center"/>
    </w:pPr>
    <w:rPr>
      <w:rFonts w:eastAsia="Arial Unicode MS"/>
      <w:i/>
      <w:iCs/>
      <w:lang w:val="en-GB"/>
    </w:rPr>
  </w:style>
  <w:style w:type="character" w:customStyle="1" w:styleId="hps">
    <w:name w:val="hps"/>
    <w:basedOn w:val="DefaultParagraphFont"/>
    <w:uiPriority w:val="99"/>
    <w:rsid w:val="00B66DF8"/>
  </w:style>
  <w:style w:type="paragraph" w:styleId="HTMLPreformatted">
    <w:name w:val="HTML Preformatted"/>
    <w:basedOn w:val="Normal"/>
    <w:link w:val="HTMLPreformattedChar"/>
    <w:uiPriority w:val="99"/>
    <w:rsid w:val="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cs="Courier"/>
      <w:sz w:val="13"/>
      <w:szCs w:val="13"/>
    </w:rPr>
  </w:style>
  <w:style w:type="character" w:customStyle="1" w:styleId="HTMLPreformattedChar">
    <w:name w:val="HTML Preformatted Char"/>
    <w:basedOn w:val="DefaultParagraphFont"/>
    <w:link w:val="HTMLPreformatted"/>
    <w:uiPriority w:val="99"/>
    <w:locked/>
    <w:rsid w:val="00B66DF8"/>
    <w:rPr>
      <w:rFonts w:ascii="Courier" w:hAnsi="Courier" w:cs="Courier"/>
      <w:sz w:val="13"/>
      <w:szCs w:val="13"/>
    </w:rPr>
  </w:style>
  <w:style w:type="character" w:customStyle="1" w:styleId="atn">
    <w:name w:val="atn"/>
    <w:basedOn w:val="DefaultParagraphFont"/>
    <w:uiPriority w:val="99"/>
    <w:rsid w:val="00B66DF8"/>
  </w:style>
  <w:style w:type="character" w:customStyle="1" w:styleId="apple-style-span">
    <w:name w:val="apple-style-span"/>
    <w:basedOn w:val="DefaultParagraphFont"/>
    <w:uiPriority w:val="99"/>
    <w:rsid w:val="00B66DF8"/>
  </w:style>
  <w:style w:type="character" w:customStyle="1" w:styleId="3">
    <w:name w:val="Основен текст (3)_"/>
    <w:link w:val="30"/>
    <w:uiPriority w:val="99"/>
    <w:locked/>
    <w:rsid w:val="00B66DF8"/>
    <w:rPr>
      <w:rFonts w:ascii="Times New Roman" w:hAnsi="Times New Roman" w:cs="Times New Roman"/>
      <w:b/>
      <w:bCs/>
      <w:i/>
      <w:iCs/>
      <w:spacing w:val="-3"/>
      <w:sz w:val="18"/>
      <w:szCs w:val="18"/>
      <w:shd w:val="clear" w:color="auto" w:fill="FFFFFF"/>
    </w:rPr>
  </w:style>
  <w:style w:type="paragraph" w:customStyle="1" w:styleId="30">
    <w:name w:val="Основен текст (3)"/>
    <w:basedOn w:val="Normal"/>
    <w:link w:val="3"/>
    <w:uiPriority w:val="99"/>
    <w:rsid w:val="00B66DF8"/>
    <w:pPr>
      <w:widowControl w:val="0"/>
      <w:shd w:val="clear" w:color="auto" w:fill="FFFFFF"/>
      <w:spacing w:after="60" w:line="240" w:lineRule="atLeast"/>
      <w:jc w:val="left"/>
    </w:pPr>
    <w:rPr>
      <w:rFonts w:eastAsia="Calibri"/>
      <w:b/>
      <w:bCs/>
      <w:i/>
      <w:iCs/>
      <w:spacing w:val="-3"/>
      <w:sz w:val="18"/>
      <w:szCs w:val="18"/>
    </w:rPr>
  </w:style>
  <w:style w:type="character" w:customStyle="1" w:styleId="a0">
    <w:name w:val="Основен текст_"/>
    <w:link w:val="a1"/>
    <w:uiPriority w:val="99"/>
    <w:locked/>
    <w:rsid w:val="00B66DF8"/>
    <w:rPr>
      <w:rFonts w:ascii="Times New Roman" w:hAnsi="Times New Roman" w:cs="Times New Roman"/>
      <w:spacing w:val="2"/>
      <w:sz w:val="16"/>
      <w:szCs w:val="16"/>
      <w:shd w:val="clear" w:color="auto" w:fill="FFFFFF"/>
    </w:rPr>
  </w:style>
  <w:style w:type="paragraph" w:customStyle="1" w:styleId="a1">
    <w:name w:val="Основен текст"/>
    <w:basedOn w:val="Normal"/>
    <w:link w:val="a0"/>
    <w:uiPriority w:val="99"/>
    <w:rsid w:val="00B66DF8"/>
    <w:pPr>
      <w:widowControl w:val="0"/>
      <w:shd w:val="clear" w:color="auto" w:fill="FFFFFF"/>
      <w:spacing w:before="60" w:after="180" w:line="262" w:lineRule="exact"/>
    </w:pPr>
    <w:rPr>
      <w:rFonts w:eastAsia="Calibri"/>
      <w:spacing w:val="2"/>
      <w:sz w:val="16"/>
      <w:szCs w:val="16"/>
    </w:rPr>
  </w:style>
  <w:style w:type="character" w:customStyle="1" w:styleId="4">
    <w:name w:val="Основен текст (4)_"/>
    <w:link w:val="40"/>
    <w:uiPriority w:val="99"/>
    <w:locked/>
    <w:rsid w:val="00B66DF8"/>
    <w:rPr>
      <w:rFonts w:ascii="Times New Roman" w:hAnsi="Times New Roman" w:cs="Times New Roman"/>
      <w:i/>
      <w:iCs/>
      <w:sz w:val="18"/>
      <w:szCs w:val="18"/>
      <w:shd w:val="clear" w:color="auto" w:fill="FFFFFF"/>
    </w:rPr>
  </w:style>
  <w:style w:type="paragraph" w:customStyle="1" w:styleId="40">
    <w:name w:val="Основен текст (4)"/>
    <w:basedOn w:val="Normal"/>
    <w:link w:val="4"/>
    <w:uiPriority w:val="99"/>
    <w:rsid w:val="00B66DF8"/>
    <w:pPr>
      <w:widowControl w:val="0"/>
      <w:shd w:val="clear" w:color="auto" w:fill="FFFFFF"/>
      <w:spacing w:before="180" w:after="180" w:line="240" w:lineRule="atLeast"/>
      <w:jc w:val="left"/>
    </w:pPr>
    <w:rPr>
      <w:rFonts w:eastAsia="Calibri"/>
      <w:i/>
      <w:iCs/>
      <w:sz w:val="18"/>
      <w:szCs w:val="18"/>
    </w:rPr>
  </w:style>
  <w:style w:type="character" w:customStyle="1" w:styleId="5">
    <w:name w:val="Основен текст (5)_"/>
    <w:link w:val="50"/>
    <w:uiPriority w:val="99"/>
    <w:locked/>
    <w:rsid w:val="00B66DF8"/>
    <w:rPr>
      <w:rFonts w:ascii="Times New Roman" w:hAnsi="Times New Roman" w:cs="Times New Roman"/>
      <w:b/>
      <w:bCs/>
      <w:spacing w:val="2"/>
      <w:sz w:val="17"/>
      <w:szCs w:val="17"/>
      <w:shd w:val="clear" w:color="auto" w:fill="FFFFFF"/>
    </w:rPr>
  </w:style>
  <w:style w:type="paragraph" w:customStyle="1" w:styleId="50">
    <w:name w:val="Основен текст (5)"/>
    <w:basedOn w:val="Normal"/>
    <w:link w:val="5"/>
    <w:uiPriority w:val="99"/>
    <w:rsid w:val="00B66DF8"/>
    <w:pPr>
      <w:widowControl w:val="0"/>
      <w:shd w:val="clear" w:color="auto" w:fill="FFFFFF"/>
      <w:spacing w:line="240" w:lineRule="atLeast"/>
      <w:ind w:hanging="460"/>
      <w:jc w:val="left"/>
    </w:pPr>
    <w:rPr>
      <w:rFonts w:eastAsia="Calibri"/>
      <w:b/>
      <w:bCs/>
      <w:spacing w:val="2"/>
      <w:sz w:val="17"/>
      <w:szCs w:val="17"/>
    </w:rPr>
  </w:style>
  <w:style w:type="character" w:customStyle="1" w:styleId="10pt">
    <w:name w:val="Основен текст + 10 pt"/>
    <w:aliases w:val="Разредка 0 pt,Мащаб 80%"/>
    <w:uiPriority w:val="99"/>
    <w:rsid w:val="00B66DF8"/>
    <w:rPr>
      <w:rFonts w:ascii="Times New Roman" w:hAnsi="Times New Roman" w:cs="Times New Roman"/>
      <w:color w:val="000000"/>
      <w:spacing w:val="1"/>
      <w:w w:val="80"/>
      <w:position w:val="0"/>
      <w:sz w:val="20"/>
      <w:szCs w:val="20"/>
      <w:u w:val="none"/>
      <w:shd w:val="clear" w:color="auto" w:fill="FFFFFF"/>
      <w:lang w:val="bg-BG"/>
    </w:rPr>
  </w:style>
  <w:style w:type="character" w:customStyle="1" w:styleId="0pt">
    <w:name w:val="Основен текст + Разредка 0 pt"/>
    <w:uiPriority w:val="99"/>
    <w:rsid w:val="00B66DF8"/>
    <w:rPr>
      <w:rFonts w:ascii="Times New Roman" w:hAnsi="Times New Roman" w:cs="Times New Roman"/>
      <w:color w:val="000000"/>
      <w:spacing w:val="9"/>
      <w:w w:val="100"/>
      <w:position w:val="0"/>
      <w:sz w:val="16"/>
      <w:szCs w:val="16"/>
      <w:u w:val="none"/>
      <w:shd w:val="clear" w:color="auto" w:fill="FFFFFF"/>
      <w:lang w:val="bg-BG"/>
    </w:rPr>
  </w:style>
  <w:style w:type="character" w:customStyle="1" w:styleId="59pt">
    <w:name w:val="Основен текст (5) + 9 pt"/>
    <w:aliases w:val="Курсив,Разредка 0 pt1"/>
    <w:uiPriority w:val="99"/>
    <w:rsid w:val="00B66DF8"/>
    <w:rPr>
      <w:rFonts w:ascii="Times New Roman" w:hAnsi="Times New Roman" w:cs="Times New Roman"/>
      <w:i/>
      <w:iCs/>
      <w:color w:val="000000"/>
      <w:spacing w:val="-3"/>
      <w:w w:val="100"/>
      <w:position w:val="0"/>
      <w:sz w:val="18"/>
      <w:szCs w:val="18"/>
      <w:u w:val="none"/>
      <w:shd w:val="clear" w:color="auto" w:fill="FFFFFF"/>
      <w:lang w:val="bg-BG"/>
    </w:rPr>
  </w:style>
  <w:style w:type="character" w:customStyle="1" w:styleId="1">
    <w:name w:val="Заглавие #1_"/>
    <w:link w:val="10"/>
    <w:uiPriority w:val="99"/>
    <w:locked/>
    <w:rsid w:val="00B66DF8"/>
    <w:rPr>
      <w:rFonts w:ascii="Times New Roman" w:hAnsi="Times New Roman" w:cs="Times New Roman"/>
      <w:spacing w:val="1"/>
      <w:w w:val="80"/>
      <w:shd w:val="clear" w:color="auto" w:fill="FFFFFF"/>
    </w:rPr>
  </w:style>
  <w:style w:type="paragraph" w:customStyle="1" w:styleId="10">
    <w:name w:val="Заглавие #1"/>
    <w:basedOn w:val="Normal"/>
    <w:link w:val="1"/>
    <w:uiPriority w:val="99"/>
    <w:rsid w:val="00B66DF8"/>
    <w:pPr>
      <w:widowControl w:val="0"/>
      <w:shd w:val="clear" w:color="auto" w:fill="FFFFFF"/>
      <w:spacing w:line="262" w:lineRule="exact"/>
      <w:outlineLvl w:val="0"/>
    </w:pPr>
    <w:rPr>
      <w:rFonts w:eastAsia="Calibri"/>
      <w:spacing w:val="1"/>
      <w:w w:val="80"/>
      <w:sz w:val="20"/>
      <w:szCs w:val="20"/>
    </w:rPr>
  </w:style>
  <w:style w:type="paragraph" w:customStyle="1" w:styleId="Style46">
    <w:name w:val="Style46"/>
    <w:basedOn w:val="Normal"/>
    <w:uiPriority w:val="99"/>
    <w:rsid w:val="00B66DF8"/>
    <w:pPr>
      <w:widowControl w:val="0"/>
      <w:autoSpaceDE w:val="0"/>
      <w:autoSpaceDN w:val="0"/>
      <w:adjustRightInd w:val="0"/>
      <w:spacing w:line="211" w:lineRule="exact"/>
      <w:jc w:val="left"/>
    </w:pPr>
    <w:rPr>
      <w:rFonts w:ascii="Arial" w:eastAsia="MS Minchofalt" w:hAnsi="Arial" w:cs="Arial"/>
      <w:sz w:val="24"/>
      <w:szCs w:val="24"/>
      <w:lang w:eastAsia="ja-JP"/>
    </w:rPr>
  </w:style>
  <w:style w:type="paragraph" w:customStyle="1" w:styleId="Style47">
    <w:name w:val="Style47"/>
    <w:basedOn w:val="Normal"/>
    <w:uiPriority w:val="99"/>
    <w:rsid w:val="00B66DF8"/>
    <w:pPr>
      <w:widowControl w:val="0"/>
      <w:autoSpaceDE w:val="0"/>
      <w:autoSpaceDN w:val="0"/>
      <w:adjustRightInd w:val="0"/>
      <w:jc w:val="left"/>
    </w:pPr>
    <w:rPr>
      <w:rFonts w:ascii="Arial" w:eastAsia="MS Minchofalt" w:hAnsi="Arial" w:cs="Arial"/>
      <w:sz w:val="24"/>
      <w:szCs w:val="24"/>
      <w:lang w:eastAsia="ja-JP"/>
    </w:rPr>
  </w:style>
  <w:style w:type="paragraph" w:customStyle="1" w:styleId="Style48">
    <w:name w:val="Style48"/>
    <w:basedOn w:val="Normal"/>
    <w:uiPriority w:val="99"/>
    <w:rsid w:val="00B66DF8"/>
    <w:pPr>
      <w:widowControl w:val="0"/>
      <w:autoSpaceDE w:val="0"/>
      <w:autoSpaceDN w:val="0"/>
      <w:adjustRightInd w:val="0"/>
      <w:spacing w:line="211" w:lineRule="exact"/>
      <w:ind w:hanging="293"/>
      <w:jc w:val="left"/>
    </w:pPr>
    <w:rPr>
      <w:rFonts w:ascii="Arial" w:eastAsia="MS Minchofalt" w:hAnsi="Arial" w:cs="Arial"/>
      <w:sz w:val="24"/>
      <w:szCs w:val="24"/>
      <w:lang w:eastAsia="ja-JP"/>
    </w:rPr>
  </w:style>
  <w:style w:type="character" w:customStyle="1" w:styleId="FontStyle78">
    <w:name w:val="Font Style78"/>
    <w:uiPriority w:val="99"/>
    <w:rsid w:val="00B66DF8"/>
    <w:rPr>
      <w:rFonts w:ascii="Arial" w:hAnsi="Arial" w:cs="Arial"/>
      <w:sz w:val="14"/>
      <w:szCs w:val="14"/>
    </w:rPr>
  </w:style>
  <w:style w:type="paragraph" w:customStyle="1" w:styleId="Style4">
    <w:name w:val="Style4"/>
    <w:basedOn w:val="Normal"/>
    <w:uiPriority w:val="99"/>
    <w:rsid w:val="00B66DF8"/>
    <w:pPr>
      <w:widowControl w:val="0"/>
      <w:autoSpaceDE w:val="0"/>
      <w:autoSpaceDN w:val="0"/>
      <w:adjustRightInd w:val="0"/>
      <w:jc w:val="left"/>
    </w:pPr>
    <w:rPr>
      <w:rFonts w:ascii="Arial" w:eastAsia="MS Minchofalt" w:hAnsi="Arial" w:cs="Arial"/>
      <w:sz w:val="24"/>
      <w:szCs w:val="24"/>
      <w:lang w:eastAsia="ja-JP"/>
    </w:rPr>
  </w:style>
  <w:style w:type="paragraph" w:customStyle="1" w:styleId="Style50">
    <w:name w:val="Style50"/>
    <w:basedOn w:val="Normal"/>
    <w:uiPriority w:val="99"/>
    <w:rsid w:val="00B66DF8"/>
    <w:pPr>
      <w:widowControl w:val="0"/>
      <w:autoSpaceDE w:val="0"/>
      <w:autoSpaceDN w:val="0"/>
      <w:adjustRightInd w:val="0"/>
      <w:spacing w:line="211" w:lineRule="exact"/>
      <w:ind w:hanging="293"/>
      <w:jc w:val="left"/>
    </w:pPr>
    <w:rPr>
      <w:rFonts w:ascii="Arial" w:eastAsia="MS Minchofalt" w:hAnsi="Arial" w:cs="Arial"/>
      <w:sz w:val="24"/>
      <w:szCs w:val="24"/>
      <w:lang w:eastAsia="ja-JP"/>
    </w:rPr>
  </w:style>
  <w:style w:type="paragraph" w:customStyle="1" w:styleId="Style51">
    <w:name w:val="Style51"/>
    <w:basedOn w:val="Normal"/>
    <w:uiPriority w:val="99"/>
    <w:rsid w:val="00B66DF8"/>
    <w:pPr>
      <w:widowControl w:val="0"/>
      <w:autoSpaceDE w:val="0"/>
      <w:autoSpaceDN w:val="0"/>
      <w:adjustRightInd w:val="0"/>
      <w:spacing w:line="211" w:lineRule="exact"/>
      <w:jc w:val="left"/>
    </w:pPr>
    <w:rPr>
      <w:rFonts w:ascii="Arial" w:eastAsia="MS Minchofalt" w:hAnsi="Arial" w:cs="Arial"/>
      <w:sz w:val="24"/>
      <w:szCs w:val="24"/>
      <w:lang w:eastAsia="ja-JP"/>
    </w:rPr>
  </w:style>
  <w:style w:type="paragraph" w:customStyle="1" w:styleId="Style9">
    <w:name w:val="Style9"/>
    <w:basedOn w:val="Normal"/>
    <w:uiPriority w:val="99"/>
    <w:rsid w:val="00B66DF8"/>
    <w:pPr>
      <w:widowControl w:val="0"/>
      <w:autoSpaceDE w:val="0"/>
      <w:autoSpaceDN w:val="0"/>
      <w:adjustRightInd w:val="0"/>
      <w:jc w:val="left"/>
    </w:pPr>
    <w:rPr>
      <w:rFonts w:ascii="Arial" w:eastAsia="MS Minchofalt" w:hAnsi="Arial" w:cs="Arial"/>
      <w:sz w:val="24"/>
      <w:szCs w:val="24"/>
      <w:lang w:eastAsia="ja-JP"/>
    </w:rPr>
  </w:style>
  <w:style w:type="paragraph" w:customStyle="1" w:styleId="Style14">
    <w:name w:val="Style14"/>
    <w:basedOn w:val="Normal"/>
    <w:uiPriority w:val="99"/>
    <w:rsid w:val="00B66DF8"/>
    <w:pPr>
      <w:widowControl w:val="0"/>
      <w:autoSpaceDE w:val="0"/>
      <w:autoSpaceDN w:val="0"/>
      <w:adjustRightInd w:val="0"/>
      <w:spacing w:line="266" w:lineRule="exact"/>
    </w:pPr>
    <w:rPr>
      <w:rFonts w:ascii="Arial" w:eastAsia="MS Minchofalt" w:hAnsi="Arial" w:cs="Arial"/>
      <w:sz w:val="24"/>
      <w:szCs w:val="24"/>
      <w:lang w:eastAsia="ja-JP"/>
    </w:rPr>
  </w:style>
  <w:style w:type="paragraph" w:customStyle="1" w:styleId="Style15">
    <w:name w:val="Style15"/>
    <w:basedOn w:val="Normal"/>
    <w:uiPriority w:val="99"/>
    <w:rsid w:val="00B66DF8"/>
    <w:pPr>
      <w:widowControl w:val="0"/>
      <w:autoSpaceDE w:val="0"/>
      <w:autoSpaceDN w:val="0"/>
      <w:adjustRightInd w:val="0"/>
      <w:spacing w:line="216" w:lineRule="exact"/>
      <w:ind w:firstLine="106"/>
    </w:pPr>
    <w:rPr>
      <w:rFonts w:ascii="Arial" w:eastAsia="MS Minchofalt" w:hAnsi="Arial" w:cs="Arial"/>
      <w:sz w:val="24"/>
      <w:szCs w:val="24"/>
      <w:lang w:eastAsia="ja-JP"/>
    </w:rPr>
  </w:style>
  <w:style w:type="character" w:customStyle="1" w:styleId="FontStyle27">
    <w:name w:val="Font Style27"/>
    <w:uiPriority w:val="99"/>
    <w:rsid w:val="00B66DF8"/>
    <w:rPr>
      <w:rFonts w:ascii="Arial" w:hAnsi="Arial" w:cs="Arial"/>
      <w:b/>
      <w:bCs/>
      <w:sz w:val="18"/>
      <w:szCs w:val="18"/>
    </w:rPr>
  </w:style>
  <w:style w:type="character" w:customStyle="1" w:styleId="FontStyle28">
    <w:name w:val="Font Style28"/>
    <w:uiPriority w:val="99"/>
    <w:rsid w:val="00B66DF8"/>
    <w:rPr>
      <w:rFonts w:ascii="Arial" w:hAnsi="Arial" w:cs="Arial"/>
      <w:sz w:val="16"/>
      <w:szCs w:val="16"/>
    </w:rPr>
  </w:style>
  <w:style w:type="paragraph" w:customStyle="1" w:styleId="Style12">
    <w:name w:val="Style12"/>
    <w:basedOn w:val="Normal"/>
    <w:uiPriority w:val="99"/>
    <w:rsid w:val="00B66DF8"/>
    <w:pPr>
      <w:widowControl w:val="0"/>
      <w:autoSpaceDE w:val="0"/>
      <w:autoSpaceDN w:val="0"/>
      <w:adjustRightInd w:val="0"/>
      <w:jc w:val="left"/>
    </w:pPr>
    <w:rPr>
      <w:rFonts w:ascii="Arial" w:eastAsia="MS Minchofalt" w:hAnsi="Arial" w:cs="Arial"/>
      <w:sz w:val="24"/>
      <w:szCs w:val="24"/>
      <w:lang w:eastAsia="ja-JP"/>
    </w:rPr>
  </w:style>
  <w:style w:type="character" w:customStyle="1" w:styleId="FontStyle33">
    <w:name w:val="Font Style33"/>
    <w:uiPriority w:val="99"/>
    <w:rsid w:val="00B66DF8"/>
    <w:rPr>
      <w:rFonts w:ascii="Arial" w:hAnsi="Arial" w:cs="Arial"/>
      <w:sz w:val="14"/>
      <w:szCs w:val="14"/>
    </w:rPr>
  </w:style>
  <w:style w:type="paragraph" w:styleId="NormalWeb">
    <w:name w:val="Normal (Web)"/>
    <w:basedOn w:val="Normal"/>
    <w:uiPriority w:val="99"/>
    <w:rsid w:val="00B66DF8"/>
    <w:pPr>
      <w:spacing w:before="100" w:beforeAutospacing="1" w:after="100" w:afterAutospacing="1"/>
      <w:jc w:val="left"/>
    </w:pPr>
    <w:rPr>
      <w:sz w:val="24"/>
      <w:szCs w:val="24"/>
      <w:lang w:eastAsia="bg-BG"/>
    </w:rPr>
  </w:style>
  <w:style w:type="paragraph" w:styleId="FootnoteText">
    <w:name w:val="footnote text"/>
    <w:basedOn w:val="Normal"/>
    <w:link w:val="FootnoteTextChar"/>
    <w:uiPriority w:val="99"/>
    <w:semiHidden/>
    <w:rsid w:val="00B66DF8"/>
    <w:pPr>
      <w:spacing w:after="200" w:line="276" w:lineRule="auto"/>
      <w:jc w:val="left"/>
    </w:pPr>
    <w:rPr>
      <w:rFonts w:ascii="Calibri" w:eastAsia="Calibri" w:hAnsi="Calibri" w:cs="Calibri"/>
      <w:sz w:val="20"/>
      <w:szCs w:val="20"/>
    </w:rPr>
  </w:style>
  <w:style w:type="character" w:customStyle="1" w:styleId="FootnoteTextChar">
    <w:name w:val="Footnote Text Char"/>
    <w:basedOn w:val="DefaultParagraphFont"/>
    <w:link w:val="FootnoteText"/>
    <w:uiPriority w:val="99"/>
    <w:locked/>
    <w:rsid w:val="00B66DF8"/>
    <w:rPr>
      <w:rFonts w:ascii="Calibri" w:hAnsi="Calibri" w:cs="Calibri"/>
      <w:sz w:val="20"/>
      <w:szCs w:val="20"/>
    </w:rPr>
  </w:style>
  <w:style w:type="character" w:styleId="FootnoteReference">
    <w:name w:val="footnote reference"/>
    <w:basedOn w:val="DefaultParagraphFont"/>
    <w:uiPriority w:val="99"/>
    <w:semiHidden/>
    <w:rsid w:val="00B66DF8"/>
    <w:rPr>
      <w:vertAlign w:val="superscript"/>
    </w:rPr>
  </w:style>
  <w:style w:type="character" w:customStyle="1" w:styleId="ldef">
    <w:name w:val="ldef"/>
    <w:uiPriority w:val="99"/>
    <w:rsid w:val="00B66DF8"/>
  </w:style>
  <w:style w:type="character" w:styleId="EndnoteReference">
    <w:name w:val="endnote reference"/>
    <w:basedOn w:val="DefaultParagraphFont"/>
    <w:uiPriority w:val="99"/>
    <w:semiHidden/>
    <w:rsid w:val="00B66DF8"/>
    <w:rPr>
      <w:vertAlign w:val="superscript"/>
    </w:rPr>
  </w:style>
  <w:style w:type="paragraph" w:styleId="DocumentMap">
    <w:name w:val="Document Map"/>
    <w:basedOn w:val="Normal"/>
    <w:link w:val="DocumentMapChar"/>
    <w:uiPriority w:val="99"/>
    <w:semiHidden/>
    <w:rsid w:val="00B66DF8"/>
    <w:rPr>
      <w:rFonts w:ascii="Tahoma" w:hAnsi="Tahoma" w:cs="Tahoma"/>
      <w:sz w:val="16"/>
      <w:szCs w:val="16"/>
      <w:lang w:val="en-US"/>
    </w:rPr>
  </w:style>
  <w:style w:type="character" w:customStyle="1" w:styleId="DocumentMapChar">
    <w:name w:val="Document Map Char"/>
    <w:basedOn w:val="DefaultParagraphFont"/>
    <w:link w:val="DocumentMap"/>
    <w:uiPriority w:val="99"/>
    <w:locked/>
    <w:rsid w:val="00B66DF8"/>
    <w:rPr>
      <w:rFonts w:ascii="Tahoma" w:hAnsi="Tahoma" w:cs="Tahoma"/>
      <w:sz w:val="16"/>
      <w:szCs w:val="16"/>
      <w:lang w:val="en-US"/>
    </w:rPr>
  </w:style>
  <w:style w:type="character" w:customStyle="1" w:styleId="search1">
    <w:name w:val="search1"/>
    <w:uiPriority w:val="99"/>
    <w:rsid w:val="00B66DF8"/>
  </w:style>
  <w:style w:type="character" w:customStyle="1" w:styleId="move-down">
    <w:name w:val="move-down"/>
    <w:uiPriority w:val="99"/>
    <w:rsid w:val="00B66DF8"/>
  </w:style>
  <w:style w:type="paragraph" w:styleId="Revision">
    <w:name w:val="Revision"/>
    <w:hidden/>
    <w:uiPriority w:val="99"/>
    <w:semiHidden/>
    <w:rsid w:val="00B66DF8"/>
    <w:rPr>
      <w:rFonts w:ascii="Times New Roman" w:eastAsia="Times New Roman" w:hAnsi="Times New Roman"/>
      <w:sz w:val="22"/>
      <w:szCs w:val="22"/>
      <w:lang w:eastAsia="en-US"/>
    </w:rPr>
  </w:style>
  <w:style w:type="paragraph" w:customStyle="1" w:styleId="CM1">
    <w:name w:val="CM1"/>
    <w:basedOn w:val="Normal"/>
    <w:next w:val="Normal"/>
    <w:uiPriority w:val="99"/>
    <w:rsid w:val="00B66DF8"/>
    <w:pPr>
      <w:autoSpaceDE w:val="0"/>
      <w:autoSpaceDN w:val="0"/>
      <w:adjustRightInd w:val="0"/>
      <w:jc w:val="left"/>
    </w:pPr>
    <w:rPr>
      <w:rFonts w:eastAsia="Calibri"/>
      <w:sz w:val="24"/>
      <w:szCs w:val="24"/>
      <w:lang w:eastAsia="bg-BG"/>
    </w:rPr>
  </w:style>
  <w:style w:type="paragraph" w:customStyle="1" w:styleId="CM3">
    <w:name w:val="CM3"/>
    <w:basedOn w:val="Normal"/>
    <w:next w:val="Normal"/>
    <w:uiPriority w:val="99"/>
    <w:rsid w:val="00B66DF8"/>
    <w:pPr>
      <w:autoSpaceDE w:val="0"/>
      <w:autoSpaceDN w:val="0"/>
      <w:adjustRightInd w:val="0"/>
      <w:jc w:val="left"/>
    </w:pPr>
    <w:rPr>
      <w:rFonts w:eastAsia="Calibri"/>
      <w:sz w:val="24"/>
      <w:szCs w:val="24"/>
      <w:lang w:eastAsia="bg-BG"/>
    </w:rPr>
  </w:style>
  <w:style w:type="paragraph" w:customStyle="1" w:styleId="CM10">
    <w:name w:val="CM10"/>
    <w:basedOn w:val="Normal"/>
    <w:uiPriority w:val="99"/>
    <w:rsid w:val="00B66DF8"/>
    <w:pPr>
      <w:widowControl w:val="0"/>
      <w:autoSpaceDE w:val="0"/>
      <w:autoSpaceDN w:val="0"/>
      <w:adjustRightInd w:val="0"/>
      <w:spacing w:before="120" w:after="120" w:line="260" w:lineRule="atLeast"/>
      <w:jc w:val="left"/>
    </w:pPr>
    <w:rPr>
      <w:color w:val="211E1F"/>
      <w:sz w:val="20"/>
      <w:szCs w:val="20"/>
      <w:lang w:val="en-GB"/>
    </w:rPr>
  </w:style>
  <w:style w:type="character" w:customStyle="1" w:styleId="UnresolvedMention1">
    <w:name w:val="Unresolved Mention1"/>
    <w:uiPriority w:val="99"/>
    <w:semiHidden/>
    <w:rsid w:val="00B66DF8"/>
    <w:rPr>
      <w:color w:val="auto"/>
      <w:shd w:val="clear" w:color="auto" w:fill="auto"/>
    </w:rPr>
  </w:style>
  <w:style w:type="paragraph" w:styleId="z-TopofForm">
    <w:name w:val="HTML Top of Form"/>
    <w:basedOn w:val="Normal"/>
    <w:next w:val="Normal"/>
    <w:link w:val="z-TopofFormChar"/>
    <w:hidden/>
    <w:uiPriority w:val="99"/>
    <w:semiHidden/>
    <w:rsid w:val="003312C8"/>
    <w:pPr>
      <w:pBdr>
        <w:bottom w:val="single" w:sz="6" w:space="1" w:color="auto"/>
      </w:pBdr>
      <w:jc w:val="center"/>
    </w:pPr>
    <w:rPr>
      <w:rFonts w:ascii="Arial" w:hAnsi="Arial" w:cs="Arial"/>
      <w:vanish/>
      <w:sz w:val="16"/>
      <w:szCs w:val="16"/>
      <w:lang w:eastAsia="bg-BG"/>
    </w:rPr>
  </w:style>
  <w:style w:type="character" w:customStyle="1" w:styleId="z-TopofFormChar">
    <w:name w:val="z-Top of Form Char"/>
    <w:basedOn w:val="DefaultParagraphFont"/>
    <w:link w:val="z-TopofForm"/>
    <w:uiPriority w:val="99"/>
    <w:semiHidden/>
    <w:locked/>
    <w:rsid w:val="003312C8"/>
    <w:rPr>
      <w:rFonts w:ascii="Arial" w:hAnsi="Arial" w:cs="Arial"/>
      <w:vanish/>
      <w:sz w:val="16"/>
      <w:szCs w:val="16"/>
      <w:lang w:eastAsia="bg-BG"/>
    </w:rPr>
  </w:style>
  <w:style w:type="paragraph" w:styleId="z-BottomofForm">
    <w:name w:val="HTML Bottom of Form"/>
    <w:basedOn w:val="Normal"/>
    <w:next w:val="Normal"/>
    <w:link w:val="z-BottomofFormChar"/>
    <w:hidden/>
    <w:uiPriority w:val="99"/>
    <w:rsid w:val="003312C8"/>
    <w:pPr>
      <w:pBdr>
        <w:top w:val="single" w:sz="6" w:space="1" w:color="auto"/>
      </w:pBdr>
      <w:jc w:val="center"/>
    </w:pPr>
    <w:rPr>
      <w:rFonts w:ascii="Arial" w:hAnsi="Arial" w:cs="Arial"/>
      <w:vanish/>
      <w:sz w:val="16"/>
      <w:szCs w:val="16"/>
      <w:lang w:eastAsia="bg-BG"/>
    </w:rPr>
  </w:style>
  <w:style w:type="character" w:customStyle="1" w:styleId="z-BottomofFormChar">
    <w:name w:val="z-Bottom of Form Char"/>
    <w:basedOn w:val="DefaultParagraphFont"/>
    <w:link w:val="z-BottomofForm"/>
    <w:uiPriority w:val="99"/>
    <w:locked/>
    <w:rsid w:val="003312C8"/>
    <w:rPr>
      <w:rFonts w:ascii="Arial" w:hAnsi="Arial" w:cs="Arial"/>
      <w:vanish/>
      <w:sz w:val="16"/>
      <w:szCs w:val="16"/>
      <w:lang w:eastAsia="bg-BG"/>
    </w:rPr>
  </w:style>
  <w:style w:type="character" w:customStyle="1" w:styleId="a2">
    <w:name w:val="Горен или долен колонтитул_"/>
    <w:basedOn w:val="DefaultParagraphFont"/>
    <w:link w:val="11"/>
    <w:uiPriority w:val="99"/>
    <w:locked/>
    <w:rsid w:val="00341B34"/>
    <w:rPr>
      <w:rFonts w:ascii="Times New Roman" w:hAnsi="Times New Roman" w:cs="Times New Roman"/>
      <w:b/>
      <w:bCs/>
      <w:sz w:val="18"/>
      <w:szCs w:val="18"/>
      <w:shd w:val="clear" w:color="auto" w:fill="FFFFFF"/>
    </w:rPr>
  </w:style>
  <w:style w:type="character" w:customStyle="1" w:styleId="41">
    <w:name w:val="Основен текст4"/>
    <w:basedOn w:val="a0"/>
    <w:uiPriority w:val="99"/>
    <w:rsid w:val="00341B34"/>
    <w:rPr>
      <w:rFonts w:ascii="Times New Roman" w:hAnsi="Times New Roman" w:cs="Times New Roman"/>
      <w:spacing w:val="2"/>
      <w:sz w:val="20"/>
      <w:szCs w:val="20"/>
      <w:u w:val="none"/>
      <w:shd w:val="clear" w:color="auto" w:fill="FFFFFF"/>
    </w:rPr>
  </w:style>
  <w:style w:type="character" w:customStyle="1" w:styleId="2">
    <w:name w:val="Горен или долен колонтитул2"/>
    <w:basedOn w:val="a2"/>
    <w:uiPriority w:val="99"/>
    <w:rsid w:val="00341B34"/>
    <w:rPr>
      <w:rFonts w:ascii="Times New Roman" w:hAnsi="Times New Roman" w:cs="Times New Roman"/>
      <w:b/>
      <w:bCs/>
      <w:sz w:val="18"/>
      <w:szCs w:val="18"/>
      <w:u w:val="single"/>
      <w:shd w:val="clear" w:color="auto" w:fill="FFFFFF"/>
    </w:rPr>
  </w:style>
  <w:style w:type="character" w:customStyle="1" w:styleId="31">
    <w:name w:val="Основен текст (3) + Удебелен"/>
    <w:basedOn w:val="3"/>
    <w:uiPriority w:val="99"/>
    <w:rsid w:val="00341B34"/>
    <w:rPr>
      <w:rFonts w:ascii="Times New Roman" w:hAnsi="Times New Roman" w:cs="Times New Roman"/>
      <w:b/>
      <w:bCs/>
      <w:i/>
      <w:iCs/>
      <w:spacing w:val="-3"/>
      <w:sz w:val="20"/>
      <w:szCs w:val="20"/>
      <w:u w:val="none"/>
      <w:shd w:val="clear" w:color="auto" w:fill="FFFFFF"/>
    </w:rPr>
  </w:style>
  <w:style w:type="paragraph" w:customStyle="1" w:styleId="12">
    <w:name w:val="Основен текст1"/>
    <w:basedOn w:val="Normal"/>
    <w:uiPriority w:val="99"/>
    <w:rsid w:val="00341B34"/>
    <w:pPr>
      <w:widowControl w:val="0"/>
      <w:shd w:val="clear" w:color="auto" w:fill="FFFFFF"/>
      <w:spacing w:after="240" w:line="240" w:lineRule="atLeast"/>
      <w:ind w:hanging="6540"/>
    </w:pPr>
    <w:rPr>
      <w:sz w:val="20"/>
      <w:szCs w:val="20"/>
      <w:lang w:eastAsia="bg-BG"/>
    </w:rPr>
  </w:style>
  <w:style w:type="paragraph" w:customStyle="1" w:styleId="11">
    <w:name w:val="Горен или долен колонтитул1"/>
    <w:basedOn w:val="Normal"/>
    <w:link w:val="a2"/>
    <w:uiPriority w:val="99"/>
    <w:rsid w:val="00341B34"/>
    <w:pPr>
      <w:widowControl w:val="0"/>
      <w:shd w:val="clear" w:color="auto" w:fill="FFFFFF"/>
      <w:spacing w:line="240" w:lineRule="atLeast"/>
      <w:jc w:val="left"/>
    </w:pPr>
    <w:rPr>
      <w:rFonts w:eastAsia="Calibri"/>
      <w:b/>
      <w:bCs/>
      <w:sz w:val="18"/>
      <w:szCs w:val="18"/>
    </w:rPr>
  </w:style>
  <w:style w:type="table" w:styleId="LightShading-Accent3">
    <w:name w:val="Light Shading Accent 3"/>
    <w:basedOn w:val="TableNormal"/>
    <w:uiPriority w:val="99"/>
    <w:rsid w:val="00DA0CE1"/>
    <w:rPr>
      <w:rFonts w:cs="Calibri"/>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character" w:customStyle="1" w:styleId="a3">
    <w:name w:val="Заглавие на таблица"/>
    <w:uiPriority w:val="99"/>
    <w:rsid w:val="00B73916"/>
    <w:rPr>
      <w:rFonts w:ascii="Times New Roman" w:hAnsi="Times New Roman" w:cs="Times New Roman"/>
      <w:b/>
      <w:bCs/>
      <w:color w:val="000000"/>
      <w:spacing w:val="0"/>
      <w:w w:val="100"/>
      <w:position w:val="0"/>
      <w:sz w:val="23"/>
      <w:szCs w:val="23"/>
      <w:u w:val="single"/>
      <w:lang w:val="bg-BG"/>
    </w:rPr>
  </w:style>
  <w:style w:type="character" w:customStyle="1" w:styleId="a4">
    <w:name w:val="Основен текст + Курсив"/>
    <w:uiPriority w:val="99"/>
    <w:rsid w:val="00B73916"/>
    <w:rPr>
      <w:rFonts w:ascii="Times New Roman" w:hAnsi="Times New Roman" w:cs="Times New Roman"/>
      <w:b/>
      <w:bCs/>
      <w:i/>
      <w:iCs/>
      <w:color w:val="000000"/>
      <w:spacing w:val="0"/>
      <w:w w:val="100"/>
      <w:position w:val="0"/>
      <w:sz w:val="23"/>
      <w:szCs w:val="23"/>
      <w:u w:val="none"/>
      <w:shd w:val="clear" w:color="auto" w:fill="FFFFFF"/>
      <w:lang w:val="bg-BG"/>
    </w:rPr>
  </w:style>
  <w:style w:type="paragraph" w:customStyle="1" w:styleId="xl55">
    <w:name w:val="xl55"/>
    <w:basedOn w:val="Normal"/>
    <w:uiPriority w:val="99"/>
    <w:rsid w:val="00B73916"/>
    <w:pPr>
      <w:spacing w:before="100" w:beforeAutospacing="1" w:after="100" w:afterAutospacing="1"/>
      <w:jc w:val="left"/>
      <w:textAlignment w:val="center"/>
    </w:pPr>
    <w:rPr>
      <w:rFonts w:eastAsia="Arial Unicode MS"/>
      <w:sz w:val="24"/>
      <w:szCs w:val="24"/>
      <w:lang w:val="en-GB"/>
    </w:rPr>
  </w:style>
  <w:style w:type="character" w:styleId="Emphasis">
    <w:name w:val="Emphasis"/>
    <w:basedOn w:val="DefaultParagraphFont"/>
    <w:uiPriority w:val="99"/>
    <w:qFormat/>
    <w:rsid w:val="00B73916"/>
    <w:rPr>
      <w:i/>
      <w:iCs/>
    </w:rPr>
  </w:style>
  <w:style w:type="paragraph" w:customStyle="1" w:styleId="Standard">
    <w:name w:val="Standard"/>
    <w:uiPriority w:val="99"/>
    <w:rsid w:val="00B73916"/>
    <w:pPr>
      <w:widowControl w:val="0"/>
      <w:suppressAutoHyphens/>
      <w:autoSpaceDN w:val="0"/>
      <w:textAlignment w:val="baseline"/>
    </w:pPr>
    <w:rPr>
      <w:rFonts w:ascii="Times New Roman" w:hAnsi="Times New Roman"/>
      <w:kern w:val="3"/>
      <w:sz w:val="24"/>
      <w:szCs w:val="24"/>
      <w:lang w:val="de-DE" w:eastAsia="ja-JP"/>
    </w:rPr>
  </w:style>
  <w:style w:type="character" w:customStyle="1" w:styleId="EndnoteTextChar1">
    <w:name w:val="Endnote Text Char1"/>
    <w:uiPriority w:val="99"/>
    <w:rsid w:val="00B73916"/>
    <w:rPr>
      <w:rFonts w:ascii="Arial" w:hAnsi="Arial" w:cs="Arial"/>
      <w:sz w:val="24"/>
      <w:szCs w:val="24"/>
      <w:lang w:val="en-GB"/>
    </w:rPr>
  </w:style>
  <w:style w:type="paragraph" w:styleId="NoSpacing">
    <w:name w:val="No Spacing"/>
    <w:uiPriority w:val="99"/>
    <w:qFormat/>
    <w:rsid w:val="00B73916"/>
    <w:pPr>
      <w:jc w:val="both"/>
    </w:pPr>
    <w:rPr>
      <w:rFonts w:ascii="Times New Roman" w:eastAsia="Times New Roman" w:hAnsi="Times New Roman"/>
      <w:sz w:val="22"/>
      <w:szCs w:val="22"/>
      <w:lang w:eastAsia="en-US"/>
    </w:rPr>
  </w:style>
  <w:style w:type="character" w:customStyle="1" w:styleId="000NormalChar">
    <w:name w:val="000 Normal Char"/>
    <w:link w:val="000Normal"/>
    <w:uiPriority w:val="99"/>
    <w:locked/>
    <w:rsid w:val="00B73916"/>
    <w:rPr>
      <w:rFonts w:ascii="Garamond" w:hAnsi="Garamond" w:cs="Garamond"/>
      <w:sz w:val="24"/>
      <w:szCs w:val="24"/>
    </w:rPr>
  </w:style>
  <w:style w:type="character" w:styleId="Strong">
    <w:name w:val="Strong"/>
    <w:basedOn w:val="DefaultParagraphFont"/>
    <w:uiPriority w:val="99"/>
    <w:qFormat/>
    <w:rsid w:val="00B73916"/>
    <w:rPr>
      <w:b/>
      <w:bCs/>
    </w:rPr>
  </w:style>
  <w:style w:type="paragraph" w:customStyle="1" w:styleId="Default">
    <w:name w:val="Default"/>
    <w:uiPriority w:val="99"/>
    <w:rsid w:val="00942817"/>
    <w:pPr>
      <w:suppressAutoHyphens/>
      <w:autoSpaceDE w:val="0"/>
      <w:autoSpaceDN w:val="0"/>
      <w:textAlignment w:val="baseline"/>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832379">
      <w:marLeft w:val="0"/>
      <w:marRight w:val="0"/>
      <w:marTop w:val="0"/>
      <w:marBottom w:val="0"/>
      <w:divBdr>
        <w:top w:val="none" w:sz="0" w:space="0" w:color="auto"/>
        <w:left w:val="none" w:sz="0" w:space="0" w:color="auto"/>
        <w:bottom w:val="none" w:sz="0" w:space="0" w:color="auto"/>
        <w:right w:val="none" w:sz="0" w:space="0" w:color="auto"/>
      </w:divBdr>
    </w:div>
    <w:div w:id="1243832380">
      <w:marLeft w:val="0"/>
      <w:marRight w:val="0"/>
      <w:marTop w:val="0"/>
      <w:marBottom w:val="0"/>
      <w:divBdr>
        <w:top w:val="none" w:sz="0" w:space="0" w:color="auto"/>
        <w:left w:val="none" w:sz="0" w:space="0" w:color="auto"/>
        <w:bottom w:val="none" w:sz="0" w:space="0" w:color="auto"/>
        <w:right w:val="none" w:sz="0" w:space="0" w:color="auto"/>
      </w:divBdr>
    </w:div>
    <w:div w:id="1243832381">
      <w:marLeft w:val="0"/>
      <w:marRight w:val="0"/>
      <w:marTop w:val="0"/>
      <w:marBottom w:val="0"/>
      <w:divBdr>
        <w:top w:val="none" w:sz="0" w:space="0" w:color="auto"/>
        <w:left w:val="none" w:sz="0" w:space="0" w:color="auto"/>
        <w:bottom w:val="none" w:sz="0" w:space="0" w:color="auto"/>
        <w:right w:val="none" w:sz="0" w:space="0" w:color="auto"/>
      </w:divBdr>
    </w:div>
    <w:div w:id="1243832382">
      <w:marLeft w:val="0"/>
      <w:marRight w:val="0"/>
      <w:marTop w:val="0"/>
      <w:marBottom w:val="0"/>
      <w:divBdr>
        <w:top w:val="none" w:sz="0" w:space="0" w:color="auto"/>
        <w:left w:val="none" w:sz="0" w:space="0" w:color="auto"/>
        <w:bottom w:val="none" w:sz="0" w:space="0" w:color="auto"/>
        <w:right w:val="none" w:sz="0" w:space="0" w:color="auto"/>
      </w:divBdr>
    </w:div>
    <w:div w:id="1243832383">
      <w:marLeft w:val="0"/>
      <w:marRight w:val="0"/>
      <w:marTop w:val="0"/>
      <w:marBottom w:val="0"/>
      <w:divBdr>
        <w:top w:val="none" w:sz="0" w:space="0" w:color="auto"/>
        <w:left w:val="none" w:sz="0" w:space="0" w:color="auto"/>
        <w:bottom w:val="none" w:sz="0" w:space="0" w:color="auto"/>
        <w:right w:val="none" w:sz="0" w:space="0" w:color="auto"/>
      </w:divBdr>
    </w:div>
    <w:div w:id="1243832384">
      <w:marLeft w:val="0"/>
      <w:marRight w:val="0"/>
      <w:marTop w:val="0"/>
      <w:marBottom w:val="0"/>
      <w:divBdr>
        <w:top w:val="none" w:sz="0" w:space="0" w:color="auto"/>
        <w:left w:val="none" w:sz="0" w:space="0" w:color="auto"/>
        <w:bottom w:val="none" w:sz="0" w:space="0" w:color="auto"/>
        <w:right w:val="none" w:sz="0" w:space="0" w:color="auto"/>
      </w:divBdr>
    </w:div>
    <w:div w:id="1243832385">
      <w:marLeft w:val="0"/>
      <w:marRight w:val="0"/>
      <w:marTop w:val="0"/>
      <w:marBottom w:val="0"/>
      <w:divBdr>
        <w:top w:val="none" w:sz="0" w:space="0" w:color="auto"/>
        <w:left w:val="none" w:sz="0" w:space="0" w:color="auto"/>
        <w:bottom w:val="none" w:sz="0" w:space="0" w:color="auto"/>
        <w:right w:val="none" w:sz="0" w:space="0" w:color="auto"/>
      </w:divBdr>
    </w:div>
    <w:div w:id="1243832386">
      <w:marLeft w:val="0"/>
      <w:marRight w:val="0"/>
      <w:marTop w:val="0"/>
      <w:marBottom w:val="0"/>
      <w:divBdr>
        <w:top w:val="none" w:sz="0" w:space="0" w:color="auto"/>
        <w:left w:val="none" w:sz="0" w:space="0" w:color="auto"/>
        <w:bottom w:val="none" w:sz="0" w:space="0" w:color="auto"/>
        <w:right w:val="none" w:sz="0" w:space="0" w:color="auto"/>
      </w:divBdr>
    </w:div>
    <w:div w:id="1243832387">
      <w:marLeft w:val="0"/>
      <w:marRight w:val="0"/>
      <w:marTop w:val="0"/>
      <w:marBottom w:val="0"/>
      <w:divBdr>
        <w:top w:val="none" w:sz="0" w:space="0" w:color="auto"/>
        <w:left w:val="none" w:sz="0" w:space="0" w:color="auto"/>
        <w:bottom w:val="none" w:sz="0" w:space="0" w:color="auto"/>
        <w:right w:val="none" w:sz="0" w:space="0" w:color="auto"/>
      </w:divBdr>
    </w:div>
    <w:div w:id="1243832388">
      <w:marLeft w:val="0"/>
      <w:marRight w:val="0"/>
      <w:marTop w:val="0"/>
      <w:marBottom w:val="0"/>
      <w:divBdr>
        <w:top w:val="none" w:sz="0" w:space="0" w:color="auto"/>
        <w:left w:val="none" w:sz="0" w:space="0" w:color="auto"/>
        <w:bottom w:val="none" w:sz="0" w:space="0" w:color="auto"/>
        <w:right w:val="none" w:sz="0" w:space="0" w:color="auto"/>
      </w:divBdr>
    </w:div>
    <w:div w:id="1243832389">
      <w:marLeft w:val="0"/>
      <w:marRight w:val="0"/>
      <w:marTop w:val="0"/>
      <w:marBottom w:val="0"/>
      <w:divBdr>
        <w:top w:val="none" w:sz="0" w:space="0" w:color="auto"/>
        <w:left w:val="none" w:sz="0" w:space="0" w:color="auto"/>
        <w:bottom w:val="none" w:sz="0" w:space="0" w:color="auto"/>
        <w:right w:val="none" w:sz="0" w:space="0" w:color="auto"/>
      </w:divBdr>
    </w:div>
    <w:div w:id="1243832390">
      <w:marLeft w:val="0"/>
      <w:marRight w:val="0"/>
      <w:marTop w:val="0"/>
      <w:marBottom w:val="0"/>
      <w:divBdr>
        <w:top w:val="none" w:sz="0" w:space="0" w:color="auto"/>
        <w:left w:val="none" w:sz="0" w:space="0" w:color="auto"/>
        <w:bottom w:val="none" w:sz="0" w:space="0" w:color="auto"/>
        <w:right w:val="none" w:sz="0" w:space="0" w:color="auto"/>
      </w:divBdr>
    </w:div>
    <w:div w:id="1243832391">
      <w:marLeft w:val="0"/>
      <w:marRight w:val="0"/>
      <w:marTop w:val="0"/>
      <w:marBottom w:val="0"/>
      <w:divBdr>
        <w:top w:val="none" w:sz="0" w:space="0" w:color="auto"/>
        <w:left w:val="none" w:sz="0" w:space="0" w:color="auto"/>
        <w:bottom w:val="none" w:sz="0" w:space="0" w:color="auto"/>
        <w:right w:val="none" w:sz="0" w:space="0" w:color="auto"/>
      </w:divBdr>
    </w:div>
    <w:div w:id="1243832392">
      <w:marLeft w:val="0"/>
      <w:marRight w:val="0"/>
      <w:marTop w:val="0"/>
      <w:marBottom w:val="0"/>
      <w:divBdr>
        <w:top w:val="none" w:sz="0" w:space="0" w:color="auto"/>
        <w:left w:val="none" w:sz="0" w:space="0" w:color="auto"/>
        <w:bottom w:val="none" w:sz="0" w:space="0" w:color="auto"/>
        <w:right w:val="none" w:sz="0" w:space="0" w:color="auto"/>
      </w:divBdr>
    </w:div>
    <w:div w:id="1243832393">
      <w:marLeft w:val="0"/>
      <w:marRight w:val="0"/>
      <w:marTop w:val="0"/>
      <w:marBottom w:val="0"/>
      <w:divBdr>
        <w:top w:val="none" w:sz="0" w:space="0" w:color="auto"/>
        <w:left w:val="none" w:sz="0" w:space="0" w:color="auto"/>
        <w:bottom w:val="none" w:sz="0" w:space="0" w:color="auto"/>
        <w:right w:val="none" w:sz="0" w:space="0" w:color="auto"/>
      </w:divBdr>
    </w:div>
    <w:div w:id="1243832394">
      <w:marLeft w:val="0"/>
      <w:marRight w:val="0"/>
      <w:marTop w:val="0"/>
      <w:marBottom w:val="0"/>
      <w:divBdr>
        <w:top w:val="none" w:sz="0" w:space="0" w:color="auto"/>
        <w:left w:val="none" w:sz="0" w:space="0" w:color="auto"/>
        <w:bottom w:val="none" w:sz="0" w:space="0" w:color="auto"/>
        <w:right w:val="none" w:sz="0" w:space="0" w:color="auto"/>
      </w:divBdr>
    </w:div>
    <w:div w:id="1243832395">
      <w:marLeft w:val="0"/>
      <w:marRight w:val="0"/>
      <w:marTop w:val="0"/>
      <w:marBottom w:val="0"/>
      <w:divBdr>
        <w:top w:val="none" w:sz="0" w:space="0" w:color="auto"/>
        <w:left w:val="none" w:sz="0" w:space="0" w:color="auto"/>
        <w:bottom w:val="none" w:sz="0" w:space="0" w:color="auto"/>
        <w:right w:val="none" w:sz="0" w:space="0" w:color="auto"/>
      </w:divBdr>
    </w:div>
    <w:div w:id="1243832396">
      <w:marLeft w:val="0"/>
      <w:marRight w:val="0"/>
      <w:marTop w:val="0"/>
      <w:marBottom w:val="0"/>
      <w:divBdr>
        <w:top w:val="none" w:sz="0" w:space="0" w:color="auto"/>
        <w:left w:val="none" w:sz="0" w:space="0" w:color="auto"/>
        <w:bottom w:val="none" w:sz="0" w:space="0" w:color="auto"/>
        <w:right w:val="none" w:sz="0" w:space="0" w:color="auto"/>
      </w:divBdr>
    </w:div>
    <w:div w:id="1243832397">
      <w:marLeft w:val="0"/>
      <w:marRight w:val="0"/>
      <w:marTop w:val="0"/>
      <w:marBottom w:val="0"/>
      <w:divBdr>
        <w:top w:val="none" w:sz="0" w:space="0" w:color="auto"/>
        <w:left w:val="none" w:sz="0" w:space="0" w:color="auto"/>
        <w:bottom w:val="none" w:sz="0" w:space="0" w:color="auto"/>
        <w:right w:val="none" w:sz="0" w:space="0" w:color="auto"/>
      </w:divBdr>
    </w:div>
    <w:div w:id="1243832398">
      <w:marLeft w:val="0"/>
      <w:marRight w:val="0"/>
      <w:marTop w:val="0"/>
      <w:marBottom w:val="0"/>
      <w:divBdr>
        <w:top w:val="none" w:sz="0" w:space="0" w:color="auto"/>
        <w:left w:val="none" w:sz="0" w:space="0" w:color="auto"/>
        <w:bottom w:val="none" w:sz="0" w:space="0" w:color="auto"/>
        <w:right w:val="none" w:sz="0" w:space="0" w:color="auto"/>
      </w:divBdr>
    </w:div>
    <w:div w:id="1243832399">
      <w:marLeft w:val="0"/>
      <w:marRight w:val="0"/>
      <w:marTop w:val="0"/>
      <w:marBottom w:val="0"/>
      <w:divBdr>
        <w:top w:val="none" w:sz="0" w:space="0" w:color="auto"/>
        <w:left w:val="none" w:sz="0" w:space="0" w:color="auto"/>
        <w:bottom w:val="none" w:sz="0" w:space="0" w:color="auto"/>
        <w:right w:val="none" w:sz="0" w:space="0" w:color="auto"/>
      </w:divBdr>
    </w:div>
    <w:div w:id="1243832400">
      <w:marLeft w:val="0"/>
      <w:marRight w:val="0"/>
      <w:marTop w:val="0"/>
      <w:marBottom w:val="0"/>
      <w:divBdr>
        <w:top w:val="none" w:sz="0" w:space="0" w:color="auto"/>
        <w:left w:val="none" w:sz="0" w:space="0" w:color="auto"/>
        <w:bottom w:val="none" w:sz="0" w:space="0" w:color="auto"/>
        <w:right w:val="none" w:sz="0" w:space="0" w:color="auto"/>
      </w:divBdr>
    </w:div>
    <w:div w:id="1243832401">
      <w:marLeft w:val="0"/>
      <w:marRight w:val="0"/>
      <w:marTop w:val="0"/>
      <w:marBottom w:val="0"/>
      <w:divBdr>
        <w:top w:val="none" w:sz="0" w:space="0" w:color="auto"/>
        <w:left w:val="none" w:sz="0" w:space="0" w:color="auto"/>
        <w:bottom w:val="none" w:sz="0" w:space="0" w:color="auto"/>
        <w:right w:val="none" w:sz="0" w:space="0" w:color="auto"/>
      </w:divBdr>
    </w:div>
    <w:div w:id="1243832402">
      <w:marLeft w:val="0"/>
      <w:marRight w:val="0"/>
      <w:marTop w:val="0"/>
      <w:marBottom w:val="0"/>
      <w:divBdr>
        <w:top w:val="none" w:sz="0" w:space="0" w:color="auto"/>
        <w:left w:val="none" w:sz="0" w:space="0" w:color="auto"/>
        <w:bottom w:val="none" w:sz="0" w:space="0" w:color="auto"/>
        <w:right w:val="none" w:sz="0" w:space="0" w:color="auto"/>
      </w:divBdr>
    </w:div>
    <w:div w:id="1243832403">
      <w:marLeft w:val="0"/>
      <w:marRight w:val="0"/>
      <w:marTop w:val="0"/>
      <w:marBottom w:val="0"/>
      <w:divBdr>
        <w:top w:val="none" w:sz="0" w:space="0" w:color="auto"/>
        <w:left w:val="none" w:sz="0" w:space="0" w:color="auto"/>
        <w:bottom w:val="none" w:sz="0" w:space="0" w:color="auto"/>
        <w:right w:val="none" w:sz="0" w:space="0" w:color="auto"/>
      </w:divBdr>
    </w:div>
    <w:div w:id="1243832404">
      <w:marLeft w:val="0"/>
      <w:marRight w:val="0"/>
      <w:marTop w:val="0"/>
      <w:marBottom w:val="0"/>
      <w:divBdr>
        <w:top w:val="none" w:sz="0" w:space="0" w:color="auto"/>
        <w:left w:val="none" w:sz="0" w:space="0" w:color="auto"/>
        <w:bottom w:val="none" w:sz="0" w:space="0" w:color="auto"/>
        <w:right w:val="none" w:sz="0" w:space="0" w:color="auto"/>
      </w:divBdr>
    </w:div>
    <w:div w:id="1243832405">
      <w:marLeft w:val="0"/>
      <w:marRight w:val="0"/>
      <w:marTop w:val="0"/>
      <w:marBottom w:val="0"/>
      <w:divBdr>
        <w:top w:val="none" w:sz="0" w:space="0" w:color="auto"/>
        <w:left w:val="none" w:sz="0" w:space="0" w:color="auto"/>
        <w:bottom w:val="none" w:sz="0" w:space="0" w:color="auto"/>
        <w:right w:val="none" w:sz="0" w:space="0" w:color="auto"/>
      </w:divBdr>
    </w:div>
    <w:div w:id="1243832406">
      <w:marLeft w:val="0"/>
      <w:marRight w:val="0"/>
      <w:marTop w:val="0"/>
      <w:marBottom w:val="0"/>
      <w:divBdr>
        <w:top w:val="none" w:sz="0" w:space="0" w:color="auto"/>
        <w:left w:val="none" w:sz="0" w:space="0" w:color="auto"/>
        <w:bottom w:val="none" w:sz="0" w:space="0" w:color="auto"/>
        <w:right w:val="none" w:sz="0" w:space="0" w:color="auto"/>
      </w:divBdr>
    </w:div>
    <w:div w:id="1243832407">
      <w:marLeft w:val="0"/>
      <w:marRight w:val="0"/>
      <w:marTop w:val="0"/>
      <w:marBottom w:val="0"/>
      <w:divBdr>
        <w:top w:val="none" w:sz="0" w:space="0" w:color="auto"/>
        <w:left w:val="none" w:sz="0" w:space="0" w:color="auto"/>
        <w:bottom w:val="none" w:sz="0" w:space="0" w:color="auto"/>
        <w:right w:val="none" w:sz="0" w:space="0" w:color="auto"/>
      </w:divBdr>
    </w:div>
    <w:div w:id="1243832408">
      <w:marLeft w:val="0"/>
      <w:marRight w:val="0"/>
      <w:marTop w:val="0"/>
      <w:marBottom w:val="0"/>
      <w:divBdr>
        <w:top w:val="none" w:sz="0" w:space="0" w:color="auto"/>
        <w:left w:val="none" w:sz="0" w:space="0" w:color="auto"/>
        <w:bottom w:val="none" w:sz="0" w:space="0" w:color="auto"/>
        <w:right w:val="none" w:sz="0" w:space="0" w:color="auto"/>
      </w:divBdr>
    </w:div>
    <w:div w:id="1243832409">
      <w:marLeft w:val="0"/>
      <w:marRight w:val="0"/>
      <w:marTop w:val="0"/>
      <w:marBottom w:val="0"/>
      <w:divBdr>
        <w:top w:val="none" w:sz="0" w:space="0" w:color="auto"/>
        <w:left w:val="none" w:sz="0" w:space="0" w:color="auto"/>
        <w:bottom w:val="none" w:sz="0" w:space="0" w:color="auto"/>
        <w:right w:val="none" w:sz="0" w:space="0" w:color="auto"/>
      </w:divBdr>
    </w:div>
    <w:div w:id="1243832410">
      <w:marLeft w:val="0"/>
      <w:marRight w:val="0"/>
      <w:marTop w:val="0"/>
      <w:marBottom w:val="0"/>
      <w:divBdr>
        <w:top w:val="none" w:sz="0" w:space="0" w:color="auto"/>
        <w:left w:val="none" w:sz="0" w:space="0" w:color="auto"/>
        <w:bottom w:val="none" w:sz="0" w:space="0" w:color="auto"/>
        <w:right w:val="none" w:sz="0" w:space="0" w:color="auto"/>
      </w:divBdr>
    </w:div>
    <w:div w:id="1243832411">
      <w:marLeft w:val="0"/>
      <w:marRight w:val="0"/>
      <w:marTop w:val="0"/>
      <w:marBottom w:val="0"/>
      <w:divBdr>
        <w:top w:val="none" w:sz="0" w:space="0" w:color="auto"/>
        <w:left w:val="none" w:sz="0" w:space="0" w:color="auto"/>
        <w:bottom w:val="none" w:sz="0" w:space="0" w:color="auto"/>
        <w:right w:val="none" w:sz="0" w:space="0" w:color="auto"/>
      </w:divBdr>
    </w:div>
    <w:div w:id="1243832412">
      <w:marLeft w:val="0"/>
      <w:marRight w:val="0"/>
      <w:marTop w:val="0"/>
      <w:marBottom w:val="0"/>
      <w:divBdr>
        <w:top w:val="none" w:sz="0" w:space="0" w:color="auto"/>
        <w:left w:val="none" w:sz="0" w:space="0" w:color="auto"/>
        <w:bottom w:val="none" w:sz="0" w:space="0" w:color="auto"/>
        <w:right w:val="none" w:sz="0" w:space="0" w:color="auto"/>
      </w:divBdr>
    </w:div>
    <w:div w:id="1243832413">
      <w:marLeft w:val="0"/>
      <w:marRight w:val="0"/>
      <w:marTop w:val="0"/>
      <w:marBottom w:val="0"/>
      <w:divBdr>
        <w:top w:val="none" w:sz="0" w:space="0" w:color="auto"/>
        <w:left w:val="none" w:sz="0" w:space="0" w:color="auto"/>
        <w:bottom w:val="none" w:sz="0" w:space="0" w:color="auto"/>
        <w:right w:val="none" w:sz="0" w:space="0" w:color="auto"/>
      </w:divBdr>
    </w:div>
    <w:div w:id="1243832414">
      <w:marLeft w:val="0"/>
      <w:marRight w:val="0"/>
      <w:marTop w:val="0"/>
      <w:marBottom w:val="0"/>
      <w:divBdr>
        <w:top w:val="none" w:sz="0" w:space="0" w:color="auto"/>
        <w:left w:val="none" w:sz="0" w:space="0" w:color="auto"/>
        <w:bottom w:val="none" w:sz="0" w:space="0" w:color="auto"/>
        <w:right w:val="none" w:sz="0" w:space="0" w:color="auto"/>
      </w:divBdr>
    </w:div>
    <w:div w:id="1243832415">
      <w:marLeft w:val="0"/>
      <w:marRight w:val="0"/>
      <w:marTop w:val="0"/>
      <w:marBottom w:val="0"/>
      <w:divBdr>
        <w:top w:val="none" w:sz="0" w:space="0" w:color="auto"/>
        <w:left w:val="none" w:sz="0" w:space="0" w:color="auto"/>
        <w:bottom w:val="none" w:sz="0" w:space="0" w:color="auto"/>
        <w:right w:val="none" w:sz="0" w:space="0" w:color="auto"/>
      </w:divBdr>
    </w:div>
    <w:div w:id="1243832416">
      <w:marLeft w:val="0"/>
      <w:marRight w:val="0"/>
      <w:marTop w:val="0"/>
      <w:marBottom w:val="0"/>
      <w:divBdr>
        <w:top w:val="none" w:sz="0" w:space="0" w:color="auto"/>
        <w:left w:val="none" w:sz="0" w:space="0" w:color="auto"/>
        <w:bottom w:val="none" w:sz="0" w:space="0" w:color="auto"/>
        <w:right w:val="none" w:sz="0" w:space="0" w:color="auto"/>
      </w:divBdr>
    </w:div>
    <w:div w:id="1243832417">
      <w:marLeft w:val="0"/>
      <w:marRight w:val="0"/>
      <w:marTop w:val="0"/>
      <w:marBottom w:val="0"/>
      <w:divBdr>
        <w:top w:val="none" w:sz="0" w:space="0" w:color="auto"/>
        <w:left w:val="none" w:sz="0" w:space="0" w:color="auto"/>
        <w:bottom w:val="none" w:sz="0" w:space="0" w:color="auto"/>
        <w:right w:val="none" w:sz="0" w:space="0" w:color="auto"/>
      </w:divBdr>
    </w:div>
    <w:div w:id="1243832418">
      <w:marLeft w:val="0"/>
      <w:marRight w:val="0"/>
      <w:marTop w:val="0"/>
      <w:marBottom w:val="0"/>
      <w:divBdr>
        <w:top w:val="none" w:sz="0" w:space="0" w:color="auto"/>
        <w:left w:val="none" w:sz="0" w:space="0" w:color="auto"/>
        <w:bottom w:val="none" w:sz="0" w:space="0" w:color="auto"/>
        <w:right w:val="none" w:sz="0" w:space="0" w:color="auto"/>
      </w:divBdr>
    </w:div>
    <w:div w:id="1243832419">
      <w:marLeft w:val="0"/>
      <w:marRight w:val="0"/>
      <w:marTop w:val="0"/>
      <w:marBottom w:val="0"/>
      <w:divBdr>
        <w:top w:val="none" w:sz="0" w:space="0" w:color="auto"/>
        <w:left w:val="none" w:sz="0" w:space="0" w:color="auto"/>
        <w:bottom w:val="none" w:sz="0" w:space="0" w:color="auto"/>
        <w:right w:val="none" w:sz="0" w:space="0" w:color="auto"/>
      </w:divBdr>
    </w:div>
    <w:div w:id="1243832420">
      <w:marLeft w:val="0"/>
      <w:marRight w:val="0"/>
      <w:marTop w:val="0"/>
      <w:marBottom w:val="0"/>
      <w:divBdr>
        <w:top w:val="none" w:sz="0" w:space="0" w:color="auto"/>
        <w:left w:val="none" w:sz="0" w:space="0" w:color="auto"/>
        <w:bottom w:val="none" w:sz="0" w:space="0" w:color="auto"/>
        <w:right w:val="none" w:sz="0" w:space="0" w:color="auto"/>
      </w:divBdr>
    </w:div>
    <w:div w:id="1243832421">
      <w:marLeft w:val="0"/>
      <w:marRight w:val="0"/>
      <w:marTop w:val="0"/>
      <w:marBottom w:val="0"/>
      <w:divBdr>
        <w:top w:val="none" w:sz="0" w:space="0" w:color="auto"/>
        <w:left w:val="none" w:sz="0" w:space="0" w:color="auto"/>
        <w:bottom w:val="none" w:sz="0" w:space="0" w:color="auto"/>
        <w:right w:val="none" w:sz="0" w:space="0" w:color="auto"/>
      </w:divBdr>
    </w:div>
    <w:div w:id="1243832422">
      <w:marLeft w:val="0"/>
      <w:marRight w:val="0"/>
      <w:marTop w:val="0"/>
      <w:marBottom w:val="0"/>
      <w:divBdr>
        <w:top w:val="none" w:sz="0" w:space="0" w:color="auto"/>
        <w:left w:val="none" w:sz="0" w:space="0" w:color="auto"/>
        <w:bottom w:val="none" w:sz="0" w:space="0" w:color="auto"/>
        <w:right w:val="none" w:sz="0" w:space="0" w:color="auto"/>
      </w:divBdr>
    </w:div>
    <w:div w:id="1243832423">
      <w:marLeft w:val="0"/>
      <w:marRight w:val="0"/>
      <w:marTop w:val="0"/>
      <w:marBottom w:val="0"/>
      <w:divBdr>
        <w:top w:val="none" w:sz="0" w:space="0" w:color="auto"/>
        <w:left w:val="none" w:sz="0" w:space="0" w:color="auto"/>
        <w:bottom w:val="none" w:sz="0" w:space="0" w:color="auto"/>
        <w:right w:val="none" w:sz="0" w:space="0" w:color="auto"/>
      </w:divBdr>
    </w:div>
    <w:div w:id="1243832424">
      <w:marLeft w:val="0"/>
      <w:marRight w:val="0"/>
      <w:marTop w:val="0"/>
      <w:marBottom w:val="0"/>
      <w:divBdr>
        <w:top w:val="none" w:sz="0" w:space="0" w:color="auto"/>
        <w:left w:val="none" w:sz="0" w:space="0" w:color="auto"/>
        <w:bottom w:val="none" w:sz="0" w:space="0" w:color="auto"/>
        <w:right w:val="none" w:sz="0" w:space="0" w:color="auto"/>
      </w:divBdr>
    </w:div>
    <w:div w:id="1243832425">
      <w:marLeft w:val="0"/>
      <w:marRight w:val="0"/>
      <w:marTop w:val="0"/>
      <w:marBottom w:val="0"/>
      <w:divBdr>
        <w:top w:val="none" w:sz="0" w:space="0" w:color="auto"/>
        <w:left w:val="none" w:sz="0" w:space="0" w:color="auto"/>
        <w:bottom w:val="none" w:sz="0" w:space="0" w:color="auto"/>
        <w:right w:val="none" w:sz="0" w:space="0" w:color="auto"/>
      </w:divBdr>
    </w:div>
    <w:div w:id="1243832426">
      <w:marLeft w:val="0"/>
      <w:marRight w:val="0"/>
      <w:marTop w:val="0"/>
      <w:marBottom w:val="0"/>
      <w:divBdr>
        <w:top w:val="none" w:sz="0" w:space="0" w:color="auto"/>
        <w:left w:val="none" w:sz="0" w:space="0" w:color="auto"/>
        <w:bottom w:val="none" w:sz="0" w:space="0" w:color="auto"/>
        <w:right w:val="none" w:sz="0" w:space="0" w:color="auto"/>
      </w:divBdr>
    </w:div>
    <w:div w:id="1243832427">
      <w:marLeft w:val="0"/>
      <w:marRight w:val="0"/>
      <w:marTop w:val="0"/>
      <w:marBottom w:val="0"/>
      <w:divBdr>
        <w:top w:val="none" w:sz="0" w:space="0" w:color="auto"/>
        <w:left w:val="none" w:sz="0" w:space="0" w:color="auto"/>
        <w:bottom w:val="none" w:sz="0" w:space="0" w:color="auto"/>
        <w:right w:val="none" w:sz="0" w:space="0" w:color="auto"/>
      </w:divBdr>
    </w:div>
    <w:div w:id="1243832428">
      <w:marLeft w:val="0"/>
      <w:marRight w:val="0"/>
      <w:marTop w:val="0"/>
      <w:marBottom w:val="0"/>
      <w:divBdr>
        <w:top w:val="none" w:sz="0" w:space="0" w:color="auto"/>
        <w:left w:val="none" w:sz="0" w:space="0" w:color="auto"/>
        <w:bottom w:val="none" w:sz="0" w:space="0" w:color="auto"/>
        <w:right w:val="none" w:sz="0" w:space="0" w:color="auto"/>
      </w:divBdr>
    </w:div>
    <w:div w:id="1243832429">
      <w:marLeft w:val="0"/>
      <w:marRight w:val="0"/>
      <w:marTop w:val="0"/>
      <w:marBottom w:val="0"/>
      <w:divBdr>
        <w:top w:val="none" w:sz="0" w:space="0" w:color="auto"/>
        <w:left w:val="none" w:sz="0" w:space="0" w:color="auto"/>
        <w:bottom w:val="none" w:sz="0" w:space="0" w:color="auto"/>
        <w:right w:val="none" w:sz="0" w:space="0" w:color="auto"/>
      </w:divBdr>
    </w:div>
    <w:div w:id="1243832430">
      <w:marLeft w:val="0"/>
      <w:marRight w:val="0"/>
      <w:marTop w:val="0"/>
      <w:marBottom w:val="0"/>
      <w:divBdr>
        <w:top w:val="none" w:sz="0" w:space="0" w:color="auto"/>
        <w:left w:val="none" w:sz="0" w:space="0" w:color="auto"/>
        <w:bottom w:val="none" w:sz="0" w:space="0" w:color="auto"/>
        <w:right w:val="none" w:sz="0" w:space="0" w:color="auto"/>
      </w:divBdr>
    </w:div>
    <w:div w:id="1243832431">
      <w:marLeft w:val="0"/>
      <w:marRight w:val="0"/>
      <w:marTop w:val="0"/>
      <w:marBottom w:val="0"/>
      <w:divBdr>
        <w:top w:val="none" w:sz="0" w:space="0" w:color="auto"/>
        <w:left w:val="none" w:sz="0" w:space="0" w:color="auto"/>
        <w:bottom w:val="none" w:sz="0" w:space="0" w:color="auto"/>
        <w:right w:val="none" w:sz="0" w:space="0" w:color="auto"/>
      </w:divBdr>
    </w:div>
    <w:div w:id="1243832432">
      <w:marLeft w:val="0"/>
      <w:marRight w:val="0"/>
      <w:marTop w:val="0"/>
      <w:marBottom w:val="0"/>
      <w:divBdr>
        <w:top w:val="none" w:sz="0" w:space="0" w:color="auto"/>
        <w:left w:val="none" w:sz="0" w:space="0" w:color="auto"/>
        <w:bottom w:val="none" w:sz="0" w:space="0" w:color="auto"/>
        <w:right w:val="none" w:sz="0" w:space="0" w:color="auto"/>
      </w:divBdr>
    </w:div>
    <w:div w:id="1243832433">
      <w:marLeft w:val="0"/>
      <w:marRight w:val="0"/>
      <w:marTop w:val="0"/>
      <w:marBottom w:val="0"/>
      <w:divBdr>
        <w:top w:val="none" w:sz="0" w:space="0" w:color="auto"/>
        <w:left w:val="none" w:sz="0" w:space="0" w:color="auto"/>
        <w:bottom w:val="none" w:sz="0" w:space="0" w:color="auto"/>
        <w:right w:val="none" w:sz="0" w:space="0" w:color="auto"/>
      </w:divBdr>
    </w:div>
    <w:div w:id="1243832434">
      <w:marLeft w:val="0"/>
      <w:marRight w:val="0"/>
      <w:marTop w:val="0"/>
      <w:marBottom w:val="0"/>
      <w:divBdr>
        <w:top w:val="none" w:sz="0" w:space="0" w:color="auto"/>
        <w:left w:val="none" w:sz="0" w:space="0" w:color="auto"/>
        <w:bottom w:val="none" w:sz="0" w:space="0" w:color="auto"/>
        <w:right w:val="none" w:sz="0" w:space="0" w:color="auto"/>
      </w:divBdr>
    </w:div>
    <w:div w:id="1243832435">
      <w:marLeft w:val="0"/>
      <w:marRight w:val="0"/>
      <w:marTop w:val="0"/>
      <w:marBottom w:val="0"/>
      <w:divBdr>
        <w:top w:val="none" w:sz="0" w:space="0" w:color="auto"/>
        <w:left w:val="none" w:sz="0" w:space="0" w:color="auto"/>
        <w:bottom w:val="none" w:sz="0" w:space="0" w:color="auto"/>
        <w:right w:val="none" w:sz="0" w:space="0" w:color="auto"/>
      </w:divBdr>
    </w:div>
    <w:div w:id="1243832436">
      <w:marLeft w:val="0"/>
      <w:marRight w:val="0"/>
      <w:marTop w:val="0"/>
      <w:marBottom w:val="0"/>
      <w:divBdr>
        <w:top w:val="none" w:sz="0" w:space="0" w:color="auto"/>
        <w:left w:val="none" w:sz="0" w:space="0" w:color="auto"/>
        <w:bottom w:val="none" w:sz="0" w:space="0" w:color="auto"/>
        <w:right w:val="none" w:sz="0" w:space="0" w:color="auto"/>
      </w:divBdr>
    </w:div>
    <w:div w:id="1243832437">
      <w:marLeft w:val="0"/>
      <w:marRight w:val="0"/>
      <w:marTop w:val="0"/>
      <w:marBottom w:val="0"/>
      <w:divBdr>
        <w:top w:val="none" w:sz="0" w:space="0" w:color="auto"/>
        <w:left w:val="none" w:sz="0" w:space="0" w:color="auto"/>
        <w:bottom w:val="none" w:sz="0" w:space="0" w:color="auto"/>
        <w:right w:val="none" w:sz="0" w:space="0" w:color="auto"/>
      </w:divBdr>
    </w:div>
    <w:div w:id="1243832438">
      <w:marLeft w:val="0"/>
      <w:marRight w:val="0"/>
      <w:marTop w:val="0"/>
      <w:marBottom w:val="0"/>
      <w:divBdr>
        <w:top w:val="none" w:sz="0" w:space="0" w:color="auto"/>
        <w:left w:val="none" w:sz="0" w:space="0" w:color="auto"/>
        <w:bottom w:val="none" w:sz="0" w:space="0" w:color="auto"/>
        <w:right w:val="none" w:sz="0" w:space="0" w:color="auto"/>
      </w:divBdr>
    </w:div>
    <w:div w:id="1243832439">
      <w:marLeft w:val="0"/>
      <w:marRight w:val="0"/>
      <w:marTop w:val="0"/>
      <w:marBottom w:val="0"/>
      <w:divBdr>
        <w:top w:val="none" w:sz="0" w:space="0" w:color="auto"/>
        <w:left w:val="none" w:sz="0" w:space="0" w:color="auto"/>
        <w:bottom w:val="none" w:sz="0" w:space="0" w:color="auto"/>
        <w:right w:val="none" w:sz="0" w:space="0" w:color="auto"/>
      </w:divBdr>
    </w:div>
    <w:div w:id="1243832440">
      <w:marLeft w:val="0"/>
      <w:marRight w:val="0"/>
      <w:marTop w:val="0"/>
      <w:marBottom w:val="0"/>
      <w:divBdr>
        <w:top w:val="none" w:sz="0" w:space="0" w:color="auto"/>
        <w:left w:val="none" w:sz="0" w:space="0" w:color="auto"/>
        <w:bottom w:val="none" w:sz="0" w:space="0" w:color="auto"/>
        <w:right w:val="none" w:sz="0" w:space="0" w:color="auto"/>
      </w:divBdr>
    </w:div>
    <w:div w:id="1243832441">
      <w:marLeft w:val="0"/>
      <w:marRight w:val="0"/>
      <w:marTop w:val="0"/>
      <w:marBottom w:val="0"/>
      <w:divBdr>
        <w:top w:val="none" w:sz="0" w:space="0" w:color="auto"/>
        <w:left w:val="none" w:sz="0" w:space="0" w:color="auto"/>
        <w:bottom w:val="none" w:sz="0" w:space="0" w:color="auto"/>
        <w:right w:val="none" w:sz="0" w:space="0" w:color="auto"/>
      </w:divBdr>
    </w:div>
    <w:div w:id="1243832442">
      <w:marLeft w:val="0"/>
      <w:marRight w:val="0"/>
      <w:marTop w:val="0"/>
      <w:marBottom w:val="0"/>
      <w:divBdr>
        <w:top w:val="none" w:sz="0" w:space="0" w:color="auto"/>
        <w:left w:val="none" w:sz="0" w:space="0" w:color="auto"/>
        <w:bottom w:val="none" w:sz="0" w:space="0" w:color="auto"/>
        <w:right w:val="none" w:sz="0" w:space="0" w:color="auto"/>
      </w:divBdr>
    </w:div>
    <w:div w:id="1243832443">
      <w:marLeft w:val="0"/>
      <w:marRight w:val="0"/>
      <w:marTop w:val="0"/>
      <w:marBottom w:val="0"/>
      <w:divBdr>
        <w:top w:val="none" w:sz="0" w:space="0" w:color="auto"/>
        <w:left w:val="none" w:sz="0" w:space="0" w:color="auto"/>
        <w:bottom w:val="none" w:sz="0" w:space="0" w:color="auto"/>
        <w:right w:val="none" w:sz="0" w:space="0" w:color="auto"/>
      </w:divBdr>
    </w:div>
    <w:div w:id="1243832444">
      <w:marLeft w:val="0"/>
      <w:marRight w:val="0"/>
      <w:marTop w:val="0"/>
      <w:marBottom w:val="0"/>
      <w:divBdr>
        <w:top w:val="none" w:sz="0" w:space="0" w:color="auto"/>
        <w:left w:val="none" w:sz="0" w:space="0" w:color="auto"/>
        <w:bottom w:val="none" w:sz="0" w:space="0" w:color="auto"/>
        <w:right w:val="none" w:sz="0" w:space="0" w:color="auto"/>
      </w:divBdr>
    </w:div>
    <w:div w:id="1243832445">
      <w:marLeft w:val="0"/>
      <w:marRight w:val="0"/>
      <w:marTop w:val="0"/>
      <w:marBottom w:val="0"/>
      <w:divBdr>
        <w:top w:val="none" w:sz="0" w:space="0" w:color="auto"/>
        <w:left w:val="none" w:sz="0" w:space="0" w:color="auto"/>
        <w:bottom w:val="none" w:sz="0" w:space="0" w:color="auto"/>
        <w:right w:val="none" w:sz="0" w:space="0" w:color="auto"/>
      </w:divBdr>
    </w:div>
    <w:div w:id="1243832446">
      <w:marLeft w:val="0"/>
      <w:marRight w:val="0"/>
      <w:marTop w:val="0"/>
      <w:marBottom w:val="0"/>
      <w:divBdr>
        <w:top w:val="none" w:sz="0" w:space="0" w:color="auto"/>
        <w:left w:val="none" w:sz="0" w:space="0" w:color="auto"/>
        <w:bottom w:val="none" w:sz="0" w:space="0" w:color="auto"/>
        <w:right w:val="none" w:sz="0" w:space="0" w:color="auto"/>
      </w:divBdr>
    </w:div>
    <w:div w:id="1243832447">
      <w:marLeft w:val="0"/>
      <w:marRight w:val="0"/>
      <w:marTop w:val="0"/>
      <w:marBottom w:val="0"/>
      <w:divBdr>
        <w:top w:val="none" w:sz="0" w:space="0" w:color="auto"/>
        <w:left w:val="none" w:sz="0" w:space="0" w:color="auto"/>
        <w:bottom w:val="none" w:sz="0" w:space="0" w:color="auto"/>
        <w:right w:val="none" w:sz="0" w:space="0" w:color="auto"/>
      </w:divBdr>
    </w:div>
    <w:div w:id="1243832448">
      <w:marLeft w:val="0"/>
      <w:marRight w:val="0"/>
      <w:marTop w:val="0"/>
      <w:marBottom w:val="0"/>
      <w:divBdr>
        <w:top w:val="none" w:sz="0" w:space="0" w:color="auto"/>
        <w:left w:val="none" w:sz="0" w:space="0" w:color="auto"/>
        <w:bottom w:val="none" w:sz="0" w:space="0" w:color="auto"/>
        <w:right w:val="none" w:sz="0" w:space="0" w:color="auto"/>
      </w:divBdr>
    </w:div>
    <w:div w:id="1243832449">
      <w:marLeft w:val="0"/>
      <w:marRight w:val="0"/>
      <w:marTop w:val="0"/>
      <w:marBottom w:val="0"/>
      <w:divBdr>
        <w:top w:val="none" w:sz="0" w:space="0" w:color="auto"/>
        <w:left w:val="none" w:sz="0" w:space="0" w:color="auto"/>
        <w:bottom w:val="none" w:sz="0" w:space="0" w:color="auto"/>
        <w:right w:val="none" w:sz="0" w:space="0" w:color="auto"/>
      </w:divBdr>
    </w:div>
    <w:div w:id="1243832450">
      <w:marLeft w:val="0"/>
      <w:marRight w:val="0"/>
      <w:marTop w:val="0"/>
      <w:marBottom w:val="0"/>
      <w:divBdr>
        <w:top w:val="none" w:sz="0" w:space="0" w:color="auto"/>
        <w:left w:val="none" w:sz="0" w:space="0" w:color="auto"/>
        <w:bottom w:val="none" w:sz="0" w:space="0" w:color="auto"/>
        <w:right w:val="none" w:sz="0" w:space="0" w:color="auto"/>
      </w:divBdr>
    </w:div>
    <w:div w:id="1243832451">
      <w:marLeft w:val="0"/>
      <w:marRight w:val="0"/>
      <w:marTop w:val="0"/>
      <w:marBottom w:val="0"/>
      <w:divBdr>
        <w:top w:val="none" w:sz="0" w:space="0" w:color="auto"/>
        <w:left w:val="none" w:sz="0" w:space="0" w:color="auto"/>
        <w:bottom w:val="none" w:sz="0" w:space="0" w:color="auto"/>
        <w:right w:val="none" w:sz="0" w:space="0" w:color="auto"/>
      </w:divBdr>
    </w:div>
    <w:div w:id="1243832452">
      <w:marLeft w:val="0"/>
      <w:marRight w:val="0"/>
      <w:marTop w:val="0"/>
      <w:marBottom w:val="0"/>
      <w:divBdr>
        <w:top w:val="none" w:sz="0" w:space="0" w:color="auto"/>
        <w:left w:val="none" w:sz="0" w:space="0" w:color="auto"/>
        <w:bottom w:val="none" w:sz="0" w:space="0" w:color="auto"/>
        <w:right w:val="none" w:sz="0" w:space="0" w:color="auto"/>
      </w:divBdr>
    </w:div>
    <w:div w:id="1243832453">
      <w:marLeft w:val="0"/>
      <w:marRight w:val="0"/>
      <w:marTop w:val="0"/>
      <w:marBottom w:val="0"/>
      <w:divBdr>
        <w:top w:val="none" w:sz="0" w:space="0" w:color="auto"/>
        <w:left w:val="none" w:sz="0" w:space="0" w:color="auto"/>
        <w:bottom w:val="none" w:sz="0" w:space="0" w:color="auto"/>
        <w:right w:val="none" w:sz="0" w:space="0" w:color="auto"/>
      </w:divBdr>
    </w:div>
    <w:div w:id="1243832454">
      <w:marLeft w:val="0"/>
      <w:marRight w:val="0"/>
      <w:marTop w:val="0"/>
      <w:marBottom w:val="0"/>
      <w:divBdr>
        <w:top w:val="none" w:sz="0" w:space="0" w:color="auto"/>
        <w:left w:val="none" w:sz="0" w:space="0" w:color="auto"/>
        <w:bottom w:val="none" w:sz="0" w:space="0" w:color="auto"/>
        <w:right w:val="none" w:sz="0" w:space="0" w:color="auto"/>
      </w:divBdr>
    </w:div>
    <w:div w:id="1243832455">
      <w:marLeft w:val="0"/>
      <w:marRight w:val="0"/>
      <w:marTop w:val="0"/>
      <w:marBottom w:val="0"/>
      <w:divBdr>
        <w:top w:val="none" w:sz="0" w:space="0" w:color="auto"/>
        <w:left w:val="none" w:sz="0" w:space="0" w:color="auto"/>
        <w:bottom w:val="none" w:sz="0" w:space="0" w:color="auto"/>
        <w:right w:val="none" w:sz="0" w:space="0" w:color="auto"/>
      </w:divBdr>
    </w:div>
    <w:div w:id="1243832456">
      <w:marLeft w:val="0"/>
      <w:marRight w:val="0"/>
      <w:marTop w:val="0"/>
      <w:marBottom w:val="0"/>
      <w:divBdr>
        <w:top w:val="none" w:sz="0" w:space="0" w:color="auto"/>
        <w:left w:val="none" w:sz="0" w:space="0" w:color="auto"/>
        <w:bottom w:val="none" w:sz="0" w:space="0" w:color="auto"/>
        <w:right w:val="none" w:sz="0" w:space="0" w:color="auto"/>
      </w:divBdr>
    </w:div>
    <w:div w:id="1243832457">
      <w:marLeft w:val="0"/>
      <w:marRight w:val="0"/>
      <w:marTop w:val="0"/>
      <w:marBottom w:val="0"/>
      <w:divBdr>
        <w:top w:val="none" w:sz="0" w:space="0" w:color="auto"/>
        <w:left w:val="none" w:sz="0" w:space="0" w:color="auto"/>
        <w:bottom w:val="none" w:sz="0" w:space="0" w:color="auto"/>
        <w:right w:val="none" w:sz="0" w:space="0" w:color="auto"/>
      </w:divBdr>
    </w:div>
    <w:div w:id="1243832458">
      <w:marLeft w:val="0"/>
      <w:marRight w:val="0"/>
      <w:marTop w:val="0"/>
      <w:marBottom w:val="0"/>
      <w:divBdr>
        <w:top w:val="none" w:sz="0" w:space="0" w:color="auto"/>
        <w:left w:val="none" w:sz="0" w:space="0" w:color="auto"/>
        <w:bottom w:val="none" w:sz="0" w:space="0" w:color="auto"/>
        <w:right w:val="none" w:sz="0" w:space="0" w:color="auto"/>
      </w:divBdr>
    </w:div>
    <w:div w:id="1243832459">
      <w:marLeft w:val="0"/>
      <w:marRight w:val="0"/>
      <w:marTop w:val="0"/>
      <w:marBottom w:val="0"/>
      <w:divBdr>
        <w:top w:val="none" w:sz="0" w:space="0" w:color="auto"/>
        <w:left w:val="none" w:sz="0" w:space="0" w:color="auto"/>
        <w:bottom w:val="none" w:sz="0" w:space="0" w:color="auto"/>
        <w:right w:val="none" w:sz="0" w:space="0" w:color="auto"/>
      </w:divBdr>
    </w:div>
    <w:div w:id="1243832460">
      <w:marLeft w:val="0"/>
      <w:marRight w:val="0"/>
      <w:marTop w:val="0"/>
      <w:marBottom w:val="0"/>
      <w:divBdr>
        <w:top w:val="none" w:sz="0" w:space="0" w:color="auto"/>
        <w:left w:val="none" w:sz="0" w:space="0" w:color="auto"/>
        <w:bottom w:val="none" w:sz="0" w:space="0" w:color="auto"/>
        <w:right w:val="none" w:sz="0" w:space="0" w:color="auto"/>
      </w:divBdr>
    </w:div>
    <w:div w:id="1243832461">
      <w:marLeft w:val="0"/>
      <w:marRight w:val="0"/>
      <w:marTop w:val="0"/>
      <w:marBottom w:val="0"/>
      <w:divBdr>
        <w:top w:val="none" w:sz="0" w:space="0" w:color="auto"/>
        <w:left w:val="none" w:sz="0" w:space="0" w:color="auto"/>
        <w:bottom w:val="none" w:sz="0" w:space="0" w:color="auto"/>
        <w:right w:val="none" w:sz="0" w:space="0" w:color="auto"/>
      </w:divBdr>
    </w:div>
    <w:div w:id="1243832462">
      <w:marLeft w:val="0"/>
      <w:marRight w:val="0"/>
      <w:marTop w:val="0"/>
      <w:marBottom w:val="0"/>
      <w:divBdr>
        <w:top w:val="none" w:sz="0" w:space="0" w:color="auto"/>
        <w:left w:val="none" w:sz="0" w:space="0" w:color="auto"/>
        <w:bottom w:val="none" w:sz="0" w:space="0" w:color="auto"/>
        <w:right w:val="none" w:sz="0" w:space="0" w:color="auto"/>
      </w:divBdr>
    </w:div>
    <w:div w:id="1243832463">
      <w:marLeft w:val="0"/>
      <w:marRight w:val="0"/>
      <w:marTop w:val="0"/>
      <w:marBottom w:val="0"/>
      <w:divBdr>
        <w:top w:val="none" w:sz="0" w:space="0" w:color="auto"/>
        <w:left w:val="none" w:sz="0" w:space="0" w:color="auto"/>
        <w:bottom w:val="none" w:sz="0" w:space="0" w:color="auto"/>
        <w:right w:val="none" w:sz="0" w:space="0" w:color="auto"/>
      </w:divBdr>
    </w:div>
    <w:div w:id="1243832464">
      <w:marLeft w:val="0"/>
      <w:marRight w:val="0"/>
      <w:marTop w:val="0"/>
      <w:marBottom w:val="0"/>
      <w:divBdr>
        <w:top w:val="none" w:sz="0" w:space="0" w:color="auto"/>
        <w:left w:val="none" w:sz="0" w:space="0" w:color="auto"/>
        <w:bottom w:val="none" w:sz="0" w:space="0" w:color="auto"/>
        <w:right w:val="none" w:sz="0" w:space="0" w:color="auto"/>
      </w:divBdr>
    </w:div>
    <w:div w:id="1243832465">
      <w:marLeft w:val="0"/>
      <w:marRight w:val="0"/>
      <w:marTop w:val="0"/>
      <w:marBottom w:val="0"/>
      <w:divBdr>
        <w:top w:val="none" w:sz="0" w:space="0" w:color="auto"/>
        <w:left w:val="none" w:sz="0" w:space="0" w:color="auto"/>
        <w:bottom w:val="none" w:sz="0" w:space="0" w:color="auto"/>
        <w:right w:val="none" w:sz="0" w:space="0" w:color="auto"/>
      </w:divBdr>
    </w:div>
    <w:div w:id="1243832466">
      <w:marLeft w:val="0"/>
      <w:marRight w:val="0"/>
      <w:marTop w:val="0"/>
      <w:marBottom w:val="0"/>
      <w:divBdr>
        <w:top w:val="none" w:sz="0" w:space="0" w:color="auto"/>
        <w:left w:val="none" w:sz="0" w:space="0" w:color="auto"/>
        <w:bottom w:val="none" w:sz="0" w:space="0" w:color="auto"/>
        <w:right w:val="none" w:sz="0" w:space="0" w:color="auto"/>
      </w:divBdr>
    </w:div>
    <w:div w:id="1243832467">
      <w:marLeft w:val="0"/>
      <w:marRight w:val="0"/>
      <w:marTop w:val="0"/>
      <w:marBottom w:val="0"/>
      <w:divBdr>
        <w:top w:val="none" w:sz="0" w:space="0" w:color="auto"/>
        <w:left w:val="none" w:sz="0" w:space="0" w:color="auto"/>
        <w:bottom w:val="none" w:sz="0" w:space="0" w:color="auto"/>
        <w:right w:val="none" w:sz="0" w:space="0" w:color="auto"/>
      </w:divBdr>
    </w:div>
    <w:div w:id="1243832468">
      <w:marLeft w:val="0"/>
      <w:marRight w:val="0"/>
      <w:marTop w:val="0"/>
      <w:marBottom w:val="0"/>
      <w:divBdr>
        <w:top w:val="none" w:sz="0" w:space="0" w:color="auto"/>
        <w:left w:val="none" w:sz="0" w:space="0" w:color="auto"/>
        <w:bottom w:val="none" w:sz="0" w:space="0" w:color="auto"/>
        <w:right w:val="none" w:sz="0" w:space="0" w:color="auto"/>
      </w:divBdr>
    </w:div>
    <w:div w:id="1243832469">
      <w:marLeft w:val="0"/>
      <w:marRight w:val="0"/>
      <w:marTop w:val="0"/>
      <w:marBottom w:val="0"/>
      <w:divBdr>
        <w:top w:val="none" w:sz="0" w:space="0" w:color="auto"/>
        <w:left w:val="none" w:sz="0" w:space="0" w:color="auto"/>
        <w:bottom w:val="none" w:sz="0" w:space="0" w:color="auto"/>
        <w:right w:val="none" w:sz="0" w:space="0" w:color="auto"/>
      </w:divBdr>
    </w:div>
    <w:div w:id="1243832470">
      <w:marLeft w:val="0"/>
      <w:marRight w:val="0"/>
      <w:marTop w:val="0"/>
      <w:marBottom w:val="0"/>
      <w:divBdr>
        <w:top w:val="none" w:sz="0" w:space="0" w:color="auto"/>
        <w:left w:val="none" w:sz="0" w:space="0" w:color="auto"/>
        <w:bottom w:val="none" w:sz="0" w:space="0" w:color="auto"/>
        <w:right w:val="none" w:sz="0" w:space="0" w:color="auto"/>
      </w:divBdr>
    </w:div>
    <w:div w:id="1243832471">
      <w:marLeft w:val="0"/>
      <w:marRight w:val="0"/>
      <w:marTop w:val="0"/>
      <w:marBottom w:val="0"/>
      <w:divBdr>
        <w:top w:val="none" w:sz="0" w:space="0" w:color="auto"/>
        <w:left w:val="none" w:sz="0" w:space="0" w:color="auto"/>
        <w:bottom w:val="none" w:sz="0" w:space="0" w:color="auto"/>
        <w:right w:val="none" w:sz="0" w:space="0" w:color="auto"/>
      </w:divBdr>
    </w:div>
    <w:div w:id="1243832472">
      <w:marLeft w:val="0"/>
      <w:marRight w:val="0"/>
      <w:marTop w:val="0"/>
      <w:marBottom w:val="0"/>
      <w:divBdr>
        <w:top w:val="none" w:sz="0" w:space="0" w:color="auto"/>
        <w:left w:val="none" w:sz="0" w:space="0" w:color="auto"/>
        <w:bottom w:val="none" w:sz="0" w:space="0" w:color="auto"/>
        <w:right w:val="none" w:sz="0" w:space="0" w:color="auto"/>
      </w:divBdr>
    </w:div>
    <w:div w:id="1243832473">
      <w:marLeft w:val="0"/>
      <w:marRight w:val="0"/>
      <w:marTop w:val="0"/>
      <w:marBottom w:val="0"/>
      <w:divBdr>
        <w:top w:val="none" w:sz="0" w:space="0" w:color="auto"/>
        <w:left w:val="none" w:sz="0" w:space="0" w:color="auto"/>
        <w:bottom w:val="none" w:sz="0" w:space="0" w:color="auto"/>
        <w:right w:val="none" w:sz="0" w:space="0" w:color="auto"/>
      </w:divBdr>
    </w:div>
    <w:div w:id="1243832474">
      <w:marLeft w:val="0"/>
      <w:marRight w:val="0"/>
      <w:marTop w:val="0"/>
      <w:marBottom w:val="0"/>
      <w:divBdr>
        <w:top w:val="none" w:sz="0" w:space="0" w:color="auto"/>
        <w:left w:val="none" w:sz="0" w:space="0" w:color="auto"/>
        <w:bottom w:val="none" w:sz="0" w:space="0" w:color="auto"/>
        <w:right w:val="none" w:sz="0" w:space="0" w:color="auto"/>
      </w:divBdr>
    </w:div>
    <w:div w:id="1243832475">
      <w:marLeft w:val="0"/>
      <w:marRight w:val="0"/>
      <w:marTop w:val="0"/>
      <w:marBottom w:val="0"/>
      <w:divBdr>
        <w:top w:val="none" w:sz="0" w:space="0" w:color="auto"/>
        <w:left w:val="none" w:sz="0" w:space="0" w:color="auto"/>
        <w:bottom w:val="none" w:sz="0" w:space="0" w:color="auto"/>
        <w:right w:val="none" w:sz="0" w:space="0" w:color="auto"/>
      </w:divBdr>
    </w:div>
    <w:div w:id="1243832476">
      <w:marLeft w:val="0"/>
      <w:marRight w:val="0"/>
      <w:marTop w:val="0"/>
      <w:marBottom w:val="0"/>
      <w:divBdr>
        <w:top w:val="none" w:sz="0" w:space="0" w:color="auto"/>
        <w:left w:val="none" w:sz="0" w:space="0" w:color="auto"/>
        <w:bottom w:val="none" w:sz="0" w:space="0" w:color="auto"/>
        <w:right w:val="none" w:sz="0" w:space="0" w:color="auto"/>
      </w:divBdr>
    </w:div>
    <w:div w:id="1243832477">
      <w:marLeft w:val="0"/>
      <w:marRight w:val="0"/>
      <w:marTop w:val="0"/>
      <w:marBottom w:val="0"/>
      <w:divBdr>
        <w:top w:val="none" w:sz="0" w:space="0" w:color="auto"/>
        <w:left w:val="none" w:sz="0" w:space="0" w:color="auto"/>
        <w:bottom w:val="none" w:sz="0" w:space="0" w:color="auto"/>
        <w:right w:val="none" w:sz="0" w:space="0" w:color="auto"/>
      </w:divBdr>
    </w:div>
    <w:div w:id="1243832478">
      <w:marLeft w:val="0"/>
      <w:marRight w:val="0"/>
      <w:marTop w:val="0"/>
      <w:marBottom w:val="0"/>
      <w:divBdr>
        <w:top w:val="none" w:sz="0" w:space="0" w:color="auto"/>
        <w:left w:val="none" w:sz="0" w:space="0" w:color="auto"/>
        <w:bottom w:val="none" w:sz="0" w:space="0" w:color="auto"/>
        <w:right w:val="none" w:sz="0" w:space="0" w:color="auto"/>
      </w:divBdr>
    </w:div>
    <w:div w:id="1243832479">
      <w:marLeft w:val="0"/>
      <w:marRight w:val="0"/>
      <w:marTop w:val="0"/>
      <w:marBottom w:val="0"/>
      <w:divBdr>
        <w:top w:val="none" w:sz="0" w:space="0" w:color="auto"/>
        <w:left w:val="none" w:sz="0" w:space="0" w:color="auto"/>
        <w:bottom w:val="none" w:sz="0" w:space="0" w:color="auto"/>
        <w:right w:val="none" w:sz="0" w:space="0" w:color="auto"/>
      </w:divBdr>
    </w:div>
    <w:div w:id="1243832480">
      <w:marLeft w:val="0"/>
      <w:marRight w:val="0"/>
      <w:marTop w:val="0"/>
      <w:marBottom w:val="0"/>
      <w:divBdr>
        <w:top w:val="none" w:sz="0" w:space="0" w:color="auto"/>
        <w:left w:val="none" w:sz="0" w:space="0" w:color="auto"/>
        <w:bottom w:val="none" w:sz="0" w:space="0" w:color="auto"/>
        <w:right w:val="none" w:sz="0" w:space="0" w:color="auto"/>
      </w:divBdr>
    </w:div>
    <w:div w:id="1243832481">
      <w:marLeft w:val="0"/>
      <w:marRight w:val="0"/>
      <w:marTop w:val="0"/>
      <w:marBottom w:val="0"/>
      <w:divBdr>
        <w:top w:val="none" w:sz="0" w:space="0" w:color="auto"/>
        <w:left w:val="none" w:sz="0" w:space="0" w:color="auto"/>
        <w:bottom w:val="none" w:sz="0" w:space="0" w:color="auto"/>
        <w:right w:val="none" w:sz="0" w:space="0" w:color="auto"/>
      </w:divBdr>
    </w:div>
    <w:div w:id="1243832482">
      <w:marLeft w:val="0"/>
      <w:marRight w:val="0"/>
      <w:marTop w:val="0"/>
      <w:marBottom w:val="0"/>
      <w:divBdr>
        <w:top w:val="none" w:sz="0" w:space="0" w:color="auto"/>
        <w:left w:val="none" w:sz="0" w:space="0" w:color="auto"/>
        <w:bottom w:val="none" w:sz="0" w:space="0" w:color="auto"/>
        <w:right w:val="none" w:sz="0" w:space="0" w:color="auto"/>
      </w:divBdr>
    </w:div>
    <w:div w:id="1243832483">
      <w:marLeft w:val="0"/>
      <w:marRight w:val="0"/>
      <w:marTop w:val="0"/>
      <w:marBottom w:val="0"/>
      <w:divBdr>
        <w:top w:val="none" w:sz="0" w:space="0" w:color="auto"/>
        <w:left w:val="none" w:sz="0" w:space="0" w:color="auto"/>
        <w:bottom w:val="none" w:sz="0" w:space="0" w:color="auto"/>
        <w:right w:val="none" w:sz="0" w:space="0" w:color="auto"/>
      </w:divBdr>
    </w:div>
    <w:div w:id="1243832484">
      <w:marLeft w:val="0"/>
      <w:marRight w:val="0"/>
      <w:marTop w:val="0"/>
      <w:marBottom w:val="0"/>
      <w:divBdr>
        <w:top w:val="none" w:sz="0" w:space="0" w:color="auto"/>
        <w:left w:val="none" w:sz="0" w:space="0" w:color="auto"/>
        <w:bottom w:val="none" w:sz="0" w:space="0" w:color="auto"/>
        <w:right w:val="none" w:sz="0" w:space="0" w:color="auto"/>
      </w:divBdr>
    </w:div>
    <w:div w:id="1243832485">
      <w:marLeft w:val="0"/>
      <w:marRight w:val="0"/>
      <w:marTop w:val="0"/>
      <w:marBottom w:val="0"/>
      <w:divBdr>
        <w:top w:val="none" w:sz="0" w:space="0" w:color="auto"/>
        <w:left w:val="none" w:sz="0" w:space="0" w:color="auto"/>
        <w:bottom w:val="none" w:sz="0" w:space="0" w:color="auto"/>
        <w:right w:val="none" w:sz="0" w:space="0" w:color="auto"/>
      </w:divBdr>
    </w:div>
    <w:div w:id="1243832486">
      <w:marLeft w:val="0"/>
      <w:marRight w:val="0"/>
      <w:marTop w:val="0"/>
      <w:marBottom w:val="0"/>
      <w:divBdr>
        <w:top w:val="none" w:sz="0" w:space="0" w:color="auto"/>
        <w:left w:val="none" w:sz="0" w:space="0" w:color="auto"/>
        <w:bottom w:val="none" w:sz="0" w:space="0" w:color="auto"/>
        <w:right w:val="none" w:sz="0" w:space="0" w:color="auto"/>
      </w:divBdr>
    </w:div>
    <w:div w:id="1243832487">
      <w:marLeft w:val="0"/>
      <w:marRight w:val="0"/>
      <w:marTop w:val="0"/>
      <w:marBottom w:val="0"/>
      <w:divBdr>
        <w:top w:val="none" w:sz="0" w:space="0" w:color="auto"/>
        <w:left w:val="none" w:sz="0" w:space="0" w:color="auto"/>
        <w:bottom w:val="none" w:sz="0" w:space="0" w:color="auto"/>
        <w:right w:val="none" w:sz="0" w:space="0" w:color="auto"/>
      </w:divBdr>
    </w:div>
    <w:div w:id="1243832488">
      <w:marLeft w:val="0"/>
      <w:marRight w:val="0"/>
      <w:marTop w:val="0"/>
      <w:marBottom w:val="0"/>
      <w:divBdr>
        <w:top w:val="none" w:sz="0" w:space="0" w:color="auto"/>
        <w:left w:val="none" w:sz="0" w:space="0" w:color="auto"/>
        <w:bottom w:val="none" w:sz="0" w:space="0" w:color="auto"/>
        <w:right w:val="none" w:sz="0" w:space="0" w:color="auto"/>
      </w:divBdr>
    </w:div>
    <w:div w:id="1243832489">
      <w:marLeft w:val="0"/>
      <w:marRight w:val="0"/>
      <w:marTop w:val="0"/>
      <w:marBottom w:val="0"/>
      <w:divBdr>
        <w:top w:val="none" w:sz="0" w:space="0" w:color="auto"/>
        <w:left w:val="none" w:sz="0" w:space="0" w:color="auto"/>
        <w:bottom w:val="none" w:sz="0" w:space="0" w:color="auto"/>
        <w:right w:val="none" w:sz="0" w:space="0" w:color="auto"/>
      </w:divBdr>
    </w:div>
    <w:div w:id="1243832490">
      <w:marLeft w:val="0"/>
      <w:marRight w:val="0"/>
      <w:marTop w:val="0"/>
      <w:marBottom w:val="0"/>
      <w:divBdr>
        <w:top w:val="none" w:sz="0" w:space="0" w:color="auto"/>
        <w:left w:val="none" w:sz="0" w:space="0" w:color="auto"/>
        <w:bottom w:val="none" w:sz="0" w:space="0" w:color="auto"/>
        <w:right w:val="none" w:sz="0" w:space="0" w:color="auto"/>
      </w:divBdr>
    </w:div>
    <w:div w:id="1243832491">
      <w:marLeft w:val="0"/>
      <w:marRight w:val="0"/>
      <w:marTop w:val="0"/>
      <w:marBottom w:val="0"/>
      <w:divBdr>
        <w:top w:val="none" w:sz="0" w:space="0" w:color="auto"/>
        <w:left w:val="none" w:sz="0" w:space="0" w:color="auto"/>
        <w:bottom w:val="none" w:sz="0" w:space="0" w:color="auto"/>
        <w:right w:val="none" w:sz="0" w:space="0" w:color="auto"/>
      </w:divBdr>
    </w:div>
    <w:div w:id="1243832492">
      <w:marLeft w:val="0"/>
      <w:marRight w:val="0"/>
      <w:marTop w:val="0"/>
      <w:marBottom w:val="0"/>
      <w:divBdr>
        <w:top w:val="none" w:sz="0" w:space="0" w:color="auto"/>
        <w:left w:val="none" w:sz="0" w:space="0" w:color="auto"/>
        <w:bottom w:val="none" w:sz="0" w:space="0" w:color="auto"/>
        <w:right w:val="none" w:sz="0" w:space="0" w:color="auto"/>
      </w:divBdr>
    </w:div>
    <w:div w:id="1243832493">
      <w:marLeft w:val="0"/>
      <w:marRight w:val="0"/>
      <w:marTop w:val="0"/>
      <w:marBottom w:val="0"/>
      <w:divBdr>
        <w:top w:val="none" w:sz="0" w:space="0" w:color="auto"/>
        <w:left w:val="none" w:sz="0" w:space="0" w:color="auto"/>
        <w:bottom w:val="none" w:sz="0" w:space="0" w:color="auto"/>
        <w:right w:val="none" w:sz="0" w:space="0" w:color="auto"/>
      </w:divBdr>
    </w:div>
    <w:div w:id="1243832494">
      <w:marLeft w:val="0"/>
      <w:marRight w:val="0"/>
      <w:marTop w:val="0"/>
      <w:marBottom w:val="0"/>
      <w:divBdr>
        <w:top w:val="none" w:sz="0" w:space="0" w:color="auto"/>
        <w:left w:val="none" w:sz="0" w:space="0" w:color="auto"/>
        <w:bottom w:val="none" w:sz="0" w:space="0" w:color="auto"/>
        <w:right w:val="none" w:sz="0" w:space="0" w:color="auto"/>
      </w:divBdr>
    </w:div>
    <w:div w:id="1243832495">
      <w:marLeft w:val="0"/>
      <w:marRight w:val="0"/>
      <w:marTop w:val="0"/>
      <w:marBottom w:val="0"/>
      <w:divBdr>
        <w:top w:val="none" w:sz="0" w:space="0" w:color="auto"/>
        <w:left w:val="none" w:sz="0" w:space="0" w:color="auto"/>
        <w:bottom w:val="none" w:sz="0" w:space="0" w:color="auto"/>
        <w:right w:val="none" w:sz="0" w:space="0" w:color="auto"/>
      </w:divBdr>
    </w:div>
    <w:div w:id="1243832496">
      <w:marLeft w:val="0"/>
      <w:marRight w:val="0"/>
      <w:marTop w:val="0"/>
      <w:marBottom w:val="0"/>
      <w:divBdr>
        <w:top w:val="none" w:sz="0" w:space="0" w:color="auto"/>
        <w:left w:val="none" w:sz="0" w:space="0" w:color="auto"/>
        <w:bottom w:val="none" w:sz="0" w:space="0" w:color="auto"/>
        <w:right w:val="none" w:sz="0" w:space="0" w:color="auto"/>
      </w:divBdr>
    </w:div>
    <w:div w:id="1243832497">
      <w:marLeft w:val="0"/>
      <w:marRight w:val="0"/>
      <w:marTop w:val="0"/>
      <w:marBottom w:val="0"/>
      <w:divBdr>
        <w:top w:val="none" w:sz="0" w:space="0" w:color="auto"/>
        <w:left w:val="none" w:sz="0" w:space="0" w:color="auto"/>
        <w:bottom w:val="none" w:sz="0" w:space="0" w:color="auto"/>
        <w:right w:val="none" w:sz="0" w:space="0" w:color="auto"/>
      </w:divBdr>
    </w:div>
    <w:div w:id="1243832498">
      <w:marLeft w:val="0"/>
      <w:marRight w:val="0"/>
      <w:marTop w:val="0"/>
      <w:marBottom w:val="0"/>
      <w:divBdr>
        <w:top w:val="none" w:sz="0" w:space="0" w:color="auto"/>
        <w:left w:val="none" w:sz="0" w:space="0" w:color="auto"/>
        <w:bottom w:val="none" w:sz="0" w:space="0" w:color="auto"/>
        <w:right w:val="none" w:sz="0" w:space="0" w:color="auto"/>
      </w:divBdr>
    </w:div>
    <w:div w:id="1243832499">
      <w:marLeft w:val="0"/>
      <w:marRight w:val="0"/>
      <w:marTop w:val="0"/>
      <w:marBottom w:val="0"/>
      <w:divBdr>
        <w:top w:val="none" w:sz="0" w:space="0" w:color="auto"/>
        <w:left w:val="none" w:sz="0" w:space="0" w:color="auto"/>
        <w:bottom w:val="none" w:sz="0" w:space="0" w:color="auto"/>
        <w:right w:val="none" w:sz="0" w:space="0" w:color="auto"/>
      </w:divBdr>
    </w:div>
    <w:div w:id="1243832500">
      <w:marLeft w:val="0"/>
      <w:marRight w:val="0"/>
      <w:marTop w:val="0"/>
      <w:marBottom w:val="0"/>
      <w:divBdr>
        <w:top w:val="none" w:sz="0" w:space="0" w:color="auto"/>
        <w:left w:val="none" w:sz="0" w:space="0" w:color="auto"/>
        <w:bottom w:val="none" w:sz="0" w:space="0" w:color="auto"/>
        <w:right w:val="none" w:sz="0" w:space="0" w:color="auto"/>
      </w:divBdr>
    </w:div>
    <w:div w:id="1243832501">
      <w:marLeft w:val="0"/>
      <w:marRight w:val="0"/>
      <w:marTop w:val="0"/>
      <w:marBottom w:val="0"/>
      <w:divBdr>
        <w:top w:val="none" w:sz="0" w:space="0" w:color="auto"/>
        <w:left w:val="none" w:sz="0" w:space="0" w:color="auto"/>
        <w:bottom w:val="none" w:sz="0" w:space="0" w:color="auto"/>
        <w:right w:val="none" w:sz="0" w:space="0" w:color="auto"/>
      </w:divBdr>
    </w:div>
    <w:div w:id="1243832502">
      <w:marLeft w:val="0"/>
      <w:marRight w:val="0"/>
      <w:marTop w:val="0"/>
      <w:marBottom w:val="0"/>
      <w:divBdr>
        <w:top w:val="none" w:sz="0" w:space="0" w:color="auto"/>
        <w:left w:val="none" w:sz="0" w:space="0" w:color="auto"/>
        <w:bottom w:val="none" w:sz="0" w:space="0" w:color="auto"/>
        <w:right w:val="none" w:sz="0" w:space="0" w:color="auto"/>
      </w:divBdr>
    </w:div>
    <w:div w:id="1243832503">
      <w:marLeft w:val="0"/>
      <w:marRight w:val="0"/>
      <w:marTop w:val="0"/>
      <w:marBottom w:val="0"/>
      <w:divBdr>
        <w:top w:val="none" w:sz="0" w:space="0" w:color="auto"/>
        <w:left w:val="none" w:sz="0" w:space="0" w:color="auto"/>
        <w:bottom w:val="none" w:sz="0" w:space="0" w:color="auto"/>
        <w:right w:val="none" w:sz="0" w:space="0" w:color="auto"/>
      </w:divBdr>
    </w:div>
    <w:div w:id="1243832504">
      <w:marLeft w:val="0"/>
      <w:marRight w:val="0"/>
      <w:marTop w:val="0"/>
      <w:marBottom w:val="0"/>
      <w:divBdr>
        <w:top w:val="none" w:sz="0" w:space="0" w:color="auto"/>
        <w:left w:val="none" w:sz="0" w:space="0" w:color="auto"/>
        <w:bottom w:val="none" w:sz="0" w:space="0" w:color="auto"/>
        <w:right w:val="none" w:sz="0" w:space="0" w:color="auto"/>
      </w:divBdr>
    </w:div>
    <w:div w:id="1243832505">
      <w:marLeft w:val="0"/>
      <w:marRight w:val="0"/>
      <w:marTop w:val="0"/>
      <w:marBottom w:val="0"/>
      <w:divBdr>
        <w:top w:val="none" w:sz="0" w:space="0" w:color="auto"/>
        <w:left w:val="none" w:sz="0" w:space="0" w:color="auto"/>
        <w:bottom w:val="none" w:sz="0" w:space="0" w:color="auto"/>
        <w:right w:val="none" w:sz="0" w:space="0" w:color="auto"/>
      </w:divBdr>
    </w:div>
    <w:div w:id="1243832506">
      <w:marLeft w:val="0"/>
      <w:marRight w:val="0"/>
      <w:marTop w:val="0"/>
      <w:marBottom w:val="0"/>
      <w:divBdr>
        <w:top w:val="none" w:sz="0" w:space="0" w:color="auto"/>
        <w:left w:val="none" w:sz="0" w:space="0" w:color="auto"/>
        <w:bottom w:val="none" w:sz="0" w:space="0" w:color="auto"/>
        <w:right w:val="none" w:sz="0" w:space="0" w:color="auto"/>
      </w:divBdr>
    </w:div>
    <w:div w:id="1243832507">
      <w:marLeft w:val="0"/>
      <w:marRight w:val="0"/>
      <w:marTop w:val="0"/>
      <w:marBottom w:val="0"/>
      <w:divBdr>
        <w:top w:val="none" w:sz="0" w:space="0" w:color="auto"/>
        <w:left w:val="none" w:sz="0" w:space="0" w:color="auto"/>
        <w:bottom w:val="none" w:sz="0" w:space="0" w:color="auto"/>
        <w:right w:val="none" w:sz="0" w:space="0" w:color="auto"/>
      </w:divBdr>
    </w:div>
    <w:div w:id="1243832508">
      <w:marLeft w:val="0"/>
      <w:marRight w:val="0"/>
      <w:marTop w:val="0"/>
      <w:marBottom w:val="0"/>
      <w:divBdr>
        <w:top w:val="none" w:sz="0" w:space="0" w:color="auto"/>
        <w:left w:val="none" w:sz="0" w:space="0" w:color="auto"/>
        <w:bottom w:val="none" w:sz="0" w:space="0" w:color="auto"/>
        <w:right w:val="none" w:sz="0" w:space="0" w:color="auto"/>
      </w:divBdr>
    </w:div>
    <w:div w:id="1243832509">
      <w:marLeft w:val="0"/>
      <w:marRight w:val="0"/>
      <w:marTop w:val="0"/>
      <w:marBottom w:val="0"/>
      <w:divBdr>
        <w:top w:val="none" w:sz="0" w:space="0" w:color="auto"/>
        <w:left w:val="none" w:sz="0" w:space="0" w:color="auto"/>
        <w:bottom w:val="none" w:sz="0" w:space="0" w:color="auto"/>
        <w:right w:val="none" w:sz="0" w:space="0" w:color="auto"/>
      </w:divBdr>
    </w:div>
    <w:div w:id="1243832510">
      <w:marLeft w:val="0"/>
      <w:marRight w:val="0"/>
      <w:marTop w:val="0"/>
      <w:marBottom w:val="0"/>
      <w:divBdr>
        <w:top w:val="none" w:sz="0" w:space="0" w:color="auto"/>
        <w:left w:val="none" w:sz="0" w:space="0" w:color="auto"/>
        <w:bottom w:val="none" w:sz="0" w:space="0" w:color="auto"/>
        <w:right w:val="none" w:sz="0" w:space="0" w:color="auto"/>
      </w:divBdr>
    </w:div>
    <w:div w:id="1243832511">
      <w:marLeft w:val="0"/>
      <w:marRight w:val="0"/>
      <w:marTop w:val="0"/>
      <w:marBottom w:val="0"/>
      <w:divBdr>
        <w:top w:val="none" w:sz="0" w:space="0" w:color="auto"/>
        <w:left w:val="none" w:sz="0" w:space="0" w:color="auto"/>
        <w:bottom w:val="none" w:sz="0" w:space="0" w:color="auto"/>
        <w:right w:val="none" w:sz="0" w:space="0" w:color="auto"/>
      </w:divBdr>
    </w:div>
    <w:div w:id="1243832512">
      <w:marLeft w:val="0"/>
      <w:marRight w:val="0"/>
      <w:marTop w:val="0"/>
      <w:marBottom w:val="0"/>
      <w:divBdr>
        <w:top w:val="none" w:sz="0" w:space="0" w:color="auto"/>
        <w:left w:val="none" w:sz="0" w:space="0" w:color="auto"/>
        <w:bottom w:val="none" w:sz="0" w:space="0" w:color="auto"/>
        <w:right w:val="none" w:sz="0" w:space="0" w:color="auto"/>
      </w:divBdr>
    </w:div>
    <w:div w:id="1243832513">
      <w:marLeft w:val="0"/>
      <w:marRight w:val="0"/>
      <w:marTop w:val="0"/>
      <w:marBottom w:val="0"/>
      <w:divBdr>
        <w:top w:val="none" w:sz="0" w:space="0" w:color="auto"/>
        <w:left w:val="none" w:sz="0" w:space="0" w:color="auto"/>
        <w:bottom w:val="none" w:sz="0" w:space="0" w:color="auto"/>
        <w:right w:val="none" w:sz="0" w:space="0" w:color="auto"/>
      </w:divBdr>
    </w:div>
    <w:div w:id="1243832514">
      <w:marLeft w:val="0"/>
      <w:marRight w:val="0"/>
      <w:marTop w:val="0"/>
      <w:marBottom w:val="0"/>
      <w:divBdr>
        <w:top w:val="none" w:sz="0" w:space="0" w:color="auto"/>
        <w:left w:val="none" w:sz="0" w:space="0" w:color="auto"/>
        <w:bottom w:val="none" w:sz="0" w:space="0" w:color="auto"/>
        <w:right w:val="none" w:sz="0" w:space="0" w:color="auto"/>
      </w:divBdr>
    </w:div>
    <w:div w:id="1243832515">
      <w:marLeft w:val="0"/>
      <w:marRight w:val="0"/>
      <w:marTop w:val="0"/>
      <w:marBottom w:val="0"/>
      <w:divBdr>
        <w:top w:val="none" w:sz="0" w:space="0" w:color="auto"/>
        <w:left w:val="none" w:sz="0" w:space="0" w:color="auto"/>
        <w:bottom w:val="none" w:sz="0" w:space="0" w:color="auto"/>
        <w:right w:val="none" w:sz="0" w:space="0" w:color="auto"/>
      </w:divBdr>
    </w:div>
    <w:div w:id="1243832516">
      <w:marLeft w:val="0"/>
      <w:marRight w:val="0"/>
      <w:marTop w:val="0"/>
      <w:marBottom w:val="0"/>
      <w:divBdr>
        <w:top w:val="none" w:sz="0" w:space="0" w:color="auto"/>
        <w:left w:val="none" w:sz="0" w:space="0" w:color="auto"/>
        <w:bottom w:val="none" w:sz="0" w:space="0" w:color="auto"/>
        <w:right w:val="none" w:sz="0" w:space="0" w:color="auto"/>
      </w:divBdr>
    </w:div>
    <w:div w:id="1243832517">
      <w:marLeft w:val="0"/>
      <w:marRight w:val="0"/>
      <w:marTop w:val="0"/>
      <w:marBottom w:val="0"/>
      <w:divBdr>
        <w:top w:val="none" w:sz="0" w:space="0" w:color="auto"/>
        <w:left w:val="none" w:sz="0" w:space="0" w:color="auto"/>
        <w:bottom w:val="none" w:sz="0" w:space="0" w:color="auto"/>
        <w:right w:val="none" w:sz="0" w:space="0" w:color="auto"/>
      </w:divBdr>
    </w:div>
    <w:div w:id="1243832518">
      <w:marLeft w:val="0"/>
      <w:marRight w:val="0"/>
      <w:marTop w:val="0"/>
      <w:marBottom w:val="0"/>
      <w:divBdr>
        <w:top w:val="none" w:sz="0" w:space="0" w:color="auto"/>
        <w:left w:val="none" w:sz="0" w:space="0" w:color="auto"/>
        <w:bottom w:val="none" w:sz="0" w:space="0" w:color="auto"/>
        <w:right w:val="none" w:sz="0" w:space="0" w:color="auto"/>
      </w:divBdr>
    </w:div>
    <w:div w:id="1243832519">
      <w:marLeft w:val="0"/>
      <w:marRight w:val="0"/>
      <w:marTop w:val="0"/>
      <w:marBottom w:val="0"/>
      <w:divBdr>
        <w:top w:val="none" w:sz="0" w:space="0" w:color="auto"/>
        <w:left w:val="none" w:sz="0" w:space="0" w:color="auto"/>
        <w:bottom w:val="none" w:sz="0" w:space="0" w:color="auto"/>
        <w:right w:val="none" w:sz="0" w:space="0" w:color="auto"/>
      </w:divBdr>
    </w:div>
    <w:div w:id="1243832520">
      <w:marLeft w:val="0"/>
      <w:marRight w:val="0"/>
      <w:marTop w:val="0"/>
      <w:marBottom w:val="0"/>
      <w:divBdr>
        <w:top w:val="none" w:sz="0" w:space="0" w:color="auto"/>
        <w:left w:val="none" w:sz="0" w:space="0" w:color="auto"/>
        <w:bottom w:val="none" w:sz="0" w:space="0" w:color="auto"/>
        <w:right w:val="none" w:sz="0" w:space="0" w:color="auto"/>
      </w:divBdr>
    </w:div>
    <w:div w:id="1243832521">
      <w:marLeft w:val="0"/>
      <w:marRight w:val="0"/>
      <w:marTop w:val="0"/>
      <w:marBottom w:val="0"/>
      <w:divBdr>
        <w:top w:val="none" w:sz="0" w:space="0" w:color="auto"/>
        <w:left w:val="none" w:sz="0" w:space="0" w:color="auto"/>
        <w:bottom w:val="none" w:sz="0" w:space="0" w:color="auto"/>
        <w:right w:val="none" w:sz="0" w:space="0" w:color="auto"/>
      </w:divBdr>
    </w:div>
    <w:div w:id="1243832522">
      <w:marLeft w:val="0"/>
      <w:marRight w:val="0"/>
      <w:marTop w:val="0"/>
      <w:marBottom w:val="0"/>
      <w:divBdr>
        <w:top w:val="none" w:sz="0" w:space="0" w:color="auto"/>
        <w:left w:val="none" w:sz="0" w:space="0" w:color="auto"/>
        <w:bottom w:val="none" w:sz="0" w:space="0" w:color="auto"/>
        <w:right w:val="none" w:sz="0" w:space="0" w:color="auto"/>
      </w:divBdr>
    </w:div>
    <w:div w:id="1243832523">
      <w:marLeft w:val="0"/>
      <w:marRight w:val="0"/>
      <w:marTop w:val="0"/>
      <w:marBottom w:val="0"/>
      <w:divBdr>
        <w:top w:val="none" w:sz="0" w:space="0" w:color="auto"/>
        <w:left w:val="none" w:sz="0" w:space="0" w:color="auto"/>
        <w:bottom w:val="none" w:sz="0" w:space="0" w:color="auto"/>
        <w:right w:val="none" w:sz="0" w:space="0" w:color="auto"/>
      </w:divBdr>
    </w:div>
    <w:div w:id="1243832524">
      <w:marLeft w:val="0"/>
      <w:marRight w:val="0"/>
      <w:marTop w:val="0"/>
      <w:marBottom w:val="0"/>
      <w:divBdr>
        <w:top w:val="none" w:sz="0" w:space="0" w:color="auto"/>
        <w:left w:val="none" w:sz="0" w:space="0" w:color="auto"/>
        <w:bottom w:val="none" w:sz="0" w:space="0" w:color="auto"/>
        <w:right w:val="none" w:sz="0" w:space="0" w:color="auto"/>
      </w:divBdr>
    </w:div>
    <w:div w:id="1243832525">
      <w:marLeft w:val="0"/>
      <w:marRight w:val="0"/>
      <w:marTop w:val="0"/>
      <w:marBottom w:val="0"/>
      <w:divBdr>
        <w:top w:val="none" w:sz="0" w:space="0" w:color="auto"/>
        <w:left w:val="none" w:sz="0" w:space="0" w:color="auto"/>
        <w:bottom w:val="none" w:sz="0" w:space="0" w:color="auto"/>
        <w:right w:val="none" w:sz="0" w:space="0" w:color="auto"/>
      </w:divBdr>
    </w:div>
    <w:div w:id="1243832526">
      <w:marLeft w:val="0"/>
      <w:marRight w:val="0"/>
      <w:marTop w:val="0"/>
      <w:marBottom w:val="0"/>
      <w:divBdr>
        <w:top w:val="none" w:sz="0" w:space="0" w:color="auto"/>
        <w:left w:val="none" w:sz="0" w:space="0" w:color="auto"/>
        <w:bottom w:val="none" w:sz="0" w:space="0" w:color="auto"/>
        <w:right w:val="none" w:sz="0" w:space="0" w:color="auto"/>
      </w:divBdr>
    </w:div>
    <w:div w:id="1243832527">
      <w:marLeft w:val="0"/>
      <w:marRight w:val="0"/>
      <w:marTop w:val="0"/>
      <w:marBottom w:val="0"/>
      <w:divBdr>
        <w:top w:val="none" w:sz="0" w:space="0" w:color="auto"/>
        <w:left w:val="none" w:sz="0" w:space="0" w:color="auto"/>
        <w:bottom w:val="none" w:sz="0" w:space="0" w:color="auto"/>
        <w:right w:val="none" w:sz="0" w:space="0" w:color="auto"/>
      </w:divBdr>
    </w:div>
    <w:div w:id="1243832528">
      <w:marLeft w:val="0"/>
      <w:marRight w:val="0"/>
      <w:marTop w:val="0"/>
      <w:marBottom w:val="0"/>
      <w:divBdr>
        <w:top w:val="none" w:sz="0" w:space="0" w:color="auto"/>
        <w:left w:val="none" w:sz="0" w:space="0" w:color="auto"/>
        <w:bottom w:val="none" w:sz="0" w:space="0" w:color="auto"/>
        <w:right w:val="none" w:sz="0" w:space="0" w:color="auto"/>
      </w:divBdr>
    </w:div>
    <w:div w:id="1243832529">
      <w:marLeft w:val="0"/>
      <w:marRight w:val="0"/>
      <w:marTop w:val="0"/>
      <w:marBottom w:val="0"/>
      <w:divBdr>
        <w:top w:val="none" w:sz="0" w:space="0" w:color="auto"/>
        <w:left w:val="none" w:sz="0" w:space="0" w:color="auto"/>
        <w:bottom w:val="none" w:sz="0" w:space="0" w:color="auto"/>
        <w:right w:val="none" w:sz="0" w:space="0" w:color="auto"/>
      </w:divBdr>
    </w:div>
    <w:div w:id="1243832530">
      <w:marLeft w:val="0"/>
      <w:marRight w:val="0"/>
      <w:marTop w:val="0"/>
      <w:marBottom w:val="0"/>
      <w:divBdr>
        <w:top w:val="none" w:sz="0" w:space="0" w:color="auto"/>
        <w:left w:val="none" w:sz="0" w:space="0" w:color="auto"/>
        <w:bottom w:val="none" w:sz="0" w:space="0" w:color="auto"/>
        <w:right w:val="none" w:sz="0" w:space="0" w:color="auto"/>
      </w:divBdr>
    </w:div>
    <w:div w:id="1243832531">
      <w:marLeft w:val="0"/>
      <w:marRight w:val="0"/>
      <w:marTop w:val="0"/>
      <w:marBottom w:val="0"/>
      <w:divBdr>
        <w:top w:val="none" w:sz="0" w:space="0" w:color="auto"/>
        <w:left w:val="none" w:sz="0" w:space="0" w:color="auto"/>
        <w:bottom w:val="none" w:sz="0" w:space="0" w:color="auto"/>
        <w:right w:val="none" w:sz="0" w:space="0" w:color="auto"/>
      </w:divBdr>
    </w:div>
    <w:div w:id="1243832532">
      <w:marLeft w:val="0"/>
      <w:marRight w:val="0"/>
      <w:marTop w:val="0"/>
      <w:marBottom w:val="0"/>
      <w:divBdr>
        <w:top w:val="none" w:sz="0" w:space="0" w:color="auto"/>
        <w:left w:val="none" w:sz="0" w:space="0" w:color="auto"/>
        <w:bottom w:val="none" w:sz="0" w:space="0" w:color="auto"/>
        <w:right w:val="none" w:sz="0" w:space="0" w:color="auto"/>
      </w:divBdr>
    </w:div>
    <w:div w:id="1243832533">
      <w:marLeft w:val="0"/>
      <w:marRight w:val="0"/>
      <w:marTop w:val="0"/>
      <w:marBottom w:val="0"/>
      <w:divBdr>
        <w:top w:val="none" w:sz="0" w:space="0" w:color="auto"/>
        <w:left w:val="none" w:sz="0" w:space="0" w:color="auto"/>
        <w:bottom w:val="none" w:sz="0" w:space="0" w:color="auto"/>
        <w:right w:val="none" w:sz="0" w:space="0" w:color="auto"/>
      </w:divBdr>
    </w:div>
    <w:div w:id="1243832534">
      <w:marLeft w:val="0"/>
      <w:marRight w:val="0"/>
      <w:marTop w:val="0"/>
      <w:marBottom w:val="0"/>
      <w:divBdr>
        <w:top w:val="none" w:sz="0" w:space="0" w:color="auto"/>
        <w:left w:val="none" w:sz="0" w:space="0" w:color="auto"/>
        <w:bottom w:val="none" w:sz="0" w:space="0" w:color="auto"/>
        <w:right w:val="none" w:sz="0" w:space="0" w:color="auto"/>
      </w:divBdr>
    </w:div>
    <w:div w:id="1243832535">
      <w:marLeft w:val="0"/>
      <w:marRight w:val="0"/>
      <w:marTop w:val="0"/>
      <w:marBottom w:val="0"/>
      <w:divBdr>
        <w:top w:val="none" w:sz="0" w:space="0" w:color="auto"/>
        <w:left w:val="none" w:sz="0" w:space="0" w:color="auto"/>
        <w:bottom w:val="none" w:sz="0" w:space="0" w:color="auto"/>
        <w:right w:val="none" w:sz="0" w:space="0" w:color="auto"/>
      </w:divBdr>
    </w:div>
    <w:div w:id="1243832536">
      <w:marLeft w:val="0"/>
      <w:marRight w:val="0"/>
      <w:marTop w:val="0"/>
      <w:marBottom w:val="0"/>
      <w:divBdr>
        <w:top w:val="none" w:sz="0" w:space="0" w:color="auto"/>
        <w:left w:val="none" w:sz="0" w:space="0" w:color="auto"/>
        <w:bottom w:val="none" w:sz="0" w:space="0" w:color="auto"/>
        <w:right w:val="none" w:sz="0" w:space="0" w:color="auto"/>
      </w:divBdr>
    </w:div>
    <w:div w:id="1243832537">
      <w:marLeft w:val="0"/>
      <w:marRight w:val="0"/>
      <w:marTop w:val="0"/>
      <w:marBottom w:val="0"/>
      <w:divBdr>
        <w:top w:val="none" w:sz="0" w:space="0" w:color="auto"/>
        <w:left w:val="none" w:sz="0" w:space="0" w:color="auto"/>
        <w:bottom w:val="none" w:sz="0" w:space="0" w:color="auto"/>
        <w:right w:val="none" w:sz="0" w:space="0" w:color="auto"/>
      </w:divBdr>
    </w:div>
    <w:div w:id="1243832538">
      <w:marLeft w:val="0"/>
      <w:marRight w:val="0"/>
      <w:marTop w:val="0"/>
      <w:marBottom w:val="0"/>
      <w:divBdr>
        <w:top w:val="none" w:sz="0" w:space="0" w:color="auto"/>
        <w:left w:val="none" w:sz="0" w:space="0" w:color="auto"/>
        <w:bottom w:val="none" w:sz="0" w:space="0" w:color="auto"/>
        <w:right w:val="none" w:sz="0" w:space="0" w:color="auto"/>
      </w:divBdr>
    </w:div>
    <w:div w:id="1243832539">
      <w:marLeft w:val="0"/>
      <w:marRight w:val="0"/>
      <w:marTop w:val="0"/>
      <w:marBottom w:val="0"/>
      <w:divBdr>
        <w:top w:val="none" w:sz="0" w:space="0" w:color="auto"/>
        <w:left w:val="none" w:sz="0" w:space="0" w:color="auto"/>
        <w:bottom w:val="none" w:sz="0" w:space="0" w:color="auto"/>
        <w:right w:val="none" w:sz="0" w:space="0" w:color="auto"/>
      </w:divBdr>
    </w:div>
    <w:div w:id="1243832540">
      <w:marLeft w:val="0"/>
      <w:marRight w:val="0"/>
      <w:marTop w:val="0"/>
      <w:marBottom w:val="0"/>
      <w:divBdr>
        <w:top w:val="none" w:sz="0" w:space="0" w:color="auto"/>
        <w:left w:val="none" w:sz="0" w:space="0" w:color="auto"/>
        <w:bottom w:val="none" w:sz="0" w:space="0" w:color="auto"/>
        <w:right w:val="none" w:sz="0" w:space="0" w:color="auto"/>
      </w:divBdr>
    </w:div>
    <w:div w:id="1243832541">
      <w:marLeft w:val="0"/>
      <w:marRight w:val="0"/>
      <w:marTop w:val="0"/>
      <w:marBottom w:val="0"/>
      <w:divBdr>
        <w:top w:val="none" w:sz="0" w:space="0" w:color="auto"/>
        <w:left w:val="none" w:sz="0" w:space="0" w:color="auto"/>
        <w:bottom w:val="none" w:sz="0" w:space="0" w:color="auto"/>
        <w:right w:val="none" w:sz="0" w:space="0" w:color="auto"/>
      </w:divBdr>
    </w:div>
    <w:div w:id="1243832542">
      <w:marLeft w:val="0"/>
      <w:marRight w:val="0"/>
      <w:marTop w:val="0"/>
      <w:marBottom w:val="0"/>
      <w:divBdr>
        <w:top w:val="none" w:sz="0" w:space="0" w:color="auto"/>
        <w:left w:val="none" w:sz="0" w:space="0" w:color="auto"/>
        <w:bottom w:val="none" w:sz="0" w:space="0" w:color="auto"/>
        <w:right w:val="none" w:sz="0" w:space="0" w:color="auto"/>
      </w:divBdr>
    </w:div>
    <w:div w:id="1243832543">
      <w:marLeft w:val="0"/>
      <w:marRight w:val="0"/>
      <w:marTop w:val="0"/>
      <w:marBottom w:val="0"/>
      <w:divBdr>
        <w:top w:val="none" w:sz="0" w:space="0" w:color="auto"/>
        <w:left w:val="none" w:sz="0" w:space="0" w:color="auto"/>
        <w:bottom w:val="none" w:sz="0" w:space="0" w:color="auto"/>
        <w:right w:val="none" w:sz="0" w:space="0" w:color="auto"/>
      </w:divBdr>
    </w:div>
    <w:div w:id="1243832544">
      <w:marLeft w:val="0"/>
      <w:marRight w:val="0"/>
      <w:marTop w:val="0"/>
      <w:marBottom w:val="0"/>
      <w:divBdr>
        <w:top w:val="none" w:sz="0" w:space="0" w:color="auto"/>
        <w:left w:val="none" w:sz="0" w:space="0" w:color="auto"/>
        <w:bottom w:val="none" w:sz="0" w:space="0" w:color="auto"/>
        <w:right w:val="none" w:sz="0" w:space="0" w:color="auto"/>
      </w:divBdr>
    </w:div>
    <w:div w:id="1243832545">
      <w:marLeft w:val="0"/>
      <w:marRight w:val="0"/>
      <w:marTop w:val="0"/>
      <w:marBottom w:val="0"/>
      <w:divBdr>
        <w:top w:val="none" w:sz="0" w:space="0" w:color="auto"/>
        <w:left w:val="none" w:sz="0" w:space="0" w:color="auto"/>
        <w:bottom w:val="none" w:sz="0" w:space="0" w:color="auto"/>
        <w:right w:val="none" w:sz="0" w:space="0" w:color="auto"/>
      </w:divBdr>
    </w:div>
    <w:div w:id="1243832546">
      <w:marLeft w:val="0"/>
      <w:marRight w:val="0"/>
      <w:marTop w:val="0"/>
      <w:marBottom w:val="0"/>
      <w:divBdr>
        <w:top w:val="none" w:sz="0" w:space="0" w:color="auto"/>
        <w:left w:val="none" w:sz="0" w:space="0" w:color="auto"/>
        <w:bottom w:val="none" w:sz="0" w:space="0" w:color="auto"/>
        <w:right w:val="none" w:sz="0" w:space="0" w:color="auto"/>
      </w:divBdr>
    </w:div>
    <w:div w:id="1243832547">
      <w:marLeft w:val="0"/>
      <w:marRight w:val="0"/>
      <w:marTop w:val="0"/>
      <w:marBottom w:val="0"/>
      <w:divBdr>
        <w:top w:val="none" w:sz="0" w:space="0" w:color="auto"/>
        <w:left w:val="none" w:sz="0" w:space="0" w:color="auto"/>
        <w:bottom w:val="none" w:sz="0" w:space="0" w:color="auto"/>
        <w:right w:val="none" w:sz="0" w:space="0" w:color="auto"/>
      </w:divBdr>
    </w:div>
    <w:div w:id="1243832548">
      <w:marLeft w:val="0"/>
      <w:marRight w:val="0"/>
      <w:marTop w:val="0"/>
      <w:marBottom w:val="0"/>
      <w:divBdr>
        <w:top w:val="none" w:sz="0" w:space="0" w:color="auto"/>
        <w:left w:val="none" w:sz="0" w:space="0" w:color="auto"/>
        <w:bottom w:val="none" w:sz="0" w:space="0" w:color="auto"/>
        <w:right w:val="none" w:sz="0" w:space="0" w:color="auto"/>
      </w:divBdr>
    </w:div>
    <w:div w:id="1243832549">
      <w:marLeft w:val="0"/>
      <w:marRight w:val="0"/>
      <w:marTop w:val="0"/>
      <w:marBottom w:val="0"/>
      <w:divBdr>
        <w:top w:val="none" w:sz="0" w:space="0" w:color="auto"/>
        <w:left w:val="none" w:sz="0" w:space="0" w:color="auto"/>
        <w:bottom w:val="none" w:sz="0" w:space="0" w:color="auto"/>
        <w:right w:val="none" w:sz="0" w:space="0" w:color="auto"/>
      </w:divBdr>
    </w:div>
    <w:div w:id="1243832550">
      <w:marLeft w:val="0"/>
      <w:marRight w:val="0"/>
      <w:marTop w:val="0"/>
      <w:marBottom w:val="0"/>
      <w:divBdr>
        <w:top w:val="none" w:sz="0" w:space="0" w:color="auto"/>
        <w:left w:val="none" w:sz="0" w:space="0" w:color="auto"/>
        <w:bottom w:val="none" w:sz="0" w:space="0" w:color="auto"/>
        <w:right w:val="none" w:sz="0" w:space="0" w:color="auto"/>
      </w:divBdr>
    </w:div>
    <w:div w:id="1243832551">
      <w:marLeft w:val="0"/>
      <w:marRight w:val="0"/>
      <w:marTop w:val="0"/>
      <w:marBottom w:val="0"/>
      <w:divBdr>
        <w:top w:val="none" w:sz="0" w:space="0" w:color="auto"/>
        <w:left w:val="none" w:sz="0" w:space="0" w:color="auto"/>
        <w:bottom w:val="none" w:sz="0" w:space="0" w:color="auto"/>
        <w:right w:val="none" w:sz="0" w:space="0" w:color="auto"/>
      </w:divBdr>
    </w:div>
    <w:div w:id="1243832552">
      <w:marLeft w:val="0"/>
      <w:marRight w:val="0"/>
      <w:marTop w:val="0"/>
      <w:marBottom w:val="0"/>
      <w:divBdr>
        <w:top w:val="none" w:sz="0" w:space="0" w:color="auto"/>
        <w:left w:val="none" w:sz="0" w:space="0" w:color="auto"/>
        <w:bottom w:val="none" w:sz="0" w:space="0" w:color="auto"/>
        <w:right w:val="none" w:sz="0" w:space="0" w:color="auto"/>
      </w:divBdr>
    </w:div>
    <w:div w:id="1243832553">
      <w:marLeft w:val="0"/>
      <w:marRight w:val="0"/>
      <w:marTop w:val="0"/>
      <w:marBottom w:val="0"/>
      <w:divBdr>
        <w:top w:val="none" w:sz="0" w:space="0" w:color="auto"/>
        <w:left w:val="none" w:sz="0" w:space="0" w:color="auto"/>
        <w:bottom w:val="none" w:sz="0" w:space="0" w:color="auto"/>
        <w:right w:val="none" w:sz="0" w:space="0" w:color="auto"/>
      </w:divBdr>
    </w:div>
    <w:div w:id="1243832554">
      <w:marLeft w:val="0"/>
      <w:marRight w:val="0"/>
      <w:marTop w:val="0"/>
      <w:marBottom w:val="0"/>
      <w:divBdr>
        <w:top w:val="none" w:sz="0" w:space="0" w:color="auto"/>
        <w:left w:val="none" w:sz="0" w:space="0" w:color="auto"/>
        <w:bottom w:val="none" w:sz="0" w:space="0" w:color="auto"/>
        <w:right w:val="none" w:sz="0" w:space="0" w:color="auto"/>
      </w:divBdr>
    </w:div>
    <w:div w:id="1243832555">
      <w:marLeft w:val="0"/>
      <w:marRight w:val="0"/>
      <w:marTop w:val="0"/>
      <w:marBottom w:val="0"/>
      <w:divBdr>
        <w:top w:val="none" w:sz="0" w:space="0" w:color="auto"/>
        <w:left w:val="none" w:sz="0" w:space="0" w:color="auto"/>
        <w:bottom w:val="none" w:sz="0" w:space="0" w:color="auto"/>
        <w:right w:val="none" w:sz="0" w:space="0" w:color="auto"/>
      </w:divBdr>
    </w:div>
    <w:div w:id="1243832556">
      <w:marLeft w:val="0"/>
      <w:marRight w:val="0"/>
      <w:marTop w:val="0"/>
      <w:marBottom w:val="0"/>
      <w:divBdr>
        <w:top w:val="none" w:sz="0" w:space="0" w:color="auto"/>
        <w:left w:val="none" w:sz="0" w:space="0" w:color="auto"/>
        <w:bottom w:val="none" w:sz="0" w:space="0" w:color="auto"/>
        <w:right w:val="none" w:sz="0" w:space="0" w:color="auto"/>
      </w:divBdr>
    </w:div>
    <w:div w:id="1243832557">
      <w:marLeft w:val="0"/>
      <w:marRight w:val="0"/>
      <w:marTop w:val="0"/>
      <w:marBottom w:val="0"/>
      <w:divBdr>
        <w:top w:val="none" w:sz="0" w:space="0" w:color="auto"/>
        <w:left w:val="none" w:sz="0" w:space="0" w:color="auto"/>
        <w:bottom w:val="none" w:sz="0" w:space="0" w:color="auto"/>
        <w:right w:val="none" w:sz="0" w:space="0" w:color="auto"/>
      </w:divBdr>
    </w:div>
    <w:div w:id="1243832558">
      <w:marLeft w:val="0"/>
      <w:marRight w:val="0"/>
      <w:marTop w:val="0"/>
      <w:marBottom w:val="0"/>
      <w:divBdr>
        <w:top w:val="none" w:sz="0" w:space="0" w:color="auto"/>
        <w:left w:val="none" w:sz="0" w:space="0" w:color="auto"/>
        <w:bottom w:val="none" w:sz="0" w:space="0" w:color="auto"/>
        <w:right w:val="none" w:sz="0" w:space="0" w:color="auto"/>
      </w:divBdr>
    </w:div>
    <w:div w:id="1243832559">
      <w:marLeft w:val="0"/>
      <w:marRight w:val="0"/>
      <w:marTop w:val="0"/>
      <w:marBottom w:val="0"/>
      <w:divBdr>
        <w:top w:val="none" w:sz="0" w:space="0" w:color="auto"/>
        <w:left w:val="none" w:sz="0" w:space="0" w:color="auto"/>
        <w:bottom w:val="none" w:sz="0" w:space="0" w:color="auto"/>
        <w:right w:val="none" w:sz="0" w:space="0" w:color="auto"/>
      </w:divBdr>
    </w:div>
    <w:div w:id="1243832560">
      <w:marLeft w:val="0"/>
      <w:marRight w:val="0"/>
      <w:marTop w:val="0"/>
      <w:marBottom w:val="0"/>
      <w:divBdr>
        <w:top w:val="none" w:sz="0" w:space="0" w:color="auto"/>
        <w:left w:val="none" w:sz="0" w:space="0" w:color="auto"/>
        <w:bottom w:val="none" w:sz="0" w:space="0" w:color="auto"/>
        <w:right w:val="none" w:sz="0" w:space="0" w:color="auto"/>
      </w:divBdr>
    </w:div>
    <w:div w:id="1243832561">
      <w:marLeft w:val="0"/>
      <w:marRight w:val="0"/>
      <w:marTop w:val="0"/>
      <w:marBottom w:val="0"/>
      <w:divBdr>
        <w:top w:val="none" w:sz="0" w:space="0" w:color="auto"/>
        <w:left w:val="none" w:sz="0" w:space="0" w:color="auto"/>
        <w:bottom w:val="none" w:sz="0" w:space="0" w:color="auto"/>
        <w:right w:val="none" w:sz="0" w:space="0" w:color="auto"/>
      </w:divBdr>
    </w:div>
    <w:div w:id="1243832562">
      <w:marLeft w:val="0"/>
      <w:marRight w:val="0"/>
      <w:marTop w:val="0"/>
      <w:marBottom w:val="0"/>
      <w:divBdr>
        <w:top w:val="none" w:sz="0" w:space="0" w:color="auto"/>
        <w:left w:val="none" w:sz="0" w:space="0" w:color="auto"/>
        <w:bottom w:val="none" w:sz="0" w:space="0" w:color="auto"/>
        <w:right w:val="none" w:sz="0" w:space="0" w:color="auto"/>
      </w:divBdr>
    </w:div>
    <w:div w:id="1243832563">
      <w:marLeft w:val="0"/>
      <w:marRight w:val="0"/>
      <w:marTop w:val="0"/>
      <w:marBottom w:val="0"/>
      <w:divBdr>
        <w:top w:val="none" w:sz="0" w:space="0" w:color="auto"/>
        <w:left w:val="none" w:sz="0" w:space="0" w:color="auto"/>
        <w:bottom w:val="none" w:sz="0" w:space="0" w:color="auto"/>
        <w:right w:val="none" w:sz="0" w:space="0" w:color="auto"/>
      </w:divBdr>
    </w:div>
    <w:div w:id="1243832564">
      <w:marLeft w:val="0"/>
      <w:marRight w:val="0"/>
      <w:marTop w:val="0"/>
      <w:marBottom w:val="0"/>
      <w:divBdr>
        <w:top w:val="none" w:sz="0" w:space="0" w:color="auto"/>
        <w:left w:val="none" w:sz="0" w:space="0" w:color="auto"/>
        <w:bottom w:val="none" w:sz="0" w:space="0" w:color="auto"/>
        <w:right w:val="none" w:sz="0" w:space="0" w:color="auto"/>
      </w:divBdr>
    </w:div>
    <w:div w:id="1243832565">
      <w:marLeft w:val="0"/>
      <w:marRight w:val="0"/>
      <w:marTop w:val="0"/>
      <w:marBottom w:val="0"/>
      <w:divBdr>
        <w:top w:val="none" w:sz="0" w:space="0" w:color="auto"/>
        <w:left w:val="none" w:sz="0" w:space="0" w:color="auto"/>
        <w:bottom w:val="none" w:sz="0" w:space="0" w:color="auto"/>
        <w:right w:val="none" w:sz="0" w:space="0" w:color="auto"/>
      </w:divBdr>
    </w:div>
    <w:div w:id="1243832566">
      <w:marLeft w:val="0"/>
      <w:marRight w:val="0"/>
      <w:marTop w:val="0"/>
      <w:marBottom w:val="0"/>
      <w:divBdr>
        <w:top w:val="none" w:sz="0" w:space="0" w:color="auto"/>
        <w:left w:val="none" w:sz="0" w:space="0" w:color="auto"/>
        <w:bottom w:val="none" w:sz="0" w:space="0" w:color="auto"/>
        <w:right w:val="none" w:sz="0" w:space="0" w:color="auto"/>
      </w:divBdr>
    </w:div>
    <w:div w:id="1243832567">
      <w:marLeft w:val="0"/>
      <w:marRight w:val="0"/>
      <w:marTop w:val="0"/>
      <w:marBottom w:val="0"/>
      <w:divBdr>
        <w:top w:val="none" w:sz="0" w:space="0" w:color="auto"/>
        <w:left w:val="none" w:sz="0" w:space="0" w:color="auto"/>
        <w:bottom w:val="none" w:sz="0" w:space="0" w:color="auto"/>
        <w:right w:val="none" w:sz="0" w:space="0" w:color="auto"/>
      </w:divBdr>
    </w:div>
    <w:div w:id="1243832568">
      <w:marLeft w:val="0"/>
      <w:marRight w:val="0"/>
      <w:marTop w:val="0"/>
      <w:marBottom w:val="0"/>
      <w:divBdr>
        <w:top w:val="none" w:sz="0" w:space="0" w:color="auto"/>
        <w:left w:val="none" w:sz="0" w:space="0" w:color="auto"/>
        <w:bottom w:val="none" w:sz="0" w:space="0" w:color="auto"/>
        <w:right w:val="none" w:sz="0" w:space="0" w:color="auto"/>
      </w:divBdr>
    </w:div>
    <w:div w:id="1243832569">
      <w:marLeft w:val="0"/>
      <w:marRight w:val="0"/>
      <w:marTop w:val="0"/>
      <w:marBottom w:val="0"/>
      <w:divBdr>
        <w:top w:val="none" w:sz="0" w:space="0" w:color="auto"/>
        <w:left w:val="none" w:sz="0" w:space="0" w:color="auto"/>
        <w:bottom w:val="none" w:sz="0" w:space="0" w:color="auto"/>
        <w:right w:val="none" w:sz="0" w:space="0" w:color="auto"/>
      </w:divBdr>
    </w:div>
    <w:div w:id="1243832570">
      <w:marLeft w:val="0"/>
      <w:marRight w:val="0"/>
      <w:marTop w:val="0"/>
      <w:marBottom w:val="0"/>
      <w:divBdr>
        <w:top w:val="none" w:sz="0" w:space="0" w:color="auto"/>
        <w:left w:val="none" w:sz="0" w:space="0" w:color="auto"/>
        <w:bottom w:val="none" w:sz="0" w:space="0" w:color="auto"/>
        <w:right w:val="none" w:sz="0" w:space="0" w:color="auto"/>
      </w:divBdr>
    </w:div>
    <w:div w:id="1243832571">
      <w:marLeft w:val="0"/>
      <w:marRight w:val="0"/>
      <w:marTop w:val="0"/>
      <w:marBottom w:val="0"/>
      <w:divBdr>
        <w:top w:val="none" w:sz="0" w:space="0" w:color="auto"/>
        <w:left w:val="none" w:sz="0" w:space="0" w:color="auto"/>
        <w:bottom w:val="none" w:sz="0" w:space="0" w:color="auto"/>
        <w:right w:val="none" w:sz="0" w:space="0" w:color="auto"/>
      </w:divBdr>
    </w:div>
    <w:div w:id="1243832572">
      <w:marLeft w:val="0"/>
      <w:marRight w:val="0"/>
      <w:marTop w:val="0"/>
      <w:marBottom w:val="0"/>
      <w:divBdr>
        <w:top w:val="none" w:sz="0" w:space="0" w:color="auto"/>
        <w:left w:val="none" w:sz="0" w:space="0" w:color="auto"/>
        <w:bottom w:val="none" w:sz="0" w:space="0" w:color="auto"/>
        <w:right w:val="none" w:sz="0" w:space="0" w:color="auto"/>
      </w:divBdr>
    </w:div>
    <w:div w:id="1243832573">
      <w:marLeft w:val="0"/>
      <w:marRight w:val="0"/>
      <w:marTop w:val="0"/>
      <w:marBottom w:val="0"/>
      <w:divBdr>
        <w:top w:val="none" w:sz="0" w:space="0" w:color="auto"/>
        <w:left w:val="none" w:sz="0" w:space="0" w:color="auto"/>
        <w:bottom w:val="none" w:sz="0" w:space="0" w:color="auto"/>
        <w:right w:val="none" w:sz="0" w:space="0" w:color="auto"/>
      </w:divBdr>
    </w:div>
    <w:div w:id="1243832574">
      <w:marLeft w:val="0"/>
      <w:marRight w:val="0"/>
      <w:marTop w:val="0"/>
      <w:marBottom w:val="0"/>
      <w:divBdr>
        <w:top w:val="none" w:sz="0" w:space="0" w:color="auto"/>
        <w:left w:val="none" w:sz="0" w:space="0" w:color="auto"/>
        <w:bottom w:val="none" w:sz="0" w:space="0" w:color="auto"/>
        <w:right w:val="none" w:sz="0" w:space="0" w:color="auto"/>
      </w:divBdr>
    </w:div>
    <w:div w:id="1243832575">
      <w:marLeft w:val="0"/>
      <w:marRight w:val="0"/>
      <w:marTop w:val="0"/>
      <w:marBottom w:val="0"/>
      <w:divBdr>
        <w:top w:val="none" w:sz="0" w:space="0" w:color="auto"/>
        <w:left w:val="none" w:sz="0" w:space="0" w:color="auto"/>
        <w:bottom w:val="none" w:sz="0" w:space="0" w:color="auto"/>
        <w:right w:val="none" w:sz="0" w:space="0" w:color="auto"/>
      </w:divBdr>
    </w:div>
    <w:div w:id="1243832576">
      <w:marLeft w:val="0"/>
      <w:marRight w:val="0"/>
      <w:marTop w:val="0"/>
      <w:marBottom w:val="0"/>
      <w:divBdr>
        <w:top w:val="none" w:sz="0" w:space="0" w:color="auto"/>
        <w:left w:val="none" w:sz="0" w:space="0" w:color="auto"/>
        <w:bottom w:val="none" w:sz="0" w:space="0" w:color="auto"/>
        <w:right w:val="none" w:sz="0" w:space="0" w:color="auto"/>
      </w:divBdr>
    </w:div>
    <w:div w:id="1243832577">
      <w:marLeft w:val="0"/>
      <w:marRight w:val="0"/>
      <w:marTop w:val="0"/>
      <w:marBottom w:val="0"/>
      <w:divBdr>
        <w:top w:val="none" w:sz="0" w:space="0" w:color="auto"/>
        <w:left w:val="none" w:sz="0" w:space="0" w:color="auto"/>
        <w:bottom w:val="none" w:sz="0" w:space="0" w:color="auto"/>
        <w:right w:val="none" w:sz="0" w:space="0" w:color="auto"/>
      </w:divBdr>
    </w:div>
    <w:div w:id="1243832578">
      <w:marLeft w:val="0"/>
      <w:marRight w:val="0"/>
      <w:marTop w:val="0"/>
      <w:marBottom w:val="0"/>
      <w:divBdr>
        <w:top w:val="none" w:sz="0" w:space="0" w:color="auto"/>
        <w:left w:val="none" w:sz="0" w:space="0" w:color="auto"/>
        <w:bottom w:val="none" w:sz="0" w:space="0" w:color="auto"/>
        <w:right w:val="none" w:sz="0" w:space="0" w:color="auto"/>
      </w:divBdr>
    </w:div>
    <w:div w:id="1243832579">
      <w:marLeft w:val="0"/>
      <w:marRight w:val="0"/>
      <w:marTop w:val="0"/>
      <w:marBottom w:val="0"/>
      <w:divBdr>
        <w:top w:val="none" w:sz="0" w:space="0" w:color="auto"/>
        <w:left w:val="none" w:sz="0" w:space="0" w:color="auto"/>
        <w:bottom w:val="none" w:sz="0" w:space="0" w:color="auto"/>
        <w:right w:val="none" w:sz="0" w:space="0" w:color="auto"/>
      </w:divBdr>
    </w:div>
    <w:div w:id="1243832580">
      <w:marLeft w:val="0"/>
      <w:marRight w:val="0"/>
      <w:marTop w:val="0"/>
      <w:marBottom w:val="0"/>
      <w:divBdr>
        <w:top w:val="none" w:sz="0" w:space="0" w:color="auto"/>
        <w:left w:val="none" w:sz="0" w:space="0" w:color="auto"/>
        <w:bottom w:val="none" w:sz="0" w:space="0" w:color="auto"/>
        <w:right w:val="none" w:sz="0" w:space="0" w:color="auto"/>
      </w:divBdr>
    </w:div>
    <w:div w:id="1243832581">
      <w:marLeft w:val="0"/>
      <w:marRight w:val="0"/>
      <w:marTop w:val="0"/>
      <w:marBottom w:val="0"/>
      <w:divBdr>
        <w:top w:val="none" w:sz="0" w:space="0" w:color="auto"/>
        <w:left w:val="none" w:sz="0" w:space="0" w:color="auto"/>
        <w:bottom w:val="none" w:sz="0" w:space="0" w:color="auto"/>
        <w:right w:val="none" w:sz="0" w:space="0" w:color="auto"/>
      </w:divBdr>
    </w:div>
    <w:div w:id="1243832582">
      <w:marLeft w:val="0"/>
      <w:marRight w:val="0"/>
      <w:marTop w:val="0"/>
      <w:marBottom w:val="0"/>
      <w:divBdr>
        <w:top w:val="none" w:sz="0" w:space="0" w:color="auto"/>
        <w:left w:val="none" w:sz="0" w:space="0" w:color="auto"/>
        <w:bottom w:val="none" w:sz="0" w:space="0" w:color="auto"/>
        <w:right w:val="none" w:sz="0" w:space="0" w:color="auto"/>
      </w:divBdr>
    </w:div>
    <w:div w:id="1243832583">
      <w:marLeft w:val="0"/>
      <w:marRight w:val="0"/>
      <w:marTop w:val="0"/>
      <w:marBottom w:val="0"/>
      <w:divBdr>
        <w:top w:val="none" w:sz="0" w:space="0" w:color="auto"/>
        <w:left w:val="none" w:sz="0" w:space="0" w:color="auto"/>
        <w:bottom w:val="none" w:sz="0" w:space="0" w:color="auto"/>
        <w:right w:val="none" w:sz="0" w:space="0" w:color="auto"/>
      </w:divBdr>
    </w:div>
    <w:div w:id="1243832584">
      <w:marLeft w:val="0"/>
      <w:marRight w:val="0"/>
      <w:marTop w:val="0"/>
      <w:marBottom w:val="0"/>
      <w:divBdr>
        <w:top w:val="none" w:sz="0" w:space="0" w:color="auto"/>
        <w:left w:val="none" w:sz="0" w:space="0" w:color="auto"/>
        <w:bottom w:val="none" w:sz="0" w:space="0" w:color="auto"/>
        <w:right w:val="none" w:sz="0" w:space="0" w:color="auto"/>
      </w:divBdr>
    </w:div>
    <w:div w:id="1243832585">
      <w:marLeft w:val="0"/>
      <w:marRight w:val="0"/>
      <w:marTop w:val="0"/>
      <w:marBottom w:val="0"/>
      <w:divBdr>
        <w:top w:val="none" w:sz="0" w:space="0" w:color="auto"/>
        <w:left w:val="none" w:sz="0" w:space="0" w:color="auto"/>
        <w:bottom w:val="none" w:sz="0" w:space="0" w:color="auto"/>
        <w:right w:val="none" w:sz="0" w:space="0" w:color="auto"/>
      </w:divBdr>
    </w:div>
    <w:div w:id="1243832586">
      <w:marLeft w:val="0"/>
      <w:marRight w:val="0"/>
      <w:marTop w:val="0"/>
      <w:marBottom w:val="0"/>
      <w:divBdr>
        <w:top w:val="none" w:sz="0" w:space="0" w:color="auto"/>
        <w:left w:val="none" w:sz="0" w:space="0" w:color="auto"/>
        <w:bottom w:val="none" w:sz="0" w:space="0" w:color="auto"/>
        <w:right w:val="none" w:sz="0" w:space="0" w:color="auto"/>
      </w:divBdr>
    </w:div>
    <w:div w:id="1243832587">
      <w:marLeft w:val="0"/>
      <w:marRight w:val="0"/>
      <w:marTop w:val="0"/>
      <w:marBottom w:val="0"/>
      <w:divBdr>
        <w:top w:val="none" w:sz="0" w:space="0" w:color="auto"/>
        <w:left w:val="none" w:sz="0" w:space="0" w:color="auto"/>
        <w:bottom w:val="none" w:sz="0" w:space="0" w:color="auto"/>
        <w:right w:val="none" w:sz="0" w:space="0" w:color="auto"/>
      </w:divBdr>
    </w:div>
    <w:div w:id="1243832588">
      <w:marLeft w:val="0"/>
      <w:marRight w:val="0"/>
      <w:marTop w:val="0"/>
      <w:marBottom w:val="0"/>
      <w:divBdr>
        <w:top w:val="none" w:sz="0" w:space="0" w:color="auto"/>
        <w:left w:val="none" w:sz="0" w:space="0" w:color="auto"/>
        <w:bottom w:val="none" w:sz="0" w:space="0" w:color="auto"/>
        <w:right w:val="none" w:sz="0" w:space="0" w:color="auto"/>
      </w:divBdr>
    </w:div>
    <w:div w:id="1243832589">
      <w:marLeft w:val="0"/>
      <w:marRight w:val="0"/>
      <w:marTop w:val="0"/>
      <w:marBottom w:val="0"/>
      <w:divBdr>
        <w:top w:val="none" w:sz="0" w:space="0" w:color="auto"/>
        <w:left w:val="none" w:sz="0" w:space="0" w:color="auto"/>
        <w:bottom w:val="none" w:sz="0" w:space="0" w:color="auto"/>
        <w:right w:val="none" w:sz="0" w:space="0" w:color="auto"/>
      </w:divBdr>
    </w:div>
    <w:div w:id="1243832590">
      <w:marLeft w:val="0"/>
      <w:marRight w:val="0"/>
      <w:marTop w:val="0"/>
      <w:marBottom w:val="0"/>
      <w:divBdr>
        <w:top w:val="none" w:sz="0" w:space="0" w:color="auto"/>
        <w:left w:val="none" w:sz="0" w:space="0" w:color="auto"/>
        <w:bottom w:val="none" w:sz="0" w:space="0" w:color="auto"/>
        <w:right w:val="none" w:sz="0" w:space="0" w:color="auto"/>
      </w:divBdr>
    </w:div>
    <w:div w:id="1243832591">
      <w:marLeft w:val="0"/>
      <w:marRight w:val="0"/>
      <w:marTop w:val="0"/>
      <w:marBottom w:val="0"/>
      <w:divBdr>
        <w:top w:val="none" w:sz="0" w:space="0" w:color="auto"/>
        <w:left w:val="none" w:sz="0" w:space="0" w:color="auto"/>
        <w:bottom w:val="none" w:sz="0" w:space="0" w:color="auto"/>
        <w:right w:val="none" w:sz="0" w:space="0" w:color="auto"/>
      </w:divBdr>
    </w:div>
    <w:div w:id="1243832592">
      <w:marLeft w:val="0"/>
      <w:marRight w:val="0"/>
      <w:marTop w:val="0"/>
      <w:marBottom w:val="0"/>
      <w:divBdr>
        <w:top w:val="none" w:sz="0" w:space="0" w:color="auto"/>
        <w:left w:val="none" w:sz="0" w:space="0" w:color="auto"/>
        <w:bottom w:val="none" w:sz="0" w:space="0" w:color="auto"/>
        <w:right w:val="none" w:sz="0" w:space="0" w:color="auto"/>
      </w:divBdr>
    </w:div>
    <w:div w:id="1243832593">
      <w:marLeft w:val="0"/>
      <w:marRight w:val="0"/>
      <w:marTop w:val="0"/>
      <w:marBottom w:val="0"/>
      <w:divBdr>
        <w:top w:val="none" w:sz="0" w:space="0" w:color="auto"/>
        <w:left w:val="none" w:sz="0" w:space="0" w:color="auto"/>
        <w:bottom w:val="none" w:sz="0" w:space="0" w:color="auto"/>
        <w:right w:val="none" w:sz="0" w:space="0" w:color="auto"/>
      </w:divBdr>
    </w:div>
    <w:div w:id="1243832594">
      <w:marLeft w:val="0"/>
      <w:marRight w:val="0"/>
      <w:marTop w:val="0"/>
      <w:marBottom w:val="0"/>
      <w:divBdr>
        <w:top w:val="none" w:sz="0" w:space="0" w:color="auto"/>
        <w:left w:val="none" w:sz="0" w:space="0" w:color="auto"/>
        <w:bottom w:val="none" w:sz="0" w:space="0" w:color="auto"/>
        <w:right w:val="none" w:sz="0" w:space="0" w:color="auto"/>
      </w:divBdr>
    </w:div>
    <w:div w:id="1243832595">
      <w:marLeft w:val="0"/>
      <w:marRight w:val="0"/>
      <w:marTop w:val="0"/>
      <w:marBottom w:val="0"/>
      <w:divBdr>
        <w:top w:val="none" w:sz="0" w:space="0" w:color="auto"/>
        <w:left w:val="none" w:sz="0" w:space="0" w:color="auto"/>
        <w:bottom w:val="none" w:sz="0" w:space="0" w:color="auto"/>
        <w:right w:val="none" w:sz="0" w:space="0" w:color="auto"/>
      </w:divBdr>
    </w:div>
    <w:div w:id="1243832596">
      <w:marLeft w:val="0"/>
      <w:marRight w:val="0"/>
      <w:marTop w:val="0"/>
      <w:marBottom w:val="0"/>
      <w:divBdr>
        <w:top w:val="none" w:sz="0" w:space="0" w:color="auto"/>
        <w:left w:val="none" w:sz="0" w:space="0" w:color="auto"/>
        <w:bottom w:val="none" w:sz="0" w:space="0" w:color="auto"/>
        <w:right w:val="none" w:sz="0" w:space="0" w:color="auto"/>
      </w:divBdr>
    </w:div>
    <w:div w:id="1243832597">
      <w:marLeft w:val="0"/>
      <w:marRight w:val="0"/>
      <w:marTop w:val="0"/>
      <w:marBottom w:val="0"/>
      <w:divBdr>
        <w:top w:val="none" w:sz="0" w:space="0" w:color="auto"/>
        <w:left w:val="none" w:sz="0" w:space="0" w:color="auto"/>
        <w:bottom w:val="none" w:sz="0" w:space="0" w:color="auto"/>
        <w:right w:val="none" w:sz="0" w:space="0" w:color="auto"/>
      </w:divBdr>
    </w:div>
    <w:div w:id="1243832598">
      <w:marLeft w:val="0"/>
      <w:marRight w:val="0"/>
      <w:marTop w:val="0"/>
      <w:marBottom w:val="0"/>
      <w:divBdr>
        <w:top w:val="none" w:sz="0" w:space="0" w:color="auto"/>
        <w:left w:val="none" w:sz="0" w:space="0" w:color="auto"/>
        <w:bottom w:val="none" w:sz="0" w:space="0" w:color="auto"/>
        <w:right w:val="none" w:sz="0" w:space="0" w:color="auto"/>
      </w:divBdr>
    </w:div>
    <w:div w:id="1243832599">
      <w:marLeft w:val="0"/>
      <w:marRight w:val="0"/>
      <w:marTop w:val="0"/>
      <w:marBottom w:val="0"/>
      <w:divBdr>
        <w:top w:val="none" w:sz="0" w:space="0" w:color="auto"/>
        <w:left w:val="none" w:sz="0" w:space="0" w:color="auto"/>
        <w:bottom w:val="none" w:sz="0" w:space="0" w:color="auto"/>
        <w:right w:val="none" w:sz="0" w:space="0" w:color="auto"/>
      </w:divBdr>
    </w:div>
    <w:div w:id="1243832600">
      <w:marLeft w:val="0"/>
      <w:marRight w:val="0"/>
      <w:marTop w:val="0"/>
      <w:marBottom w:val="0"/>
      <w:divBdr>
        <w:top w:val="none" w:sz="0" w:space="0" w:color="auto"/>
        <w:left w:val="none" w:sz="0" w:space="0" w:color="auto"/>
        <w:bottom w:val="none" w:sz="0" w:space="0" w:color="auto"/>
        <w:right w:val="none" w:sz="0" w:space="0" w:color="auto"/>
      </w:divBdr>
    </w:div>
    <w:div w:id="1243832601">
      <w:marLeft w:val="0"/>
      <w:marRight w:val="0"/>
      <w:marTop w:val="0"/>
      <w:marBottom w:val="0"/>
      <w:divBdr>
        <w:top w:val="none" w:sz="0" w:space="0" w:color="auto"/>
        <w:left w:val="none" w:sz="0" w:space="0" w:color="auto"/>
        <w:bottom w:val="none" w:sz="0" w:space="0" w:color="auto"/>
        <w:right w:val="none" w:sz="0" w:space="0" w:color="auto"/>
      </w:divBdr>
    </w:div>
    <w:div w:id="1243832602">
      <w:marLeft w:val="0"/>
      <w:marRight w:val="0"/>
      <w:marTop w:val="0"/>
      <w:marBottom w:val="0"/>
      <w:divBdr>
        <w:top w:val="none" w:sz="0" w:space="0" w:color="auto"/>
        <w:left w:val="none" w:sz="0" w:space="0" w:color="auto"/>
        <w:bottom w:val="none" w:sz="0" w:space="0" w:color="auto"/>
        <w:right w:val="none" w:sz="0" w:space="0" w:color="auto"/>
      </w:divBdr>
    </w:div>
    <w:div w:id="1243832603">
      <w:marLeft w:val="0"/>
      <w:marRight w:val="0"/>
      <w:marTop w:val="0"/>
      <w:marBottom w:val="0"/>
      <w:divBdr>
        <w:top w:val="none" w:sz="0" w:space="0" w:color="auto"/>
        <w:left w:val="none" w:sz="0" w:space="0" w:color="auto"/>
        <w:bottom w:val="none" w:sz="0" w:space="0" w:color="auto"/>
        <w:right w:val="none" w:sz="0" w:space="0" w:color="auto"/>
      </w:divBdr>
    </w:div>
    <w:div w:id="1243832604">
      <w:marLeft w:val="0"/>
      <w:marRight w:val="0"/>
      <w:marTop w:val="0"/>
      <w:marBottom w:val="0"/>
      <w:divBdr>
        <w:top w:val="none" w:sz="0" w:space="0" w:color="auto"/>
        <w:left w:val="none" w:sz="0" w:space="0" w:color="auto"/>
        <w:bottom w:val="none" w:sz="0" w:space="0" w:color="auto"/>
        <w:right w:val="none" w:sz="0" w:space="0" w:color="auto"/>
      </w:divBdr>
    </w:div>
    <w:div w:id="1243832605">
      <w:marLeft w:val="0"/>
      <w:marRight w:val="0"/>
      <w:marTop w:val="0"/>
      <w:marBottom w:val="0"/>
      <w:divBdr>
        <w:top w:val="none" w:sz="0" w:space="0" w:color="auto"/>
        <w:left w:val="none" w:sz="0" w:space="0" w:color="auto"/>
        <w:bottom w:val="none" w:sz="0" w:space="0" w:color="auto"/>
        <w:right w:val="none" w:sz="0" w:space="0" w:color="auto"/>
      </w:divBdr>
    </w:div>
    <w:div w:id="1243832606">
      <w:marLeft w:val="0"/>
      <w:marRight w:val="0"/>
      <w:marTop w:val="0"/>
      <w:marBottom w:val="0"/>
      <w:divBdr>
        <w:top w:val="none" w:sz="0" w:space="0" w:color="auto"/>
        <w:left w:val="none" w:sz="0" w:space="0" w:color="auto"/>
        <w:bottom w:val="none" w:sz="0" w:space="0" w:color="auto"/>
        <w:right w:val="none" w:sz="0" w:space="0" w:color="auto"/>
      </w:divBdr>
    </w:div>
    <w:div w:id="1243832607">
      <w:marLeft w:val="0"/>
      <w:marRight w:val="0"/>
      <w:marTop w:val="0"/>
      <w:marBottom w:val="0"/>
      <w:divBdr>
        <w:top w:val="none" w:sz="0" w:space="0" w:color="auto"/>
        <w:left w:val="none" w:sz="0" w:space="0" w:color="auto"/>
        <w:bottom w:val="none" w:sz="0" w:space="0" w:color="auto"/>
        <w:right w:val="none" w:sz="0" w:space="0" w:color="auto"/>
      </w:divBdr>
    </w:div>
    <w:div w:id="1243832608">
      <w:marLeft w:val="0"/>
      <w:marRight w:val="0"/>
      <w:marTop w:val="0"/>
      <w:marBottom w:val="0"/>
      <w:divBdr>
        <w:top w:val="none" w:sz="0" w:space="0" w:color="auto"/>
        <w:left w:val="none" w:sz="0" w:space="0" w:color="auto"/>
        <w:bottom w:val="none" w:sz="0" w:space="0" w:color="auto"/>
        <w:right w:val="none" w:sz="0" w:space="0" w:color="auto"/>
      </w:divBdr>
    </w:div>
    <w:div w:id="1243832609">
      <w:marLeft w:val="0"/>
      <w:marRight w:val="0"/>
      <w:marTop w:val="0"/>
      <w:marBottom w:val="0"/>
      <w:divBdr>
        <w:top w:val="none" w:sz="0" w:space="0" w:color="auto"/>
        <w:left w:val="none" w:sz="0" w:space="0" w:color="auto"/>
        <w:bottom w:val="none" w:sz="0" w:space="0" w:color="auto"/>
        <w:right w:val="none" w:sz="0" w:space="0" w:color="auto"/>
      </w:divBdr>
    </w:div>
    <w:div w:id="1243832610">
      <w:marLeft w:val="0"/>
      <w:marRight w:val="0"/>
      <w:marTop w:val="0"/>
      <w:marBottom w:val="0"/>
      <w:divBdr>
        <w:top w:val="none" w:sz="0" w:space="0" w:color="auto"/>
        <w:left w:val="none" w:sz="0" w:space="0" w:color="auto"/>
        <w:bottom w:val="none" w:sz="0" w:space="0" w:color="auto"/>
        <w:right w:val="none" w:sz="0" w:space="0" w:color="auto"/>
      </w:divBdr>
    </w:div>
    <w:div w:id="1243832611">
      <w:marLeft w:val="0"/>
      <w:marRight w:val="0"/>
      <w:marTop w:val="0"/>
      <w:marBottom w:val="0"/>
      <w:divBdr>
        <w:top w:val="none" w:sz="0" w:space="0" w:color="auto"/>
        <w:left w:val="none" w:sz="0" w:space="0" w:color="auto"/>
        <w:bottom w:val="none" w:sz="0" w:space="0" w:color="auto"/>
        <w:right w:val="none" w:sz="0" w:space="0" w:color="auto"/>
      </w:divBdr>
    </w:div>
    <w:div w:id="1243832612">
      <w:marLeft w:val="0"/>
      <w:marRight w:val="0"/>
      <w:marTop w:val="0"/>
      <w:marBottom w:val="0"/>
      <w:divBdr>
        <w:top w:val="none" w:sz="0" w:space="0" w:color="auto"/>
        <w:left w:val="none" w:sz="0" w:space="0" w:color="auto"/>
        <w:bottom w:val="none" w:sz="0" w:space="0" w:color="auto"/>
        <w:right w:val="none" w:sz="0" w:space="0" w:color="auto"/>
      </w:divBdr>
    </w:div>
    <w:div w:id="1243832613">
      <w:marLeft w:val="0"/>
      <w:marRight w:val="0"/>
      <w:marTop w:val="0"/>
      <w:marBottom w:val="0"/>
      <w:divBdr>
        <w:top w:val="none" w:sz="0" w:space="0" w:color="auto"/>
        <w:left w:val="none" w:sz="0" w:space="0" w:color="auto"/>
        <w:bottom w:val="none" w:sz="0" w:space="0" w:color="auto"/>
        <w:right w:val="none" w:sz="0" w:space="0" w:color="auto"/>
      </w:divBdr>
    </w:div>
    <w:div w:id="1243832614">
      <w:marLeft w:val="0"/>
      <w:marRight w:val="0"/>
      <w:marTop w:val="0"/>
      <w:marBottom w:val="0"/>
      <w:divBdr>
        <w:top w:val="none" w:sz="0" w:space="0" w:color="auto"/>
        <w:left w:val="none" w:sz="0" w:space="0" w:color="auto"/>
        <w:bottom w:val="none" w:sz="0" w:space="0" w:color="auto"/>
        <w:right w:val="none" w:sz="0" w:space="0" w:color="auto"/>
      </w:divBdr>
    </w:div>
    <w:div w:id="1243832615">
      <w:marLeft w:val="0"/>
      <w:marRight w:val="0"/>
      <w:marTop w:val="0"/>
      <w:marBottom w:val="0"/>
      <w:divBdr>
        <w:top w:val="none" w:sz="0" w:space="0" w:color="auto"/>
        <w:left w:val="none" w:sz="0" w:space="0" w:color="auto"/>
        <w:bottom w:val="none" w:sz="0" w:space="0" w:color="auto"/>
        <w:right w:val="none" w:sz="0" w:space="0" w:color="auto"/>
      </w:divBdr>
    </w:div>
    <w:div w:id="1243832616">
      <w:marLeft w:val="0"/>
      <w:marRight w:val="0"/>
      <w:marTop w:val="0"/>
      <w:marBottom w:val="0"/>
      <w:divBdr>
        <w:top w:val="none" w:sz="0" w:space="0" w:color="auto"/>
        <w:left w:val="none" w:sz="0" w:space="0" w:color="auto"/>
        <w:bottom w:val="none" w:sz="0" w:space="0" w:color="auto"/>
        <w:right w:val="none" w:sz="0" w:space="0" w:color="auto"/>
      </w:divBdr>
    </w:div>
    <w:div w:id="1243832617">
      <w:marLeft w:val="0"/>
      <w:marRight w:val="0"/>
      <w:marTop w:val="0"/>
      <w:marBottom w:val="0"/>
      <w:divBdr>
        <w:top w:val="none" w:sz="0" w:space="0" w:color="auto"/>
        <w:left w:val="none" w:sz="0" w:space="0" w:color="auto"/>
        <w:bottom w:val="none" w:sz="0" w:space="0" w:color="auto"/>
        <w:right w:val="none" w:sz="0" w:space="0" w:color="auto"/>
      </w:divBdr>
    </w:div>
    <w:div w:id="1243832618">
      <w:marLeft w:val="0"/>
      <w:marRight w:val="0"/>
      <w:marTop w:val="0"/>
      <w:marBottom w:val="0"/>
      <w:divBdr>
        <w:top w:val="none" w:sz="0" w:space="0" w:color="auto"/>
        <w:left w:val="none" w:sz="0" w:space="0" w:color="auto"/>
        <w:bottom w:val="none" w:sz="0" w:space="0" w:color="auto"/>
        <w:right w:val="none" w:sz="0" w:space="0" w:color="auto"/>
      </w:divBdr>
    </w:div>
    <w:div w:id="1243832619">
      <w:marLeft w:val="0"/>
      <w:marRight w:val="0"/>
      <w:marTop w:val="0"/>
      <w:marBottom w:val="0"/>
      <w:divBdr>
        <w:top w:val="none" w:sz="0" w:space="0" w:color="auto"/>
        <w:left w:val="none" w:sz="0" w:space="0" w:color="auto"/>
        <w:bottom w:val="none" w:sz="0" w:space="0" w:color="auto"/>
        <w:right w:val="none" w:sz="0" w:space="0" w:color="auto"/>
      </w:divBdr>
    </w:div>
    <w:div w:id="1243832620">
      <w:marLeft w:val="0"/>
      <w:marRight w:val="0"/>
      <w:marTop w:val="0"/>
      <w:marBottom w:val="0"/>
      <w:divBdr>
        <w:top w:val="none" w:sz="0" w:space="0" w:color="auto"/>
        <w:left w:val="none" w:sz="0" w:space="0" w:color="auto"/>
        <w:bottom w:val="none" w:sz="0" w:space="0" w:color="auto"/>
        <w:right w:val="none" w:sz="0" w:space="0" w:color="auto"/>
      </w:divBdr>
    </w:div>
    <w:div w:id="1243832621">
      <w:marLeft w:val="0"/>
      <w:marRight w:val="0"/>
      <w:marTop w:val="0"/>
      <w:marBottom w:val="0"/>
      <w:divBdr>
        <w:top w:val="none" w:sz="0" w:space="0" w:color="auto"/>
        <w:left w:val="none" w:sz="0" w:space="0" w:color="auto"/>
        <w:bottom w:val="none" w:sz="0" w:space="0" w:color="auto"/>
        <w:right w:val="none" w:sz="0" w:space="0" w:color="auto"/>
      </w:divBdr>
    </w:div>
    <w:div w:id="1243832622">
      <w:marLeft w:val="0"/>
      <w:marRight w:val="0"/>
      <w:marTop w:val="0"/>
      <w:marBottom w:val="0"/>
      <w:divBdr>
        <w:top w:val="none" w:sz="0" w:space="0" w:color="auto"/>
        <w:left w:val="none" w:sz="0" w:space="0" w:color="auto"/>
        <w:bottom w:val="none" w:sz="0" w:space="0" w:color="auto"/>
        <w:right w:val="none" w:sz="0" w:space="0" w:color="auto"/>
      </w:divBdr>
    </w:div>
    <w:div w:id="1243832623">
      <w:marLeft w:val="0"/>
      <w:marRight w:val="0"/>
      <w:marTop w:val="0"/>
      <w:marBottom w:val="0"/>
      <w:divBdr>
        <w:top w:val="none" w:sz="0" w:space="0" w:color="auto"/>
        <w:left w:val="none" w:sz="0" w:space="0" w:color="auto"/>
        <w:bottom w:val="none" w:sz="0" w:space="0" w:color="auto"/>
        <w:right w:val="none" w:sz="0" w:space="0" w:color="auto"/>
      </w:divBdr>
    </w:div>
    <w:div w:id="1243832624">
      <w:marLeft w:val="0"/>
      <w:marRight w:val="0"/>
      <w:marTop w:val="0"/>
      <w:marBottom w:val="0"/>
      <w:divBdr>
        <w:top w:val="none" w:sz="0" w:space="0" w:color="auto"/>
        <w:left w:val="none" w:sz="0" w:space="0" w:color="auto"/>
        <w:bottom w:val="none" w:sz="0" w:space="0" w:color="auto"/>
        <w:right w:val="none" w:sz="0" w:space="0" w:color="auto"/>
      </w:divBdr>
    </w:div>
    <w:div w:id="1243832625">
      <w:marLeft w:val="0"/>
      <w:marRight w:val="0"/>
      <w:marTop w:val="0"/>
      <w:marBottom w:val="0"/>
      <w:divBdr>
        <w:top w:val="none" w:sz="0" w:space="0" w:color="auto"/>
        <w:left w:val="none" w:sz="0" w:space="0" w:color="auto"/>
        <w:bottom w:val="none" w:sz="0" w:space="0" w:color="auto"/>
        <w:right w:val="none" w:sz="0" w:space="0" w:color="auto"/>
      </w:divBdr>
    </w:div>
    <w:div w:id="1243832626">
      <w:marLeft w:val="0"/>
      <w:marRight w:val="0"/>
      <w:marTop w:val="0"/>
      <w:marBottom w:val="0"/>
      <w:divBdr>
        <w:top w:val="none" w:sz="0" w:space="0" w:color="auto"/>
        <w:left w:val="none" w:sz="0" w:space="0" w:color="auto"/>
        <w:bottom w:val="none" w:sz="0" w:space="0" w:color="auto"/>
        <w:right w:val="none" w:sz="0" w:space="0" w:color="auto"/>
      </w:divBdr>
    </w:div>
    <w:div w:id="1243832627">
      <w:marLeft w:val="0"/>
      <w:marRight w:val="0"/>
      <w:marTop w:val="0"/>
      <w:marBottom w:val="0"/>
      <w:divBdr>
        <w:top w:val="none" w:sz="0" w:space="0" w:color="auto"/>
        <w:left w:val="none" w:sz="0" w:space="0" w:color="auto"/>
        <w:bottom w:val="none" w:sz="0" w:space="0" w:color="auto"/>
        <w:right w:val="none" w:sz="0" w:space="0" w:color="auto"/>
      </w:divBdr>
    </w:div>
    <w:div w:id="1243832628">
      <w:marLeft w:val="0"/>
      <w:marRight w:val="0"/>
      <w:marTop w:val="0"/>
      <w:marBottom w:val="0"/>
      <w:divBdr>
        <w:top w:val="none" w:sz="0" w:space="0" w:color="auto"/>
        <w:left w:val="none" w:sz="0" w:space="0" w:color="auto"/>
        <w:bottom w:val="none" w:sz="0" w:space="0" w:color="auto"/>
        <w:right w:val="none" w:sz="0" w:space="0" w:color="auto"/>
      </w:divBdr>
    </w:div>
    <w:div w:id="1243832629">
      <w:marLeft w:val="0"/>
      <w:marRight w:val="0"/>
      <w:marTop w:val="0"/>
      <w:marBottom w:val="0"/>
      <w:divBdr>
        <w:top w:val="none" w:sz="0" w:space="0" w:color="auto"/>
        <w:left w:val="none" w:sz="0" w:space="0" w:color="auto"/>
        <w:bottom w:val="none" w:sz="0" w:space="0" w:color="auto"/>
        <w:right w:val="none" w:sz="0" w:space="0" w:color="auto"/>
      </w:divBdr>
    </w:div>
    <w:div w:id="1243832630">
      <w:marLeft w:val="0"/>
      <w:marRight w:val="0"/>
      <w:marTop w:val="0"/>
      <w:marBottom w:val="0"/>
      <w:divBdr>
        <w:top w:val="none" w:sz="0" w:space="0" w:color="auto"/>
        <w:left w:val="none" w:sz="0" w:space="0" w:color="auto"/>
        <w:bottom w:val="none" w:sz="0" w:space="0" w:color="auto"/>
        <w:right w:val="none" w:sz="0" w:space="0" w:color="auto"/>
      </w:divBdr>
    </w:div>
    <w:div w:id="1243832631">
      <w:marLeft w:val="0"/>
      <w:marRight w:val="0"/>
      <w:marTop w:val="0"/>
      <w:marBottom w:val="0"/>
      <w:divBdr>
        <w:top w:val="none" w:sz="0" w:space="0" w:color="auto"/>
        <w:left w:val="none" w:sz="0" w:space="0" w:color="auto"/>
        <w:bottom w:val="none" w:sz="0" w:space="0" w:color="auto"/>
        <w:right w:val="none" w:sz="0" w:space="0" w:color="auto"/>
      </w:divBdr>
    </w:div>
    <w:div w:id="1243832632">
      <w:marLeft w:val="0"/>
      <w:marRight w:val="0"/>
      <w:marTop w:val="0"/>
      <w:marBottom w:val="0"/>
      <w:divBdr>
        <w:top w:val="none" w:sz="0" w:space="0" w:color="auto"/>
        <w:left w:val="none" w:sz="0" w:space="0" w:color="auto"/>
        <w:bottom w:val="none" w:sz="0" w:space="0" w:color="auto"/>
        <w:right w:val="none" w:sz="0" w:space="0" w:color="auto"/>
      </w:divBdr>
    </w:div>
    <w:div w:id="1243832633">
      <w:marLeft w:val="0"/>
      <w:marRight w:val="0"/>
      <w:marTop w:val="0"/>
      <w:marBottom w:val="0"/>
      <w:divBdr>
        <w:top w:val="none" w:sz="0" w:space="0" w:color="auto"/>
        <w:left w:val="none" w:sz="0" w:space="0" w:color="auto"/>
        <w:bottom w:val="none" w:sz="0" w:space="0" w:color="auto"/>
        <w:right w:val="none" w:sz="0" w:space="0" w:color="auto"/>
      </w:divBdr>
    </w:div>
    <w:div w:id="1243832634">
      <w:marLeft w:val="0"/>
      <w:marRight w:val="0"/>
      <w:marTop w:val="0"/>
      <w:marBottom w:val="0"/>
      <w:divBdr>
        <w:top w:val="none" w:sz="0" w:space="0" w:color="auto"/>
        <w:left w:val="none" w:sz="0" w:space="0" w:color="auto"/>
        <w:bottom w:val="none" w:sz="0" w:space="0" w:color="auto"/>
        <w:right w:val="none" w:sz="0" w:space="0" w:color="auto"/>
      </w:divBdr>
    </w:div>
    <w:div w:id="1243832635">
      <w:marLeft w:val="0"/>
      <w:marRight w:val="0"/>
      <w:marTop w:val="0"/>
      <w:marBottom w:val="0"/>
      <w:divBdr>
        <w:top w:val="none" w:sz="0" w:space="0" w:color="auto"/>
        <w:left w:val="none" w:sz="0" w:space="0" w:color="auto"/>
        <w:bottom w:val="none" w:sz="0" w:space="0" w:color="auto"/>
        <w:right w:val="none" w:sz="0" w:space="0" w:color="auto"/>
      </w:divBdr>
    </w:div>
    <w:div w:id="1243832636">
      <w:marLeft w:val="0"/>
      <w:marRight w:val="0"/>
      <w:marTop w:val="0"/>
      <w:marBottom w:val="0"/>
      <w:divBdr>
        <w:top w:val="none" w:sz="0" w:space="0" w:color="auto"/>
        <w:left w:val="none" w:sz="0" w:space="0" w:color="auto"/>
        <w:bottom w:val="none" w:sz="0" w:space="0" w:color="auto"/>
        <w:right w:val="none" w:sz="0" w:space="0" w:color="auto"/>
      </w:divBdr>
    </w:div>
    <w:div w:id="1243832637">
      <w:marLeft w:val="0"/>
      <w:marRight w:val="0"/>
      <w:marTop w:val="0"/>
      <w:marBottom w:val="0"/>
      <w:divBdr>
        <w:top w:val="none" w:sz="0" w:space="0" w:color="auto"/>
        <w:left w:val="none" w:sz="0" w:space="0" w:color="auto"/>
        <w:bottom w:val="none" w:sz="0" w:space="0" w:color="auto"/>
        <w:right w:val="none" w:sz="0" w:space="0" w:color="auto"/>
      </w:divBdr>
    </w:div>
    <w:div w:id="1243832638">
      <w:marLeft w:val="0"/>
      <w:marRight w:val="0"/>
      <w:marTop w:val="0"/>
      <w:marBottom w:val="0"/>
      <w:divBdr>
        <w:top w:val="none" w:sz="0" w:space="0" w:color="auto"/>
        <w:left w:val="none" w:sz="0" w:space="0" w:color="auto"/>
        <w:bottom w:val="none" w:sz="0" w:space="0" w:color="auto"/>
        <w:right w:val="none" w:sz="0" w:space="0" w:color="auto"/>
      </w:divBdr>
    </w:div>
    <w:div w:id="1243832639">
      <w:marLeft w:val="0"/>
      <w:marRight w:val="0"/>
      <w:marTop w:val="0"/>
      <w:marBottom w:val="0"/>
      <w:divBdr>
        <w:top w:val="none" w:sz="0" w:space="0" w:color="auto"/>
        <w:left w:val="none" w:sz="0" w:space="0" w:color="auto"/>
        <w:bottom w:val="none" w:sz="0" w:space="0" w:color="auto"/>
        <w:right w:val="none" w:sz="0" w:space="0" w:color="auto"/>
      </w:divBdr>
    </w:div>
    <w:div w:id="1243832640">
      <w:marLeft w:val="0"/>
      <w:marRight w:val="0"/>
      <w:marTop w:val="0"/>
      <w:marBottom w:val="0"/>
      <w:divBdr>
        <w:top w:val="none" w:sz="0" w:space="0" w:color="auto"/>
        <w:left w:val="none" w:sz="0" w:space="0" w:color="auto"/>
        <w:bottom w:val="none" w:sz="0" w:space="0" w:color="auto"/>
        <w:right w:val="none" w:sz="0" w:space="0" w:color="auto"/>
      </w:divBdr>
    </w:div>
    <w:div w:id="1243832641">
      <w:marLeft w:val="0"/>
      <w:marRight w:val="0"/>
      <w:marTop w:val="0"/>
      <w:marBottom w:val="0"/>
      <w:divBdr>
        <w:top w:val="none" w:sz="0" w:space="0" w:color="auto"/>
        <w:left w:val="none" w:sz="0" w:space="0" w:color="auto"/>
        <w:bottom w:val="none" w:sz="0" w:space="0" w:color="auto"/>
        <w:right w:val="none" w:sz="0" w:space="0" w:color="auto"/>
      </w:divBdr>
    </w:div>
    <w:div w:id="1243832642">
      <w:marLeft w:val="0"/>
      <w:marRight w:val="0"/>
      <w:marTop w:val="0"/>
      <w:marBottom w:val="0"/>
      <w:divBdr>
        <w:top w:val="none" w:sz="0" w:space="0" w:color="auto"/>
        <w:left w:val="none" w:sz="0" w:space="0" w:color="auto"/>
        <w:bottom w:val="none" w:sz="0" w:space="0" w:color="auto"/>
        <w:right w:val="none" w:sz="0" w:space="0" w:color="auto"/>
      </w:divBdr>
    </w:div>
    <w:div w:id="1243832643">
      <w:marLeft w:val="0"/>
      <w:marRight w:val="0"/>
      <w:marTop w:val="0"/>
      <w:marBottom w:val="0"/>
      <w:divBdr>
        <w:top w:val="none" w:sz="0" w:space="0" w:color="auto"/>
        <w:left w:val="none" w:sz="0" w:space="0" w:color="auto"/>
        <w:bottom w:val="none" w:sz="0" w:space="0" w:color="auto"/>
        <w:right w:val="none" w:sz="0" w:space="0" w:color="auto"/>
      </w:divBdr>
    </w:div>
    <w:div w:id="1243832644">
      <w:marLeft w:val="0"/>
      <w:marRight w:val="0"/>
      <w:marTop w:val="0"/>
      <w:marBottom w:val="0"/>
      <w:divBdr>
        <w:top w:val="none" w:sz="0" w:space="0" w:color="auto"/>
        <w:left w:val="none" w:sz="0" w:space="0" w:color="auto"/>
        <w:bottom w:val="none" w:sz="0" w:space="0" w:color="auto"/>
        <w:right w:val="none" w:sz="0" w:space="0" w:color="auto"/>
      </w:divBdr>
    </w:div>
    <w:div w:id="1243832645">
      <w:marLeft w:val="0"/>
      <w:marRight w:val="0"/>
      <w:marTop w:val="0"/>
      <w:marBottom w:val="0"/>
      <w:divBdr>
        <w:top w:val="none" w:sz="0" w:space="0" w:color="auto"/>
        <w:left w:val="none" w:sz="0" w:space="0" w:color="auto"/>
        <w:bottom w:val="none" w:sz="0" w:space="0" w:color="auto"/>
        <w:right w:val="none" w:sz="0" w:space="0" w:color="auto"/>
      </w:divBdr>
    </w:div>
    <w:div w:id="1243832646">
      <w:marLeft w:val="0"/>
      <w:marRight w:val="0"/>
      <w:marTop w:val="0"/>
      <w:marBottom w:val="0"/>
      <w:divBdr>
        <w:top w:val="none" w:sz="0" w:space="0" w:color="auto"/>
        <w:left w:val="none" w:sz="0" w:space="0" w:color="auto"/>
        <w:bottom w:val="none" w:sz="0" w:space="0" w:color="auto"/>
        <w:right w:val="none" w:sz="0" w:space="0" w:color="auto"/>
      </w:divBdr>
    </w:div>
    <w:div w:id="1243832647">
      <w:marLeft w:val="0"/>
      <w:marRight w:val="0"/>
      <w:marTop w:val="0"/>
      <w:marBottom w:val="0"/>
      <w:divBdr>
        <w:top w:val="none" w:sz="0" w:space="0" w:color="auto"/>
        <w:left w:val="none" w:sz="0" w:space="0" w:color="auto"/>
        <w:bottom w:val="none" w:sz="0" w:space="0" w:color="auto"/>
        <w:right w:val="none" w:sz="0" w:space="0" w:color="auto"/>
      </w:divBdr>
    </w:div>
    <w:div w:id="1243832648">
      <w:marLeft w:val="0"/>
      <w:marRight w:val="0"/>
      <w:marTop w:val="0"/>
      <w:marBottom w:val="0"/>
      <w:divBdr>
        <w:top w:val="none" w:sz="0" w:space="0" w:color="auto"/>
        <w:left w:val="none" w:sz="0" w:space="0" w:color="auto"/>
        <w:bottom w:val="none" w:sz="0" w:space="0" w:color="auto"/>
        <w:right w:val="none" w:sz="0" w:space="0" w:color="auto"/>
      </w:divBdr>
    </w:div>
    <w:div w:id="1243832649">
      <w:marLeft w:val="0"/>
      <w:marRight w:val="0"/>
      <w:marTop w:val="0"/>
      <w:marBottom w:val="0"/>
      <w:divBdr>
        <w:top w:val="none" w:sz="0" w:space="0" w:color="auto"/>
        <w:left w:val="none" w:sz="0" w:space="0" w:color="auto"/>
        <w:bottom w:val="none" w:sz="0" w:space="0" w:color="auto"/>
        <w:right w:val="none" w:sz="0" w:space="0" w:color="auto"/>
      </w:divBdr>
    </w:div>
    <w:div w:id="1243832650">
      <w:marLeft w:val="0"/>
      <w:marRight w:val="0"/>
      <w:marTop w:val="0"/>
      <w:marBottom w:val="0"/>
      <w:divBdr>
        <w:top w:val="none" w:sz="0" w:space="0" w:color="auto"/>
        <w:left w:val="none" w:sz="0" w:space="0" w:color="auto"/>
        <w:bottom w:val="none" w:sz="0" w:space="0" w:color="auto"/>
        <w:right w:val="none" w:sz="0" w:space="0" w:color="auto"/>
      </w:divBdr>
    </w:div>
    <w:div w:id="1243832651">
      <w:marLeft w:val="0"/>
      <w:marRight w:val="0"/>
      <w:marTop w:val="0"/>
      <w:marBottom w:val="0"/>
      <w:divBdr>
        <w:top w:val="none" w:sz="0" w:space="0" w:color="auto"/>
        <w:left w:val="none" w:sz="0" w:space="0" w:color="auto"/>
        <w:bottom w:val="none" w:sz="0" w:space="0" w:color="auto"/>
        <w:right w:val="none" w:sz="0" w:space="0" w:color="auto"/>
      </w:divBdr>
    </w:div>
    <w:div w:id="1243832652">
      <w:marLeft w:val="0"/>
      <w:marRight w:val="0"/>
      <w:marTop w:val="0"/>
      <w:marBottom w:val="0"/>
      <w:divBdr>
        <w:top w:val="none" w:sz="0" w:space="0" w:color="auto"/>
        <w:left w:val="none" w:sz="0" w:space="0" w:color="auto"/>
        <w:bottom w:val="none" w:sz="0" w:space="0" w:color="auto"/>
        <w:right w:val="none" w:sz="0" w:space="0" w:color="auto"/>
      </w:divBdr>
    </w:div>
    <w:div w:id="1243832653">
      <w:marLeft w:val="0"/>
      <w:marRight w:val="0"/>
      <w:marTop w:val="0"/>
      <w:marBottom w:val="0"/>
      <w:divBdr>
        <w:top w:val="none" w:sz="0" w:space="0" w:color="auto"/>
        <w:left w:val="none" w:sz="0" w:space="0" w:color="auto"/>
        <w:bottom w:val="none" w:sz="0" w:space="0" w:color="auto"/>
        <w:right w:val="none" w:sz="0" w:space="0" w:color="auto"/>
      </w:divBdr>
    </w:div>
    <w:div w:id="1243832654">
      <w:marLeft w:val="0"/>
      <w:marRight w:val="0"/>
      <w:marTop w:val="0"/>
      <w:marBottom w:val="0"/>
      <w:divBdr>
        <w:top w:val="none" w:sz="0" w:space="0" w:color="auto"/>
        <w:left w:val="none" w:sz="0" w:space="0" w:color="auto"/>
        <w:bottom w:val="none" w:sz="0" w:space="0" w:color="auto"/>
        <w:right w:val="none" w:sz="0" w:space="0" w:color="auto"/>
      </w:divBdr>
    </w:div>
    <w:div w:id="1243832655">
      <w:marLeft w:val="0"/>
      <w:marRight w:val="0"/>
      <w:marTop w:val="0"/>
      <w:marBottom w:val="0"/>
      <w:divBdr>
        <w:top w:val="none" w:sz="0" w:space="0" w:color="auto"/>
        <w:left w:val="none" w:sz="0" w:space="0" w:color="auto"/>
        <w:bottom w:val="none" w:sz="0" w:space="0" w:color="auto"/>
        <w:right w:val="none" w:sz="0" w:space="0" w:color="auto"/>
      </w:divBdr>
    </w:div>
    <w:div w:id="1243832656">
      <w:marLeft w:val="0"/>
      <w:marRight w:val="0"/>
      <w:marTop w:val="0"/>
      <w:marBottom w:val="0"/>
      <w:divBdr>
        <w:top w:val="none" w:sz="0" w:space="0" w:color="auto"/>
        <w:left w:val="none" w:sz="0" w:space="0" w:color="auto"/>
        <w:bottom w:val="none" w:sz="0" w:space="0" w:color="auto"/>
        <w:right w:val="none" w:sz="0" w:space="0" w:color="auto"/>
      </w:divBdr>
    </w:div>
    <w:div w:id="1243832657">
      <w:marLeft w:val="0"/>
      <w:marRight w:val="0"/>
      <w:marTop w:val="0"/>
      <w:marBottom w:val="0"/>
      <w:divBdr>
        <w:top w:val="none" w:sz="0" w:space="0" w:color="auto"/>
        <w:left w:val="none" w:sz="0" w:space="0" w:color="auto"/>
        <w:bottom w:val="none" w:sz="0" w:space="0" w:color="auto"/>
        <w:right w:val="none" w:sz="0" w:space="0" w:color="auto"/>
      </w:divBdr>
    </w:div>
    <w:div w:id="1243832658">
      <w:marLeft w:val="0"/>
      <w:marRight w:val="0"/>
      <w:marTop w:val="0"/>
      <w:marBottom w:val="0"/>
      <w:divBdr>
        <w:top w:val="none" w:sz="0" w:space="0" w:color="auto"/>
        <w:left w:val="none" w:sz="0" w:space="0" w:color="auto"/>
        <w:bottom w:val="none" w:sz="0" w:space="0" w:color="auto"/>
        <w:right w:val="none" w:sz="0" w:space="0" w:color="auto"/>
      </w:divBdr>
    </w:div>
    <w:div w:id="1243832659">
      <w:marLeft w:val="0"/>
      <w:marRight w:val="0"/>
      <w:marTop w:val="0"/>
      <w:marBottom w:val="0"/>
      <w:divBdr>
        <w:top w:val="none" w:sz="0" w:space="0" w:color="auto"/>
        <w:left w:val="none" w:sz="0" w:space="0" w:color="auto"/>
        <w:bottom w:val="none" w:sz="0" w:space="0" w:color="auto"/>
        <w:right w:val="none" w:sz="0" w:space="0" w:color="auto"/>
      </w:divBdr>
    </w:div>
    <w:div w:id="1243832660">
      <w:marLeft w:val="0"/>
      <w:marRight w:val="0"/>
      <w:marTop w:val="0"/>
      <w:marBottom w:val="0"/>
      <w:divBdr>
        <w:top w:val="none" w:sz="0" w:space="0" w:color="auto"/>
        <w:left w:val="none" w:sz="0" w:space="0" w:color="auto"/>
        <w:bottom w:val="none" w:sz="0" w:space="0" w:color="auto"/>
        <w:right w:val="none" w:sz="0" w:space="0" w:color="auto"/>
      </w:divBdr>
    </w:div>
    <w:div w:id="1243832661">
      <w:marLeft w:val="0"/>
      <w:marRight w:val="0"/>
      <w:marTop w:val="0"/>
      <w:marBottom w:val="0"/>
      <w:divBdr>
        <w:top w:val="none" w:sz="0" w:space="0" w:color="auto"/>
        <w:left w:val="none" w:sz="0" w:space="0" w:color="auto"/>
        <w:bottom w:val="none" w:sz="0" w:space="0" w:color="auto"/>
        <w:right w:val="none" w:sz="0" w:space="0" w:color="auto"/>
      </w:divBdr>
    </w:div>
    <w:div w:id="1243832662">
      <w:marLeft w:val="0"/>
      <w:marRight w:val="0"/>
      <w:marTop w:val="0"/>
      <w:marBottom w:val="0"/>
      <w:divBdr>
        <w:top w:val="none" w:sz="0" w:space="0" w:color="auto"/>
        <w:left w:val="none" w:sz="0" w:space="0" w:color="auto"/>
        <w:bottom w:val="none" w:sz="0" w:space="0" w:color="auto"/>
        <w:right w:val="none" w:sz="0" w:space="0" w:color="auto"/>
      </w:divBdr>
    </w:div>
    <w:div w:id="1243832663">
      <w:marLeft w:val="0"/>
      <w:marRight w:val="0"/>
      <w:marTop w:val="0"/>
      <w:marBottom w:val="0"/>
      <w:divBdr>
        <w:top w:val="none" w:sz="0" w:space="0" w:color="auto"/>
        <w:left w:val="none" w:sz="0" w:space="0" w:color="auto"/>
        <w:bottom w:val="none" w:sz="0" w:space="0" w:color="auto"/>
        <w:right w:val="none" w:sz="0" w:space="0" w:color="auto"/>
      </w:divBdr>
    </w:div>
    <w:div w:id="1243832664">
      <w:marLeft w:val="0"/>
      <w:marRight w:val="0"/>
      <w:marTop w:val="0"/>
      <w:marBottom w:val="0"/>
      <w:divBdr>
        <w:top w:val="none" w:sz="0" w:space="0" w:color="auto"/>
        <w:left w:val="none" w:sz="0" w:space="0" w:color="auto"/>
        <w:bottom w:val="none" w:sz="0" w:space="0" w:color="auto"/>
        <w:right w:val="none" w:sz="0" w:space="0" w:color="auto"/>
      </w:divBdr>
    </w:div>
    <w:div w:id="1243832665">
      <w:marLeft w:val="0"/>
      <w:marRight w:val="0"/>
      <w:marTop w:val="0"/>
      <w:marBottom w:val="0"/>
      <w:divBdr>
        <w:top w:val="none" w:sz="0" w:space="0" w:color="auto"/>
        <w:left w:val="none" w:sz="0" w:space="0" w:color="auto"/>
        <w:bottom w:val="none" w:sz="0" w:space="0" w:color="auto"/>
        <w:right w:val="none" w:sz="0" w:space="0" w:color="auto"/>
      </w:divBdr>
    </w:div>
    <w:div w:id="1243832666">
      <w:marLeft w:val="0"/>
      <w:marRight w:val="0"/>
      <w:marTop w:val="0"/>
      <w:marBottom w:val="0"/>
      <w:divBdr>
        <w:top w:val="none" w:sz="0" w:space="0" w:color="auto"/>
        <w:left w:val="none" w:sz="0" w:space="0" w:color="auto"/>
        <w:bottom w:val="none" w:sz="0" w:space="0" w:color="auto"/>
        <w:right w:val="none" w:sz="0" w:space="0" w:color="auto"/>
      </w:divBdr>
    </w:div>
    <w:div w:id="1243832667">
      <w:marLeft w:val="0"/>
      <w:marRight w:val="0"/>
      <w:marTop w:val="0"/>
      <w:marBottom w:val="0"/>
      <w:divBdr>
        <w:top w:val="none" w:sz="0" w:space="0" w:color="auto"/>
        <w:left w:val="none" w:sz="0" w:space="0" w:color="auto"/>
        <w:bottom w:val="none" w:sz="0" w:space="0" w:color="auto"/>
        <w:right w:val="none" w:sz="0" w:space="0" w:color="auto"/>
      </w:divBdr>
    </w:div>
    <w:div w:id="1243832668">
      <w:marLeft w:val="0"/>
      <w:marRight w:val="0"/>
      <w:marTop w:val="0"/>
      <w:marBottom w:val="0"/>
      <w:divBdr>
        <w:top w:val="none" w:sz="0" w:space="0" w:color="auto"/>
        <w:left w:val="none" w:sz="0" w:space="0" w:color="auto"/>
        <w:bottom w:val="none" w:sz="0" w:space="0" w:color="auto"/>
        <w:right w:val="none" w:sz="0" w:space="0" w:color="auto"/>
      </w:divBdr>
    </w:div>
    <w:div w:id="1243832669">
      <w:marLeft w:val="0"/>
      <w:marRight w:val="0"/>
      <w:marTop w:val="0"/>
      <w:marBottom w:val="0"/>
      <w:divBdr>
        <w:top w:val="none" w:sz="0" w:space="0" w:color="auto"/>
        <w:left w:val="none" w:sz="0" w:space="0" w:color="auto"/>
        <w:bottom w:val="none" w:sz="0" w:space="0" w:color="auto"/>
        <w:right w:val="none" w:sz="0" w:space="0" w:color="auto"/>
      </w:divBdr>
    </w:div>
    <w:div w:id="1243832670">
      <w:marLeft w:val="0"/>
      <w:marRight w:val="0"/>
      <w:marTop w:val="0"/>
      <w:marBottom w:val="0"/>
      <w:divBdr>
        <w:top w:val="none" w:sz="0" w:space="0" w:color="auto"/>
        <w:left w:val="none" w:sz="0" w:space="0" w:color="auto"/>
        <w:bottom w:val="none" w:sz="0" w:space="0" w:color="auto"/>
        <w:right w:val="none" w:sz="0" w:space="0" w:color="auto"/>
      </w:divBdr>
    </w:div>
    <w:div w:id="1243832671">
      <w:marLeft w:val="0"/>
      <w:marRight w:val="0"/>
      <w:marTop w:val="0"/>
      <w:marBottom w:val="0"/>
      <w:divBdr>
        <w:top w:val="none" w:sz="0" w:space="0" w:color="auto"/>
        <w:left w:val="none" w:sz="0" w:space="0" w:color="auto"/>
        <w:bottom w:val="none" w:sz="0" w:space="0" w:color="auto"/>
        <w:right w:val="none" w:sz="0" w:space="0" w:color="auto"/>
      </w:divBdr>
    </w:div>
    <w:div w:id="1243832672">
      <w:marLeft w:val="0"/>
      <w:marRight w:val="0"/>
      <w:marTop w:val="0"/>
      <w:marBottom w:val="0"/>
      <w:divBdr>
        <w:top w:val="none" w:sz="0" w:space="0" w:color="auto"/>
        <w:left w:val="none" w:sz="0" w:space="0" w:color="auto"/>
        <w:bottom w:val="none" w:sz="0" w:space="0" w:color="auto"/>
        <w:right w:val="none" w:sz="0" w:space="0" w:color="auto"/>
      </w:divBdr>
    </w:div>
    <w:div w:id="1243832673">
      <w:marLeft w:val="0"/>
      <w:marRight w:val="0"/>
      <w:marTop w:val="0"/>
      <w:marBottom w:val="0"/>
      <w:divBdr>
        <w:top w:val="none" w:sz="0" w:space="0" w:color="auto"/>
        <w:left w:val="none" w:sz="0" w:space="0" w:color="auto"/>
        <w:bottom w:val="none" w:sz="0" w:space="0" w:color="auto"/>
        <w:right w:val="none" w:sz="0" w:space="0" w:color="auto"/>
      </w:divBdr>
    </w:div>
    <w:div w:id="1243832674">
      <w:marLeft w:val="0"/>
      <w:marRight w:val="0"/>
      <w:marTop w:val="0"/>
      <w:marBottom w:val="0"/>
      <w:divBdr>
        <w:top w:val="none" w:sz="0" w:space="0" w:color="auto"/>
        <w:left w:val="none" w:sz="0" w:space="0" w:color="auto"/>
        <w:bottom w:val="none" w:sz="0" w:space="0" w:color="auto"/>
        <w:right w:val="none" w:sz="0" w:space="0" w:color="auto"/>
      </w:divBdr>
    </w:div>
    <w:div w:id="1243832675">
      <w:marLeft w:val="0"/>
      <w:marRight w:val="0"/>
      <w:marTop w:val="0"/>
      <w:marBottom w:val="0"/>
      <w:divBdr>
        <w:top w:val="none" w:sz="0" w:space="0" w:color="auto"/>
        <w:left w:val="none" w:sz="0" w:space="0" w:color="auto"/>
        <w:bottom w:val="none" w:sz="0" w:space="0" w:color="auto"/>
        <w:right w:val="none" w:sz="0" w:space="0" w:color="auto"/>
      </w:divBdr>
    </w:div>
    <w:div w:id="1243832676">
      <w:marLeft w:val="0"/>
      <w:marRight w:val="0"/>
      <w:marTop w:val="0"/>
      <w:marBottom w:val="0"/>
      <w:divBdr>
        <w:top w:val="none" w:sz="0" w:space="0" w:color="auto"/>
        <w:left w:val="none" w:sz="0" w:space="0" w:color="auto"/>
        <w:bottom w:val="none" w:sz="0" w:space="0" w:color="auto"/>
        <w:right w:val="none" w:sz="0" w:space="0" w:color="auto"/>
      </w:divBdr>
    </w:div>
    <w:div w:id="1243832677">
      <w:marLeft w:val="0"/>
      <w:marRight w:val="0"/>
      <w:marTop w:val="0"/>
      <w:marBottom w:val="0"/>
      <w:divBdr>
        <w:top w:val="none" w:sz="0" w:space="0" w:color="auto"/>
        <w:left w:val="none" w:sz="0" w:space="0" w:color="auto"/>
        <w:bottom w:val="none" w:sz="0" w:space="0" w:color="auto"/>
        <w:right w:val="none" w:sz="0" w:space="0" w:color="auto"/>
      </w:divBdr>
    </w:div>
    <w:div w:id="1243832678">
      <w:marLeft w:val="0"/>
      <w:marRight w:val="0"/>
      <w:marTop w:val="0"/>
      <w:marBottom w:val="0"/>
      <w:divBdr>
        <w:top w:val="none" w:sz="0" w:space="0" w:color="auto"/>
        <w:left w:val="none" w:sz="0" w:space="0" w:color="auto"/>
        <w:bottom w:val="none" w:sz="0" w:space="0" w:color="auto"/>
        <w:right w:val="none" w:sz="0" w:space="0" w:color="auto"/>
      </w:divBdr>
    </w:div>
    <w:div w:id="1243832679">
      <w:marLeft w:val="0"/>
      <w:marRight w:val="0"/>
      <w:marTop w:val="0"/>
      <w:marBottom w:val="0"/>
      <w:divBdr>
        <w:top w:val="none" w:sz="0" w:space="0" w:color="auto"/>
        <w:left w:val="none" w:sz="0" w:space="0" w:color="auto"/>
        <w:bottom w:val="none" w:sz="0" w:space="0" w:color="auto"/>
        <w:right w:val="none" w:sz="0" w:space="0" w:color="auto"/>
      </w:divBdr>
    </w:div>
    <w:div w:id="1243832680">
      <w:marLeft w:val="0"/>
      <w:marRight w:val="0"/>
      <w:marTop w:val="0"/>
      <w:marBottom w:val="0"/>
      <w:divBdr>
        <w:top w:val="none" w:sz="0" w:space="0" w:color="auto"/>
        <w:left w:val="none" w:sz="0" w:space="0" w:color="auto"/>
        <w:bottom w:val="none" w:sz="0" w:space="0" w:color="auto"/>
        <w:right w:val="none" w:sz="0" w:space="0" w:color="auto"/>
      </w:divBdr>
    </w:div>
    <w:div w:id="1243832681">
      <w:marLeft w:val="0"/>
      <w:marRight w:val="0"/>
      <w:marTop w:val="0"/>
      <w:marBottom w:val="0"/>
      <w:divBdr>
        <w:top w:val="none" w:sz="0" w:space="0" w:color="auto"/>
        <w:left w:val="none" w:sz="0" w:space="0" w:color="auto"/>
        <w:bottom w:val="none" w:sz="0" w:space="0" w:color="auto"/>
        <w:right w:val="none" w:sz="0" w:space="0" w:color="auto"/>
      </w:divBdr>
    </w:div>
    <w:div w:id="1243832682">
      <w:marLeft w:val="0"/>
      <w:marRight w:val="0"/>
      <w:marTop w:val="0"/>
      <w:marBottom w:val="0"/>
      <w:divBdr>
        <w:top w:val="none" w:sz="0" w:space="0" w:color="auto"/>
        <w:left w:val="none" w:sz="0" w:space="0" w:color="auto"/>
        <w:bottom w:val="none" w:sz="0" w:space="0" w:color="auto"/>
        <w:right w:val="none" w:sz="0" w:space="0" w:color="auto"/>
      </w:divBdr>
    </w:div>
    <w:div w:id="1243832683">
      <w:marLeft w:val="0"/>
      <w:marRight w:val="0"/>
      <w:marTop w:val="0"/>
      <w:marBottom w:val="0"/>
      <w:divBdr>
        <w:top w:val="none" w:sz="0" w:space="0" w:color="auto"/>
        <w:left w:val="none" w:sz="0" w:space="0" w:color="auto"/>
        <w:bottom w:val="none" w:sz="0" w:space="0" w:color="auto"/>
        <w:right w:val="none" w:sz="0" w:space="0" w:color="auto"/>
      </w:divBdr>
    </w:div>
    <w:div w:id="1243832684">
      <w:marLeft w:val="0"/>
      <w:marRight w:val="0"/>
      <w:marTop w:val="0"/>
      <w:marBottom w:val="0"/>
      <w:divBdr>
        <w:top w:val="none" w:sz="0" w:space="0" w:color="auto"/>
        <w:left w:val="none" w:sz="0" w:space="0" w:color="auto"/>
        <w:bottom w:val="none" w:sz="0" w:space="0" w:color="auto"/>
        <w:right w:val="none" w:sz="0" w:space="0" w:color="auto"/>
      </w:divBdr>
    </w:div>
    <w:div w:id="1243832685">
      <w:marLeft w:val="0"/>
      <w:marRight w:val="0"/>
      <w:marTop w:val="0"/>
      <w:marBottom w:val="0"/>
      <w:divBdr>
        <w:top w:val="none" w:sz="0" w:space="0" w:color="auto"/>
        <w:left w:val="none" w:sz="0" w:space="0" w:color="auto"/>
        <w:bottom w:val="none" w:sz="0" w:space="0" w:color="auto"/>
        <w:right w:val="none" w:sz="0" w:space="0" w:color="auto"/>
      </w:divBdr>
    </w:div>
    <w:div w:id="1243832686">
      <w:marLeft w:val="0"/>
      <w:marRight w:val="0"/>
      <w:marTop w:val="0"/>
      <w:marBottom w:val="0"/>
      <w:divBdr>
        <w:top w:val="none" w:sz="0" w:space="0" w:color="auto"/>
        <w:left w:val="none" w:sz="0" w:space="0" w:color="auto"/>
        <w:bottom w:val="none" w:sz="0" w:space="0" w:color="auto"/>
        <w:right w:val="none" w:sz="0" w:space="0" w:color="auto"/>
      </w:divBdr>
    </w:div>
    <w:div w:id="1243832687">
      <w:marLeft w:val="0"/>
      <w:marRight w:val="0"/>
      <w:marTop w:val="0"/>
      <w:marBottom w:val="0"/>
      <w:divBdr>
        <w:top w:val="none" w:sz="0" w:space="0" w:color="auto"/>
        <w:left w:val="none" w:sz="0" w:space="0" w:color="auto"/>
        <w:bottom w:val="none" w:sz="0" w:space="0" w:color="auto"/>
        <w:right w:val="none" w:sz="0" w:space="0" w:color="auto"/>
      </w:divBdr>
    </w:div>
    <w:div w:id="1243832688">
      <w:marLeft w:val="0"/>
      <w:marRight w:val="0"/>
      <w:marTop w:val="0"/>
      <w:marBottom w:val="0"/>
      <w:divBdr>
        <w:top w:val="none" w:sz="0" w:space="0" w:color="auto"/>
        <w:left w:val="none" w:sz="0" w:space="0" w:color="auto"/>
        <w:bottom w:val="none" w:sz="0" w:space="0" w:color="auto"/>
        <w:right w:val="none" w:sz="0" w:space="0" w:color="auto"/>
      </w:divBdr>
    </w:div>
    <w:div w:id="1243832689">
      <w:marLeft w:val="0"/>
      <w:marRight w:val="0"/>
      <w:marTop w:val="0"/>
      <w:marBottom w:val="0"/>
      <w:divBdr>
        <w:top w:val="none" w:sz="0" w:space="0" w:color="auto"/>
        <w:left w:val="none" w:sz="0" w:space="0" w:color="auto"/>
        <w:bottom w:val="none" w:sz="0" w:space="0" w:color="auto"/>
        <w:right w:val="none" w:sz="0" w:space="0" w:color="auto"/>
      </w:divBdr>
    </w:div>
    <w:div w:id="124383269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
    <w:div w:id="1243832692">
      <w:marLeft w:val="0"/>
      <w:marRight w:val="0"/>
      <w:marTop w:val="0"/>
      <w:marBottom w:val="0"/>
      <w:divBdr>
        <w:top w:val="none" w:sz="0" w:space="0" w:color="auto"/>
        <w:left w:val="none" w:sz="0" w:space="0" w:color="auto"/>
        <w:bottom w:val="none" w:sz="0" w:space="0" w:color="auto"/>
        <w:right w:val="none" w:sz="0" w:space="0" w:color="auto"/>
      </w:divBdr>
    </w:div>
    <w:div w:id="1243832693">
      <w:marLeft w:val="0"/>
      <w:marRight w:val="0"/>
      <w:marTop w:val="0"/>
      <w:marBottom w:val="0"/>
      <w:divBdr>
        <w:top w:val="none" w:sz="0" w:space="0" w:color="auto"/>
        <w:left w:val="none" w:sz="0" w:space="0" w:color="auto"/>
        <w:bottom w:val="none" w:sz="0" w:space="0" w:color="auto"/>
        <w:right w:val="none" w:sz="0" w:space="0" w:color="auto"/>
      </w:divBdr>
    </w:div>
    <w:div w:id="1243832694">
      <w:marLeft w:val="0"/>
      <w:marRight w:val="0"/>
      <w:marTop w:val="0"/>
      <w:marBottom w:val="0"/>
      <w:divBdr>
        <w:top w:val="none" w:sz="0" w:space="0" w:color="auto"/>
        <w:left w:val="none" w:sz="0" w:space="0" w:color="auto"/>
        <w:bottom w:val="none" w:sz="0" w:space="0" w:color="auto"/>
        <w:right w:val="none" w:sz="0" w:space="0" w:color="auto"/>
      </w:divBdr>
    </w:div>
    <w:div w:id="12438326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toplo_rz@overgas.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toplo_rz@overgas.bg" TargetMode="External"/><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178DD-EE2B-44F1-933B-5D713E8C6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43</Pages>
  <Words>17542</Words>
  <Characters>99995</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Overgas</Company>
  <LinksUpToDate>false</LinksUpToDate>
  <CharactersWithSpaces>117303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Ivanov</dc:creator>
  <cp:lastModifiedBy>user</cp:lastModifiedBy>
  <cp:revision>14</cp:revision>
  <cp:lastPrinted>2020-03-05T08:00:00Z</cp:lastPrinted>
  <dcterms:created xsi:type="dcterms:W3CDTF">2020-07-30T11:29:00Z</dcterms:created>
  <dcterms:modified xsi:type="dcterms:W3CDTF">2020-07-31T12:09:00Z</dcterms:modified>
</cp:coreProperties>
</file>