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167"/>
        <w:gridCol w:w="7120"/>
      </w:tblGrid>
      <w:tr w:rsidR="0065467A" w:rsidTr="00E77E39">
        <w:trPr>
          <w:trHeight w:val="1618"/>
        </w:trPr>
        <w:tc>
          <w:tcPr>
            <w:tcW w:w="2167" w:type="dxa"/>
            <w:tcBorders>
              <w:bottom w:val="single" w:sz="4" w:space="0" w:color="000000"/>
            </w:tcBorders>
          </w:tcPr>
          <w:p w:rsidR="0065467A" w:rsidRDefault="0065467A" w:rsidP="00E77E39">
            <w:pPr>
              <w:pStyle w:val="Header"/>
              <w:tabs>
                <w:tab w:val="center" w:pos="935"/>
              </w:tabs>
              <w:snapToGrid w:val="0"/>
            </w:pPr>
            <w:r>
              <w:rPr>
                <w:noProof/>
                <w:lang w:eastAsia="bg-BG"/>
              </w:rPr>
              <w:drawing>
                <wp:inline distT="0" distB="0" distL="0" distR="0" wp14:anchorId="0BB3CE1A" wp14:editId="0BF668DB">
                  <wp:extent cx="11525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tcPr>
          <w:p w:rsidR="0065467A" w:rsidRDefault="0065467A" w:rsidP="00E77E39">
            <w:pPr>
              <w:pStyle w:val="Header"/>
              <w:tabs>
                <w:tab w:val="left" w:pos="0"/>
                <w:tab w:val="center" w:pos="888"/>
                <w:tab w:val="left" w:pos="1122"/>
                <w:tab w:val="left" w:pos="1683"/>
              </w:tabs>
              <w:snapToGrid w:val="0"/>
              <w:rPr>
                <w:szCs w:val="24"/>
                <w:u w:val="single"/>
              </w:rPr>
            </w:pPr>
            <w:r>
              <w:rPr>
                <w:noProof/>
                <w:lang w:eastAsia="bg-BG"/>
              </w:rPr>
              <w:drawing>
                <wp:inline distT="0" distB="0" distL="0" distR="0" wp14:anchorId="7AEFA6CA" wp14:editId="56DE9289">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alpha val="0"/>
                            </a:srgbClr>
                          </a:solidFill>
                          <a:ln>
                            <a:noFill/>
                          </a:ln>
                        </pic:spPr>
                      </pic:pic>
                    </a:graphicData>
                  </a:graphic>
                </wp:inline>
              </w:drawing>
            </w:r>
            <w:r w:rsidRPr="0065467A">
              <w:rPr>
                <w:szCs w:val="24"/>
              </w:rPr>
              <w:t xml:space="preserve">        </w:t>
            </w:r>
            <w:r w:rsidR="00791948">
              <w:rPr>
                <w:szCs w:val="24"/>
                <w:u w:val="single"/>
              </w:rPr>
              <w:t xml:space="preserve">“ТОПЛОФИКАЦИЯ-РАЗГРАД” </w:t>
            </w:r>
            <w:r>
              <w:rPr>
                <w:szCs w:val="24"/>
                <w:u w:val="single"/>
              </w:rPr>
              <w:t>АД ГР. РАЗГРАД</w:t>
            </w:r>
          </w:p>
          <w:p w:rsidR="0065467A" w:rsidRDefault="0065467A" w:rsidP="0065467A">
            <w:pPr>
              <w:pStyle w:val="Header"/>
              <w:rPr>
                <w:sz w:val="16"/>
                <w:szCs w:val="16"/>
              </w:rPr>
            </w:pPr>
            <w:r>
              <w:rPr>
                <w:sz w:val="16"/>
                <w:szCs w:val="16"/>
              </w:rPr>
              <w:t xml:space="preserve">                         7 200, гр. Разград, ул. "Черна" тел: 084/ 626 -832, факс: 084/662-473</w:t>
            </w:r>
          </w:p>
          <w:p w:rsidR="0065467A" w:rsidRDefault="0065467A" w:rsidP="0065467A">
            <w:pPr>
              <w:pStyle w:val="Header"/>
              <w:rPr>
                <w:sz w:val="16"/>
                <w:szCs w:val="16"/>
              </w:rPr>
            </w:pPr>
            <w:r>
              <w:rPr>
                <w:color w:val="000000"/>
                <w:sz w:val="16"/>
                <w:szCs w:val="16"/>
              </w:rPr>
              <w:t xml:space="preserve">                                  </w:t>
            </w:r>
            <w:r w:rsidRPr="00B14EA2">
              <w:rPr>
                <w:color w:val="000000"/>
                <w:sz w:val="16"/>
                <w:szCs w:val="16"/>
              </w:rPr>
              <w:t>e-mail:</w:t>
            </w:r>
            <w:r w:rsidRPr="0065467A">
              <w:rPr>
                <w:color w:val="000000"/>
                <w:sz w:val="16"/>
                <w:szCs w:val="16"/>
              </w:rPr>
              <w:t xml:space="preserve"> </w:t>
            </w:r>
            <w:hyperlink r:id="rId8" w:history="1">
              <w:r w:rsidRPr="0065467A">
                <w:rPr>
                  <w:rStyle w:val="Hyperlink"/>
                  <w:color w:val="000000"/>
                  <w:sz w:val="16"/>
                  <w:szCs w:val="16"/>
                  <w:u w:val="none"/>
                </w:rPr>
                <w:t>toplo</w:t>
              </w:r>
              <w:r w:rsidRPr="0065467A">
                <w:rPr>
                  <w:rStyle w:val="Hyperlink"/>
                  <w:color w:val="000000"/>
                  <w:sz w:val="16"/>
                  <w:szCs w:val="16"/>
                  <w:u w:val="none"/>
                  <w:lang w:val="ru-RU"/>
                </w:rPr>
                <w:t>_</w:t>
              </w:r>
              <w:r w:rsidRPr="0065467A">
                <w:rPr>
                  <w:rStyle w:val="Hyperlink"/>
                  <w:color w:val="000000"/>
                  <w:sz w:val="16"/>
                  <w:szCs w:val="16"/>
                  <w:u w:val="none"/>
                </w:rPr>
                <w:t>rz@overgas</w:t>
              </w:r>
              <w:r w:rsidRPr="0065467A">
                <w:rPr>
                  <w:rStyle w:val="Hyperlink"/>
                  <w:color w:val="000000"/>
                  <w:sz w:val="16"/>
                  <w:szCs w:val="16"/>
                  <w:u w:val="none"/>
                  <w:lang w:val="ru-RU"/>
                </w:rPr>
                <w:t>.</w:t>
              </w:r>
              <w:r w:rsidRPr="0065467A">
                <w:rPr>
                  <w:rStyle w:val="Hyperlink"/>
                  <w:color w:val="000000"/>
                  <w:sz w:val="16"/>
                  <w:szCs w:val="16"/>
                  <w:u w:val="none"/>
                </w:rPr>
                <w:t>bg</w:t>
              </w:r>
            </w:hyperlink>
            <w:r w:rsidRPr="00B14EA2">
              <w:rPr>
                <w:b/>
                <w:sz w:val="16"/>
                <w:szCs w:val="16"/>
              </w:rPr>
              <w:t xml:space="preserve">; </w:t>
            </w:r>
            <w:r>
              <w:rPr>
                <w:sz w:val="16"/>
                <w:szCs w:val="16"/>
              </w:rPr>
              <w:t>www.toplo-razgrad.com</w:t>
            </w:r>
          </w:p>
        </w:tc>
      </w:tr>
    </w:tbl>
    <w:p w:rsidR="00093DC7" w:rsidRPr="00C2255D" w:rsidRDefault="00093DC7" w:rsidP="00093DC7">
      <w:pPr>
        <w:spacing w:line="260" w:lineRule="atLeast"/>
        <w:rPr>
          <w:rFonts w:ascii="Verdana" w:hAnsi="Verdana" w:cs="Arial"/>
          <w:szCs w:val="22"/>
        </w:rPr>
      </w:pPr>
    </w:p>
    <w:p w:rsidR="007168D4" w:rsidRDefault="00093DC7" w:rsidP="007168D4">
      <w:pPr>
        <w:pStyle w:val="Heading1"/>
        <w:spacing w:before="120" w:line="260" w:lineRule="atLeast"/>
        <w:jc w:val="center"/>
        <w:rPr>
          <w:rFonts w:ascii="Verdana" w:hAnsi="Verdana" w:cs="Arial"/>
          <w:snapToGrid w:val="0"/>
          <w:sz w:val="20"/>
          <w:szCs w:val="20"/>
        </w:rPr>
      </w:pPr>
      <w:bookmarkStart w:id="0" w:name="_Toc247959121"/>
      <w:bookmarkStart w:id="1" w:name="_Toc270424829"/>
      <w:bookmarkStart w:id="2" w:name="_Toc509396152"/>
      <w:bookmarkStart w:id="3" w:name="_Toc510083493"/>
      <w:r>
        <w:rPr>
          <w:rFonts w:ascii="Verdana" w:hAnsi="Verdana" w:cs="Arial"/>
          <w:snapToGrid w:val="0"/>
          <w:sz w:val="20"/>
          <w:szCs w:val="20"/>
          <w:lang w:val="bg-BG"/>
        </w:rPr>
        <w:t xml:space="preserve">МЕЖДИНЕН </w:t>
      </w:r>
      <w:r w:rsidRPr="00C2255D">
        <w:rPr>
          <w:rFonts w:ascii="Verdana" w:hAnsi="Verdana" w:cs="Arial"/>
          <w:snapToGrid w:val="0"/>
          <w:sz w:val="20"/>
          <w:szCs w:val="20"/>
          <w:lang w:val="ru-RU"/>
        </w:rPr>
        <w:t>ДОКЛАД ЗА ДЕЙНОСТТА</w:t>
      </w:r>
      <w:bookmarkEnd w:id="0"/>
      <w:bookmarkEnd w:id="1"/>
      <w:bookmarkEnd w:id="2"/>
      <w:bookmarkEnd w:id="3"/>
    </w:p>
    <w:p w:rsidR="00093DC7" w:rsidRPr="007168D4" w:rsidRDefault="00093DC7" w:rsidP="007168D4">
      <w:pPr>
        <w:pStyle w:val="Heading1"/>
        <w:spacing w:before="120" w:line="260" w:lineRule="atLeast"/>
        <w:jc w:val="center"/>
        <w:rPr>
          <w:rFonts w:ascii="Verdana" w:hAnsi="Verdana" w:cs="Arial"/>
          <w:snapToGrid w:val="0"/>
          <w:sz w:val="20"/>
          <w:szCs w:val="20"/>
          <w:lang w:val="bg-BG"/>
        </w:rPr>
      </w:pPr>
      <w:r>
        <w:rPr>
          <w:rFonts w:ascii="Verdana" w:hAnsi="Verdana" w:cs="Arial"/>
          <w:snapToGrid w:val="0"/>
          <w:sz w:val="20"/>
          <w:szCs w:val="20"/>
          <w:lang w:val="ru-RU"/>
        </w:rPr>
        <w:t xml:space="preserve">КЪМ </w:t>
      </w:r>
      <w:r>
        <w:rPr>
          <w:rFonts w:ascii="Verdana" w:hAnsi="Verdana" w:cs="Arial"/>
          <w:snapToGrid w:val="0"/>
          <w:sz w:val="20"/>
          <w:szCs w:val="20"/>
        </w:rPr>
        <w:t>3</w:t>
      </w:r>
      <w:r>
        <w:rPr>
          <w:rFonts w:ascii="Verdana" w:hAnsi="Verdana" w:cs="Arial"/>
          <w:snapToGrid w:val="0"/>
          <w:sz w:val="20"/>
          <w:szCs w:val="20"/>
          <w:lang w:val="bg-BG"/>
        </w:rPr>
        <w:t>0</w:t>
      </w:r>
      <w:r>
        <w:rPr>
          <w:rFonts w:ascii="Verdana" w:hAnsi="Verdana" w:cs="Arial"/>
          <w:snapToGrid w:val="0"/>
          <w:sz w:val="20"/>
          <w:szCs w:val="20"/>
        </w:rPr>
        <w:t>.</w:t>
      </w:r>
      <w:r>
        <w:rPr>
          <w:rFonts w:ascii="Verdana" w:hAnsi="Verdana" w:cs="Arial"/>
          <w:snapToGrid w:val="0"/>
          <w:sz w:val="20"/>
          <w:szCs w:val="20"/>
          <w:lang w:val="bg-BG"/>
        </w:rPr>
        <w:t>06</w:t>
      </w:r>
      <w:r>
        <w:rPr>
          <w:rFonts w:ascii="Verdana" w:hAnsi="Verdana" w:cs="Arial"/>
          <w:snapToGrid w:val="0"/>
          <w:sz w:val="20"/>
          <w:szCs w:val="20"/>
        </w:rPr>
        <w:t>.201</w:t>
      </w:r>
      <w:r w:rsidR="00791948">
        <w:rPr>
          <w:rFonts w:ascii="Verdana" w:hAnsi="Verdana" w:cs="Arial"/>
          <w:snapToGrid w:val="0"/>
          <w:sz w:val="20"/>
          <w:szCs w:val="20"/>
          <w:lang w:val="bg-BG"/>
        </w:rPr>
        <w:t>9</w:t>
      </w:r>
      <w:r w:rsidR="007168D4">
        <w:rPr>
          <w:rFonts w:ascii="Verdana" w:hAnsi="Verdana" w:cs="Arial"/>
          <w:snapToGrid w:val="0"/>
          <w:sz w:val="20"/>
          <w:szCs w:val="20"/>
          <w:lang w:val="bg-BG"/>
        </w:rPr>
        <w:t>г</w:t>
      </w:r>
      <w:r>
        <w:rPr>
          <w:rFonts w:ascii="Verdana" w:hAnsi="Verdana" w:cs="Arial"/>
          <w:snapToGrid w:val="0"/>
          <w:sz w:val="20"/>
          <w:szCs w:val="20"/>
          <w:lang w:val="ru-RU"/>
        </w:rPr>
        <w:t>.</w:t>
      </w:r>
    </w:p>
    <w:p w:rsidR="007168D4" w:rsidRPr="007168D4" w:rsidRDefault="007168D4" w:rsidP="007168D4">
      <w:pPr>
        <w:rPr>
          <w:lang w:val="en-US" w:eastAsia="x-none"/>
        </w:rPr>
      </w:pPr>
    </w:p>
    <w:p w:rsidR="00093DC7" w:rsidRPr="00C2255D" w:rsidRDefault="00093DC7" w:rsidP="00093DC7">
      <w:pPr>
        <w:pStyle w:val="EndnoteText"/>
        <w:spacing w:before="120" w:after="0" w:line="260" w:lineRule="atLeast"/>
        <w:rPr>
          <w:rFonts w:ascii="Verdana" w:hAnsi="Verdana" w:cs="Arial"/>
          <w:b/>
          <w:bCs w:val="0"/>
          <w:szCs w:val="20"/>
          <w:lang w:val="bg-BG" w:eastAsia="en-US"/>
        </w:rPr>
      </w:pPr>
      <w:bookmarkStart w:id="4" w:name="_Toc153350918"/>
      <w:bookmarkStart w:id="5" w:name="_Toc153351499"/>
      <w:bookmarkStart w:id="6" w:name="_Toc154161871"/>
      <w:r w:rsidRPr="00C2255D">
        <w:rPr>
          <w:rFonts w:ascii="Verdana" w:hAnsi="Verdana" w:cs="Arial"/>
          <w:b/>
          <w:bCs w:val="0"/>
          <w:szCs w:val="20"/>
          <w:lang w:val="bg-BG" w:eastAsia="en-US"/>
        </w:rPr>
        <w:t>Описание на дейността</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Дружеството е регистрирано в Република България с ЕИК 116019472</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Дружеството е със седалище, адрес на управление и адрес за кореспонденция гр. Разград, 7200, Индустриална зона, ул.“Черна“</w:t>
      </w:r>
      <w:r>
        <w:rPr>
          <w:rFonts w:ascii="Verdana" w:hAnsi="Verdana" w:cs="Arial"/>
          <w:sz w:val="20"/>
        </w:rPr>
        <w:t>.</w:t>
      </w:r>
    </w:p>
    <w:p w:rsidR="00093DC7" w:rsidRPr="00C2255D" w:rsidRDefault="00093DC7" w:rsidP="00093DC7">
      <w:pPr>
        <w:spacing w:line="260" w:lineRule="atLeast"/>
        <w:rPr>
          <w:rFonts w:ascii="Verdana" w:hAnsi="Verdana" w:cs="Arial"/>
          <w:sz w:val="20"/>
        </w:rPr>
      </w:pPr>
    </w:p>
    <w:p w:rsidR="00093DC7" w:rsidRPr="00C2255D" w:rsidRDefault="00093DC7" w:rsidP="00093DC7">
      <w:pPr>
        <w:spacing w:line="260" w:lineRule="atLeast"/>
        <w:rPr>
          <w:rFonts w:ascii="Verdana" w:hAnsi="Verdana" w:cs="Arial"/>
          <w:sz w:val="20"/>
        </w:rPr>
      </w:pPr>
      <w:r w:rsidRPr="00C2255D">
        <w:rPr>
          <w:rFonts w:ascii="Verdana" w:hAnsi="Verdana" w:cs="Arial"/>
          <w:sz w:val="20"/>
        </w:rPr>
        <w:t>Основната му дейност е свързана с производство на електрическа и топлинна енергия, и пренос на топлинна енергия.</w:t>
      </w:r>
    </w:p>
    <w:p w:rsidR="00093DC7" w:rsidRDefault="00093DC7" w:rsidP="00093DC7">
      <w:pPr>
        <w:spacing w:line="260" w:lineRule="atLeast"/>
        <w:rPr>
          <w:rFonts w:ascii="Verdana" w:hAnsi="Verdana" w:cs="Arial"/>
          <w:sz w:val="20"/>
          <w:lang w:val="en-US"/>
        </w:rPr>
      </w:pPr>
      <w:r w:rsidRPr="00C2255D">
        <w:rPr>
          <w:rFonts w:ascii="Verdana" w:hAnsi="Verdana" w:cs="Arial"/>
          <w:sz w:val="20"/>
        </w:rPr>
        <w:t>Дружеството и през тази година е продължило основната си дейност, свързана с производство на електрическа и топлинна енергия, и пренос на топлинна енергия.</w:t>
      </w:r>
    </w:p>
    <w:p w:rsidR="00093DC7" w:rsidRDefault="00093DC7" w:rsidP="00093DC7">
      <w:pPr>
        <w:spacing w:line="260" w:lineRule="atLeast"/>
        <w:rPr>
          <w:rFonts w:ascii="Verdana" w:hAnsi="Verdana" w:cs="Arial"/>
          <w:sz w:val="20"/>
        </w:rPr>
      </w:pPr>
      <w:r>
        <w:rPr>
          <w:rFonts w:ascii="Verdana" w:hAnsi="Verdana" w:cs="Arial"/>
          <w:sz w:val="20"/>
        </w:rPr>
        <w:t>Дружеството няма регистрирани клонове в страната и/или чужбина.</w:t>
      </w:r>
    </w:p>
    <w:p w:rsidR="00093DC7" w:rsidRDefault="00093DC7" w:rsidP="00093DC7">
      <w:pPr>
        <w:spacing w:line="260" w:lineRule="atLeast"/>
        <w:rPr>
          <w:rFonts w:ascii="Verdana" w:hAnsi="Verdana" w:cs="Arial"/>
          <w:sz w:val="20"/>
        </w:rPr>
      </w:pPr>
    </w:p>
    <w:p w:rsidR="00093DC7" w:rsidRDefault="00093DC7" w:rsidP="00093DC7">
      <w:pPr>
        <w:spacing w:line="260" w:lineRule="atLeast"/>
        <w:rPr>
          <w:rFonts w:ascii="Verdana" w:hAnsi="Verdana" w:cs="Arial"/>
          <w:sz w:val="20"/>
        </w:rPr>
      </w:pPr>
      <w:r>
        <w:rPr>
          <w:rFonts w:ascii="Verdana" w:hAnsi="Verdana" w:cs="Arial"/>
          <w:sz w:val="20"/>
        </w:rPr>
        <w:t>Дружеството не е публично дружество по смисъла на ЗППЦК.</w:t>
      </w:r>
    </w:p>
    <w:p w:rsidR="00093DC7" w:rsidRDefault="00093DC7" w:rsidP="00093DC7">
      <w:pPr>
        <w:spacing w:line="260" w:lineRule="atLeast"/>
        <w:rPr>
          <w:rFonts w:ascii="Verdana" w:hAnsi="Verdana" w:cs="Arial"/>
          <w:sz w:val="20"/>
        </w:rPr>
      </w:pPr>
    </w:p>
    <w:p w:rsidR="00093DC7" w:rsidRPr="00E96966" w:rsidRDefault="00093DC7" w:rsidP="00093DC7">
      <w:pPr>
        <w:spacing w:line="260" w:lineRule="atLeast"/>
        <w:rPr>
          <w:rFonts w:ascii="Verdana" w:hAnsi="Verdana" w:cs="Arial"/>
          <w:sz w:val="20"/>
        </w:rPr>
      </w:pPr>
      <w:r>
        <w:rPr>
          <w:rFonts w:ascii="Verdana" w:hAnsi="Verdana" w:cs="Arial"/>
          <w:sz w:val="20"/>
        </w:rPr>
        <w:t>Дружеството не е регистрирано като финансова институция.</w:t>
      </w:r>
    </w:p>
    <w:bookmarkEnd w:id="4"/>
    <w:bookmarkEnd w:id="5"/>
    <w:bookmarkEnd w:id="6"/>
    <w:p w:rsidR="00093DC7" w:rsidRPr="00E96966" w:rsidRDefault="00093DC7" w:rsidP="00093DC7">
      <w:pPr>
        <w:pStyle w:val="BodyTextIndent"/>
        <w:spacing w:line="260" w:lineRule="atLeast"/>
        <w:ind w:left="0"/>
        <w:rPr>
          <w:rFonts w:ascii="Verdana" w:hAnsi="Verdana" w:cs="Arial"/>
          <w:bCs w:val="0"/>
          <w:snapToGrid/>
          <w:sz w:val="20"/>
          <w:szCs w:val="20"/>
          <w:lang w:val="en-US" w:eastAsia="en-US"/>
        </w:rPr>
      </w:pPr>
      <w:r w:rsidRPr="00C2255D">
        <w:rPr>
          <w:rFonts w:ascii="Verdana" w:hAnsi="Verdana" w:cs="Arial"/>
          <w:bCs w:val="0"/>
          <w:snapToGrid/>
          <w:sz w:val="20"/>
          <w:szCs w:val="20"/>
          <w:lang w:val="bg-BG" w:eastAsia="en-US"/>
        </w:rPr>
        <w:t xml:space="preserve">Финансовият резултат на Дружеството за </w:t>
      </w:r>
      <w:r>
        <w:rPr>
          <w:rFonts w:ascii="Verdana" w:hAnsi="Verdana" w:cs="Arial"/>
          <w:bCs w:val="0"/>
          <w:snapToGrid/>
          <w:sz w:val="20"/>
          <w:szCs w:val="20"/>
          <w:lang w:val="bg-BG" w:eastAsia="en-US"/>
        </w:rPr>
        <w:t>периода 01.</w:t>
      </w:r>
      <w:proofErr w:type="spellStart"/>
      <w:r>
        <w:rPr>
          <w:rFonts w:ascii="Verdana" w:hAnsi="Verdana" w:cs="Arial"/>
          <w:bCs w:val="0"/>
          <w:snapToGrid/>
          <w:sz w:val="20"/>
          <w:szCs w:val="20"/>
          <w:lang w:val="bg-BG" w:eastAsia="en-US"/>
        </w:rPr>
        <w:t>01</w:t>
      </w:r>
      <w:proofErr w:type="spellEnd"/>
      <w:r>
        <w:rPr>
          <w:rFonts w:ascii="Verdana" w:hAnsi="Verdana" w:cs="Arial"/>
          <w:bCs w:val="0"/>
          <w:snapToGrid/>
          <w:sz w:val="20"/>
          <w:szCs w:val="20"/>
          <w:lang w:val="bg-BG" w:eastAsia="en-US"/>
        </w:rPr>
        <w:t>.201</w:t>
      </w:r>
      <w:r w:rsidR="008C3CC9">
        <w:rPr>
          <w:rFonts w:ascii="Verdana" w:hAnsi="Verdana" w:cs="Arial"/>
          <w:bCs w:val="0"/>
          <w:snapToGrid/>
          <w:sz w:val="20"/>
          <w:szCs w:val="20"/>
          <w:lang w:val="bg-BG" w:eastAsia="en-US"/>
        </w:rPr>
        <w:t>9</w:t>
      </w:r>
      <w:r>
        <w:rPr>
          <w:rFonts w:ascii="Verdana" w:hAnsi="Verdana" w:cs="Arial"/>
          <w:bCs w:val="0"/>
          <w:snapToGrid/>
          <w:sz w:val="20"/>
          <w:szCs w:val="20"/>
          <w:lang w:val="bg-BG" w:eastAsia="en-US"/>
        </w:rPr>
        <w:t xml:space="preserve"> г. – 30.06.201</w:t>
      </w:r>
      <w:r w:rsidR="008C3CC9">
        <w:rPr>
          <w:rFonts w:ascii="Verdana" w:hAnsi="Verdana" w:cs="Arial"/>
          <w:bCs w:val="0"/>
          <w:snapToGrid/>
          <w:sz w:val="20"/>
          <w:szCs w:val="20"/>
          <w:lang w:val="bg-BG" w:eastAsia="en-US"/>
        </w:rPr>
        <w:t>9</w:t>
      </w:r>
      <w:r w:rsidRPr="00C2255D">
        <w:rPr>
          <w:rFonts w:ascii="Verdana" w:hAnsi="Verdana" w:cs="Arial"/>
          <w:bCs w:val="0"/>
          <w:snapToGrid/>
          <w:sz w:val="20"/>
          <w:szCs w:val="20"/>
          <w:lang w:val="bg-BG" w:eastAsia="en-US"/>
        </w:rPr>
        <w:t xml:space="preserve"> г. е загуб</w:t>
      </w:r>
      <w:r w:rsidR="0038085E">
        <w:rPr>
          <w:rFonts w:ascii="Verdana" w:hAnsi="Verdana" w:cs="Arial"/>
          <w:bCs w:val="0"/>
          <w:snapToGrid/>
          <w:sz w:val="20"/>
          <w:szCs w:val="20"/>
          <w:lang w:val="bg-BG" w:eastAsia="en-US"/>
        </w:rPr>
        <w:t>а в размер на 15</w:t>
      </w:r>
      <w:r w:rsidR="0038085E">
        <w:rPr>
          <w:rFonts w:ascii="Verdana" w:hAnsi="Verdana" w:cs="Arial"/>
          <w:bCs w:val="0"/>
          <w:snapToGrid/>
          <w:sz w:val="20"/>
          <w:szCs w:val="20"/>
          <w:lang w:val="en-US" w:eastAsia="en-US"/>
        </w:rPr>
        <w:t>6</w:t>
      </w:r>
      <w:r>
        <w:rPr>
          <w:rFonts w:ascii="Verdana" w:hAnsi="Verdana" w:cs="Arial"/>
          <w:bCs w:val="0"/>
          <w:snapToGrid/>
          <w:sz w:val="20"/>
          <w:szCs w:val="20"/>
          <w:lang w:val="bg-BG" w:eastAsia="en-US"/>
        </w:rPr>
        <w:t xml:space="preserve"> </w:t>
      </w:r>
      <w:r w:rsidRPr="00C2255D">
        <w:rPr>
          <w:rFonts w:ascii="Verdana" w:hAnsi="Verdana" w:cs="Arial"/>
          <w:bCs w:val="0"/>
          <w:snapToGrid/>
          <w:sz w:val="20"/>
          <w:szCs w:val="20"/>
          <w:lang w:val="bg-BG" w:eastAsia="en-US"/>
        </w:rPr>
        <w:t xml:space="preserve">хил.лв. </w:t>
      </w:r>
      <w:r w:rsidRPr="00E96966">
        <w:rPr>
          <w:rFonts w:ascii="Verdana" w:hAnsi="Verdana" w:cs="Arial"/>
          <w:bCs w:val="0"/>
          <w:snapToGrid/>
          <w:sz w:val="20"/>
          <w:szCs w:val="20"/>
          <w:lang w:val="bg-BG" w:eastAsia="en-US"/>
        </w:rPr>
        <w:t>Данъчното облагане на Дружеството се извършва съгласно изискванията на местното законодателство.</w:t>
      </w:r>
    </w:p>
    <w:p w:rsidR="00093DC7" w:rsidRPr="00C46C41" w:rsidRDefault="00093DC7" w:rsidP="00093DC7">
      <w:pPr>
        <w:pStyle w:val="BodyTextIndent"/>
        <w:spacing w:after="40" w:line="260" w:lineRule="atLeast"/>
        <w:ind w:left="0"/>
        <w:rPr>
          <w:rFonts w:ascii="Verdana" w:hAnsi="Verdana" w:cs="Arial"/>
          <w:b/>
          <w:bCs w:val="0"/>
          <w:snapToGrid/>
          <w:sz w:val="20"/>
          <w:szCs w:val="20"/>
          <w:lang w:val="bg-BG" w:eastAsia="en-US"/>
        </w:rPr>
      </w:pPr>
      <w:r w:rsidRPr="00C46C41">
        <w:rPr>
          <w:rFonts w:ascii="Verdana" w:hAnsi="Verdana" w:cs="Arial"/>
          <w:b/>
          <w:bCs w:val="0"/>
          <w:snapToGrid/>
          <w:sz w:val="20"/>
          <w:szCs w:val="20"/>
          <w:lang w:val="bg-BG" w:eastAsia="en-US"/>
        </w:rPr>
        <w:t>Структура на основния капитал</w:t>
      </w:r>
    </w:p>
    <w:tbl>
      <w:tblPr>
        <w:tblW w:w="5000" w:type="pct"/>
        <w:tblCellSpacing w:w="1440" w:type="nil"/>
        <w:tblBorders>
          <w:top w:val="outset" w:sz="6" w:space="0" w:color="auto"/>
          <w:bottom w:val="outset" w:sz="6" w:space="0" w:color="auto"/>
          <w:insideH w:val="outset" w:sz="6" w:space="0" w:color="auto"/>
        </w:tblBorders>
        <w:tblLook w:val="0000" w:firstRow="0" w:lastRow="0" w:firstColumn="0" w:lastColumn="0" w:noHBand="0" w:noVBand="0"/>
      </w:tblPr>
      <w:tblGrid>
        <w:gridCol w:w="5047"/>
        <w:gridCol w:w="1267"/>
        <w:gridCol w:w="1446"/>
        <w:gridCol w:w="1528"/>
      </w:tblGrid>
      <w:tr w:rsidR="00093DC7" w:rsidTr="007901C2">
        <w:trPr>
          <w:tblCellSpacing w:w="1440" w:type="nil"/>
        </w:trPr>
        <w:tc>
          <w:tcPr>
            <w:tcW w:w="2674" w:type="pct"/>
          </w:tcPr>
          <w:p w:rsidR="00093DC7" w:rsidRPr="00611ED0" w:rsidRDefault="00093DC7" w:rsidP="007901C2">
            <w:pPr>
              <w:spacing w:line="260" w:lineRule="atLeast"/>
              <w:rPr>
                <w:rFonts w:ascii="Verdana" w:hAnsi="Verdana" w:cs="Arial"/>
                <w:b/>
                <w:sz w:val="20"/>
              </w:rPr>
            </w:pPr>
            <w:r w:rsidRPr="00611ED0">
              <w:rPr>
                <w:rFonts w:ascii="Verdana" w:hAnsi="Verdana" w:cs="Arial"/>
                <w:b/>
                <w:sz w:val="20"/>
              </w:rPr>
              <w:t>Акционери</w:t>
            </w:r>
          </w:p>
        </w:tc>
        <w:tc>
          <w:tcPr>
            <w:tcW w:w="651" w:type="pct"/>
          </w:tcPr>
          <w:p w:rsidR="00093DC7" w:rsidRPr="00611ED0" w:rsidRDefault="00093DC7" w:rsidP="007901C2">
            <w:pPr>
              <w:spacing w:line="260" w:lineRule="atLeast"/>
              <w:jc w:val="center"/>
              <w:rPr>
                <w:rFonts w:ascii="Verdana" w:hAnsi="Verdana" w:cs="Arial"/>
                <w:b/>
                <w:sz w:val="20"/>
              </w:rPr>
            </w:pPr>
            <w:r w:rsidRPr="00611ED0">
              <w:rPr>
                <w:rFonts w:ascii="Verdana" w:hAnsi="Verdana" w:cs="Arial"/>
                <w:b/>
                <w:sz w:val="20"/>
              </w:rPr>
              <w:t>Участие</w:t>
            </w:r>
          </w:p>
        </w:tc>
        <w:tc>
          <w:tcPr>
            <w:tcW w:w="775" w:type="pct"/>
          </w:tcPr>
          <w:p w:rsidR="00093DC7" w:rsidRPr="00611ED0" w:rsidRDefault="00093DC7" w:rsidP="007901C2">
            <w:pPr>
              <w:spacing w:line="260" w:lineRule="atLeast"/>
              <w:jc w:val="center"/>
              <w:rPr>
                <w:rFonts w:ascii="Verdana" w:hAnsi="Verdana" w:cs="Arial"/>
                <w:b/>
                <w:sz w:val="20"/>
              </w:rPr>
            </w:pPr>
            <w:r w:rsidRPr="00611ED0">
              <w:rPr>
                <w:rFonts w:ascii="Verdana" w:hAnsi="Verdana" w:cs="Arial"/>
                <w:b/>
                <w:sz w:val="20"/>
              </w:rPr>
              <w:t>Брой акции</w:t>
            </w:r>
          </w:p>
        </w:tc>
        <w:tc>
          <w:tcPr>
            <w:tcW w:w="798" w:type="pct"/>
          </w:tcPr>
          <w:p w:rsidR="00093DC7" w:rsidRDefault="00093DC7" w:rsidP="007901C2">
            <w:pPr>
              <w:spacing w:line="260" w:lineRule="atLeast"/>
              <w:jc w:val="center"/>
              <w:rPr>
                <w:rFonts w:ascii="Verdana" w:hAnsi="Verdana" w:cs="Arial"/>
                <w:b/>
                <w:sz w:val="20"/>
                <w:lang w:val="en-US"/>
              </w:rPr>
            </w:pPr>
            <w:r w:rsidRPr="00611ED0">
              <w:rPr>
                <w:rFonts w:ascii="Verdana" w:hAnsi="Verdana" w:cs="Arial"/>
                <w:b/>
                <w:sz w:val="20"/>
              </w:rPr>
              <w:t>Номинална стойност</w:t>
            </w:r>
          </w:p>
          <w:p w:rsidR="00093DC7" w:rsidRPr="00C46C41" w:rsidRDefault="00093DC7" w:rsidP="007901C2">
            <w:pPr>
              <w:spacing w:line="260" w:lineRule="atLeast"/>
              <w:jc w:val="center"/>
              <w:rPr>
                <w:rFonts w:ascii="Verdana" w:hAnsi="Verdana" w:cs="Arial"/>
                <w:b/>
                <w:sz w:val="20"/>
              </w:rPr>
            </w:pPr>
            <w:r w:rsidRPr="00D151A7">
              <w:rPr>
                <w:rFonts w:ascii="Verdana" w:hAnsi="Verdana" w:cs="Tahoma"/>
                <w:b/>
                <w:sz w:val="20"/>
              </w:rPr>
              <w:t>BGN'000</w:t>
            </w:r>
          </w:p>
        </w:tc>
      </w:tr>
      <w:tr w:rsidR="00093DC7" w:rsidTr="007901C2">
        <w:trPr>
          <w:tblCellSpacing w:w="1440" w:type="nil"/>
        </w:trPr>
        <w:tc>
          <w:tcPr>
            <w:tcW w:w="2674" w:type="pct"/>
          </w:tcPr>
          <w:p w:rsidR="00093DC7" w:rsidRPr="00611ED0" w:rsidRDefault="00093DC7" w:rsidP="007901C2">
            <w:pPr>
              <w:spacing w:line="260" w:lineRule="atLeast"/>
              <w:rPr>
                <w:rFonts w:ascii="Verdana" w:hAnsi="Verdana" w:cs="Arial"/>
                <w:sz w:val="20"/>
              </w:rPr>
            </w:pPr>
            <w:r w:rsidRPr="00611ED0">
              <w:rPr>
                <w:rFonts w:ascii="Verdana" w:hAnsi="Verdana" w:cs="Arial"/>
                <w:sz w:val="20"/>
              </w:rPr>
              <w:t>Овергаз Холдинг АД</w:t>
            </w:r>
          </w:p>
        </w:tc>
        <w:tc>
          <w:tcPr>
            <w:tcW w:w="651" w:type="pct"/>
          </w:tcPr>
          <w:p w:rsidR="00093DC7" w:rsidRPr="00611ED0" w:rsidRDefault="004F03A5" w:rsidP="007901C2">
            <w:pPr>
              <w:spacing w:line="260" w:lineRule="atLeast"/>
              <w:jc w:val="center"/>
              <w:rPr>
                <w:rFonts w:ascii="Verdana" w:hAnsi="Verdana" w:cs="Arial"/>
                <w:sz w:val="20"/>
              </w:rPr>
            </w:pPr>
            <w:r>
              <w:rPr>
                <w:rFonts w:ascii="Verdana" w:hAnsi="Verdana" w:cs="Arial"/>
                <w:sz w:val="20"/>
                <w:lang w:val="en-US"/>
              </w:rPr>
              <w:t>99,9999</w:t>
            </w:r>
            <w:r w:rsidR="00093DC7" w:rsidRPr="00611ED0">
              <w:rPr>
                <w:rFonts w:ascii="Verdana" w:hAnsi="Verdana" w:cs="Arial"/>
                <w:sz w:val="20"/>
              </w:rPr>
              <w:t>%</w:t>
            </w:r>
          </w:p>
        </w:tc>
        <w:tc>
          <w:tcPr>
            <w:tcW w:w="775" w:type="pct"/>
          </w:tcPr>
          <w:p w:rsidR="00093DC7" w:rsidRPr="00611ED0" w:rsidRDefault="004F03A5" w:rsidP="007901C2">
            <w:pPr>
              <w:spacing w:line="260" w:lineRule="atLeast"/>
              <w:jc w:val="center"/>
              <w:rPr>
                <w:rFonts w:ascii="Verdana" w:hAnsi="Verdana" w:cs="Arial"/>
                <w:sz w:val="20"/>
              </w:rPr>
            </w:pPr>
            <w:r>
              <w:rPr>
                <w:rFonts w:ascii="Verdana" w:hAnsi="Verdana" w:cs="Arial"/>
                <w:sz w:val="20"/>
              </w:rPr>
              <w:t xml:space="preserve">6 999 </w:t>
            </w:r>
            <w:proofErr w:type="spellStart"/>
            <w:r>
              <w:rPr>
                <w:rFonts w:ascii="Verdana" w:hAnsi="Verdana" w:cs="Arial"/>
                <w:sz w:val="20"/>
              </w:rPr>
              <w:t>999</w:t>
            </w:r>
            <w:proofErr w:type="spellEnd"/>
          </w:p>
        </w:tc>
        <w:tc>
          <w:tcPr>
            <w:tcW w:w="798" w:type="pct"/>
          </w:tcPr>
          <w:p w:rsidR="00093DC7" w:rsidRPr="00611ED0" w:rsidRDefault="004F03A5" w:rsidP="007901C2">
            <w:pPr>
              <w:spacing w:line="260" w:lineRule="atLeast"/>
              <w:jc w:val="center"/>
              <w:rPr>
                <w:rFonts w:ascii="Verdana" w:hAnsi="Verdana" w:cs="Arial"/>
                <w:sz w:val="20"/>
              </w:rPr>
            </w:pPr>
            <w:r>
              <w:rPr>
                <w:rFonts w:ascii="Verdana" w:hAnsi="Verdana" w:cs="Arial"/>
                <w:sz w:val="20"/>
              </w:rPr>
              <w:t xml:space="preserve">6 999 </w:t>
            </w:r>
            <w:proofErr w:type="spellStart"/>
            <w:r>
              <w:rPr>
                <w:rFonts w:ascii="Verdana" w:hAnsi="Verdana" w:cs="Arial"/>
                <w:sz w:val="20"/>
              </w:rPr>
              <w:t>999</w:t>
            </w:r>
            <w:proofErr w:type="spellEnd"/>
          </w:p>
        </w:tc>
      </w:tr>
      <w:tr w:rsidR="004F03A5" w:rsidRPr="004F03A5" w:rsidTr="007901C2">
        <w:trPr>
          <w:tblCellSpacing w:w="1440" w:type="nil"/>
        </w:trPr>
        <w:tc>
          <w:tcPr>
            <w:tcW w:w="2674" w:type="pct"/>
          </w:tcPr>
          <w:p w:rsidR="004F03A5" w:rsidRPr="004F03A5" w:rsidRDefault="00FB5256" w:rsidP="007901C2">
            <w:pPr>
              <w:spacing w:line="260" w:lineRule="atLeast"/>
              <w:rPr>
                <w:rFonts w:ascii="Verdana" w:hAnsi="Verdana" w:cs="Arial"/>
                <w:sz w:val="20"/>
              </w:rPr>
            </w:pPr>
            <w:r>
              <w:rPr>
                <w:rFonts w:ascii="Verdana" w:hAnsi="Verdana" w:cs="Arial"/>
                <w:sz w:val="20"/>
              </w:rPr>
              <w:t xml:space="preserve">Овергаз </w:t>
            </w:r>
            <w:proofErr w:type="spellStart"/>
            <w:r>
              <w:rPr>
                <w:rFonts w:ascii="Verdana" w:hAnsi="Verdana" w:cs="Arial"/>
                <w:sz w:val="20"/>
              </w:rPr>
              <w:t>Директ</w:t>
            </w:r>
            <w:proofErr w:type="spellEnd"/>
            <w:r>
              <w:rPr>
                <w:rFonts w:ascii="Verdana" w:hAnsi="Verdana" w:cs="Arial"/>
                <w:sz w:val="20"/>
              </w:rPr>
              <w:t xml:space="preserve"> ООД</w:t>
            </w:r>
          </w:p>
        </w:tc>
        <w:tc>
          <w:tcPr>
            <w:tcW w:w="651" w:type="pct"/>
          </w:tcPr>
          <w:p w:rsidR="004F03A5" w:rsidRPr="004F03A5" w:rsidRDefault="004F03A5" w:rsidP="007901C2">
            <w:pPr>
              <w:spacing w:line="260" w:lineRule="atLeast"/>
              <w:jc w:val="center"/>
              <w:rPr>
                <w:rFonts w:ascii="Verdana" w:hAnsi="Verdana" w:cs="Arial"/>
                <w:sz w:val="20"/>
              </w:rPr>
            </w:pPr>
            <w:r w:rsidRPr="004F03A5">
              <w:rPr>
                <w:rFonts w:ascii="Verdana" w:hAnsi="Verdana" w:cs="Arial"/>
                <w:sz w:val="20"/>
              </w:rPr>
              <w:t>0,0001%</w:t>
            </w:r>
          </w:p>
        </w:tc>
        <w:tc>
          <w:tcPr>
            <w:tcW w:w="775" w:type="pct"/>
          </w:tcPr>
          <w:p w:rsidR="004F03A5" w:rsidRPr="004F03A5" w:rsidRDefault="004F03A5" w:rsidP="007901C2">
            <w:pPr>
              <w:spacing w:line="260" w:lineRule="atLeast"/>
              <w:jc w:val="center"/>
              <w:rPr>
                <w:rFonts w:ascii="Verdana" w:hAnsi="Verdana" w:cs="Arial"/>
                <w:sz w:val="20"/>
              </w:rPr>
            </w:pPr>
            <w:r w:rsidRPr="004F03A5">
              <w:rPr>
                <w:rFonts w:ascii="Verdana" w:hAnsi="Verdana" w:cs="Arial"/>
                <w:sz w:val="20"/>
              </w:rPr>
              <w:t>1</w:t>
            </w:r>
          </w:p>
        </w:tc>
        <w:tc>
          <w:tcPr>
            <w:tcW w:w="798" w:type="pct"/>
          </w:tcPr>
          <w:p w:rsidR="004F03A5" w:rsidRPr="004F03A5" w:rsidRDefault="004F03A5" w:rsidP="007901C2">
            <w:pPr>
              <w:spacing w:line="260" w:lineRule="atLeast"/>
              <w:jc w:val="center"/>
              <w:rPr>
                <w:rFonts w:ascii="Verdana" w:hAnsi="Verdana" w:cs="Arial"/>
                <w:sz w:val="20"/>
              </w:rPr>
            </w:pPr>
            <w:r w:rsidRPr="004F03A5">
              <w:rPr>
                <w:rFonts w:ascii="Verdana" w:hAnsi="Verdana" w:cs="Arial"/>
                <w:sz w:val="20"/>
              </w:rPr>
              <w:t>1</w:t>
            </w:r>
          </w:p>
        </w:tc>
      </w:tr>
      <w:tr w:rsidR="00093DC7" w:rsidTr="007901C2">
        <w:trPr>
          <w:tblCellSpacing w:w="1440" w:type="nil"/>
        </w:trPr>
        <w:tc>
          <w:tcPr>
            <w:tcW w:w="2674" w:type="pct"/>
          </w:tcPr>
          <w:p w:rsidR="00093DC7" w:rsidRPr="00CF2829" w:rsidRDefault="00093DC7" w:rsidP="007901C2">
            <w:pPr>
              <w:spacing w:line="260" w:lineRule="atLeast"/>
              <w:rPr>
                <w:rFonts w:ascii="Verdana" w:hAnsi="Verdana" w:cs="Arial"/>
                <w:b/>
                <w:sz w:val="20"/>
              </w:rPr>
            </w:pPr>
            <w:r w:rsidRPr="00CF2829">
              <w:rPr>
                <w:rFonts w:ascii="Verdana" w:hAnsi="Verdana" w:cs="Arial"/>
                <w:b/>
                <w:sz w:val="20"/>
              </w:rPr>
              <w:t>Общо</w:t>
            </w:r>
          </w:p>
        </w:tc>
        <w:tc>
          <w:tcPr>
            <w:tcW w:w="651" w:type="pct"/>
          </w:tcPr>
          <w:p w:rsidR="00093DC7" w:rsidRPr="00CF2829" w:rsidRDefault="00093DC7" w:rsidP="007901C2">
            <w:pPr>
              <w:spacing w:line="260" w:lineRule="atLeast"/>
              <w:jc w:val="center"/>
              <w:rPr>
                <w:rFonts w:ascii="Verdana" w:hAnsi="Verdana" w:cs="Arial"/>
                <w:b/>
                <w:sz w:val="20"/>
              </w:rPr>
            </w:pPr>
            <w:r w:rsidRPr="00CF2829">
              <w:rPr>
                <w:rFonts w:ascii="Verdana" w:hAnsi="Verdana" w:cs="Arial"/>
                <w:b/>
                <w:sz w:val="20"/>
              </w:rPr>
              <w:t>100%</w:t>
            </w:r>
          </w:p>
        </w:tc>
        <w:tc>
          <w:tcPr>
            <w:tcW w:w="775" w:type="pct"/>
          </w:tcPr>
          <w:p w:rsidR="00093DC7" w:rsidRPr="00CF2829" w:rsidRDefault="004F03A5" w:rsidP="007901C2">
            <w:pPr>
              <w:spacing w:line="260" w:lineRule="atLeast"/>
              <w:jc w:val="center"/>
              <w:rPr>
                <w:rFonts w:ascii="Verdana" w:hAnsi="Verdana" w:cs="Arial"/>
                <w:b/>
                <w:sz w:val="20"/>
              </w:rPr>
            </w:pPr>
            <w:r>
              <w:rPr>
                <w:rFonts w:ascii="Verdana" w:hAnsi="Verdana" w:cs="Arial"/>
                <w:b/>
                <w:sz w:val="20"/>
              </w:rPr>
              <w:t xml:space="preserve">7 000 </w:t>
            </w:r>
            <w:proofErr w:type="spellStart"/>
            <w:r>
              <w:rPr>
                <w:rFonts w:ascii="Verdana" w:hAnsi="Verdana" w:cs="Arial"/>
                <w:b/>
                <w:sz w:val="20"/>
              </w:rPr>
              <w:t>000</w:t>
            </w:r>
            <w:proofErr w:type="spellEnd"/>
          </w:p>
        </w:tc>
        <w:tc>
          <w:tcPr>
            <w:tcW w:w="798" w:type="pct"/>
          </w:tcPr>
          <w:p w:rsidR="00093DC7" w:rsidRPr="00CF2829" w:rsidRDefault="004F03A5" w:rsidP="007901C2">
            <w:pPr>
              <w:spacing w:line="260" w:lineRule="atLeast"/>
              <w:jc w:val="center"/>
              <w:rPr>
                <w:rFonts w:ascii="Verdana" w:hAnsi="Verdana" w:cs="Arial"/>
                <w:b/>
                <w:sz w:val="20"/>
              </w:rPr>
            </w:pPr>
            <w:r>
              <w:rPr>
                <w:rFonts w:ascii="Verdana" w:hAnsi="Verdana" w:cs="Arial"/>
                <w:b/>
                <w:sz w:val="20"/>
              </w:rPr>
              <w:t>7 </w:t>
            </w:r>
            <w:r w:rsidR="00093DC7" w:rsidRPr="00CF2829">
              <w:rPr>
                <w:rFonts w:ascii="Verdana" w:hAnsi="Verdana" w:cs="Arial"/>
                <w:b/>
                <w:sz w:val="20"/>
              </w:rPr>
              <w:t>000</w:t>
            </w:r>
            <w:r>
              <w:rPr>
                <w:rFonts w:ascii="Verdana" w:hAnsi="Verdana" w:cs="Arial"/>
                <w:b/>
                <w:sz w:val="20"/>
              </w:rPr>
              <w:t xml:space="preserve"> </w:t>
            </w:r>
            <w:proofErr w:type="spellStart"/>
            <w:r>
              <w:rPr>
                <w:rFonts w:ascii="Verdana" w:hAnsi="Verdana" w:cs="Arial"/>
                <w:b/>
                <w:sz w:val="20"/>
              </w:rPr>
              <w:t>000</w:t>
            </w:r>
            <w:proofErr w:type="spellEnd"/>
          </w:p>
        </w:tc>
      </w:tr>
    </w:tbl>
    <w:p w:rsidR="006675AA" w:rsidRDefault="004F03A5" w:rsidP="00093DC7">
      <w:pPr>
        <w:spacing w:before="60" w:line="260" w:lineRule="atLeast"/>
        <w:rPr>
          <w:rFonts w:ascii="Verdana" w:hAnsi="Verdana" w:cs="Arial"/>
          <w:sz w:val="20"/>
        </w:rPr>
      </w:pPr>
      <w:r>
        <w:rPr>
          <w:rFonts w:ascii="Verdana" w:hAnsi="Verdana" w:cs="Arial"/>
          <w:sz w:val="20"/>
        </w:rPr>
        <w:t xml:space="preserve"> </w:t>
      </w:r>
    </w:p>
    <w:p w:rsidR="00093DC7" w:rsidRDefault="00093DC7" w:rsidP="00093DC7">
      <w:pPr>
        <w:spacing w:before="60" w:line="260" w:lineRule="atLeast"/>
        <w:rPr>
          <w:rFonts w:ascii="Verdana" w:hAnsi="Verdana" w:cs="Arial"/>
          <w:sz w:val="20"/>
        </w:rPr>
      </w:pPr>
      <w:r w:rsidRPr="00611ED0">
        <w:rPr>
          <w:rFonts w:ascii="Verdana" w:hAnsi="Verdana" w:cs="Arial"/>
          <w:sz w:val="20"/>
        </w:rPr>
        <w:t xml:space="preserve">Към </w:t>
      </w:r>
      <w:r>
        <w:rPr>
          <w:rFonts w:ascii="Verdana" w:hAnsi="Verdana" w:cs="Arial"/>
          <w:sz w:val="20"/>
          <w:lang w:val="en-US"/>
        </w:rPr>
        <w:t>3</w:t>
      </w:r>
      <w:r>
        <w:rPr>
          <w:rFonts w:ascii="Verdana" w:hAnsi="Verdana" w:cs="Arial"/>
          <w:sz w:val="20"/>
        </w:rPr>
        <w:t>0</w:t>
      </w:r>
      <w:r>
        <w:rPr>
          <w:rFonts w:ascii="Verdana" w:hAnsi="Verdana" w:cs="Arial"/>
          <w:sz w:val="20"/>
          <w:lang w:val="en-US"/>
        </w:rPr>
        <w:t>.</w:t>
      </w:r>
      <w:r>
        <w:rPr>
          <w:rFonts w:ascii="Verdana" w:hAnsi="Verdana" w:cs="Arial"/>
          <w:sz w:val="20"/>
        </w:rPr>
        <w:t>06</w:t>
      </w:r>
      <w:r>
        <w:rPr>
          <w:rFonts w:ascii="Verdana" w:hAnsi="Verdana" w:cs="Arial"/>
          <w:sz w:val="20"/>
          <w:lang w:val="en-US"/>
        </w:rPr>
        <w:t>.201</w:t>
      </w:r>
      <w:r w:rsidR="008C3CC9">
        <w:rPr>
          <w:rFonts w:ascii="Verdana" w:hAnsi="Verdana" w:cs="Arial"/>
          <w:sz w:val="20"/>
        </w:rPr>
        <w:t>9</w:t>
      </w:r>
      <w:r w:rsidR="00AE1DE5">
        <w:rPr>
          <w:rFonts w:ascii="Verdana" w:hAnsi="Verdana" w:cs="Arial"/>
          <w:sz w:val="20"/>
        </w:rPr>
        <w:t xml:space="preserve"> г. Топлофикация – Разград  </w:t>
      </w:r>
      <w:r w:rsidRPr="00611ED0">
        <w:rPr>
          <w:rFonts w:ascii="Verdana" w:hAnsi="Verdana" w:cs="Arial"/>
          <w:sz w:val="20"/>
        </w:rPr>
        <w:t>АД няма участия в дъщерни и асоциирани дружества.</w:t>
      </w:r>
    </w:p>
    <w:p w:rsidR="00093DC7" w:rsidRDefault="00093DC7" w:rsidP="00093DC7">
      <w:pPr>
        <w:spacing w:before="60" w:line="260" w:lineRule="atLeast"/>
        <w:rPr>
          <w:rFonts w:ascii="Verdana" w:hAnsi="Verdana" w:cs="Arial"/>
          <w:sz w:val="20"/>
        </w:rPr>
      </w:pPr>
    </w:p>
    <w:p w:rsidR="00093DC7" w:rsidRDefault="00093DC7" w:rsidP="00093DC7">
      <w:pPr>
        <w:spacing w:before="60" w:line="260" w:lineRule="atLeast"/>
        <w:rPr>
          <w:rFonts w:ascii="Verdana" w:hAnsi="Verdana" w:cs="Arial"/>
          <w:b/>
          <w:sz w:val="20"/>
        </w:rPr>
      </w:pPr>
      <w:r w:rsidRPr="00E96966">
        <w:rPr>
          <w:rFonts w:ascii="Verdana" w:hAnsi="Verdana" w:cs="Arial"/>
          <w:b/>
          <w:sz w:val="20"/>
        </w:rPr>
        <w:t>Капиталова структура</w:t>
      </w:r>
    </w:p>
    <w:p w:rsidR="00093DC7" w:rsidRDefault="00093DC7" w:rsidP="00093DC7">
      <w:pPr>
        <w:spacing w:before="60" w:line="260" w:lineRule="atLeast"/>
        <w:rPr>
          <w:rFonts w:ascii="Verdana" w:hAnsi="Verdana" w:cs="Arial"/>
          <w:sz w:val="20"/>
        </w:rPr>
      </w:pPr>
      <w:r>
        <w:rPr>
          <w:rFonts w:ascii="Verdana" w:hAnsi="Verdana" w:cs="Arial"/>
          <w:sz w:val="20"/>
        </w:rPr>
        <w:t xml:space="preserve">Собствения </w:t>
      </w:r>
      <w:r w:rsidR="008C3CC9">
        <w:rPr>
          <w:rFonts w:ascii="Verdana" w:hAnsi="Verdana" w:cs="Arial"/>
          <w:sz w:val="20"/>
        </w:rPr>
        <w:t>капитал на дружеството е 2 390</w:t>
      </w:r>
      <w:r>
        <w:rPr>
          <w:rFonts w:ascii="Verdana" w:hAnsi="Verdana" w:cs="Arial"/>
          <w:sz w:val="20"/>
        </w:rPr>
        <w:t xml:space="preserve"> хил.лв.</w:t>
      </w:r>
    </w:p>
    <w:p w:rsidR="00093DC7" w:rsidRDefault="00093DC7" w:rsidP="00093DC7">
      <w:pPr>
        <w:spacing w:before="60" w:line="260" w:lineRule="atLeast"/>
        <w:rPr>
          <w:rFonts w:ascii="Verdana" w:hAnsi="Verdana" w:cs="Arial"/>
          <w:sz w:val="20"/>
        </w:rPr>
      </w:pPr>
      <w:r>
        <w:rPr>
          <w:rFonts w:ascii="Verdana" w:hAnsi="Verdana" w:cs="Arial"/>
          <w:sz w:val="20"/>
        </w:rPr>
        <w:t xml:space="preserve">През отчетния период </w:t>
      </w:r>
      <w:r w:rsidR="008C3CC9">
        <w:rPr>
          <w:rFonts w:ascii="Verdana" w:hAnsi="Verdana" w:cs="Arial"/>
          <w:sz w:val="20"/>
        </w:rPr>
        <w:t>са</w:t>
      </w:r>
      <w:r>
        <w:rPr>
          <w:rFonts w:ascii="Verdana" w:hAnsi="Verdana" w:cs="Arial"/>
          <w:sz w:val="20"/>
        </w:rPr>
        <w:t xml:space="preserve"> настъпили изменения в основния капитал на Дружеството с</w:t>
      </w:r>
      <w:r w:rsidR="008C3CC9">
        <w:rPr>
          <w:rFonts w:ascii="Verdana" w:hAnsi="Verdana" w:cs="Arial"/>
          <w:sz w:val="20"/>
        </w:rPr>
        <w:t>прямо предходния отчетен период, както следва:</w:t>
      </w:r>
    </w:p>
    <w:p w:rsidR="00AB2080" w:rsidRDefault="00AB2080" w:rsidP="00093DC7">
      <w:pPr>
        <w:spacing w:before="60" w:line="260" w:lineRule="atLeast"/>
        <w:rPr>
          <w:rFonts w:ascii="Verdana" w:hAnsi="Verdana" w:cs="Arial"/>
          <w:sz w:val="20"/>
        </w:rPr>
      </w:pPr>
      <w:r>
        <w:rPr>
          <w:rFonts w:ascii="Verdana" w:hAnsi="Verdana" w:cs="Arial"/>
          <w:sz w:val="20"/>
        </w:rPr>
        <w:t>С протокол решение на еднолични собственик от 29.01.2019г. бе взето решение за увеличаване на капитала на Дружеството</w:t>
      </w:r>
      <w:r w:rsidR="00AE1DE5">
        <w:rPr>
          <w:rFonts w:ascii="Verdana" w:hAnsi="Verdana" w:cs="Arial"/>
          <w:sz w:val="20"/>
        </w:rPr>
        <w:t xml:space="preserve"> </w:t>
      </w:r>
      <w:r>
        <w:rPr>
          <w:rFonts w:ascii="Verdana" w:hAnsi="Verdana" w:cs="Arial"/>
          <w:sz w:val="20"/>
        </w:rPr>
        <w:t xml:space="preserve"> от 2 099</w:t>
      </w:r>
      <w:r w:rsidR="00AE1DE5">
        <w:rPr>
          <w:rFonts w:ascii="Verdana" w:hAnsi="Verdana" w:cs="Arial"/>
          <w:sz w:val="20"/>
        </w:rPr>
        <w:t> </w:t>
      </w:r>
      <w:r>
        <w:rPr>
          <w:rFonts w:ascii="Verdana" w:hAnsi="Verdana" w:cs="Arial"/>
          <w:sz w:val="20"/>
        </w:rPr>
        <w:t>171</w:t>
      </w:r>
      <w:r w:rsidR="00AE1DE5">
        <w:rPr>
          <w:rFonts w:ascii="Verdana" w:hAnsi="Verdana" w:cs="Arial"/>
          <w:sz w:val="20"/>
        </w:rPr>
        <w:t xml:space="preserve"> на 7 000 000 лева, чрез издаване на нови 4 900 829 поименни налични акции.</w:t>
      </w:r>
      <w:r w:rsidR="00FB5256">
        <w:rPr>
          <w:rFonts w:ascii="Verdana" w:hAnsi="Verdana" w:cs="Arial"/>
          <w:sz w:val="20"/>
        </w:rPr>
        <w:t xml:space="preserve"> Промяната е вписана в Търговския регистър под номер 20190418172132.</w:t>
      </w:r>
    </w:p>
    <w:p w:rsidR="00D6352A" w:rsidRDefault="00AE1DE5" w:rsidP="00D6352A">
      <w:pPr>
        <w:spacing w:before="60" w:line="260" w:lineRule="atLeast"/>
        <w:rPr>
          <w:rFonts w:ascii="Verdana" w:hAnsi="Verdana" w:cs="Arial"/>
          <w:sz w:val="20"/>
        </w:rPr>
      </w:pPr>
      <w:r>
        <w:rPr>
          <w:rFonts w:ascii="Verdana" w:hAnsi="Verdana" w:cs="Arial"/>
          <w:sz w:val="20"/>
        </w:rPr>
        <w:t>Предвид приетото решение</w:t>
      </w:r>
      <w:r w:rsidR="00FC53BF">
        <w:rPr>
          <w:rFonts w:ascii="Verdana" w:hAnsi="Verdana" w:cs="Arial"/>
          <w:sz w:val="20"/>
        </w:rPr>
        <w:t xml:space="preserve"> за увеличаване </w:t>
      </w:r>
      <w:r w:rsidR="00090668">
        <w:rPr>
          <w:rFonts w:ascii="Verdana" w:hAnsi="Verdana" w:cs="Arial"/>
          <w:sz w:val="20"/>
        </w:rPr>
        <w:t xml:space="preserve">капитала </w:t>
      </w:r>
      <w:r w:rsidR="00FC53BF">
        <w:rPr>
          <w:rFonts w:ascii="Verdana" w:hAnsi="Verdana" w:cs="Arial"/>
          <w:sz w:val="20"/>
        </w:rPr>
        <w:t xml:space="preserve">на </w:t>
      </w:r>
      <w:r w:rsidR="00D6352A">
        <w:rPr>
          <w:rFonts w:ascii="Verdana" w:hAnsi="Verdana" w:cs="Arial"/>
          <w:sz w:val="20"/>
        </w:rPr>
        <w:t xml:space="preserve">Дружеството и предвид факта, че „Овергаз </w:t>
      </w:r>
      <w:proofErr w:type="spellStart"/>
      <w:r w:rsidR="00D6352A">
        <w:rPr>
          <w:rFonts w:ascii="Verdana" w:hAnsi="Verdana" w:cs="Arial"/>
          <w:sz w:val="20"/>
        </w:rPr>
        <w:t>Директ</w:t>
      </w:r>
      <w:proofErr w:type="spellEnd"/>
      <w:r w:rsidR="00D6352A">
        <w:rPr>
          <w:rFonts w:ascii="Verdana" w:hAnsi="Verdana" w:cs="Arial"/>
          <w:sz w:val="20"/>
        </w:rPr>
        <w:t>“ АД</w:t>
      </w:r>
      <w:r w:rsidR="00F77DC4">
        <w:rPr>
          <w:rFonts w:ascii="Verdana" w:hAnsi="Verdana" w:cs="Arial"/>
          <w:sz w:val="20"/>
          <w:lang w:val="en-US"/>
        </w:rPr>
        <w:t>,</w:t>
      </w:r>
      <w:r w:rsidR="00F77DC4">
        <w:rPr>
          <w:rFonts w:ascii="Verdana" w:hAnsi="Verdana" w:cs="Arial"/>
          <w:sz w:val="20"/>
        </w:rPr>
        <w:t xml:space="preserve"> </w:t>
      </w:r>
      <w:r w:rsidR="00F77DC4">
        <w:rPr>
          <w:rFonts w:ascii="Verdana" w:hAnsi="Verdana" w:cs="Arial"/>
          <w:sz w:val="20"/>
          <w:lang w:val="en-US"/>
        </w:rPr>
        <w:t>(</w:t>
      </w:r>
      <w:r w:rsidR="00F77DC4">
        <w:rPr>
          <w:rFonts w:ascii="Verdana" w:hAnsi="Verdana" w:cs="Arial"/>
          <w:sz w:val="20"/>
        </w:rPr>
        <w:t xml:space="preserve">което месец Юни 2019г. се преобразува и придобива наименованието „Овергаз </w:t>
      </w:r>
      <w:proofErr w:type="spellStart"/>
      <w:r w:rsidR="00F77DC4">
        <w:rPr>
          <w:rFonts w:ascii="Verdana" w:hAnsi="Verdana" w:cs="Arial"/>
          <w:sz w:val="20"/>
        </w:rPr>
        <w:t>Директ</w:t>
      </w:r>
      <w:proofErr w:type="spellEnd"/>
      <w:r w:rsidR="00F77DC4">
        <w:rPr>
          <w:rFonts w:ascii="Verdana" w:hAnsi="Verdana" w:cs="Arial"/>
          <w:sz w:val="20"/>
        </w:rPr>
        <w:t>“ ООД) за</w:t>
      </w:r>
      <w:r w:rsidR="00D6352A">
        <w:rPr>
          <w:rFonts w:ascii="Verdana" w:hAnsi="Verdana" w:cs="Arial"/>
          <w:sz w:val="20"/>
        </w:rPr>
        <w:t xml:space="preserve">писва една акция от </w:t>
      </w:r>
      <w:r w:rsidR="00D6352A">
        <w:rPr>
          <w:rFonts w:ascii="Verdana" w:hAnsi="Verdana" w:cs="Arial"/>
          <w:sz w:val="20"/>
        </w:rPr>
        <w:lastRenderedPageBreak/>
        <w:t>увеличението на капитала</w:t>
      </w:r>
      <w:r w:rsidR="00F77DC4">
        <w:rPr>
          <w:rFonts w:ascii="Verdana" w:hAnsi="Verdana" w:cs="Arial"/>
          <w:sz w:val="20"/>
        </w:rPr>
        <w:t>, това</w:t>
      </w:r>
      <w:r w:rsidR="00D6352A">
        <w:rPr>
          <w:rFonts w:ascii="Verdana" w:hAnsi="Verdana" w:cs="Arial"/>
          <w:sz w:val="20"/>
        </w:rPr>
        <w:t xml:space="preserve"> променя фирменото наименование на Дружеството, като същото придобива следната редакция, а именно: „Топлофикация – Разград“ АД.</w:t>
      </w:r>
    </w:p>
    <w:p w:rsidR="006675AA" w:rsidRDefault="006675AA" w:rsidP="00D6352A">
      <w:pPr>
        <w:spacing w:before="60" w:line="260" w:lineRule="atLeast"/>
        <w:rPr>
          <w:rFonts w:ascii="Verdana" w:hAnsi="Verdana" w:cs="Arial"/>
          <w:b/>
          <w:sz w:val="20"/>
        </w:rPr>
      </w:pPr>
    </w:p>
    <w:p w:rsidR="00093DC7" w:rsidRPr="00C2255D" w:rsidRDefault="00093DC7" w:rsidP="00D6352A">
      <w:pPr>
        <w:spacing w:before="60" w:line="260" w:lineRule="atLeast"/>
        <w:rPr>
          <w:rFonts w:ascii="Verdana" w:hAnsi="Verdana" w:cs="Arial"/>
          <w:b/>
          <w:sz w:val="20"/>
        </w:rPr>
      </w:pPr>
      <w:r w:rsidRPr="00C2255D">
        <w:rPr>
          <w:rFonts w:ascii="Verdana" w:hAnsi="Verdana" w:cs="Arial"/>
          <w:b/>
          <w:sz w:val="20"/>
        </w:rPr>
        <w:t>Управление</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 xml:space="preserve">Съгласно действащия Търговски закон в България, към </w:t>
      </w:r>
      <w:r w:rsidR="00AE1DE5">
        <w:rPr>
          <w:rFonts w:ascii="Verdana" w:hAnsi="Verdana" w:cs="Arial"/>
          <w:sz w:val="20"/>
        </w:rPr>
        <w:t>30.06.2019</w:t>
      </w:r>
      <w:r w:rsidRPr="00C2255D">
        <w:rPr>
          <w:rFonts w:ascii="Verdana" w:hAnsi="Verdana" w:cs="Arial"/>
          <w:sz w:val="20"/>
        </w:rPr>
        <w:t xml:space="preserve"> г., Топлофикация – Разгра</w:t>
      </w:r>
      <w:r w:rsidR="006E2189">
        <w:rPr>
          <w:rFonts w:ascii="Verdana" w:hAnsi="Verdana" w:cs="Arial"/>
          <w:sz w:val="20"/>
        </w:rPr>
        <w:t xml:space="preserve">д </w:t>
      </w:r>
      <w:r w:rsidRPr="00C2255D">
        <w:rPr>
          <w:rFonts w:ascii="Verdana" w:hAnsi="Verdana" w:cs="Arial"/>
          <w:sz w:val="20"/>
        </w:rPr>
        <w:t>АД е акционерно Дружество с едностепенна система на управление.</w:t>
      </w:r>
    </w:p>
    <w:p w:rsidR="00093DC7" w:rsidRPr="00C2255D" w:rsidRDefault="00093DC7" w:rsidP="00093DC7">
      <w:pPr>
        <w:spacing w:before="120" w:line="260" w:lineRule="atLeast"/>
        <w:rPr>
          <w:rFonts w:ascii="Verdana" w:hAnsi="Verdana" w:cs="Arial"/>
          <w:sz w:val="20"/>
        </w:rPr>
      </w:pPr>
      <w:r w:rsidRPr="00C2255D">
        <w:rPr>
          <w:rFonts w:ascii="Verdana" w:hAnsi="Verdana" w:cs="Arial"/>
          <w:sz w:val="20"/>
        </w:rPr>
        <w:t xml:space="preserve">Към </w:t>
      </w:r>
      <w:r w:rsidR="00D6352A">
        <w:rPr>
          <w:rFonts w:ascii="Verdana" w:hAnsi="Verdana" w:cs="Arial"/>
          <w:sz w:val="20"/>
        </w:rPr>
        <w:t>30.06.2019</w:t>
      </w:r>
      <w:r w:rsidRPr="00C2255D">
        <w:rPr>
          <w:rFonts w:ascii="Verdana" w:hAnsi="Verdana" w:cs="Arial"/>
          <w:sz w:val="20"/>
        </w:rPr>
        <w:t xml:space="preserve"> г., Съветът на директорите се състои от следните членове:</w:t>
      </w:r>
    </w:p>
    <w:p w:rsidR="00093DC7" w:rsidRPr="00C2255D" w:rsidRDefault="00093DC7" w:rsidP="00093DC7">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1. Овергаз Холдинг АД</w:t>
      </w:r>
    </w:p>
    <w:p w:rsidR="00093DC7" w:rsidRPr="00C2255D" w:rsidRDefault="00093DC7" w:rsidP="00093DC7">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2. Пламен Дончев</w:t>
      </w:r>
    </w:p>
    <w:p w:rsidR="00093DC7" w:rsidRPr="00C2255D" w:rsidRDefault="00093DC7" w:rsidP="00093DC7">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3. Петко Милевски</w:t>
      </w:r>
    </w:p>
    <w:p w:rsidR="00093DC7" w:rsidRPr="00C2255D" w:rsidRDefault="00093DC7" w:rsidP="00093DC7">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4. Ивайло Чавдаров</w:t>
      </w:r>
    </w:p>
    <w:p w:rsidR="00093DC7" w:rsidRPr="00C2255D" w:rsidRDefault="00093DC7" w:rsidP="00093DC7">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5. Михаил Ковачев</w:t>
      </w:r>
    </w:p>
    <w:p w:rsidR="00093DC7" w:rsidRPr="00C2255D" w:rsidRDefault="00093DC7" w:rsidP="00093DC7">
      <w:pPr>
        <w:spacing w:before="100" w:line="260" w:lineRule="atLeast"/>
        <w:rPr>
          <w:rFonts w:ascii="Verdana" w:hAnsi="Verdana" w:cs="Arial"/>
          <w:sz w:val="20"/>
        </w:rPr>
      </w:pPr>
      <w:r w:rsidRPr="00C2255D">
        <w:rPr>
          <w:rFonts w:ascii="Verdana" w:hAnsi="Verdana" w:cs="Arial"/>
          <w:sz w:val="20"/>
        </w:rPr>
        <w:t>Изпълнителен Директор на Дружеството е Михаил Николаев Ковачев.</w:t>
      </w:r>
    </w:p>
    <w:p w:rsidR="00093DC7" w:rsidRPr="00640DD7"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640DD7">
        <w:rPr>
          <w:rFonts w:ascii="Verdana" w:hAnsi="Verdana" w:cs="Arial"/>
          <w:b/>
          <w:sz w:val="20"/>
          <w:lang w:val="bg-BG"/>
        </w:rPr>
        <w:t>Човешки ресурси</w:t>
      </w:r>
    </w:p>
    <w:p w:rsidR="00093DC7" w:rsidRPr="00C2255D" w:rsidRDefault="00093DC7" w:rsidP="00093DC7">
      <w:pPr>
        <w:pStyle w:val="BodyText"/>
        <w:spacing w:after="0" w:line="260" w:lineRule="atLeast"/>
        <w:rPr>
          <w:rFonts w:ascii="Verdana" w:hAnsi="Verdana" w:cs="Arial"/>
          <w:bCs w:val="0"/>
          <w:i/>
          <w:iCs/>
          <w:sz w:val="20"/>
          <w:szCs w:val="20"/>
          <w:lang w:val="bg-BG"/>
        </w:rPr>
      </w:pPr>
      <w:r w:rsidRPr="00C2255D">
        <w:rPr>
          <w:rFonts w:ascii="Verdana" w:hAnsi="Verdana" w:cs="Arial"/>
          <w:bCs w:val="0"/>
          <w:i/>
          <w:iCs/>
          <w:sz w:val="20"/>
          <w:szCs w:val="20"/>
          <w:lang w:val="bg-BG"/>
        </w:rPr>
        <w:t>Персонал</w:t>
      </w:r>
    </w:p>
    <w:p w:rsidR="00093DC7" w:rsidRPr="008F353D" w:rsidRDefault="00093DC7" w:rsidP="00093DC7">
      <w:pPr>
        <w:pStyle w:val="BodyText"/>
        <w:spacing w:after="0" w:line="260" w:lineRule="atLeast"/>
        <w:rPr>
          <w:rFonts w:ascii="Verdana" w:hAnsi="Verdana" w:cs="Arial"/>
          <w:bCs w:val="0"/>
          <w:sz w:val="20"/>
          <w:szCs w:val="20"/>
          <w:lang w:eastAsia="en-US"/>
        </w:rPr>
      </w:pPr>
      <w:r w:rsidRPr="00F44799">
        <w:rPr>
          <w:rFonts w:ascii="Verdana" w:hAnsi="Verdana" w:cs="Arial"/>
          <w:bCs w:val="0"/>
          <w:sz w:val="20"/>
          <w:szCs w:val="20"/>
          <w:lang w:val="bg-BG" w:eastAsia="en-US"/>
        </w:rPr>
        <w:t>Персоналът, с който е реализирана дейността на друже</w:t>
      </w:r>
      <w:r w:rsidR="006E2189">
        <w:rPr>
          <w:rFonts w:ascii="Verdana" w:hAnsi="Verdana" w:cs="Arial"/>
          <w:bCs w:val="0"/>
          <w:sz w:val="20"/>
          <w:szCs w:val="20"/>
          <w:lang w:val="bg-BG" w:eastAsia="en-US"/>
        </w:rPr>
        <w:t>ството през отчетния период е 37</w:t>
      </w:r>
      <w:r w:rsidRPr="00F44799">
        <w:rPr>
          <w:rFonts w:ascii="Verdana" w:hAnsi="Verdana" w:cs="Arial"/>
          <w:bCs w:val="0"/>
          <w:sz w:val="20"/>
          <w:szCs w:val="20"/>
          <w:lang w:val="bg-BG" w:eastAsia="en-US"/>
        </w:rPr>
        <w:t xml:space="preserve"> човека, от</w:t>
      </w:r>
      <w:r w:rsidR="002D0B7E">
        <w:rPr>
          <w:rFonts w:ascii="Verdana" w:hAnsi="Verdana" w:cs="Arial"/>
          <w:bCs w:val="0"/>
          <w:sz w:val="20"/>
          <w:szCs w:val="20"/>
          <w:lang w:val="bg-BG" w:eastAsia="en-US"/>
        </w:rPr>
        <w:t xml:space="preserve"> които основните работници са 21 души, представляват 57%, а останалите 43</w:t>
      </w:r>
      <w:r w:rsidRPr="00F44799">
        <w:rPr>
          <w:rFonts w:ascii="Verdana" w:hAnsi="Verdana" w:cs="Arial"/>
          <w:bCs w:val="0"/>
          <w:sz w:val="20"/>
          <w:szCs w:val="20"/>
          <w:lang w:val="bg-BG" w:eastAsia="en-US"/>
        </w:rPr>
        <w:t>% включват спомагателния</w:t>
      </w:r>
      <w:r w:rsidR="002D0B7E">
        <w:rPr>
          <w:rFonts w:ascii="Verdana" w:hAnsi="Verdana" w:cs="Arial"/>
          <w:bCs w:val="0"/>
          <w:sz w:val="20"/>
          <w:szCs w:val="20"/>
          <w:lang w:val="bg-BG" w:eastAsia="en-US"/>
        </w:rPr>
        <w:t xml:space="preserve"> и административен персонал - 16</w:t>
      </w:r>
      <w:r w:rsidRPr="00F44799">
        <w:rPr>
          <w:rFonts w:ascii="Verdana" w:hAnsi="Verdana" w:cs="Arial"/>
          <w:bCs w:val="0"/>
          <w:sz w:val="20"/>
          <w:szCs w:val="20"/>
          <w:lang w:val="bg-BG" w:eastAsia="en-US"/>
        </w:rPr>
        <w:t xml:space="preserve"> човека.</w:t>
      </w:r>
    </w:p>
    <w:p w:rsidR="00093DC7" w:rsidRPr="00FF393B"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F393B">
        <w:rPr>
          <w:rFonts w:ascii="Verdana" w:hAnsi="Verdana" w:cs="Arial"/>
          <w:b/>
          <w:sz w:val="20"/>
          <w:lang w:val="bg-BG"/>
        </w:rPr>
        <w:t>Анализ на продажби и структура на разходите</w:t>
      </w:r>
    </w:p>
    <w:p w:rsidR="00093DC7" w:rsidRPr="00FF393B" w:rsidRDefault="00093DC7" w:rsidP="00093DC7">
      <w:pPr>
        <w:pStyle w:val="BodyTextIndent"/>
        <w:spacing w:before="0" w:line="260" w:lineRule="atLeast"/>
        <w:ind w:left="0"/>
        <w:rPr>
          <w:rFonts w:ascii="Verdana" w:hAnsi="Verdana" w:cs="Arial"/>
          <w:bCs w:val="0"/>
          <w:snapToGrid/>
          <w:sz w:val="20"/>
          <w:szCs w:val="20"/>
          <w:lang w:val="bg-BG" w:eastAsia="en-US"/>
        </w:rPr>
      </w:pPr>
      <w:r w:rsidRPr="00C2255D">
        <w:rPr>
          <w:rFonts w:ascii="Verdana" w:hAnsi="Verdana" w:cs="Arial"/>
          <w:bCs w:val="0"/>
          <w:snapToGrid/>
          <w:sz w:val="20"/>
          <w:szCs w:val="20"/>
          <w:lang w:val="bg-BG" w:eastAsia="en-US"/>
        </w:rPr>
        <w:t>Основният дял от приходите на Дружеството са от продажба на т</w:t>
      </w:r>
      <w:r>
        <w:rPr>
          <w:rFonts w:ascii="Verdana" w:hAnsi="Verdana" w:cs="Arial"/>
          <w:bCs w:val="0"/>
          <w:snapToGrid/>
          <w:sz w:val="20"/>
          <w:szCs w:val="20"/>
          <w:lang w:val="bg-BG" w:eastAsia="en-US"/>
        </w:rPr>
        <w:t>оплинна и електрическа енергия в размер на</w:t>
      </w:r>
      <w:r w:rsidRPr="00C2255D">
        <w:rPr>
          <w:rFonts w:ascii="Verdana" w:hAnsi="Verdana" w:cs="Arial"/>
          <w:bCs w:val="0"/>
          <w:snapToGrid/>
          <w:sz w:val="20"/>
          <w:szCs w:val="20"/>
          <w:lang w:val="bg-BG" w:eastAsia="en-US"/>
        </w:rPr>
        <w:t xml:space="preserve"> </w:t>
      </w:r>
      <w:r w:rsidR="002D0B7E">
        <w:rPr>
          <w:rFonts w:ascii="Verdana" w:hAnsi="Verdana" w:cs="Arial"/>
          <w:bCs w:val="0"/>
          <w:snapToGrid/>
          <w:sz w:val="20"/>
          <w:szCs w:val="20"/>
          <w:lang w:val="bg-BG" w:eastAsia="en-US"/>
        </w:rPr>
        <w:t>3 179</w:t>
      </w:r>
      <w:r w:rsidRPr="00C2255D">
        <w:rPr>
          <w:rFonts w:ascii="Verdana" w:hAnsi="Verdana" w:cs="Arial"/>
          <w:bCs w:val="0"/>
          <w:snapToGrid/>
          <w:sz w:val="20"/>
          <w:szCs w:val="20"/>
          <w:lang w:val="bg-BG" w:eastAsia="en-US"/>
        </w:rPr>
        <w:t xml:space="preserve"> хил.лв. </w:t>
      </w:r>
      <w:r>
        <w:rPr>
          <w:rFonts w:ascii="Verdana" w:hAnsi="Verdana" w:cs="Arial"/>
          <w:bCs w:val="0"/>
          <w:snapToGrid/>
          <w:sz w:val="20"/>
          <w:szCs w:val="20"/>
          <w:lang w:val="bg-BG" w:eastAsia="en-US"/>
        </w:rPr>
        <w:t xml:space="preserve">от общо </w:t>
      </w:r>
      <w:r w:rsidR="002D0B7E">
        <w:rPr>
          <w:rFonts w:ascii="Verdana" w:hAnsi="Verdana" w:cs="Arial"/>
          <w:bCs w:val="0"/>
          <w:snapToGrid/>
          <w:sz w:val="20"/>
          <w:szCs w:val="20"/>
          <w:lang w:val="bg-BG" w:eastAsia="en-US"/>
        </w:rPr>
        <w:t>3 234</w:t>
      </w:r>
      <w:r>
        <w:rPr>
          <w:rFonts w:ascii="Verdana" w:hAnsi="Verdana" w:cs="Arial"/>
          <w:bCs w:val="0"/>
          <w:snapToGrid/>
          <w:sz w:val="20"/>
          <w:szCs w:val="20"/>
          <w:lang w:val="bg-BG" w:eastAsia="en-US"/>
        </w:rPr>
        <w:t xml:space="preserve"> хил.лв.,</w:t>
      </w:r>
      <w:r w:rsidRPr="00C2255D">
        <w:rPr>
          <w:rFonts w:ascii="Verdana" w:hAnsi="Verdana" w:cs="Arial"/>
          <w:bCs w:val="0"/>
          <w:snapToGrid/>
          <w:sz w:val="20"/>
          <w:szCs w:val="20"/>
          <w:lang w:val="bg-BG" w:eastAsia="en-US"/>
        </w:rPr>
        <w:t xml:space="preserve"> </w:t>
      </w:r>
      <w:r>
        <w:rPr>
          <w:rFonts w:ascii="Verdana" w:hAnsi="Verdana" w:cs="Arial"/>
          <w:bCs w:val="0"/>
          <w:snapToGrid/>
          <w:sz w:val="20"/>
          <w:szCs w:val="20"/>
          <w:lang w:val="bg-BG" w:eastAsia="en-US"/>
        </w:rPr>
        <w:t>както следва:</w:t>
      </w:r>
    </w:p>
    <w:p w:rsidR="00093DC7" w:rsidRPr="00C2255D" w:rsidRDefault="00093DC7" w:rsidP="00093DC7">
      <w:pPr>
        <w:pStyle w:val="BodyTextIndent"/>
        <w:numPr>
          <w:ilvl w:val="0"/>
          <w:numId w:val="4"/>
        </w:numPr>
        <w:spacing w:before="0" w:line="260" w:lineRule="atLeast"/>
        <w:rPr>
          <w:rFonts w:ascii="Verdana" w:hAnsi="Verdana" w:cs="Arial"/>
          <w:sz w:val="20"/>
          <w:szCs w:val="20"/>
          <w:lang w:val="bg-BG"/>
        </w:rPr>
      </w:pPr>
      <w:r w:rsidRPr="00C2255D">
        <w:rPr>
          <w:rFonts w:ascii="Verdana" w:hAnsi="Verdana" w:cs="Arial"/>
          <w:sz w:val="20"/>
          <w:szCs w:val="20"/>
          <w:lang w:val="bg-BG"/>
        </w:rPr>
        <w:t>При</w:t>
      </w:r>
      <w:r w:rsidR="002D0B7E">
        <w:rPr>
          <w:rFonts w:ascii="Verdana" w:hAnsi="Verdana" w:cs="Arial"/>
          <w:sz w:val="20"/>
          <w:szCs w:val="20"/>
          <w:lang w:val="bg-BG"/>
        </w:rPr>
        <w:t>ходи от топлинна енергия – 1 274</w:t>
      </w:r>
      <w:r w:rsidRPr="00C2255D">
        <w:rPr>
          <w:rFonts w:ascii="Verdana" w:hAnsi="Verdana" w:cs="Arial"/>
          <w:sz w:val="20"/>
          <w:szCs w:val="20"/>
          <w:lang w:val="bg-BG"/>
        </w:rPr>
        <w:t xml:space="preserve"> хил.лв.;</w:t>
      </w:r>
    </w:p>
    <w:p w:rsidR="00093DC7" w:rsidRPr="00C2255D" w:rsidRDefault="00093DC7" w:rsidP="00093DC7">
      <w:pPr>
        <w:pStyle w:val="BodyTextIndent"/>
        <w:numPr>
          <w:ilvl w:val="0"/>
          <w:numId w:val="4"/>
        </w:numPr>
        <w:spacing w:before="0" w:line="260" w:lineRule="atLeast"/>
        <w:rPr>
          <w:rFonts w:ascii="Verdana" w:hAnsi="Verdana" w:cs="Arial"/>
          <w:sz w:val="20"/>
          <w:szCs w:val="20"/>
          <w:lang w:val="bg-BG"/>
        </w:rPr>
      </w:pPr>
      <w:r w:rsidRPr="00C2255D">
        <w:rPr>
          <w:rFonts w:ascii="Verdana" w:hAnsi="Verdana" w:cs="Arial"/>
          <w:sz w:val="20"/>
          <w:szCs w:val="20"/>
          <w:lang w:val="bg-BG"/>
        </w:rPr>
        <w:t xml:space="preserve">Приходи от електрическа енергия </w:t>
      </w:r>
      <w:r>
        <w:rPr>
          <w:rFonts w:ascii="Verdana" w:hAnsi="Verdana" w:cs="Arial"/>
          <w:sz w:val="20"/>
          <w:szCs w:val="20"/>
          <w:lang w:val="bg-BG"/>
        </w:rPr>
        <w:t>–</w:t>
      </w:r>
      <w:r w:rsidRPr="00C2255D">
        <w:rPr>
          <w:rFonts w:ascii="Verdana" w:hAnsi="Verdana" w:cs="Arial"/>
          <w:sz w:val="20"/>
          <w:szCs w:val="20"/>
          <w:lang w:val="bg-BG"/>
        </w:rPr>
        <w:t xml:space="preserve"> </w:t>
      </w:r>
      <w:r w:rsidR="002D0B7E">
        <w:rPr>
          <w:rFonts w:ascii="Verdana" w:hAnsi="Verdana" w:cs="Arial"/>
          <w:sz w:val="20"/>
          <w:szCs w:val="20"/>
          <w:lang w:val="bg-BG"/>
        </w:rPr>
        <w:t>1 905</w:t>
      </w:r>
      <w:r w:rsidRPr="00C2255D">
        <w:rPr>
          <w:rFonts w:ascii="Verdana" w:hAnsi="Verdana" w:cs="Arial"/>
          <w:sz w:val="20"/>
          <w:szCs w:val="20"/>
          <w:lang w:val="bg-BG"/>
        </w:rPr>
        <w:t xml:space="preserve"> хил.лв. </w:t>
      </w:r>
    </w:p>
    <w:p w:rsidR="00093DC7" w:rsidRDefault="00093DC7" w:rsidP="00093DC7">
      <w:pPr>
        <w:pStyle w:val="BodyTextIndent"/>
        <w:spacing w:before="0" w:line="260" w:lineRule="atLeast"/>
        <w:ind w:left="0"/>
        <w:rPr>
          <w:rFonts w:ascii="Verdana" w:hAnsi="Verdana" w:cs="Arial"/>
          <w:sz w:val="20"/>
          <w:szCs w:val="20"/>
          <w:lang w:val="bg-BG"/>
        </w:rPr>
      </w:pPr>
      <w:r w:rsidRPr="00C2255D">
        <w:rPr>
          <w:rFonts w:ascii="Verdana" w:hAnsi="Verdana" w:cs="Arial"/>
          <w:sz w:val="20"/>
          <w:szCs w:val="20"/>
          <w:lang w:val="bg-BG"/>
        </w:rPr>
        <w:t>Допълнително дружеството отчита</w:t>
      </w:r>
      <w:r>
        <w:rPr>
          <w:rFonts w:ascii="Verdana" w:hAnsi="Verdana" w:cs="Arial"/>
          <w:sz w:val="20"/>
          <w:szCs w:val="20"/>
          <w:lang w:val="bg-BG"/>
        </w:rPr>
        <w:t xml:space="preserve"> </w:t>
      </w:r>
      <w:r w:rsidR="002D0B7E">
        <w:rPr>
          <w:rFonts w:ascii="Verdana" w:hAnsi="Verdana" w:cs="Arial"/>
          <w:sz w:val="20"/>
          <w:szCs w:val="20"/>
          <w:lang w:val="bg-BG"/>
        </w:rPr>
        <w:t>приходи от услуги в размер на 55</w:t>
      </w:r>
      <w:r>
        <w:rPr>
          <w:rFonts w:ascii="Verdana" w:hAnsi="Verdana" w:cs="Arial"/>
          <w:sz w:val="20"/>
          <w:szCs w:val="20"/>
          <w:lang w:val="bg-BG"/>
        </w:rPr>
        <w:t xml:space="preserve"> хил.л</w:t>
      </w:r>
      <w:r w:rsidR="002D0B7E">
        <w:rPr>
          <w:rFonts w:ascii="Verdana" w:hAnsi="Verdana" w:cs="Arial"/>
          <w:sz w:val="20"/>
          <w:szCs w:val="20"/>
          <w:lang w:val="bg-BG"/>
        </w:rPr>
        <w:t>в. и други приходи в размер на 1</w:t>
      </w:r>
      <w:r>
        <w:rPr>
          <w:rFonts w:ascii="Verdana" w:hAnsi="Verdana" w:cs="Arial"/>
          <w:sz w:val="20"/>
          <w:szCs w:val="20"/>
          <w:lang w:val="bg-BG"/>
        </w:rPr>
        <w:t>3 хил.лв</w:t>
      </w:r>
      <w:r w:rsidRPr="00C2255D">
        <w:rPr>
          <w:rFonts w:ascii="Verdana" w:hAnsi="Verdana" w:cs="Arial"/>
          <w:sz w:val="20"/>
          <w:szCs w:val="20"/>
          <w:lang w:val="bg-BG"/>
        </w:rPr>
        <w:t xml:space="preserve">. </w:t>
      </w:r>
    </w:p>
    <w:p w:rsidR="00093DC7" w:rsidRPr="00C2255D" w:rsidRDefault="00093DC7" w:rsidP="00093DC7">
      <w:pPr>
        <w:pStyle w:val="BodyTextIndent"/>
        <w:spacing w:before="0" w:line="260" w:lineRule="atLeast"/>
        <w:ind w:left="0"/>
        <w:rPr>
          <w:rFonts w:ascii="Verdana" w:hAnsi="Verdana" w:cs="Arial"/>
          <w:bCs w:val="0"/>
          <w:snapToGrid/>
          <w:sz w:val="20"/>
          <w:szCs w:val="20"/>
          <w:lang w:val="bg-BG" w:eastAsia="en-US"/>
        </w:rPr>
      </w:pPr>
      <w:r w:rsidRPr="00C2255D">
        <w:rPr>
          <w:rFonts w:ascii="Verdana" w:hAnsi="Verdana" w:cs="Arial"/>
          <w:bCs w:val="0"/>
          <w:snapToGrid/>
          <w:sz w:val="20"/>
          <w:szCs w:val="20"/>
          <w:lang w:val="bg-BG" w:eastAsia="en-US"/>
        </w:rPr>
        <w:t xml:space="preserve">Разходите за основна дейност са в размер на  </w:t>
      </w:r>
      <w:r w:rsidR="00CD50FC">
        <w:rPr>
          <w:rFonts w:ascii="Verdana" w:hAnsi="Verdana" w:cs="Arial"/>
          <w:bCs w:val="0"/>
          <w:snapToGrid/>
          <w:sz w:val="20"/>
          <w:szCs w:val="20"/>
          <w:lang w:val="bg-BG" w:eastAsia="en-US"/>
        </w:rPr>
        <w:t>3 427</w:t>
      </w:r>
      <w:r>
        <w:rPr>
          <w:rFonts w:ascii="Verdana" w:hAnsi="Verdana" w:cs="Arial"/>
          <w:bCs w:val="0"/>
          <w:snapToGrid/>
          <w:sz w:val="20"/>
          <w:szCs w:val="20"/>
          <w:lang w:val="bg-BG" w:eastAsia="en-US"/>
        </w:rPr>
        <w:t xml:space="preserve"> хил.лв</w:t>
      </w:r>
      <w:r w:rsidRPr="00C2255D">
        <w:rPr>
          <w:rFonts w:ascii="Verdana" w:hAnsi="Verdana" w:cs="Arial"/>
          <w:bCs w:val="0"/>
          <w:snapToGrid/>
          <w:sz w:val="20"/>
          <w:szCs w:val="20"/>
          <w:lang w:val="bg-BG" w:eastAsia="en-US"/>
        </w:rPr>
        <w:t xml:space="preserve">. С най-голям относителен дял </w:t>
      </w:r>
      <w:r>
        <w:rPr>
          <w:rFonts w:ascii="Verdana" w:hAnsi="Verdana" w:cs="Arial"/>
          <w:bCs w:val="0"/>
          <w:snapToGrid/>
          <w:sz w:val="20"/>
          <w:szCs w:val="20"/>
          <w:lang w:val="bg-BG" w:eastAsia="en-US"/>
        </w:rPr>
        <w:t xml:space="preserve">са разходите за материали  </w:t>
      </w:r>
      <w:r w:rsidR="00CD50FC">
        <w:rPr>
          <w:rFonts w:ascii="Verdana" w:hAnsi="Verdana" w:cs="Arial"/>
          <w:bCs w:val="0"/>
          <w:snapToGrid/>
          <w:sz w:val="20"/>
          <w:szCs w:val="20"/>
          <w:lang w:val="bg-BG" w:eastAsia="en-US"/>
        </w:rPr>
        <w:t>2 497</w:t>
      </w:r>
      <w:r w:rsidRPr="00C2255D">
        <w:rPr>
          <w:rFonts w:ascii="Verdana" w:hAnsi="Verdana" w:cs="Arial"/>
          <w:bCs w:val="0"/>
          <w:snapToGrid/>
          <w:sz w:val="20"/>
          <w:szCs w:val="20"/>
          <w:lang w:val="bg-BG" w:eastAsia="en-US"/>
        </w:rPr>
        <w:t xml:space="preserve"> хил.лв., от които </w:t>
      </w:r>
      <w:r w:rsidR="002F1B0D">
        <w:rPr>
          <w:rFonts w:ascii="Verdana" w:hAnsi="Verdana" w:cs="Arial"/>
          <w:bCs w:val="0"/>
          <w:snapToGrid/>
          <w:sz w:val="20"/>
          <w:szCs w:val="20"/>
          <w:lang w:val="bg-BG" w:eastAsia="en-US"/>
        </w:rPr>
        <w:t>2 375</w:t>
      </w:r>
      <w:r w:rsidRPr="00C2255D">
        <w:rPr>
          <w:rFonts w:ascii="Verdana" w:hAnsi="Verdana" w:cs="Arial"/>
          <w:bCs w:val="0"/>
          <w:snapToGrid/>
          <w:sz w:val="20"/>
          <w:szCs w:val="20"/>
          <w:lang w:val="bg-BG" w:eastAsia="en-US"/>
        </w:rPr>
        <w:t xml:space="preserve"> хил.</w:t>
      </w:r>
      <w:proofErr w:type="spellStart"/>
      <w:r w:rsidRPr="00C2255D">
        <w:rPr>
          <w:rFonts w:ascii="Verdana" w:hAnsi="Verdana" w:cs="Arial"/>
          <w:bCs w:val="0"/>
          <w:snapToGrid/>
          <w:sz w:val="20"/>
          <w:szCs w:val="20"/>
          <w:lang w:val="bg-BG" w:eastAsia="en-US"/>
        </w:rPr>
        <w:t>лв</w:t>
      </w:r>
      <w:proofErr w:type="spellEnd"/>
      <w:r w:rsidRPr="00C2255D">
        <w:rPr>
          <w:rFonts w:ascii="Verdana" w:hAnsi="Verdana" w:cs="Arial"/>
          <w:bCs w:val="0"/>
          <w:snapToGrid/>
          <w:sz w:val="20"/>
          <w:szCs w:val="20"/>
          <w:lang w:val="bg-BG" w:eastAsia="en-US"/>
        </w:rPr>
        <w:t xml:space="preserve"> за природен газ, следвани от </w:t>
      </w:r>
      <w:r>
        <w:rPr>
          <w:rFonts w:ascii="Verdana" w:hAnsi="Verdana" w:cs="Arial"/>
          <w:bCs w:val="0"/>
          <w:snapToGrid/>
          <w:sz w:val="20"/>
          <w:szCs w:val="20"/>
          <w:lang w:val="bg-BG" w:eastAsia="en-US"/>
        </w:rPr>
        <w:t>ра</w:t>
      </w:r>
      <w:r w:rsidR="00CD50FC">
        <w:rPr>
          <w:rFonts w:ascii="Verdana" w:hAnsi="Verdana" w:cs="Arial"/>
          <w:bCs w:val="0"/>
          <w:snapToGrid/>
          <w:sz w:val="20"/>
          <w:szCs w:val="20"/>
          <w:lang w:val="bg-BG" w:eastAsia="en-US"/>
        </w:rPr>
        <w:t>зходите  за възнаграждения – 238</w:t>
      </w:r>
      <w:r>
        <w:rPr>
          <w:rFonts w:ascii="Verdana" w:hAnsi="Verdana" w:cs="Arial"/>
          <w:bCs w:val="0"/>
          <w:snapToGrid/>
          <w:sz w:val="20"/>
          <w:szCs w:val="20"/>
          <w:lang w:val="bg-BG" w:eastAsia="en-US"/>
        </w:rPr>
        <w:t xml:space="preserve"> хил.лв. </w:t>
      </w:r>
    </w:p>
    <w:p w:rsidR="00093DC7" w:rsidRPr="00C2255D" w:rsidRDefault="00093DC7" w:rsidP="00093DC7">
      <w:pPr>
        <w:pStyle w:val="BodyTextIndent"/>
        <w:numPr>
          <w:ilvl w:val="0"/>
          <w:numId w:val="3"/>
        </w:numPr>
        <w:spacing w:before="0" w:line="260" w:lineRule="atLeast"/>
        <w:rPr>
          <w:rFonts w:ascii="Verdana" w:hAnsi="Verdana" w:cs="Arial"/>
          <w:sz w:val="20"/>
          <w:szCs w:val="20"/>
          <w:lang w:val="bg-BG"/>
        </w:rPr>
      </w:pPr>
      <w:r w:rsidRPr="00C2255D">
        <w:rPr>
          <w:rFonts w:ascii="Verdana" w:hAnsi="Verdana" w:cs="Arial"/>
          <w:sz w:val="20"/>
          <w:szCs w:val="20"/>
          <w:lang w:val="bg-BG"/>
        </w:rPr>
        <w:t xml:space="preserve">Разходи за материали –  </w:t>
      </w:r>
      <w:r w:rsidR="00CD50FC">
        <w:rPr>
          <w:rFonts w:ascii="Verdana" w:hAnsi="Verdana" w:cs="Arial"/>
          <w:sz w:val="20"/>
          <w:szCs w:val="20"/>
          <w:lang w:val="bg-BG"/>
        </w:rPr>
        <w:t>2 497</w:t>
      </w:r>
      <w:r w:rsidRPr="00C2255D">
        <w:rPr>
          <w:rFonts w:ascii="Verdana" w:hAnsi="Verdana" w:cs="Arial"/>
          <w:sz w:val="20"/>
          <w:szCs w:val="20"/>
          <w:lang w:val="bg-BG"/>
        </w:rPr>
        <w:t xml:space="preserve"> хил.лв.; </w:t>
      </w:r>
    </w:p>
    <w:p w:rsidR="00093DC7" w:rsidRPr="00C2255D" w:rsidRDefault="00CD50FC" w:rsidP="00093DC7">
      <w:pPr>
        <w:pStyle w:val="BodyTextIndent"/>
        <w:numPr>
          <w:ilvl w:val="0"/>
          <w:numId w:val="3"/>
        </w:numPr>
        <w:spacing w:before="0" w:line="260" w:lineRule="atLeast"/>
        <w:rPr>
          <w:rFonts w:ascii="Verdana" w:hAnsi="Verdana" w:cs="Arial"/>
          <w:sz w:val="20"/>
          <w:szCs w:val="20"/>
          <w:lang w:val="bg-BG"/>
        </w:rPr>
      </w:pPr>
      <w:r>
        <w:rPr>
          <w:rFonts w:ascii="Verdana" w:hAnsi="Verdana" w:cs="Arial"/>
          <w:sz w:val="20"/>
          <w:szCs w:val="20"/>
          <w:lang w:val="bg-BG"/>
        </w:rPr>
        <w:t>Разходи за външни услуги – 152</w:t>
      </w:r>
      <w:r w:rsidR="00093DC7" w:rsidRPr="00C2255D">
        <w:rPr>
          <w:rFonts w:ascii="Verdana" w:hAnsi="Verdana" w:cs="Arial"/>
          <w:sz w:val="20"/>
          <w:szCs w:val="20"/>
          <w:lang w:val="bg-BG"/>
        </w:rPr>
        <w:t xml:space="preserve"> хил.лв.;</w:t>
      </w:r>
    </w:p>
    <w:p w:rsidR="00093DC7" w:rsidRPr="00C2255D" w:rsidRDefault="00CD50FC" w:rsidP="00093DC7">
      <w:pPr>
        <w:pStyle w:val="BodyTextIndent"/>
        <w:numPr>
          <w:ilvl w:val="0"/>
          <w:numId w:val="3"/>
        </w:numPr>
        <w:spacing w:before="0" w:line="260" w:lineRule="atLeast"/>
        <w:rPr>
          <w:rFonts w:ascii="Verdana" w:hAnsi="Verdana" w:cs="Arial"/>
          <w:sz w:val="20"/>
          <w:szCs w:val="20"/>
          <w:lang w:val="bg-BG"/>
        </w:rPr>
      </w:pPr>
      <w:r>
        <w:rPr>
          <w:rFonts w:ascii="Verdana" w:hAnsi="Verdana" w:cs="Arial"/>
          <w:sz w:val="20"/>
          <w:szCs w:val="20"/>
          <w:lang w:val="bg-BG"/>
        </w:rPr>
        <w:t>Разходи за амортизации – 164</w:t>
      </w:r>
      <w:r w:rsidR="00093DC7" w:rsidRPr="00C2255D">
        <w:rPr>
          <w:rFonts w:ascii="Verdana" w:hAnsi="Verdana" w:cs="Arial"/>
          <w:sz w:val="20"/>
          <w:szCs w:val="20"/>
          <w:lang w:val="bg-BG"/>
        </w:rPr>
        <w:t xml:space="preserve"> хил.лв.;</w:t>
      </w:r>
      <w:r w:rsidR="00E92DA1">
        <w:rPr>
          <w:rFonts w:ascii="Verdana" w:hAnsi="Verdana" w:cs="Arial"/>
          <w:sz w:val="20"/>
          <w:szCs w:val="20"/>
          <w:lang w:val="bg-BG"/>
        </w:rPr>
        <w:t xml:space="preserve">  </w:t>
      </w:r>
    </w:p>
    <w:p w:rsidR="00093DC7" w:rsidRPr="00C2255D" w:rsidRDefault="00CD50FC" w:rsidP="00093DC7">
      <w:pPr>
        <w:pStyle w:val="BodyTextIndent"/>
        <w:numPr>
          <w:ilvl w:val="0"/>
          <w:numId w:val="3"/>
        </w:numPr>
        <w:spacing w:before="0" w:line="260" w:lineRule="atLeast"/>
        <w:rPr>
          <w:rFonts w:ascii="Verdana" w:hAnsi="Verdana" w:cs="Arial"/>
          <w:sz w:val="20"/>
          <w:szCs w:val="20"/>
          <w:lang w:val="bg-BG"/>
        </w:rPr>
      </w:pPr>
      <w:r>
        <w:rPr>
          <w:rFonts w:ascii="Verdana" w:hAnsi="Verdana" w:cs="Arial"/>
          <w:sz w:val="20"/>
          <w:szCs w:val="20"/>
          <w:lang w:val="bg-BG"/>
        </w:rPr>
        <w:t>Разходи за възнаграждения – 238</w:t>
      </w:r>
      <w:r w:rsidR="00093DC7" w:rsidRPr="00C2255D">
        <w:rPr>
          <w:rFonts w:ascii="Verdana" w:hAnsi="Verdana" w:cs="Arial"/>
          <w:sz w:val="20"/>
          <w:szCs w:val="20"/>
          <w:lang w:val="bg-BG"/>
        </w:rPr>
        <w:t xml:space="preserve"> хил.лв.;</w:t>
      </w:r>
    </w:p>
    <w:p w:rsidR="00093DC7" w:rsidRPr="00C2255D" w:rsidRDefault="00CD50FC" w:rsidP="00093DC7">
      <w:pPr>
        <w:pStyle w:val="BodyTextIndent"/>
        <w:numPr>
          <w:ilvl w:val="0"/>
          <w:numId w:val="3"/>
        </w:numPr>
        <w:spacing w:before="0" w:line="260" w:lineRule="atLeast"/>
        <w:rPr>
          <w:rFonts w:ascii="Verdana" w:hAnsi="Verdana" w:cs="Arial"/>
          <w:sz w:val="20"/>
          <w:szCs w:val="20"/>
          <w:lang w:val="bg-BG"/>
        </w:rPr>
      </w:pPr>
      <w:r>
        <w:rPr>
          <w:rFonts w:ascii="Verdana" w:hAnsi="Verdana" w:cs="Arial"/>
          <w:sz w:val="20"/>
          <w:szCs w:val="20"/>
          <w:lang w:val="bg-BG"/>
        </w:rPr>
        <w:t>Разходи за осигуровки – 46</w:t>
      </w:r>
      <w:r w:rsidR="00093DC7" w:rsidRPr="00C2255D">
        <w:rPr>
          <w:rFonts w:ascii="Verdana" w:hAnsi="Verdana" w:cs="Arial"/>
          <w:sz w:val="20"/>
          <w:szCs w:val="20"/>
          <w:lang w:val="bg-BG"/>
        </w:rPr>
        <w:t xml:space="preserve"> хил.лв.;</w:t>
      </w:r>
    </w:p>
    <w:p w:rsidR="00093DC7" w:rsidRPr="002E1389" w:rsidRDefault="00CD50FC" w:rsidP="002E1389">
      <w:pPr>
        <w:pStyle w:val="BodyTextIndent"/>
        <w:numPr>
          <w:ilvl w:val="0"/>
          <w:numId w:val="3"/>
        </w:numPr>
        <w:spacing w:before="0" w:line="260" w:lineRule="atLeast"/>
        <w:rPr>
          <w:rFonts w:ascii="Verdana" w:hAnsi="Verdana" w:cs="Arial"/>
          <w:sz w:val="20"/>
          <w:szCs w:val="20"/>
          <w:lang w:val="bg-BG"/>
        </w:rPr>
      </w:pPr>
      <w:r>
        <w:rPr>
          <w:rFonts w:ascii="Verdana" w:hAnsi="Verdana" w:cs="Arial"/>
          <w:sz w:val="20"/>
          <w:szCs w:val="20"/>
          <w:lang w:val="bg-BG"/>
        </w:rPr>
        <w:t>Други разходи – 330</w:t>
      </w:r>
      <w:r w:rsidR="00093DC7" w:rsidRPr="00C2255D">
        <w:rPr>
          <w:rFonts w:ascii="Verdana" w:hAnsi="Verdana" w:cs="Arial"/>
          <w:sz w:val="20"/>
          <w:szCs w:val="20"/>
          <w:lang w:val="bg-BG"/>
        </w:rPr>
        <w:t xml:space="preserve"> хил.лв.</w:t>
      </w:r>
      <w:r w:rsidR="00093DC7">
        <w:rPr>
          <w:rFonts w:ascii="Verdana" w:hAnsi="Verdana" w:cs="Arial"/>
          <w:sz w:val="20"/>
          <w:szCs w:val="20"/>
          <w:lang w:val="bg-BG"/>
        </w:rPr>
        <w:t xml:space="preserve">, основна част от които са формирани от разходите за неустойки за </w:t>
      </w:r>
      <w:r>
        <w:rPr>
          <w:rFonts w:ascii="Verdana" w:hAnsi="Verdana" w:cs="Arial"/>
          <w:sz w:val="20"/>
          <w:szCs w:val="20"/>
          <w:lang w:val="bg-BG"/>
        </w:rPr>
        <w:t>забавено плащане в размер на 124</w:t>
      </w:r>
      <w:r w:rsidR="00093DC7">
        <w:rPr>
          <w:rFonts w:ascii="Verdana" w:hAnsi="Verdana" w:cs="Arial"/>
          <w:sz w:val="20"/>
          <w:szCs w:val="20"/>
          <w:lang w:val="bg-BG"/>
        </w:rPr>
        <w:t xml:space="preserve"> хил. лв., разходи към фонд СЕС представляващи 5% от приходите от продаж</w:t>
      </w:r>
      <w:r>
        <w:rPr>
          <w:rFonts w:ascii="Verdana" w:hAnsi="Verdana" w:cs="Arial"/>
          <w:sz w:val="20"/>
          <w:szCs w:val="20"/>
          <w:lang w:val="bg-BG"/>
        </w:rPr>
        <w:t>ба на ел. енергия в размер на 89</w:t>
      </w:r>
      <w:r w:rsidR="00093DC7">
        <w:rPr>
          <w:rFonts w:ascii="Verdana" w:hAnsi="Verdana" w:cs="Arial"/>
          <w:sz w:val="20"/>
          <w:szCs w:val="20"/>
          <w:lang w:val="bg-BG"/>
        </w:rPr>
        <w:t xml:space="preserve"> хил. лв. и  </w:t>
      </w:r>
      <w:r>
        <w:rPr>
          <w:rFonts w:ascii="Verdana" w:hAnsi="Verdana" w:cs="Arial"/>
          <w:sz w:val="20"/>
          <w:szCs w:val="20"/>
          <w:lang w:val="bg-BG"/>
        </w:rPr>
        <w:t xml:space="preserve">разходи </w:t>
      </w:r>
      <w:r w:rsidR="002F1B0D">
        <w:rPr>
          <w:rFonts w:ascii="Verdana" w:hAnsi="Verdana" w:cs="Arial"/>
          <w:sz w:val="20"/>
          <w:szCs w:val="20"/>
          <w:lang w:val="bg-BG"/>
        </w:rPr>
        <w:t>за преобразуване в данъчната декларация в размер на 53</w:t>
      </w:r>
      <w:r w:rsidR="00093DC7">
        <w:rPr>
          <w:rFonts w:ascii="Verdana" w:hAnsi="Verdana" w:cs="Arial"/>
          <w:sz w:val="20"/>
          <w:szCs w:val="20"/>
          <w:lang w:val="bg-BG"/>
        </w:rPr>
        <w:t xml:space="preserve"> хил. лв.  </w:t>
      </w:r>
    </w:p>
    <w:p w:rsidR="00093DC7" w:rsidRPr="00FF393B"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F393B">
        <w:rPr>
          <w:rFonts w:ascii="Verdana" w:hAnsi="Verdana" w:cs="Arial"/>
          <w:b/>
          <w:sz w:val="20"/>
          <w:lang w:val="bg-BG"/>
        </w:rPr>
        <w:t>Производствен процес</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Производственият процес на Дружеството се характеризира с производство на топлинна и електрическа енергия чрез газов бутален двигател с генератор и производство на топлинна енергия с водогрейни котли.</w:t>
      </w:r>
    </w:p>
    <w:p w:rsidR="00093DC7" w:rsidRPr="00C2255D" w:rsidRDefault="00093DC7" w:rsidP="00093DC7">
      <w:pPr>
        <w:pStyle w:val="List"/>
        <w:spacing w:line="260" w:lineRule="atLeast"/>
        <w:ind w:left="0" w:firstLine="0"/>
        <w:jc w:val="both"/>
        <w:rPr>
          <w:rFonts w:ascii="Verdana" w:hAnsi="Verdana" w:cs="Arial"/>
          <w:i/>
          <w:iCs/>
          <w:szCs w:val="20"/>
          <w:lang w:val="bg-BG"/>
        </w:rPr>
      </w:pPr>
    </w:p>
    <w:p w:rsidR="00093DC7" w:rsidRPr="00FF393B"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F393B">
        <w:rPr>
          <w:rFonts w:ascii="Verdana" w:hAnsi="Verdana" w:cs="Arial"/>
          <w:b/>
          <w:sz w:val="20"/>
          <w:lang w:val="bg-BG"/>
        </w:rPr>
        <w:t xml:space="preserve">Инвестиционни проекти </w:t>
      </w:r>
    </w:p>
    <w:p w:rsidR="00093DC7" w:rsidRPr="00C2255D" w:rsidRDefault="00093DC7" w:rsidP="00093DC7">
      <w:pPr>
        <w:pStyle w:val="List"/>
        <w:spacing w:line="260" w:lineRule="atLeast"/>
        <w:ind w:left="0" w:firstLine="0"/>
        <w:jc w:val="both"/>
        <w:rPr>
          <w:rFonts w:ascii="Verdana" w:hAnsi="Verdana" w:cs="Arial"/>
          <w:bCs w:val="0"/>
          <w:szCs w:val="20"/>
          <w:lang w:val="bg-BG"/>
        </w:rPr>
      </w:pPr>
      <w:r w:rsidRPr="00C2255D">
        <w:rPr>
          <w:rFonts w:ascii="Verdana" w:hAnsi="Verdana" w:cs="Arial"/>
          <w:bCs w:val="0"/>
          <w:szCs w:val="20"/>
          <w:lang w:val="bg-BG"/>
        </w:rPr>
        <w:t>Дружеството разполага с дълготрайни материални активи от следните групи</w:t>
      </w:r>
      <w:r>
        <w:rPr>
          <w:rFonts w:ascii="Verdana" w:hAnsi="Verdana" w:cs="Arial"/>
          <w:bCs w:val="0"/>
          <w:szCs w:val="20"/>
          <w:lang w:val="bg-BG"/>
        </w:rPr>
        <w:t xml:space="preserve"> (с балансова стойност)</w:t>
      </w:r>
      <w:r w:rsidRPr="00C2255D">
        <w:rPr>
          <w:rFonts w:ascii="Verdana" w:hAnsi="Verdana" w:cs="Arial"/>
          <w:bCs w:val="0"/>
          <w:szCs w:val="20"/>
          <w:lang w:val="bg-BG"/>
        </w:rPr>
        <w:t>:</w:t>
      </w:r>
    </w:p>
    <w:p w:rsidR="00093DC7" w:rsidRPr="00C2255D" w:rsidRDefault="00093DC7" w:rsidP="00093DC7">
      <w:pPr>
        <w:pStyle w:val="List"/>
        <w:numPr>
          <w:ilvl w:val="0"/>
          <w:numId w:val="5"/>
        </w:numPr>
        <w:spacing w:line="260" w:lineRule="atLeast"/>
        <w:jc w:val="both"/>
        <w:rPr>
          <w:rFonts w:ascii="Verdana" w:hAnsi="Verdana" w:cs="Arial"/>
          <w:bCs w:val="0"/>
          <w:szCs w:val="20"/>
          <w:lang w:val="bg-BG"/>
        </w:rPr>
      </w:pPr>
      <w:r w:rsidRPr="00C2255D">
        <w:rPr>
          <w:rFonts w:ascii="Verdana" w:hAnsi="Verdana" w:cs="Arial"/>
          <w:bCs w:val="0"/>
          <w:szCs w:val="20"/>
          <w:lang w:val="bg-BG"/>
        </w:rPr>
        <w:t>Земи – 62 хил.лв.;</w:t>
      </w:r>
    </w:p>
    <w:p w:rsidR="00093DC7" w:rsidRPr="00C2255D" w:rsidRDefault="0030100B" w:rsidP="00093DC7">
      <w:pPr>
        <w:pStyle w:val="List"/>
        <w:numPr>
          <w:ilvl w:val="0"/>
          <w:numId w:val="5"/>
        </w:numPr>
        <w:spacing w:line="260" w:lineRule="atLeast"/>
        <w:jc w:val="both"/>
        <w:rPr>
          <w:rFonts w:ascii="Verdana" w:hAnsi="Verdana" w:cs="Arial"/>
          <w:bCs w:val="0"/>
          <w:szCs w:val="20"/>
          <w:lang w:val="bg-BG"/>
        </w:rPr>
      </w:pPr>
      <w:r>
        <w:rPr>
          <w:rFonts w:ascii="Verdana" w:hAnsi="Verdana" w:cs="Arial"/>
          <w:bCs w:val="0"/>
          <w:szCs w:val="20"/>
          <w:lang w:val="bg-BG"/>
        </w:rPr>
        <w:t>Сгради – 129</w:t>
      </w:r>
      <w:r w:rsidR="00093DC7" w:rsidRPr="00C2255D">
        <w:rPr>
          <w:rFonts w:ascii="Verdana" w:hAnsi="Verdana" w:cs="Arial"/>
          <w:bCs w:val="0"/>
          <w:szCs w:val="20"/>
          <w:lang w:val="bg-BG"/>
        </w:rPr>
        <w:t xml:space="preserve"> хил.лв.;</w:t>
      </w:r>
    </w:p>
    <w:p w:rsidR="00093DC7" w:rsidRPr="00C2255D" w:rsidRDefault="0030100B" w:rsidP="00093DC7">
      <w:pPr>
        <w:pStyle w:val="List"/>
        <w:numPr>
          <w:ilvl w:val="0"/>
          <w:numId w:val="5"/>
        </w:numPr>
        <w:spacing w:line="260" w:lineRule="atLeast"/>
        <w:jc w:val="both"/>
        <w:rPr>
          <w:rFonts w:ascii="Verdana" w:hAnsi="Verdana" w:cs="Arial"/>
          <w:bCs w:val="0"/>
          <w:szCs w:val="20"/>
          <w:lang w:val="bg-BG"/>
        </w:rPr>
      </w:pPr>
      <w:r>
        <w:rPr>
          <w:rFonts w:ascii="Verdana" w:hAnsi="Verdana" w:cs="Arial"/>
          <w:bCs w:val="0"/>
          <w:szCs w:val="20"/>
          <w:lang w:val="bg-BG"/>
        </w:rPr>
        <w:t>Машини и оборудване – 1 324</w:t>
      </w:r>
      <w:r w:rsidR="00093DC7" w:rsidRPr="00C2255D">
        <w:rPr>
          <w:rFonts w:ascii="Verdana" w:hAnsi="Verdana" w:cs="Arial"/>
          <w:bCs w:val="0"/>
          <w:szCs w:val="20"/>
          <w:lang w:val="bg-BG"/>
        </w:rPr>
        <w:t xml:space="preserve"> хил.лв.;</w:t>
      </w:r>
    </w:p>
    <w:p w:rsidR="00093DC7" w:rsidRPr="00C2255D" w:rsidRDefault="00093DC7" w:rsidP="00093DC7">
      <w:pPr>
        <w:pStyle w:val="List"/>
        <w:numPr>
          <w:ilvl w:val="0"/>
          <w:numId w:val="5"/>
        </w:numPr>
        <w:spacing w:line="260" w:lineRule="atLeast"/>
        <w:jc w:val="both"/>
        <w:rPr>
          <w:rFonts w:ascii="Verdana" w:hAnsi="Verdana" w:cs="Arial"/>
          <w:bCs w:val="0"/>
          <w:szCs w:val="20"/>
          <w:lang w:val="bg-BG"/>
        </w:rPr>
      </w:pPr>
      <w:r>
        <w:rPr>
          <w:rFonts w:ascii="Verdana" w:hAnsi="Verdana" w:cs="Arial"/>
          <w:bCs w:val="0"/>
          <w:szCs w:val="20"/>
          <w:lang w:val="bg-BG"/>
        </w:rPr>
        <w:lastRenderedPageBreak/>
        <w:t>Съоръ</w:t>
      </w:r>
      <w:r w:rsidR="0030100B">
        <w:rPr>
          <w:rFonts w:ascii="Verdana" w:hAnsi="Verdana" w:cs="Arial"/>
          <w:bCs w:val="0"/>
          <w:szCs w:val="20"/>
          <w:lang w:val="bg-BG"/>
        </w:rPr>
        <w:t>жения – 469</w:t>
      </w:r>
      <w:r w:rsidRPr="00C2255D">
        <w:rPr>
          <w:rFonts w:ascii="Verdana" w:hAnsi="Verdana" w:cs="Arial"/>
          <w:bCs w:val="0"/>
          <w:szCs w:val="20"/>
          <w:lang w:val="bg-BG"/>
        </w:rPr>
        <w:t xml:space="preserve"> хил.лв.;</w:t>
      </w:r>
    </w:p>
    <w:p w:rsidR="00093DC7" w:rsidRPr="00C2255D" w:rsidRDefault="0030100B" w:rsidP="00093DC7">
      <w:pPr>
        <w:pStyle w:val="List"/>
        <w:numPr>
          <w:ilvl w:val="0"/>
          <w:numId w:val="5"/>
        </w:numPr>
        <w:spacing w:line="260" w:lineRule="atLeast"/>
        <w:jc w:val="both"/>
        <w:rPr>
          <w:rFonts w:ascii="Verdana" w:hAnsi="Verdana" w:cs="Arial"/>
          <w:bCs w:val="0"/>
          <w:szCs w:val="20"/>
          <w:lang w:val="bg-BG"/>
        </w:rPr>
      </w:pPr>
      <w:r>
        <w:rPr>
          <w:rFonts w:ascii="Verdana" w:hAnsi="Verdana" w:cs="Arial"/>
          <w:bCs w:val="0"/>
          <w:szCs w:val="20"/>
          <w:lang w:val="bg-BG"/>
        </w:rPr>
        <w:t>Други активи – 1</w:t>
      </w:r>
      <w:r w:rsidR="00093DC7" w:rsidRPr="00C2255D">
        <w:rPr>
          <w:rFonts w:ascii="Verdana" w:hAnsi="Verdana" w:cs="Arial"/>
          <w:bCs w:val="0"/>
          <w:szCs w:val="20"/>
          <w:lang w:val="bg-BG"/>
        </w:rPr>
        <w:t xml:space="preserve"> хил.лв.;</w:t>
      </w:r>
    </w:p>
    <w:p w:rsidR="00093DC7" w:rsidRPr="00C2255D" w:rsidRDefault="0030100B" w:rsidP="00093DC7">
      <w:pPr>
        <w:pStyle w:val="List"/>
        <w:numPr>
          <w:ilvl w:val="0"/>
          <w:numId w:val="5"/>
        </w:numPr>
        <w:spacing w:line="260" w:lineRule="atLeast"/>
        <w:jc w:val="both"/>
        <w:rPr>
          <w:rFonts w:ascii="Verdana" w:hAnsi="Verdana" w:cs="Arial"/>
          <w:bCs w:val="0"/>
          <w:szCs w:val="20"/>
          <w:lang w:val="bg-BG"/>
        </w:rPr>
      </w:pPr>
      <w:r>
        <w:rPr>
          <w:rFonts w:ascii="Verdana" w:hAnsi="Verdana" w:cs="Arial"/>
          <w:bCs w:val="0"/>
          <w:szCs w:val="20"/>
          <w:lang w:val="bg-BG"/>
        </w:rPr>
        <w:t>Активи в процес на изграждане 95</w:t>
      </w:r>
      <w:r w:rsidR="00093DC7" w:rsidRPr="00C2255D">
        <w:rPr>
          <w:rFonts w:ascii="Verdana" w:hAnsi="Verdana" w:cs="Arial"/>
          <w:bCs w:val="0"/>
          <w:szCs w:val="20"/>
          <w:lang w:val="bg-BG"/>
        </w:rPr>
        <w:t xml:space="preserve"> хил.лв.</w:t>
      </w:r>
    </w:p>
    <w:p w:rsidR="00093DC7" w:rsidRPr="00C2255D" w:rsidRDefault="00093DC7" w:rsidP="00093DC7">
      <w:pPr>
        <w:pStyle w:val="List"/>
        <w:spacing w:before="60" w:line="260" w:lineRule="atLeast"/>
        <w:ind w:left="284" w:hanging="284"/>
        <w:jc w:val="both"/>
        <w:rPr>
          <w:rFonts w:ascii="Verdana" w:hAnsi="Verdana" w:cs="Arial"/>
          <w:bCs w:val="0"/>
          <w:szCs w:val="20"/>
          <w:lang w:val="bg-BG"/>
        </w:rPr>
      </w:pPr>
      <w:r w:rsidRPr="00C2255D">
        <w:rPr>
          <w:rFonts w:ascii="Verdana" w:hAnsi="Verdana" w:cs="Arial"/>
          <w:bCs w:val="0"/>
          <w:szCs w:val="20"/>
          <w:lang w:val="bg-BG"/>
        </w:rPr>
        <w:t>Нематериалните активи - Компютърен</w:t>
      </w:r>
      <w:r w:rsidR="0030100B">
        <w:rPr>
          <w:rFonts w:ascii="Verdana" w:hAnsi="Verdana" w:cs="Arial"/>
          <w:bCs w:val="0"/>
          <w:szCs w:val="20"/>
          <w:lang w:val="bg-BG"/>
        </w:rPr>
        <w:t xml:space="preserve"> софтуер с балансова стойност 52</w:t>
      </w:r>
      <w:r w:rsidRPr="00C2255D">
        <w:rPr>
          <w:rFonts w:ascii="Verdana" w:hAnsi="Verdana" w:cs="Arial"/>
          <w:bCs w:val="0"/>
          <w:szCs w:val="20"/>
          <w:lang w:val="bg-BG"/>
        </w:rPr>
        <w:t xml:space="preserve"> хил.лв.  </w:t>
      </w:r>
    </w:p>
    <w:p w:rsidR="00093DC7" w:rsidRPr="00F2743A"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sz w:val="20"/>
          <w:lang w:val="bg-BG"/>
        </w:rPr>
      </w:pPr>
      <w:r w:rsidRPr="00F2743A">
        <w:rPr>
          <w:rFonts w:ascii="Verdana" w:hAnsi="Verdana" w:cs="Arial"/>
          <w:sz w:val="20"/>
          <w:lang w:val="bg-BG"/>
        </w:rPr>
        <w:t>През разглеждания период Дружеството не отчита разходи за инвестициии.</w:t>
      </w:r>
    </w:p>
    <w:p w:rsidR="006675AA" w:rsidRPr="00AB7507" w:rsidRDefault="00093DC7" w:rsidP="006675AA">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AB7507">
        <w:rPr>
          <w:rFonts w:ascii="Verdana" w:hAnsi="Verdana" w:cs="Arial"/>
          <w:b/>
          <w:sz w:val="20"/>
          <w:lang w:val="bg-BG"/>
        </w:rPr>
        <w:t xml:space="preserve">Кратък преглед на състоянието на пазара </w:t>
      </w:r>
    </w:p>
    <w:p w:rsidR="00093DC7" w:rsidRPr="00C2255D" w:rsidRDefault="00093DC7" w:rsidP="00093DC7">
      <w:pPr>
        <w:pStyle w:val="firstline"/>
        <w:spacing w:before="0" w:beforeAutospacing="0" w:after="0" w:afterAutospacing="0" w:line="260" w:lineRule="atLeast"/>
        <w:jc w:val="both"/>
        <w:rPr>
          <w:rFonts w:ascii="Verdana" w:hAnsi="Verdana" w:cs="Arial"/>
          <w:i/>
          <w:sz w:val="20"/>
          <w:szCs w:val="20"/>
        </w:rPr>
      </w:pPr>
      <w:r w:rsidRPr="00C2255D">
        <w:rPr>
          <w:rFonts w:ascii="Verdana" w:hAnsi="Verdana" w:cs="Arial"/>
          <w:i/>
          <w:sz w:val="20"/>
          <w:szCs w:val="20"/>
        </w:rPr>
        <w:t xml:space="preserve">Пазарен модел, регулиране и конкурентна среда </w:t>
      </w:r>
    </w:p>
    <w:p w:rsidR="00093DC7" w:rsidRPr="00AB7507" w:rsidRDefault="00093DC7" w:rsidP="00093DC7">
      <w:pPr>
        <w:pStyle w:val="TOC1"/>
        <w:spacing w:line="260" w:lineRule="atLeast"/>
        <w:rPr>
          <w:rFonts w:ascii="Verdana" w:hAnsi="Verdana" w:cs="Arial"/>
          <w:bCs w:val="0"/>
          <w:noProof w:val="0"/>
          <w:snapToGrid/>
          <w:sz w:val="20"/>
          <w:szCs w:val="20"/>
        </w:rPr>
      </w:pPr>
      <w:r w:rsidRPr="00C2255D">
        <w:rPr>
          <w:rFonts w:ascii="Verdana" w:hAnsi="Verdana" w:cs="Arial"/>
          <w:bCs w:val="0"/>
          <w:noProof w:val="0"/>
          <w:snapToGrid/>
          <w:sz w:val="20"/>
          <w:szCs w:val="20"/>
        </w:rPr>
        <w:t>Пазарният модел на вътрешния п</w:t>
      </w:r>
      <w:r w:rsidR="0030100B">
        <w:rPr>
          <w:rFonts w:ascii="Verdana" w:hAnsi="Verdana" w:cs="Arial"/>
          <w:bCs w:val="0"/>
          <w:noProof w:val="0"/>
          <w:snapToGrid/>
          <w:sz w:val="20"/>
          <w:szCs w:val="20"/>
        </w:rPr>
        <w:t xml:space="preserve">азар на Топлофикация – Разград </w:t>
      </w:r>
      <w:r w:rsidRPr="00C2255D">
        <w:rPr>
          <w:rFonts w:ascii="Verdana" w:hAnsi="Verdana" w:cs="Arial"/>
          <w:bCs w:val="0"/>
          <w:noProof w:val="0"/>
          <w:snapToGrid/>
          <w:sz w:val="20"/>
          <w:szCs w:val="20"/>
        </w:rPr>
        <w:t>АД е в съответствие с действащото законодателство, като основни пазарни участници в сектор топлоенерге</w:t>
      </w:r>
      <w:r>
        <w:rPr>
          <w:rFonts w:ascii="Verdana" w:hAnsi="Verdana" w:cs="Arial"/>
          <w:bCs w:val="0"/>
          <w:noProof w:val="0"/>
          <w:snapToGrid/>
          <w:sz w:val="20"/>
          <w:szCs w:val="20"/>
        </w:rPr>
        <w:t>тика могат да бъдат дефинирани:</w:t>
      </w:r>
    </w:p>
    <w:p w:rsidR="00093DC7" w:rsidRPr="00C2255D" w:rsidRDefault="00093DC7" w:rsidP="00093DC7">
      <w:pPr>
        <w:numPr>
          <w:ilvl w:val="0"/>
          <w:numId w:val="6"/>
        </w:numPr>
        <w:spacing w:line="260" w:lineRule="atLeast"/>
        <w:rPr>
          <w:rFonts w:ascii="Verdana" w:hAnsi="Verdana" w:cs="Arial"/>
          <w:sz w:val="20"/>
        </w:rPr>
      </w:pPr>
      <w:r w:rsidRPr="00C2255D">
        <w:rPr>
          <w:rFonts w:ascii="Verdana" w:hAnsi="Verdana" w:cs="Arial"/>
          <w:sz w:val="20"/>
        </w:rPr>
        <w:t>Битови потребители</w:t>
      </w:r>
    </w:p>
    <w:p w:rsidR="00093DC7" w:rsidRPr="00C2255D" w:rsidRDefault="00093DC7" w:rsidP="00093DC7">
      <w:pPr>
        <w:numPr>
          <w:ilvl w:val="0"/>
          <w:numId w:val="6"/>
        </w:numPr>
        <w:spacing w:line="260" w:lineRule="atLeast"/>
        <w:rPr>
          <w:rFonts w:ascii="Verdana" w:hAnsi="Verdana" w:cs="Arial"/>
          <w:sz w:val="20"/>
        </w:rPr>
      </w:pPr>
      <w:r w:rsidRPr="00C2255D">
        <w:rPr>
          <w:rFonts w:ascii="Verdana" w:hAnsi="Verdana" w:cs="Arial"/>
          <w:sz w:val="20"/>
        </w:rPr>
        <w:t>Бюджетни потребители</w:t>
      </w:r>
    </w:p>
    <w:p w:rsidR="00093DC7" w:rsidRPr="00C2255D" w:rsidRDefault="00093DC7" w:rsidP="00093DC7">
      <w:pPr>
        <w:numPr>
          <w:ilvl w:val="0"/>
          <w:numId w:val="6"/>
        </w:numPr>
        <w:spacing w:line="260" w:lineRule="atLeast"/>
        <w:rPr>
          <w:rFonts w:ascii="Verdana" w:hAnsi="Verdana" w:cs="Arial"/>
          <w:sz w:val="20"/>
        </w:rPr>
      </w:pPr>
      <w:r w:rsidRPr="00C2255D">
        <w:rPr>
          <w:rFonts w:ascii="Verdana" w:hAnsi="Verdana" w:cs="Arial"/>
          <w:sz w:val="20"/>
        </w:rPr>
        <w:t>Стопански потребители</w:t>
      </w:r>
    </w:p>
    <w:p w:rsidR="00093DC7" w:rsidRPr="00C2255D" w:rsidRDefault="00093DC7" w:rsidP="00093DC7">
      <w:pPr>
        <w:numPr>
          <w:ilvl w:val="0"/>
          <w:numId w:val="6"/>
        </w:numPr>
        <w:spacing w:line="260" w:lineRule="atLeast"/>
        <w:rPr>
          <w:rFonts w:ascii="Verdana" w:hAnsi="Verdana" w:cs="Arial"/>
          <w:sz w:val="20"/>
        </w:rPr>
      </w:pPr>
      <w:r w:rsidRPr="00C2255D">
        <w:rPr>
          <w:rFonts w:ascii="Verdana" w:hAnsi="Verdana" w:cs="Arial"/>
          <w:sz w:val="20"/>
        </w:rPr>
        <w:t>ЕНЕРГО - ПРО Продажби АД</w:t>
      </w:r>
    </w:p>
    <w:p w:rsidR="00093DC7" w:rsidRPr="00C2255D" w:rsidRDefault="00093DC7" w:rsidP="00093DC7">
      <w:pPr>
        <w:spacing w:before="120" w:line="260" w:lineRule="atLeast"/>
        <w:rPr>
          <w:rFonts w:ascii="Verdana" w:hAnsi="Verdana" w:cs="Arial"/>
          <w:sz w:val="20"/>
        </w:rPr>
      </w:pPr>
      <w:r w:rsidRPr="00C2255D">
        <w:rPr>
          <w:rFonts w:ascii="Verdana" w:hAnsi="Verdana" w:cs="Arial"/>
          <w:sz w:val="20"/>
        </w:rPr>
        <w:t>Обект на ценово регулиране на вътрешния пазар са ц</w:t>
      </w:r>
      <w:r>
        <w:rPr>
          <w:rFonts w:ascii="Verdana" w:hAnsi="Verdana" w:cs="Arial"/>
          <w:sz w:val="20"/>
        </w:rPr>
        <w:t>ените на произвежданите</w:t>
      </w:r>
      <w:r w:rsidRPr="00C2255D">
        <w:rPr>
          <w:rFonts w:ascii="Verdana" w:hAnsi="Verdana" w:cs="Arial"/>
          <w:sz w:val="20"/>
        </w:rPr>
        <w:t xml:space="preserve"> топлинна и електрическа енергия. </w:t>
      </w:r>
      <w:r w:rsidRPr="00C423A7">
        <w:rPr>
          <w:rFonts w:ascii="Verdana" w:hAnsi="Verdana" w:cs="Arial"/>
          <w:sz w:val="20"/>
        </w:rPr>
        <w:t>Спецификата на дейността на Дружеството предполага реализация на продукцията на топлинна енергия единствено в лицензираната територия.</w:t>
      </w:r>
      <w:r w:rsidRPr="00C2255D">
        <w:rPr>
          <w:rFonts w:ascii="Verdana" w:hAnsi="Verdana" w:cs="Arial"/>
          <w:sz w:val="20"/>
        </w:rPr>
        <w:t xml:space="preserve"> </w:t>
      </w:r>
      <w:r w:rsidR="00FB5256">
        <w:rPr>
          <w:rFonts w:ascii="Verdana" w:hAnsi="Verdana" w:cs="Arial"/>
          <w:sz w:val="20"/>
        </w:rPr>
        <w:t>През разглеждания период р</w:t>
      </w:r>
      <w:r w:rsidRPr="00F2743A">
        <w:rPr>
          <w:rFonts w:ascii="Verdana" w:hAnsi="Verdana" w:cs="Arial"/>
          <w:sz w:val="20"/>
        </w:rPr>
        <w:t>еализацията на електрическа енергия е възможна нормативно единствено за лицензианта на електрическа енергия за североизточна България - ЕНЕРГО - ПРО Продажби АД.</w:t>
      </w:r>
    </w:p>
    <w:p w:rsidR="00093DC7" w:rsidRPr="00C2255D" w:rsidRDefault="00093DC7" w:rsidP="00093DC7">
      <w:pPr>
        <w:pStyle w:val="firstline"/>
        <w:spacing w:before="120" w:beforeAutospacing="0" w:after="0" w:afterAutospacing="0" w:line="260" w:lineRule="atLeast"/>
        <w:jc w:val="both"/>
        <w:rPr>
          <w:rFonts w:ascii="Verdana" w:hAnsi="Verdana" w:cs="Arial"/>
          <w:bCs w:val="0"/>
          <w:i/>
          <w:sz w:val="20"/>
          <w:szCs w:val="20"/>
          <w:lang w:eastAsia="en-US"/>
        </w:rPr>
      </w:pPr>
      <w:r w:rsidRPr="00C2255D">
        <w:rPr>
          <w:rFonts w:ascii="Verdana" w:hAnsi="Verdana" w:cs="Arial"/>
          <w:bCs w:val="0"/>
          <w:i/>
          <w:sz w:val="20"/>
          <w:szCs w:val="20"/>
          <w:lang w:eastAsia="en-US"/>
        </w:rPr>
        <w:t xml:space="preserve">Основни клиенти, сключени договори </w:t>
      </w:r>
    </w:p>
    <w:p w:rsidR="00093DC7" w:rsidRPr="00C2255D" w:rsidRDefault="00093DC7" w:rsidP="00093DC7">
      <w:pPr>
        <w:pStyle w:val="firstline"/>
        <w:spacing w:before="0" w:beforeAutospacing="0" w:after="0" w:afterAutospacing="0" w:line="260" w:lineRule="atLeast"/>
        <w:jc w:val="both"/>
        <w:rPr>
          <w:rFonts w:ascii="Verdana" w:hAnsi="Verdana" w:cs="Arial"/>
          <w:bCs w:val="0"/>
          <w:sz w:val="20"/>
          <w:szCs w:val="20"/>
          <w:lang w:eastAsia="en-US"/>
        </w:rPr>
      </w:pPr>
      <w:r w:rsidRPr="00C2255D">
        <w:rPr>
          <w:rFonts w:ascii="Verdana" w:hAnsi="Verdana" w:cs="Arial"/>
          <w:bCs w:val="0"/>
          <w:sz w:val="20"/>
          <w:szCs w:val="20"/>
          <w:lang w:eastAsia="en-US"/>
        </w:rPr>
        <w:t>Основен и дългогодишен наш клиент е Община Разград, с когото Дружеството е в договорни взаимоотношения. Двустранното сътрудничество е ползотворно, като предвиждаме съвместната ни работа да продължи и в бъдеще.</w:t>
      </w:r>
    </w:p>
    <w:p w:rsidR="00093DC7" w:rsidRPr="00C2255D" w:rsidRDefault="00093DC7" w:rsidP="00093DC7">
      <w:pPr>
        <w:spacing w:before="120" w:line="260" w:lineRule="atLeast"/>
        <w:rPr>
          <w:rFonts w:ascii="Verdana" w:hAnsi="Verdana" w:cs="Arial"/>
          <w:i/>
          <w:sz w:val="20"/>
        </w:rPr>
      </w:pPr>
      <w:r w:rsidRPr="00C2255D">
        <w:rPr>
          <w:rFonts w:ascii="Verdana" w:hAnsi="Verdana" w:cs="Arial"/>
          <w:i/>
          <w:sz w:val="20"/>
        </w:rPr>
        <w:t>Основни доставчици</w:t>
      </w:r>
    </w:p>
    <w:p w:rsidR="00093DC7" w:rsidRDefault="00093DC7" w:rsidP="00093DC7">
      <w:pPr>
        <w:spacing w:line="260" w:lineRule="atLeast"/>
        <w:rPr>
          <w:rFonts w:ascii="Verdana" w:hAnsi="Verdana" w:cs="Arial"/>
          <w:sz w:val="20"/>
        </w:rPr>
      </w:pPr>
      <w:r w:rsidRPr="00C2255D">
        <w:rPr>
          <w:rFonts w:ascii="Verdana" w:hAnsi="Verdana" w:cs="Arial"/>
          <w:sz w:val="20"/>
        </w:rPr>
        <w:t>К</w:t>
      </w:r>
      <w:r w:rsidR="0030100B">
        <w:rPr>
          <w:rFonts w:ascii="Verdana" w:hAnsi="Verdana" w:cs="Arial"/>
          <w:sz w:val="20"/>
        </w:rPr>
        <w:t>ато основни доставчици през 2019</w:t>
      </w:r>
      <w:r w:rsidRPr="00C2255D">
        <w:rPr>
          <w:rFonts w:ascii="Verdana" w:hAnsi="Verdana" w:cs="Arial"/>
          <w:sz w:val="20"/>
        </w:rPr>
        <w:t xml:space="preserve"> г. могат да се определят </w:t>
      </w:r>
      <w:r>
        <w:rPr>
          <w:rFonts w:ascii="Verdana" w:hAnsi="Verdana" w:cs="Arial"/>
          <w:sz w:val="20"/>
        </w:rPr>
        <w:t>„Овергаз Мрежи“ АД</w:t>
      </w:r>
      <w:r w:rsidRPr="00C2255D">
        <w:rPr>
          <w:rFonts w:ascii="Verdana" w:hAnsi="Verdana" w:cs="Arial"/>
          <w:sz w:val="20"/>
        </w:rPr>
        <w:t>, от когото Дружеството купува природен газ до сред</w:t>
      </w:r>
      <w:r>
        <w:rPr>
          <w:rFonts w:ascii="Verdana" w:hAnsi="Verdana" w:cs="Arial"/>
          <w:sz w:val="20"/>
        </w:rPr>
        <w:t xml:space="preserve">ата на месец Септември 2017 г.,  </w:t>
      </w:r>
      <w:r w:rsidRPr="00C2255D">
        <w:rPr>
          <w:rFonts w:ascii="Verdana" w:hAnsi="Verdana" w:cs="Arial"/>
          <w:sz w:val="20"/>
        </w:rPr>
        <w:t xml:space="preserve">Филтър ЕООД, Омникар БГ ЕООД, Хигиенно - медицинска индустрия“ ЕООД, </w:t>
      </w:r>
      <w:proofErr w:type="spellStart"/>
      <w:r w:rsidRPr="00C2255D">
        <w:rPr>
          <w:rFonts w:ascii="Verdana" w:hAnsi="Verdana" w:cs="Arial"/>
          <w:sz w:val="20"/>
        </w:rPr>
        <w:t>Бруната</w:t>
      </w:r>
      <w:proofErr w:type="spellEnd"/>
      <w:r w:rsidRPr="00C2255D">
        <w:rPr>
          <w:rFonts w:ascii="Verdana" w:hAnsi="Verdana" w:cs="Arial"/>
          <w:sz w:val="20"/>
        </w:rPr>
        <w:t>“ ООД, и др.</w:t>
      </w:r>
    </w:p>
    <w:p w:rsidR="006675AA" w:rsidRPr="00C2255D" w:rsidRDefault="006675AA" w:rsidP="00093DC7">
      <w:pPr>
        <w:spacing w:line="260" w:lineRule="atLeast"/>
        <w:rPr>
          <w:rFonts w:ascii="Verdana" w:hAnsi="Verdana" w:cs="Arial"/>
          <w:sz w:val="20"/>
        </w:rPr>
      </w:pPr>
    </w:p>
    <w:p w:rsidR="00093DC7" w:rsidRPr="00AB7507"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AB7507">
        <w:rPr>
          <w:rFonts w:ascii="Verdana" w:hAnsi="Verdana" w:cs="Arial"/>
          <w:b/>
          <w:sz w:val="20"/>
          <w:lang w:val="bg-BG"/>
        </w:rPr>
        <w:t>Преглед на дейността</w:t>
      </w:r>
    </w:p>
    <w:p w:rsidR="00093DC7" w:rsidRPr="00C2255D" w:rsidRDefault="00093DC7" w:rsidP="00093DC7">
      <w:pPr>
        <w:pStyle w:val="EndnoteText"/>
        <w:spacing w:after="0" w:line="260" w:lineRule="atLeast"/>
        <w:jc w:val="both"/>
        <w:rPr>
          <w:rFonts w:ascii="Verdana" w:hAnsi="Verdana" w:cs="Arial"/>
          <w:i/>
          <w:szCs w:val="20"/>
          <w:lang w:val="bg-BG"/>
        </w:rPr>
      </w:pPr>
      <w:r w:rsidRPr="00C2255D">
        <w:rPr>
          <w:rFonts w:ascii="Verdana" w:hAnsi="Verdana" w:cs="Arial"/>
          <w:i/>
          <w:szCs w:val="20"/>
          <w:lang w:val="bg-BG"/>
        </w:rPr>
        <w:t>Резултати за текущия период</w:t>
      </w:r>
    </w:p>
    <w:p w:rsidR="00093DC7" w:rsidRDefault="00093DC7" w:rsidP="00093DC7">
      <w:pPr>
        <w:pStyle w:val="ListContinue"/>
        <w:spacing w:after="0" w:line="260" w:lineRule="atLeast"/>
        <w:ind w:left="0"/>
        <w:jc w:val="both"/>
        <w:rPr>
          <w:rFonts w:ascii="Verdana" w:hAnsi="Verdana" w:cs="Arial"/>
          <w:bCs w:val="0"/>
          <w:szCs w:val="20"/>
          <w:lang w:val="bg-BG"/>
        </w:rPr>
      </w:pPr>
      <w:r w:rsidRPr="00093068">
        <w:rPr>
          <w:rFonts w:ascii="Verdana" w:hAnsi="Verdana" w:cs="Arial"/>
          <w:bCs w:val="0"/>
          <w:szCs w:val="20"/>
          <w:lang w:val="bg-BG"/>
        </w:rPr>
        <w:t>Финансовият резултат на Д</w:t>
      </w:r>
      <w:r w:rsidR="0030100B">
        <w:rPr>
          <w:rFonts w:ascii="Verdana" w:hAnsi="Verdana" w:cs="Arial"/>
          <w:bCs w:val="0"/>
          <w:szCs w:val="20"/>
          <w:lang w:val="bg-BG"/>
        </w:rPr>
        <w:t>ружеството за периода 01.</w:t>
      </w:r>
      <w:proofErr w:type="spellStart"/>
      <w:r w:rsidR="0030100B">
        <w:rPr>
          <w:rFonts w:ascii="Verdana" w:hAnsi="Verdana" w:cs="Arial"/>
          <w:bCs w:val="0"/>
          <w:szCs w:val="20"/>
          <w:lang w:val="bg-BG"/>
        </w:rPr>
        <w:t>01</w:t>
      </w:r>
      <w:proofErr w:type="spellEnd"/>
      <w:r w:rsidR="0030100B">
        <w:rPr>
          <w:rFonts w:ascii="Verdana" w:hAnsi="Verdana" w:cs="Arial"/>
          <w:bCs w:val="0"/>
          <w:szCs w:val="20"/>
          <w:lang w:val="bg-BG"/>
        </w:rPr>
        <w:t>.2019-30.06.2019</w:t>
      </w:r>
      <w:r w:rsidRPr="00093068">
        <w:rPr>
          <w:rFonts w:ascii="Verdana" w:hAnsi="Verdana" w:cs="Arial"/>
          <w:bCs w:val="0"/>
          <w:szCs w:val="20"/>
          <w:lang w:val="bg-BG"/>
        </w:rPr>
        <w:t xml:space="preserve"> г. е загуба в</w:t>
      </w:r>
      <w:r w:rsidR="0030100B">
        <w:rPr>
          <w:rFonts w:ascii="Verdana" w:hAnsi="Verdana" w:cs="Arial"/>
          <w:bCs w:val="0"/>
          <w:szCs w:val="20"/>
          <w:lang w:val="bg-BG"/>
        </w:rPr>
        <w:t xml:space="preserve"> размер на 156</w:t>
      </w:r>
      <w:r w:rsidRPr="00611ED0">
        <w:rPr>
          <w:rFonts w:ascii="Verdana" w:hAnsi="Verdana" w:cs="Arial"/>
          <w:bCs w:val="0"/>
          <w:szCs w:val="20"/>
          <w:lang w:val="bg-BG"/>
        </w:rPr>
        <w:t xml:space="preserve"> хил.лв.  </w:t>
      </w:r>
    </w:p>
    <w:p w:rsidR="00C9292C" w:rsidRDefault="00C9292C" w:rsidP="00093DC7">
      <w:pPr>
        <w:pStyle w:val="ListContinue"/>
        <w:spacing w:after="0" w:line="260" w:lineRule="atLeast"/>
        <w:ind w:left="0"/>
        <w:jc w:val="both"/>
        <w:rPr>
          <w:rFonts w:ascii="Verdana" w:hAnsi="Verdana" w:cs="Arial"/>
          <w:bCs w:val="0"/>
          <w:szCs w:val="20"/>
          <w:lang w:val="bg-BG"/>
        </w:rPr>
      </w:pPr>
    </w:p>
    <w:p w:rsidR="00C9292C" w:rsidRPr="00C9292C" w:rsidRDefault="00C9292C" w:rsidP="00C9292C">
      <w:pPr>
        <w:rPr>
          <w:sz w:val="24"/>
          <w:szCs w:val="24"/>
          <w:lang w:eastAsia="bg-BG"/>
        </w:rPr>
      </w:pPr>
      <w:r w:rsidRPr="00C9292C">
        <w:rPr>
          <w:rFonts w:ascii="Verdana" w:hAnsi="Verdana"/>
          <w:sz w:val="20"/>
          <w:lang w:eastAsia="bg-BG"/>
        </w:rPr>
        <w:t>Към настоящият момент, в предоставените отчети,  не е налице промяна в счетоводната политика на Дружеството. В условията на пазарна икономика оценката на елементите на имущественото състояние на предприятието има важно значение за тяхното честно и вярно представяне във финансовите отчети.  В тази връзка Дружеството възнамерява да извърши преоценка на дълготрайните си материални активи.</w:t>
      </w:r>
    </w:p>
    <w:p w:rsidR="00093DC7" w:rsidRDefault="00093DC7" w:rsidP="00093DC7">
      <w:pPr>
        <w:pStyle w:val="ListContinue"/>
        <w:spacing w:after="0" w:line="260" w:lineRule="atLeast"/>
        <w:ind w:left="0"/>
        <w:jc w:val="both"/>
        <w:rPr>
          <w:rFonts w:ascii="Verdana" w:hAnsi="Verdana" w:cs="Arial"/>
          <w:b/>
          <w:lang w:val="bg-BG"/>
        </w:rPr>
      </w:pPr>
    </w:p>
    <w:p w:rsidR="00093DC7" w:rsidRPr="00AB7507" w:rsidRDefault="00093DC7" w:rsidP="00093DC7">
      <w:pPr>
        <w:pStyle w:val="ListContinue"/>
        <w:spacing w:after="0" w:line="260" w:lineRule="atLeast"/>
        <w:ind w:left="0"/>
        <w:jc w:val="both"/>
        <w:rPr>
          <w:rFonts w:ascii="Verdana" w:hAnsi="Verdana" w:cs="Arial"/>
          <w:b/>
          <w:lang w:val="bg-BG"/>
        </w:rPr>
      </w:pPr>
      <w:r w:rsidRPr="00AB7507">
        <w:rPr>
          <w:rFonts w:ascii="Verdana" w:hAnsi="Verdana" w:cs="Arial"/>
          <w:b/>
          <w:lang w:val="bg-BG"/>
        </w:rPr>
        <w:t>Финансови инструменти</w:t>
      </w:r>
    </w:p>
    <w:p w:rsidR="00093DC7" w:rsidRDefault="00093DC7" w:rsidP="00093DC7">
      <w:pPr>
        <w:spacing w:line="260" w:lineRule="atLeast"/>
        <w:ind w:right="-1"/>
        <w:rPr>
          <w:rFonts w:ascii="Verdana" w:hAnsi="Verdana" w:cs="Arial"/>
          <w:sz w:val="20"/>
        </w:rPr>
      </w:pPr>
      <w:r w:rsidRPr="00C2255D">
        <w:rPr>
          <w:rFonts w:ascii="Verdana" w:hAnsi="Verdana" w:cs="Arial"/>
          <w:sz w:val="20"/>
        </w:rPr>
        <w:t>Балансовите стойности на финансовите активи и пасиви (финансовите инструменти) на Дружеството могат да бъдат представени в следните категории:</w:t>
      </w:r>
    </w:p>
    <w:p w:rsidR="00093DC7" w:rsidRPr="00C2255D" w:rsidRDefault="00093DC7" w:rsidP="00093DC7">
      <w:pPr>
        <w:spacing w:line="260" w:lineRule="atLeast"/>
        <w:ind w:right="-1"/>
        <w:rPr>
          <w:rFonts w:ascii="Verdana" w:hAnsi="Verdana" w:cs="Arial"/>
          <w:sz w:val="20"/>
        </w:rPr>
      </w:pPr>
    </w:p>
    <w:tbl>
      <w:tblPr>
        <w:tblW w:w="5000" w:type="pct"/>
        <w:tblCellSpacing w:w="1440" w:type="nil"/>
        <w:tblBorders>
          <w:top w:val="outset" w:sz="6" w:space="0" w:color="auto"/>
          <w:bottom w:val="outset" w:sz="6" w:space="0" w:color="auto"/>
          <w:insideH w:val="outset" w:sz="6" w:space="0" w:color="auto"/>
        </w:tblBorders>
        <w:tblLook w:val="04A0" w:firstRow="1" w:lastRow="0" w:firstColumn="1" w:lastColumn="0" w:noHBand="0" w:noVBand="1"/>
      </w:tblPr>
      <w:tblGrid>
        <w:gridCol w:w="5798"/>
        <w:gridCol w:w="1745"/>
        <w:gridCol w:w="1745"/>
      </w:tblGrid>
      <w:tr w:rsidR="00093DC7" w:rsidTr="007901C2">
        <w:trPr>
          <w:trHeight w:val="255"/>
          <w:tblCellSpacing w:w="1440" w:type="nil"/>
        </w:trPr>
        <w:tc>
          <w:tcPr>
            <w:tcW w:w="3117" w:type="pct"/>
            <w:shd w:val="clear" w:color="000000" w:fill="FFFFFF"/>
            <w:noWrap/>
            <w:vAlign w:val="center"/>
            <w:hideMark/>
          </w:tcPr>
          <w:p w:rsidR="00093DC7" w:rsidRPr="00AB7507" w:rsidRDefault="00093DC7" w:rsidP="007901C2">
            <w:pPr>
              <w:jc w:val="left"/>
              <w:rPr>
                <w:rFonts w:ascii="Verdana" w:hAnsi="Verdana" w:cs="Arial"/>
                <w:b/>
                <w:bCs/>
                <w:color w:val="000000"/>
                <w:sz w:val="20"/>
                <w:lang w:val="en-US"/>
              </w:rPr>
            </w:pPr>
            <w:proofErr w:type="spellStart"/>
            <w:r w:rsidRPr="00AB7507">
              <w:rPr>
                <w:rFonts w:ascii="Verdana" w:hAnsi="Verdana" w:cs="Arial"/>
                <w:b/>
                <w:bCs/>
                <w:color w:val="000000"/>
                <w:sz w:val="20"/>
                <w:lang w:val="en-US"/>
              </w:rPr>
              <w:t>Финансови</w:t>
            </w:r>
            <w:proofErr w:type="spellEnd"/>
            <w:r w:rsidRPr="00AB7507">
              <w:rPr>
                <w:rFonts w:ascii="Verdana" w:hAnsi="Verdana" w:cs="Arial"/>
                <w:b/>
                <w:bCs/>
                <w:color w:val="000000"/>
                <w:sz w:val="20"/>
                <w:lang w:val="en-US"/>
              </w:rPr>
              <w:t xml:space="preserve"> </w:t>
            </w:r>
            <w:proofErr w:type="spellStart"/>
            <w:r w:rsidRPr="00AB7507">
              <w:rPr>
                <w:rFonts w:ascii="Verdana" w:hAnsi="Verdana" w:cs="Arial"/>
                <w:b/>
                <w:bCs/>
                <w:color w:val="000000"/>
                <w:sz w:val="20"/>
                <w:lang w:val="en-US"/>
              </w:rPr>
              <w:t>активи</w:t>
            </w:r>
            <w:proofErr w:type="spellEnd"/>
          </w:p>
        </w:tc>
        <w:tc>
          <w:tcPr>
            <w:tcW w:w="901" w:type="pct"/>
            <w:shd w:val="clear" w:color="auto" w:fill="auto"/>
            <w:noWrap/>
            <w:vAlign w:val="center"/>
            <w:hideMark/>
          </w:tcPr>
          <w:p w:rsidR="00093DC7" w:rsidRPr="000B21A9" w:rsidRDefault="00093DC7" w:rsidP="007901C2">
            <w:pPr>
              <w:jc w:val="center"/>
              <w:rPr>
                <w:rFonts w:ascii="Verdana" w:hAnsi="Verdana" w:cs="Arial"/>
                <w:b/>
                <w:bCs/>
                <w:sz w:val="20"/>
                <w:lang w:val="en-US"/>
              </w:rPr>
            </w:pPr>
            <w:r w:rsidRPr="000B21A9">
              <w:rPr>
                <w:rFonts w:ascii="Verdana" w:hAnsi="Verdana" w:cs="Arial"/>
                <w:b/>
                <w:bCs/>
                <w:sz w:val="20"/>
                <w:lang w:val="en-US"/>
              </w:rPr>
              <w:t>3</w:t>
            </w:r>
            <w:r w:rsidRPr="000B21A9">
              <w:rPr>
                <w:rFonts w:ascii="Verdana" w:hAnsi="Verdana" w:cs="Arial"/>
                <w:b/>
                <w:bCs/>
                <w:sz w:val="20"/>
              </w:rPr>
              <w:t>0</w:t>
            </w:r>
            <w:r w:rsidRPr="000B21A9">
              <w:rPr>
                <w:rFonts w:ascii="Verdana" w:hAnsi="Verdana" w:cs="Arial"/>
                <w:b/>
                <w:bCs/>
                <w:sz w:val="20"/>
                <w:lang w:val="en-US"/>
              </w:rPr>
              <w:t>.</w:t>
            </w:r>
            <w:r w:rsidRPr="000B21A9">
              <w:rPr>
                <w:rFonts w:ascii="Verdana" w:hAnsi="Verdana" w:cs="Arial"/>
                <w:b/>
                <w:bCs/>
                <w:sz w:val="20"/>
              </w:rPr>
              <w:t>06</w:t>
            </w:r>
            <w:r w:rsidRPr="000B21A9">
              <w:rPr>
                <w:rFonts w:ascii="Verdana" w:hAnsi="Verdana" w:cs="Arial"/>
                <w:b/>
                <w:bCs/>
                <w:sz w:val="20"/>
                <w:lang w:val="en-US"/>
              </w:rPr>
              <w:t>.201</w:t>
            </w:r>
            <w:r w:rsidR="00791948">
              <w:rPr>
                <w:rFonts w:ascii="Verdana" w:hAnsi="Verdana" w:cs="Arial"/>
                <w:b/>
                <w:bCs/>
                <w:sz w:val="20"/>
              </w:rPr>
              <w:t>9</w:t>
            </w:r>
            <w:r w:rsidRPr="000B21A9">
              <w:rPr>
                <w:rFonts w:ascii="Verdana" w:hAnsi="Verdana" w:cs="Arial"/>
                <w:b/>
                <w:bCs/>
                <w:sz w:val="20"/>
                <w:lang w:val="en-US"/>
              </w:rPr>
              <w:t xml:space="preserve"> г.</w:t>
            </w:r>
          </w:p>
        </w:tc>
        <w:tc>
          <w:tcPr>
            <w:tcW w:w="901" w:type="pct"/>
            <w:shd w:val="clear" w:color="000000" w:fill="FFFFFF"/>
            <w:noWrap/>
            <w:vAlign w:val="center"/>
            <w:hideMark/>
          </w:tcPr>
          <w:p w:rsidR="00093DC7" w:rsidRPr="000B21A9" w:rsidRDefault="00093DC7" w:rsidP="007901C2">
            <w:pPr>
              <w:jc w:val="center"/>
              <w:rPr>
                <w:rFonts w:ascii="Verdana" w:hAnsi="Verdana" w:cs="Arial"/>
                <w:b/>
                <w:bCs/>
                <w:color w:val="000000"/>
                <w:sz w:val="20"/>
                <w:lang w:val="en-US"/>
              </w:rPr>
            </w:pPr>
            <w:r w:rsidRPr="000B21A9">
              <w:rPr>
                <w:rFonts w:ascii="Verdana" w:hAnsi="Verdana" w:cs="Arial"/>
                <w:b/>
                <w:bCs/>
                <w:color w:val="000000"/>
                <w:sz w:val="20"/>
                <w:lang w:val="en-US"/>
              </w:rPr>
              <w:t>3</w:t>
            </w:r>
            <w:r w:rsidRPr="000B21A9">
              <w:rPr>
                <w:rFonts w:ascii="Verdana" w:hAnsi="Verdana" w:cs="Arial"/>
                <w:b/>
                <w:bCs/>
                <w:color w:val="000000"/>
                <w:sz w:val="20"/>
              </w:rPr>
              <w:t>0</w:t>
            </w:r>
            <w:r w:rsidRPr="000B21A9">
              <w:rPr>
                <w:rFonts w:ascii="Verdana" w:hAnsi="Verdana" w:cs="Arial"/>
                <w:b/>
                <w:bCs/>
                <w:color w:val="000000"/>
                <w:sz w:val="20"/>
                <w:lang w:val="en-US"/>
              </w:rPr>
              <w:t>.</w:t>
            </w:r>
            <w:r w:rsidRPr="000B21A9">
              <w:rPr>
                <w:rFonts w:ascii="Verdana" w:hAnsi="Verdana" w:cs="Arial"/>
                <w:b/>
                <w:bCs/>
                <w:color w:val="000000"/>
                <w:sz w:val="20"/>
              </w:rPr>
              <w:t>06</w:t>
            </w:r>
            <w:r w:rsidRPr="000B21A9">
              <w:rPr>
                <w:rFonts w:ascii="Verdana" w:hAnsi="Verdana" w:cs="Arial"/>
                <w:b/>
                <w:bCs/>
                <w:color w:val="000000"/>
                <w:sz w:val="20"/>
                <w:lang w:val="en-US"/>
              </w:rPr>
              <w:t>.201</w:t>
            </w:r>
            <w:r w:rsidR="00791948">
              <w:rPr>
                <w:rFonts w:ascii="Verdana" w:hAnsi="Verdana" w:cs="Arial"/>
                <w:b/>
                <w:bCs/>
                <w:color w:val="000000"/>
                <w:sz w:val="20"/>
              </w:rPr>
              <w:t>8</w:t>
            </w:r>
            <w:r w:rsidRPr="000B21A9">
              <w:rPr>
                <w:rFonts w:ascii="Verdana" w:hAnsi="Verdana" w:cs="Arial"/>
                <w:b/>
                <w:bCs/>
                <w:color w:val="000000"/>
                <w:sz w:val="20"/>
                <w:lang w:val="en-US"/>
              </w:rPr>
              <w:t xml:space="preserve"> г.</w:t>
            </w:r>
          </w:p>
        </w:tc>
      </w:tr>
      <w:tr w:rsidR="00093DC7" w:rsidTr="007901C2">
        <w:trPr>
          <w:trHeight w:val="255"/>
          <w:tblCellSpacing w:w="1440" w:type="nil"/>
        </w:trPr>
        <w:tc>
          <w:tcPr>
            <w:tcW w:w="3168" w:type="pct"/>
            <w:shd w:val="clear" w:color="000000" w:fill="FFFFFF"/>
            <w:noWrap/>
            <w:vAlign w:val="center"/>
            <w:hideMark/>
          </w:tcPr>
          <w:p w:rsidR="00093DC7" w:rsidRPr="00AB7507" w:rsidRDefault="00093DC7" w:rsidP="007901C2">
            <w:pPr>
              <w:jc w:val="left"/>
              <w:rPr>
                <w:rFonts w:ascii="Verdana" w:hAnsi="Verdana" w:cs="Arial"/>
                <w:b/>
                <w:bCs/>
                <w:color w:val="000000"/>
                <w:sz w:val="20"/>
                <w:lang w:val="en-US"/>
              </w:rPr>
            </w:pPr>
            <w:proofErr w:type="spellStart"/>
            <w:r w:rsidRPr="00AB7507">
              <w:rPr>
                <w:rFonts w:ascii="Verdana" w:hAnsi="Verdana" w:cs="Arial"/>
                <w:b/>
                <w:bCs/>
                <w:color w:val="000000"/>
                <w:sz w:val="20"/>
                <w:lang w:val="en-US"/>
              </w:rPr>
              <w:t>Кредити</w:t>
            </w:r>
            <w:proofErr w:type="spellEnd"/>
            <w:r w:rsidRPr="00AB7507">
              <w:rPr>
                <w:rFonts w:ascii="Verdana" w:hAnsi="Verdana" w:cs="Arial"/>
                <w:b/>
                <w:bCs/>
                <w:color w:val="000000"/>
                <w:sz w:val="20"/>
                <w:lang w:val="en-US"/>
              </w:rPr>
              <w:t xml:space="preserve"> и </w:t>
            </w:r>
            <w:proofErr w:type="spellStart"/>
            <w:r w:rsidRPr="00AB7507">
              <w:rPr>
                <w:rFonts w:ascii="Verdana" w:hAnsi="Verdana" w:cs="Arial"/>
                <w:b/>
                <w:bCs/>
                <w:color w:val="000000"/>
                <w:sz w:val="20"/>
                <w:lang w:val="en-US"/>
              </w:rPr>
              <w:t>вземания</w:t>
            </w:r>
            <w:proofErr w:type="spellEnd"/>
            <w:r w:rsidRPr="00AB7507">
              <w:rPr>
                <w:rFonts w:ascii="Verdana" w:hAnsi="Verdana" w:cs="Arial"/>
                <w:b/>
                <w:bCs/>
                <w:color w:val="000000"/>
                <w:sz w:val="20"/>
                <w:lang w:val="en-US"/>
              </w:rPr>
              <w:t xml:space="preserve">, в </w:t>
            </w:r>
            <w:proofErr w:type="spellStart"/>
            <w:r w:rsidRPr="00AB7507">
              <w:rPr>
                <w:rFonts w:ascii="Verdana" w:hAnsi="Verdana" w:cs="Arial"/>
                <w:b/>
                <w:bCs/>
                <w:color w:val="000000"/>
                <w:sz w:val="20"/>
                <w:lang w:val="en-US"/>
              </w:rPr>
              <w:t>т.ч</w:t>
            </w:r>
            <w:proofErr w:type="spellEnd"/>
            <w:r w:rsidRPr="00AB7507">
              <w:rPr>
                <w:rFonts w:ascii="Verdana" w:hAnsi="Verdana" w:cs="Arial"/>
                <w:b/>
                <w:bCs/>
                <w:color w:val="000000"/>
                <w:sz w:val="20"/>
                <w:lang w:val="en-US"/>
              </w:rPr>
              <w:t>.:</w:t>
            </w:r>
          </w:p>
        </w:tc>
        <w:tc>
          <w:tcPr>
            <w:tcW w:w="916" w:type="pct"/>
            <w:shd w:val="clear" w:color="auto" w:fill="auto"/>
            <w:noWrap/>
            <w:vAlign w:val="center"/>
            <w:hideMark/>
          </w:tcPr>
          <w:p w:rsidR="00093DC7" w:rsidRPr="000B21A9" w:rsidRDefault="0030100B" w:rsidP="007901C2">
            <w:pPr>
              <w:jc w:val="center"/>
              <w:rPr>
                <w:rFonts w:ascii="Verdana" w:hAnsi="Verdana" w:cs="Arial"/>
                <w:b/>
                <w:bCs/>
                <w:sz w:val="20"/>
              </w:rPr>
            </w:pPr>
            <w:r w:rsidRPr="000B21A9">
              <w:rPr>
                <w:rFonts w:ascii="Verdana" w:hAnsi="Verdana" w:cs="Arial"/>
                <w:b/>
                <w:bCs/>
                <w:sz w:val="20"/>
              </w:rPr>
              <w:t>882</w:t>
            </w:r>
          </w:p>
        </w:tc>
        <w:tc>
          <w:tcPr>
            <w:tcW w:w="916" w:type="pct"/>
            <w:shd w:val="clear" w:color="auto" w:fill="auto"/>
            <w:noWrap/>
            <w:vAlign w:val="center"/>
            <w:hideMark/>
          </w:tcPr>
          <w:p w:rsidR="00093DC7" w:rsidRPr="000B21A9" w:rsidRDefault="00093DC7" w:rsidP="0030100B">
            <w:pPr>
              <w:jc w:val="center"/>
              <w:rPr>
                <w:rFonts w:ascii="Verdana" w:hAnsi="Verdana" w:cs="Arial"/>
                <w:b/>
                <w:bCs/>
                <w:sz w:val="20"/>
              </w:rPr>
            </w:pPr>
            <w:r w:rsidRPr="000B21A9">
              <w:rPr>
                <w:rFonts w:ascii="Verdana" w:hAnsi="Verdana" w:cs="Arial"/>
                <w:b/>
                <w:bCs/>
                <w:sz w:val="20"/>
                <w:lang w:val="en-US"/>
              </w:rPr>
              <w:t xml:space="preserve">1 </w:t>
            </w:r>
            <w:r w:rsidR="0030100B" w:rsidRPr="000B21A9">
              <w:rPr>
                <w:rFonts w:ascii="Verdana" w:hAnsi="Verdana" w:cs="Arial"/>
                <w:b/>
                <w:bCs/>
                <w:sz w:val="20"/>
              </w:rPr>
              <w:t>268</w:t>
            </w:r>
          </w:p>
        </w:tc>
      </w:tr>
      <w:tr w:rsidR="00093DC7" w:rsidRPr="00BA09B6" w:rsidTr="007901C2">
        <w:trPr>
          <w:trHeight w:val="255"/>
          <w:tblCellSpacing w:w="1440" w:type="nil"/>
        </w:trPr>
        <w:tc>
          <w:tcPr>
            <w:tcW w:w="3168" w:type="pct"/>
            <w:shd w:val="clear" w:color="000000" w:fill="FFFFFF"/>
            <w:vAlign w:val="center"/>
            <w:hideMark/>
          </w:tcPr>
          <w:p w:rsidR="00093DC7" w:rsidRPr="00BA09B6" w:rsidRDefault="00093DC7" w:rsidP="007901C2">
            <w:pPr>
              <w:jc w:val="left"/>
              <w:rPr>
                <w:rFonts w:ascii="Verdana" w:hAnsi="Verdana" w:cs="Arial"/>
                <w:color w:val="000000"/>
                <w:sz w:val="20"/>
                <w:lang w:val="en-US"/>
              </w:rPr>
            </w:pPr>
            <w:proofErr w:type="spellStart"/>
            <w:r w:rsidRPr="00BA09B6">
              <w:rPr>
                <w:rFonts w:ascii="Verdana" w:hAnsi="Verdana" w:cs="Arial"/>
                <w:color w:val="000000"/>
                <w:sz w:val="20"/>
                <w:lang w:val="en-US"/>
              </w:rPr>
              <w:t>Текущи</w:t>
            </w:r>
            <w:proofErr w:type="spellEnd"/>
            <w:r w:rsidRPr="00BA09B6">
              <w:rPr>
                <w:rFonts w:ascii="Verdana" w:hAnsi="Verdana" w:cs="Arial"/>
                <w:color w:val="000000"/>
                <w:sz w:val="20"/>
                <w:lang w:val="en-US"/>
              </w:rPr>
              <w:t xml:space="preserve"> </w:t>
            </w:r>
            <w:proofErr w:type="spellStart"/>
            <w:r w:rsidRPr="00BA09B6">
              <w:rPr>
                <w:rFonts w:ascii="Verdana" w:hAnsi="Verdana" w:cs="Arial"/>
                <w:color w:val="000000"/>
                <w:sz w:val="20"/>
                <w:lang w:val="en-US"/>
              </w:rPr>
              <w:t>търговски</w:t>
            </w:r>
            <w:proofErr w:type="spellEnd"/>
            <w:r w:rsidRPr="00BA09B6">
              <w:rPr>
                <w:rFonts w:ascii="Verdana" w:hAnsi="Verdana" w:cs="Arial"/>
                <w:color w:val="000000"/>
                <w:sz w:val="20"/>
                <w:lang w:val="en-US"/>
              </w:rPr>
              <w:t xml:space="preserve"> и </w:t>
            </w:r>
            <w:proofErr w:type="spellStart"/>
            <w:r w:rsidRPr="00BA09B6">
              <w:rPr>
                <w:rFonts w:ascii="Verdana" w:hAnsi="Verdana" w:cs="Arial"/>
                <w:color w:val="000000"/>
                <w:sz w:val="20"/>
                <w:lang w:val="en-US"/>
              </w:rPr>
              <w:t>други</w:t>
            </w:r>
            <w:proofErr w:type="spellEnd"/>
            <w:r w:rsidRPr="00BA09B6">
              <w:rPr>
                <w:rFonts w:ascii="Verdana" w:hAnsi="Verdana" w:cs="Arial"/>
                <w:color w:val="000000"/>
                <w:sz w:val="20"/>
                <w:lang w:val="en-US"/>
              </w:rPr>
              <w:t xml:space="preserve"> </w:t>
            </w:r>
            <w:proofErr w:type="spellStart"/>
            <w:r w:rsidRPr="00BA09B6">
              <w:rPr>
                <w:rFonts w:ascii="Verdana" w:hAnsi="Verdana" w:cs="Arial"/>
                <w:color w:val="000000"/>
                <w:sz w:val="20"/>
                <w:lang w:val="en-US"/>
              </w:rPr>
              <w:t>вземания</w:t>
            </w:r>
            <w:proofErr w:type="spellEnd"/>
          </w:p>
        </w:tc>
        <w:tc>
          <w:tcPr>
            <w:tcW w:w="916" w:type="pct"/>
            <w:shd w:val="clear" w:color="auto" w:fill="auto"/>
            <w:noWrap/>
            <w:vAlign w:val="center"/>
            <w:hideMark/>
          </w:tcPr>
          <w:p w:rsidR="00093DC7" w:rsidRPr="000B21A9" w:rsidRDefault="0030100B" w:rsidP="007901C2">
            <w:pPr>
              <w:jc w:val="center"/>
              <w:rPr>
                <w:rFonts w:ascii="Verdana" w:hAnsi="Verdana" w:cs="Arial"/>
                <w:sz w:val="20"/>
              </w:rPr>
            </w:pPr>
            <w:r w:rsidRPr="000B21A9">
              <w:rPr>
                <w:rFonts w:ascii="Verdana" w:hAnsi="Verdana" w:cs="Arial"/>
                <w:sz w:val="20"/>
              </w:rPr>
              <w:t>882</w:t>
            </w:r>
          </w:p>
        </w:tc>
        <w:tc>
          <w:tcPr>
            <w:tcW w:w="916" w:type="pct"/>
            <w:shd w:val="clear" w:color="auto" w:fill="auto"/>
            <w:noWrap/>
            <w:vAlign w:val="center"/>
            <w:hideMark/>
          </w:tcPr>
          <w:p w:rsidR="00093DC7" w:rsidRPr="000B21A9" w:rsidRDefault="0030100B" w:rsidP="007901C2">
            <w:pPr>
              <w:jc w:val="center"/>
              <w:rPr>
                <w:rFonts w:ascii="Verdana" w:hAnsi="Verdana" w:cs="Arial"/>
                <w:sz w:val="20"/>
              </w:rPr>
            </w:pPr>
            <w:r w:rsidRPr="000B21A9">
              <w:rPr>
                <w:rFonts w:ascii="Verdana" w:hAnsi="Verdana" w:cs="Arial"/>
                <w:sz w:val="20"/>
              </w:rPr>
              <w:t>1268</w:t>
            </w:r>
          </w:p>
        </w:tc>
      </w:tr>
      <w:tr w:rsidR="00093DC7" w:rsidRPr="00BA09B6" w:rsidTr="007901C2">
        <w:trPr>
          <w:trHeight w:val="255"/>
          <w:tblCellSpacing w:w="1440" w:type="nil"/>
        </w:trPr>
        <w:tc>
          <w:tcPr>
            <w:tcW w:w="3168" w:type="pct"/>
            <w:shd w:val="clear" w:color="000000" w:fill="FFFFFF"/>
            <w:vAlign w:val="center"/>
            <w:hideMark/>
          </w:tcPr>
          <w:p w:rsidR="00093DC7" w:rsidRPr="00BA09B6" w:rsidRDefault="00093DC7" w:rsidP="007901C2">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t>Парични</w:t>
            </w:r>
            <w:proofErr w:type="spellEnd"/>
            <w:r w:rsidRPr="00BA09B6">
              <w:rPr>
                <w:rFonts w:ascii="Verdana" w:hAnsi="Verdana" w:cs="Arial"/>
                <w:b/>
                <w:bCs/>
                <w:color w:val="000000"/>
                <w:sz w:val="20"/>
                <w:lang w:val="en-US"/>
              </w:rPr>
              <w:t xml:space="preserve"> </w:t>
            </w:r>
            <w:proofErr w:type="spellStart"/>
            <w:r w:rsidRPr="00BA09B6">
              <w:rPr>
                <w:rFonts w:ascii="Verdana" w:hAnsi="Verdana" w:cs="Arial"/>
                <w:b/>
                <w:bCs/>
                <w:color w:val="000000"/>
                <w:sz w:val="20"/>
                <w:lang w:val="en-US"/>
              </w:rPr>
              <w:t>средства</w:t>
            </w:r>
            <w:proofErr w:type="spellEnd"/>
          </w:p>
        </w:tc>
        <w:tc>
          <w:tcPr>
            <w:tcW w:w="916" w:type="pct"/>
            <w:shd w:val="clear" w:color="auto" w:fill="auto"/>
            <w:noWrap/>
            <w:vAlign w:val="center"/>
            <w:hideMark/>
          </w:tcPr>
          <w:p w:rsidR="00093DC7" w:rsidRPr="000B21A9" w:rsidRDefault="0030100B" w:rsidP="007901C2">
            <w:pPr>
              <w:jc w:val="center"/>
              <w:rPr>
                <w:rFonts w:ascii="Verdana" w:hAnsi="Verdana" w:cs="Arial"/>
                <w:b/>
                <w:bCs/>
                <w:sz w:val="20"/>
              </w:rPr>
            </w:pPr>
            <w:r w:rsidRPr="000B21A9">
              <w:rPr>
                <w:rFonts w:ascii="Verdana" w:hAnsi="Verdana" w:cs="Arial"/>
                <w:b/>
                <w:bCs/>
                <w:sz w:val="20"/>
              </w:rPr>
              <w:t>42</w:t>
            </w:r>
          </w:p>
        </w:tc>
        <w:tc>
          <w:tcPr>
            <w:tcW w:w="916" w:type="pct"/>
            <w:shd w:val="clear" w:color="auto" w:fill="auto"/>
            <w:noWrap/>
            <w:vAlign w:val="center"/>
            <w:hideMark/>
          </w:tcPr>
          <w:p w:rsidR="00093DC7" w:rsidRPr="000B21A9" w:rsidRDefault="0030100B" w:rsidP="007901C2">
            <w:pPr>
              <w:jc w:val="center"/>
              <w:rPr>
                <w:rFonts w:ascii="Verdana" w:hAnsi="Verdana" w:cs="Arial"/>
                <w:b/>
                <w:bCs/>
                <w:sz w:val="20"/>
              </w:rPr>
            </w:pPr>
            <w:r w:rsidRPr="000B21A9">
              <w:rPr>
                <w:rFonts w:ascii="Verdana" w:hAnsi="Verdana" w:cs="Arial"/>
                <w:b/>
                <w:bCs/>
                <w:sz w:val="20"/>
              </w:rPr>
              <w:t>37</w:t>
            </w:r>
          </w:p>
        </w:tc>
      </w:tr>
      <w:tr w:rsidR="00093DC7" w:rsidRPr="00BA09B6" w:rsidTr="007901C2">
        <w:trPr>
          <w:trHeight w:val="255"/>
          <w:tblCellSpacing w:w="1440" w:type="nil"/>
        </w:trPr>
        <w:tc>
          <w:tcPr>
            <w:tcW w:w="3168" w:type="pct"/>
            <w:shd w:val="clear" w:color="000000" w:fill="F2F2F2"/>
            <w:noWrap/>
            <w:vAlign w:val="center"/>
            <w:hideMark/>
          </w:tcPr>
          <w:p w:rsidR="00093DC7" w:rsidRPr="00BA09B6" w:rsidRDefault="00093DC7" w:rsidP="007901C2">
            <w:pPr>
              <w:jc w:val="left"/>
              <w:rPr>
                <w:rFonts w:ascii="Verdana" w:hAnsi="Verdana" w:cs="Arial"/>
                <w:b/>
                <w:bCs/>
                <w:sz w:val="20"/>
                <w:lang w:val="en-US"/>
              </w:rPr>
            </w:pPr>
            <w:proofErr w:type="spellStart"/>
            <w:r w:rsidRPr="00BA09B6">
              <w:rPr>
                <w:rFonts w:ascii="Verdana" w:hAnsi="Verdana" w:cs="Arial"/>
                <w:b/>
                <w:bCs/>
                <w:sz w:val="20"/>
                <w:lang w:val="en-US"/>
              </w:rPr>
              <w:t>Общо</w:t>
            </w:r>
            <w:proofErr w:type="spellEnd"/>
            <w:r w:rsidRPr="00BA09B6">
              <w:rPr>
                <w:rFonts w:ascii="Verdana" w:hAnsi="Verdana" w:cs="Arial"/>
                <w:b/>
                <w:bCs/>
                <w:sz w:val="20"/>
                <w:lang w:val="en-US"/>
              </w:rPr>
              <w:t xml:space="preserve"> </w:t>
            </w:r>
            <w:proofErr w:type="spellStart"/>
            <w:r w:rsidRPr="00BA09B6">
              <w:rPr>
                <w:rFonts w:ascii="Verdana" w:hAnsi="Verdana" w:cs="Arial"/>
                <w:b/>
                <w:bCs/>
                <w:sz w:val="20"/>
                <w:lang w:val="en-US"/>
              </w:rPr>
              <w:t>финансови</w:t>
            </w:r>
            <w:proofErr w:type="spellEnd"/>
            <w:r w:rsidRPr="00BA09B6">
              <w:rPr>
                <w:rFonts w:ascii="Verdana" w:hAnsi="Verdana" w:cs="Arial"/>
                <w:b/>
                <w:bCs/>
                <w:sz w:val="20"/>
                <w:lang w:val="en-US"/>
              </w:rPr>
              <w:t xml:space="preserve"> </w:t>
            </w:r>
            <w:proofErr w:type="spellStart"/>
            <w:r w:rsidRPr="00BA09B6">
              <w:rPr>
                <w:rFonts w:ascii="Verdana" w:hAnsi="Verdana" w:cs="Arial"/>
                <w:b/>
                <w:bCs/>
                <w:sz w:val="20"/>
                <w:lang w:val="en-US"/>
              </w:rPr>
              <w:t>активи</w:t>
            </w:r>
            <w:proofErr w:type="spellEnd"/>
          </w:p>
        </w:tc>
        <w:tc>
          <w:tcPr>
            <w:tcW w:w="916" w:type="pct"/>
            <w:shd w:val="clear" w:color="000000" w:fill="F2F2F2"/>
            <w:noWrap/>
            <w:vAlign w:val="center"/>
            <w:hideMark/>
          </w:tcPr>
          <w:p w:rsidR="00093DC7" w:rsidRPr="000B21A9" w:rsidRDefault="00801818" w:rsidP="007901C2">
            <w:pPr>
              <w:jc w:val="center"/>
              <w:rPr>
                <w:rFonts w:ascii="Verdana" w:hAnsi="Verdana" w:cs="Arial"/>
                <w:b/>
                <w:bCs/>
                <w:sz w:val="20"/>
              </w:rPr>
            </w:pPr>
            <w:r>
              <w:rPr>
                <w:rFonts w:ascii="Verdana" w:hAnsi="Verdana" w:cs="Arial"/>
                <w:b/>
                <w:bCs/>
                <w:sz w:val="20"/>
              </w:rPr>
              <w:t>924</w:t>
            </w:r>
          </w:p>
        </w:tc>
        <w:tc>
          <w:tcPr>
            <w:tcW w:w="916" w:type="pct"/>
            <w:shd w:val="clear" w:color="000000" w:fill="F2F2F2"/>
            <w:noWrap/>
            <w:vAlign w:val="center"/>
            <w:hideMark/>
          </w:tcPr>
          <w:p w:rsidR="00093DC7" w:rsidRPr="000B21A9" w:rsidRDefault="00093DC7" w:rsidP="007901C2">
            <w:pPr>
              <w:jc w:val="center"/>
              <w:rPr>
                <w:rFonts w:ascii="Verdana" w:hAnsi="Verdana" w:cs="Arial"/>
                <w:b/>
                <w:bCs/>
                <w:sz w:val="20"/>
              </w:rPr>
            </w:pPr>
            <w:r w:rsidRPr="000B21A9">
              <w:rPr>
                <w:rFonts w:ascii="Verdana" w:hAnsi="Verdana" w:cs="Arial"/>
                <w:b/>
                <w:bCs/>
                <w:sz w:val="20"/>
                <w:lang w:val="en-US"/>
              </w:rPr>
              <w:t xml:space="preserve">1 </w:t>
            </w:r>
            <w:r w:rsidR="000B21A9">
              <w:rPr>
                <w:rFonts w:ascii="Verdana" w:hAnsi="Verdana" w:cs="Arial"/>
                <w:b/>
                <w:bCs/>
                <w:sz w:val="20"/>
              </w:rPr>
              <w:t>305</w:t>
            </w:r>
          </w:p>
        </w:tc>
      </w:tr>
      <w:tr w:rsidR="00093DC7" w:rsidRPr="00BA09B6" w:rsidTr="007901C2">
        <w:trPr>
          <w:trHeight w:val="255"/>
          <w:tblCellSpacing w:w="1440" w:type="nil"/>
        </w:trPr>
        <w:tc>
          <w:tcPr>
            <w:tcW w:w="3168" w:type="pct"/>
            <w:shd w:val="clear" w:color="000000" w:fill="FFFFFF"/>
            <w:noWrap/>
            <w:vAlign w:val="center"/>
            <w:hideMark/>
          </w:tcPr>
          <w:p w:rsidR="00093DC7" w:rsidRPr="00BA09B6" w:rsidRDefault="00093DC7" w:rsidP="007901C2">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lastRenderedPageBreak/>
              <w:t>Финансови</w:t>
            </w:r>
            <w:proofErr w:type="spellEnd"/>
            <w:r w:rsidRPr="00BA09B6">
              <w:rPr>
                <w:rFonts w:ascii="Verdana" w:hAnsi="Verdana" w:cs="Arial"/>
                <w:b/>
                <w:bCs/>
                <w:color w:val="000000"/>
                <w:sz w:val="20"/>
                <w:lang w:val="en-US"/>
              </w:rPr>
              <w:t xml:space="preserve"> </w:t>
            </w:r>
            <w:proofErr w:type="spellStart"/>
            <w:r w:rsidRPr="00BA09B6">
              <w:rPr>
                <w:rFonts w:ascii="Verdana" w:hAnsi="Verdana" w:cs="Arial"/>
                <w:b/>
                <w:bCs/>
                <w:color w:val="000000"/>
                <w:sz w:val="20"/>
                <w:lang w:val="en-US"/>
              </w:rPr>
              <w:t>пасиви</w:t>
            </w:r>
            <w:proofErr w:type="spellEnd"/>
          </w:p>
        </w:tc>
        <w:tc>
          <w:tcPr>
            <w:tcW w:w="916" w:type="pct"/>
            <w:shd w:val="clear" w:color="000000" w:fill="FFFFFF"/>
            <w:noWrap/>
            <w:vAlign w:val="center"/>
            <w:hideMark/>
          </w:tcPr>
          <w:p w:rsidR="00093DC7" w:rsidRPr="000B21A9" w:rsidRDefault="00093DC7" w:rsidP="007901C2">
            <w:pPr>
              <w:jc w:val="center"/>
              <w:rPr>
                <w:rFonts w:ascii="Verdana" w:hAnsi="Verdana" w:cs="Arial"/>
                <w:b/>
                <w:bCs/>
                <w:sz w:val="20"/>
                <w:lang w:val="en-US"/>
              </w:rPr>
            </w:pPr>
            <w:r w:rsidRPr="000B21A9">
              <w:rPr>
                <w:rFonts w:ascii="Verdana" w:hAnsi="Verdana" w:cs="Arial"/>
                <w:b/>
                <w:bCs/>
                <w:sz w:val="20"/>
                <w:lang w:val="en-US"/>
              </w:rPr>
              <w:t>3</w:t>
            </w:r>
            <w:r w:rsidRPr="000B21A9">
              <w:rPr>
                <w:rFonts w:ascii="Verdana" w:hAnsi="Verdana" w:cs="Arial"/>
                <w:b/>
                <w:bCs/>
                <w:sz w:val="20"/>
              </w:rPr>
              <w:t>0</w:t>
            </w:r>
            <w:r w:rsidRPr="000B21A9">
              <w:rPr>
                <w:rFonts w:ascii="Verdana" w:hAnsi="Verdana" w:cs="Arial"/>
                <w:b/>
                <w:bCs/>
                <w:sz w:val="20"/>
                <w:lang w:val="en-US"/>
              </w:rPr>
              <w:t>.</w:t>
            </w:r>
            <w:r w:rsidRPr="000B21A9">
              <w:rPr>
                <w:rFonts w:ascii="Verdana" w:hAnsi="Verdana" w:cs="Arial"/>
                <w:b/>
                <w:bCs/>
                <w:sz w:val="20"/>
              </w:rPr>
              <w:t>06</w:t>
            </w:r>
            <w:r w:rsidRPr="000B21A9">
              <w:rPr>
                <w:rFonts w:ascii="Verdana" w:hAnsi="Verdana" w:cs="Arial"/>
                <w:b/>
                <w:bCs/>
                <w:sz w:val="20"/>
                <w:lang w:val="en-US"/>
              </w:rPr>
              <w:t>.201</w:t>
            </w:r>
            <w:r w:rsidR="00791948">
              <w:rPr>
                <w:rFonts w:ascii="Verdana" w:hAnsi="Verdana" w:cs="Arial"/>
                <w:b/>
                <w:bCs/>
                <w:sz w:val="20"/>
              </w:rPr>
              <w:t>9</w:t>
            </w:r>
            <w:r w:rsidRPr="000B21A9">
              <w:rPr>
                <w:rFonts w:ascii="Verdana" w:hAnsi="Verdana" w:cs="Arial"/>
                <w:b/>
                <w:bCs/>
                <w:sz w:val="20"/>
                <w:lang w:val="en-US"/>
              </w:rPr>
              <w:t xml:space="preserve"> г.</w:t>
            </w:r>
          </w:p>
        </w:tc>
        <w:tc>
          <w:tcPr>
            <w:tcW w:w="916" w:type="pct"/>
            <w:shd w:val="clear" w:color="000000" w:fill="FFFFFF"/>
            <w:noWrap/>
            <w:vAlign w:val="center"/>
            <w:hideMark/>
          </w:tcPr>
          <w:p w:rsidR="00093DC7" w:rsidRPr="000B21A9" w:rsidRDefault="00093DC7" w:rsidP="007901C2">
            <w:pPr>
              <w:jc w:val="center"/>
              <w:rPr>
                <w:rFonts w:ascii="Verdana" w:hAnsi="Verdana" w:cs="Arial"/>
                <w:b/>
                <w:bCs/>
                <w:color w:val="000000"/>
                <w:sz w:val="20"/>
                <w:lang w:val="en-US"/>
              </w:rPr>
            </w:pPr>
            <w:r w:rsidRPr="000B21A9">
              <w:rPr>
                <w:rFonts w:ascii="Verdana" w:hAnsi="Verdana" w:cs="Arial"/>
                <w:b/>
                <w:bCs/>
                <w:color w:val="000000"/>
                <w:sz w:val="20"/>
                <w:lang w:val="en-US"/>
              </w:rPr>
              <w:t>3</w:t>
            </w:r>
            <w:r w:rsidRPr="000B21A9">
              <w:rPr>
                <w:rFonts w:ascii="Verdana" w:hAnsi="Verdana" w:cs="Arial"/>
                <w:b/>
                <w:bCs/>
                <w:color w:val="000000"/>
                <w:sz w:val="20"/>
              </w:rPr>
              <w:t>0</w:t>
            </w:r>
            <w:r w:rsidRPr="000B21A9">
              <w:rPr>
                <w:rFonts w:ascii="Verdana" w:hAnsi="Verdana" w:cs="Arial"/>
                <w:b/>
                <w:bCs/>
                <w:color w:val="000000"/>
                <w:sz w:val="20"/>
                <w:lang w:val="en-US"/>
              </w:rPr>
              <w:t>.</w:t>
            </w:r>
            <w:r w:rsidRPr="000B21A9">
              <w:rPr>
                <w:rFonts w:ascii="Verdana" w:hAnsi="Verdana" w:cs="Arial"/>
                <w:b/>
                <w:bCs/>
                <w:color w:val="000000"/>
                <w:sz w:val="20"/>
              </w:rPr>
              <w:t>06</w:t>
            </w:r>
            <w:r w:rsidRPr="000B21A9">
              <w:rPr>
                <w:rFonts w:ascii="Verdana" w:hAnsi="Verdana" w:cs="Arial"/>
                <w:b/>
                <w:bCs/>
                <w:color w:val="000000"/>
                <w:sz w:val="20"/>
                <w:lang w:val="en-US"/>
              </w:rPr>
              <w:t>.201</w:t>
            </w:r>
            <w:r w:rsidR="00791948">
              <w:rPr>
                <w:rFonts w:ascii="Verdana" w:hAnsi="Verdana" w:cs="Arial"/>
                <w:b/>
                <w:bCs/>
                <w:color w:val="000000"/>
                <w:sz w:val="20"/>
              </w:rPr>
              <w:t>8</w:t>
            </w:r>
            <w:r w:rsidRPr="000B21A9">
              <w:rPr>
                <w:rFonts w:ascii="Verdana" w:hAnsi="Verdana" w:cs="Arial"/>
                <w:b/>
                <w:bCs/>
                <w:color w:val="000000"/>
                <w:sz w:val="20"/>
                <w:lang w:val="en-US"/>
              </w:rPr>
              <w:t xml:space="preserve"> г.</w:t>
            </w:r>
          </w:p>
        </w:tc>
      </w:tr>
      <w:tr w:rsidR="00093DC7" w:rsidRPr="00BA09B6" w:rsidTr="007901C2">
        <w:trPr>
          <w:trHeight w:val="255"/>
          <w:tblCellSpacing w:w="1440" w:type="nil"/>
        </w:trPr>
        <w:tc>
          <w:tcPr>
            <w:tcW w:w="3117" w:type="pct"/>
            <w:shd w:val="clear" w:color="000000" w:fill="FFFFFF"/>
            <w:vAlign w:val="center"/>
            <w:hideMark/>
          </w:tcPr>
          <w:p w:rsidR="00093DC7" w:rsidRPr="00BA09B6" w:rsidRDefault="00093DC7" w:rsidP="007901C2">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t>Текущи</w:t>
            </w:r>
            <w:proofErr w:type="spellEnd"/>
            <w:r w:rsidRPr="00BA09B6">
              <w:rPr>
                <w:rFonts w:ascii="Verdana" w:hAnsi="Verdana" w:cs="Arial"/>
                <w:b/>
                <w:bCs/>
                <w:color w:val="000000"/>
                <w:sz w:val="20"/>
                <w:lang w:val="en-US"/>
              </w:rPr>
              <w:t xml:space="preserve"> </w:t>
            </w:r>
            <w:proofErr w:type="spellStart"/>
            <w:r w:rsidRPr="00BA09B6">
              <w:rPr>
                <w:rFonts w:ascii="Verdana" w:hAnsi="Verdana" w:cs="Arial"/>
                <w:b/>
                <w:bCs/>
                <w:color w:val="000000"/>
                <w:sz w:val="20"/>
                <w:lang w:val="en-US"/>
              </w:rPr>
              <w:t>търговски</w:t>
            </w:r>
            <w:proofErr w:type="spellEnd"/>
            <w:r w:rsidRPr="00BA09B6">
              <w:rPr>
                <w:rFonts w:ascii="Verdana" w:hAnsi="Verdana" w:cs="Arial"/>
                <w:b/>
                <w:bCs/>
                <w:color w:val="000000"/>
                <w:sz w:val="20"/>
                <w:lang w:val="en-US"/>
              </w:rPr>
              <w:t xml:space="preserve"> и </w:t>
            </w:r>
            <w:proofErr w:type="spellStart"/>
            <w:r w:rsidRPr="00BA09B6">
              <w:rPr>
                <w:rFonts w:ascii="Verdana" w:hAnsi="Verdana" w:cs="Arial"/>
                <w:b/>
                <w:bCs/>
                <w:color w:val="000000"/>
                <w:sz w:val="20"/>
                <w:lang w:val="en-US"/>
              </w:rPr>
              <w:t>други</w:t>
            </w:r>
            <w:proofErr w:type="spellEnd"/>
            <w:r w:rsidRPr="00BA09B6">
              <w:rPr>
                <w:rFonts w:ascii="Verdana" w:hAnsi="Verdana" w:cs="Arial"/>
                <w:b/>
                <w:bCs/>
                <w:color w:val="000000"/>
                <w:sz w:val="20"/>
                <w:lang w:val="en-US"/>
              </w:rPr>
              <w:t xml:space="preserve"> </w:t>
            </w:r>
            <w:proofErr w:type="spellStart"/>
            <w:r w:rsidRPr="00BA09B6">
              <w:rPr>
                <w:rFonts w:ascii="Verdana" w:hAnsi="Verdana" w:cs="Arial"/>
                <w:b/>
                <w:bCs/>
                <w:color w:val="000000"/>
                <w:sz w:val="20"/>
                <w:lang w:val="en-US"/>
              </w:rPr>
              <w:t>задължения</w:t>
            </w:r>
            <w:proofErr w:type="spellEnd"/>
          </w:p>
        </w:tc>
        <w:tc>
          <w:tcPr>
            <w:tcW w:w="901" w:type="pct"/>
            <w:shd w:val="clear" w:color="auto" w:fill="auto"/>
            <w:noWrap/>
            <w:vAlign w:val="center"/>
            <w:hideMark/>
          </w:tcPr>
          <w:p w:rsidR="00093DC7" w:rsidRPr="000B21A9" w:rsidRDefault="0030100B" w:rsidP="007901C2">
            <w:pPr>
              <w:jc w:val="center"/>
              <w:rPr>
                <w:rFonts w:ascii="Verdana" w:hAnsi="Verdana" w:cs="Arial"/>
                <w:b/>
                <w:bCs/>
                <w:sz w:val="20"/>
              </w:rPr>
            </w:pPr>
            <w:r w:rsidRPr="000B21A9">
              <w:rPr>
                <w:rFonts w:ascii="Verdana" w:hAnsi="Verdana" w:cs="Arial"/>
                <w:b/>
                <w:bCs/>
                <w:sz w:val="20"/>
              </w:rPr>
              <w:t>549</w:t>
            </w:r>
          </w:p>
        </w:tc>
        <w:tc>
          <w:tcPr>
            <w:tcW w:w="901" w:type="pct"/>
            <w:shd w:val="clear" w:color="auto" w:fill="auto"/>
            <w:noWrap/>
            <w:vAlign w:val="center"/>
            <w:hideMark/>
          </w:tcPr>
          <w:p w:rsidR="00093DC7" w:rsidRPr="000B21A9" w:rsidRDefault="00093DC7" w:rsidP="0030100B">
            <w:pPr>
              <w:jc w:val="center"/>
              <w:rPr>
                <w:rFonts w:ascii="Verdana" w:hAnsi="Verdana" w:cs="Arial"/>
                <w:b/>
                <w:bCs/>
                <w:sz w:val="20"/>
              </w:rPr>
            </w:pPr>
            <w:r w:rsidRPr="000B21A9">
              <w:rPr>
                <w:rFonts w:ascii="Verdana" w:hAnsi="Verdana" w:cs="Arial"/>
                <w:b/>
                <w:bCs/>
                <w:sz w:val="20"/>
              </w:rPr>
              <w:t>3 5</w:t>
            </w:r>
            <w:r w:rsidR="0030100B" w:rsidRPr="000B21A9">
              <w:rPr>
                <w:rFonts w:ascii="Verdana" w:hAnsi="Verdana" w:cs="Arial"/>
                <w:b/>
                <w:bCs/>
                <w:sz w:val="20"/>
              </w:rPr>
              <w:t>37</w:t>
            </w:r>
          </w:p>
        </w:tc>
      </w:tr>
      <w:tr w:rsidR="00093DC7" w:rsidRPr="00BA09B6" w:rsidTr="007901C2">
        <w:trPr>
          <w:trHeight w:val="255"/>
          <w:tblCellSpacing w:w="1440" w:type="nil"/>
        </w:trPr>
        <w:tc>
          <w:tcPr>
            <w:tcW w:w="3117" w:type="pct"/>
            <w:shd w:val="clear" w:color="000000" w:fill="FFFFFF"/>
            <w:vAlign w:val="center"/>
            <w:hideMark/>
          </w:tcPr>
          <w:p w:rsidR="00093DC7" w:rsidRPr="00BA09B6" w:rsidRDefault="00093DC7" w:rsidP="007901C2">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t>Задължения</w:t>
            </w:r>
            <w:proofErr w:type="spellEnd"/>
            <w:r w:rsidRPr="00BA09B6">
              <w:rPr>
                <w:rFonts w:ascii="Verdana" w:hAnsi="Verdana" w:cs="Arial"/>
                <w:b/>
                <w:bCs/>
                <w:color w:val="000000"/>
                <w:sz w:val="20"/>
                <w:lang w:val="en-US"/>
              </w:rPr>
              <w:t xml:space="preserve"> </w:t>
            </w:r>
            <w:proofErr w:type="spellStart"/>
            <w:r w:rsidRPr="00BA09B6">
              <w:rPr>
                <w:rFonts w:ascii="Verdana" w:hAnsi="Verdana" w:cs="Arial"/>
                <w:b/>
                <w:bCs/>
                <w:color w:val="000000"/>
                <w:sz w:val="20"/>
                <w:lang w:val="en-US"/>
              </w:rPr>
              <w:t>по</w:t>
            </w:r>
            <w:proofErr w:type="spellEnd"/>
            <w:r w:rsidRPr="00BA09B6">
              <w:rPr>
                <w:rFonts w:ascii="Verdana" w:hAnsi="Verdana" w:cs="Arial"/>
                <w:b/>
                <w:bCs/>
                <w:color w:val="000000"/>
                <w:sz w:val="20"/>
                <w:lang w:val="en-US"/>
              </w:rPr>
              <w:t xml:space="preserve"> </w:t>
            </w:r>
            <w:proofErr w:type="spellStart"/>
            <w:r w:rsidRPr="00BA09B6">
              <w:rPr>
                <w:rFonts w:ascii="Verdana" w:hAnsi="Verdana" w:cs="Arial"/>
                <w:b/>
                <w:bCs/>
                <w:color w:val="000000"/>
                <w:sz w:val="20"/>
                <w:lang w:val="en-US"/>
              </w:rPr>
              <w:t>кредити</w:t>
            </w:r>
            <w:proofErr w:type="spellEnd"/>
            <w:r w:rsidRPr="00BA09B6">
              <w:rPr>
                <w:rFonts w:ascii="Verdana" w:hAnsi="Verdana" w:cs="Arial"/>
                <w:b/>
                <w:bCs/>
                <w:color w:val="000000"/>
                <w:sz w:val="20"/>
                <w:lang w:val="en-US"/>
              </w:rPr>
              <w:t xml:space="preserve">, в </w:t>
            </w:r>
            <w:proofErr w:type="spellStart"/>
            <w:r w:rsidRPr="00BA09B6">
              <w:rPr>
                <w:rFonts w:ascii="Verdana" w:hAnsi="Verdana" w:cs="Arial"/>
                <w:b/>
                <w:bCs/>
                <w:color w:val="000000"/>
                <w:sz w:val="20"/>
                <w:lang w:val="en-US"/>
              </w:rPr>
              <w:t>т.ч</w:t>
            </w:r>
            <w:proofErr w:type="spellEnd"/>
            <w:r w:rsidRPr="00BA09B6">
              <w:rPr>
                <w:rFonts w:ascii="Verdana" w:hAnsi="Verdana" w:cs="Arial"/>
                <w:b/>
                <w:bCs/>
                <w:color w:val="000000"/>
                <w:sz w:val="20"/>
                <w:lang w:val="en-US"/>
              </w:rPr>
              <w:t>.:</w:t>
            </w:r>
          </w:p>
        </w:tc>
        <w:tc>
          <w:tcPr>
            <w:tcW w:w="901" w:type="pct"/>
            <w:shd w:val="clear" w:color="auto" w:fill="auto"/>
            <w:noWrap/>
            <w:vAlign w:val="center"/>
            <w:hideMark/>
          </w:tcPr>
          <w:p w:rsidR="00093DC7" w:rsidRPr="000B21A9" w:rsidRDefault="000B21A9" w:rsidP="007901C2">
            <w:pPr>
              <w:jc w:val="center"/>
              <w:rPr>
                <w:rFonts w:ascii="Verdana" w:hAnsi="Verdana" w:cs="Arial"/>
                <w:b/>
                <w:bCs/>
                <w:sz w:val="20"/>
              </w:rPr>
            </w:pPr>
            <w:r w:rsidRPr="000B21A9">
              <w:rPr>
                <w:rFonts w:ascii="Verdana" w:hAnsi="Verdana" w:cs="Arial"/>
                <w:b/>
                <w:bCs/>
                <w:sz w:val="20"/>
              </w:rPr>
              <w:t>206</w:t>
            </w:r>
          </w:p>
        </w:tc>
        <w:tc>
          <w:tcPr>
            <w:tcW w:w="901" w:type="pct"/>
            <w:shd w:val="clear" w:color="auto" w:fill="auto"/>
            <w:noWrap/>
            <w:vAlign w:val="center"/>
            <w:hideMark/>
          </w:tcPr>
          <w:p w:rsidR="00093DC7" w:rsidRPr="000B21A9" w:rsidRDefault="000B21A9" w:rsidP="007901C2">
            <w:pPr>
              <w:jc w:val="center"/>
              <w:rPr>
                <w:rFonts w:ascii="Verdana" w:hAnsi="Verdana" w:cs="Arial"/>
                <w:b/>
                <w:bCs/>
                <w:sz w:val="20"/>
              </w:rPr>
            </w:pPr>
            <w:r w:rsidRPr="000B21A9">
              <w:rPr>
                <w:rFonts w:ascii="Verdana" w:hAnsi="Verdana" w:cs="Arial"/>
                <w:b/>
                <w:bCs/>
                <w:sz w:val="20"/>
              </w:rPr>
              <w:t>1 337</w:t>
            </w:r>
          </w:p>
        </w:tc>
      </w:tr>
      <w:tr w:rsidR="00093DC7" w:rsidRPr="00BA09B6" w:rsidTr="007901C2">
        <w:trPr>
          <w:trHeight w:val="255"/>
          <w:tblCellSpacing w:w="1440" w:type="nil"/>
        </w:trPr>
        <w:tc>
          <w:tcPr>
            <w:tcW w:w="3117" w:type="pct"/>
            <w:shd w:val="clear" w:color="000000" w:fill="FFFFFF"/>
            <w:vAlign w:val="center"/>
            <w:hideMark/>
          </w:tcPr>
          <w:p w:rsidR="00093DC7" w:rsidRPr="00BA09B6" w:rsidRDefault="00093DC7" w:rsidP="007901C2">
            <w:pPr>
              <w:jc w:val="left"/>
              <w:rPr>
                <w:rFonts w:ascii="Verdana" w:hAnsi="Verdana" w:cs="Arial"/>
                <w:color w:val="000000"/>
                <w:sz w:val="20"/>
                <w:lang w:val="en-US"/>
              </w:rPr>
            </w:pPr>
            <w:r w:rsidRPr="00BA09B6">
              <w:rPr>
                <w:rFonts w:ascii="Verdana" w:hAnsi="Verdana" w:cs="Arial"/>
                <w:color w:val="000000"/>
                <w:sz w:val="20"/>
                <w:lang w:val="en-US"/>
              </w:rPr>
              <w:t xml:space="preserve">-       </w:t>
            </w:r>
            <w:proofErr w:type="spellStart"/>
            <w:r w:rsidRPr="00BA09B6">
              <w:rPr>
                <w:rFonts w:ascii="Verdana" w:hAnsi="Verdana" w:cs="Arial"/>
                <w:color w:val="000000"/>
                <w:sz w:val="20"/>
                <w:lang w:val="en-US"/>
              </w:rPr>
              <w:t>Нетекущи</w:t>
            </w:r>
            <w:proofErr w:type="spellEnd"/>
          </w:p>
        </w:tc>
        <w:tc>
          <w:tcPr>
            <w:tcW w:w="901" w:type="pct"/>
            <w:shd w:val="clear" w:color="auto" w:fill="auto"/>
            <w:noWrap/>
            <w:vAlign w:val="center"/>
            <w:hideMark/>
          </w:tcPr>
          <w:p w:rsidR="00093DC7" w:rsidRPr="00BA09B6" w:rsidRDefault="00FC5B99" w:rsidP="007901C2">
            <w:pPr>
              <w:jc w:val="center"/>
              <w:rPr>
                <w:rFonts w:ascii="Verdana" w:hAnsi="Verdana" w:cs="Arial"/>
                <w:sz w:val="20"/>
              </w:rPr>
            </w:pPr>
            <w:r>
              <w:rPr>
                <w:rFonts w:ascii="Verdana" w:hAnsi="Verdana" w:cs="Arial"/>
                <w:sz w:val="20"/>
              </w:rPr>
              <w:t>-</w:t>
            </w:r>
          </w:p>
        </w:tc>
        <w:tc>
          <w:tcPr>
            <w:tcW w:w="901" w:type="pct"/>
            <w:shd w:val="clear" w:color="auto" w:fill="auto"/>
            <w:noWrap/>
            <w:vAlign w:val="center"/>
            <w:hideMark/>
          </w:tcPr>
          <w:p w:rsidR="00093DC7" w:rsidRPr="00BA09B6" w:rsidRDefault="00093DC7" w:rsidP="007901C2">
            <w:pPr>
              <w:jc w:val="center"/>
              <w:rPr>
                <w:rFonts w:ascii="Verdana" w:hAnsi="Verdana" w:cs="Arial"/>
                <w:sz w:val="20"/>
              </w:rPr>
            </w:pPr>
            <w:r w:rsidRPr="00BA09B6">
              <w:rPr>
                <w:rFonts w:ascii="Verdana" w:hAnsi="Verdana" w:cs="Arial"/>
                <w:sz w:val="20"/>
              </w:rPr>
              <w:t>378</w:t>
            </w:r>
          </w:p>
        </w:tc>
      </w:tr>
      <w:tr w:rsidR="00093DC7" w:rsidRPr="00BA09B6" w:rsidTr="007901C2">
        <w:trPr>
          <w:trHeight w:val="255"/>
          <w:tblCellSpacing w:w="1440" w:type="nil"/>
        </w:trPr>
        <w:tc>
          <w:tcPr>
            <w:tcW w:w="3117" w:type="pct"/>
            <w:shd w:val="clear" w:color="000000" w:fill="FFFFFF"/>
            <w:vAlign w:val="center"/>
            <w:hideMark/>
          </w:tcPr>
          <w:p w:rsidR="00093DC7" w:rsidRPr="00BA09B6" w:rsidRDefault="00093DC7" w:rsidP="007901C2">
            <w:pPr>
              <w:jc w:val="left"/>
              <w:rPr>
                <w:rFonts w:ascii="Verdana" w:hAnsi="Verdana" w:cs="Arial"/>
                <w:color w:val="000000"/>
                <w:sz w:val="20"/>
                <w:lang w:val="en-US"/>
              </w:rPr>
            </w:pPr>
            <w:r w:rsidRPr="00BA09B6">
              <w:rPr>
                <w:rFonts w:ascii="Verdana" w:hAnsi="Verdana" w:cs="Arial"/>
                <w:color w:val="000000"/>
                <w:sz w:val="20"/>
                <w:lang w:val="en-US"/>
              </w:rPr>
              <w:t xml:space="preserve">-       </w:t>
            </w:r>
            <w:proofErr w:type="spellStart"/>
            <w:r w:rsidRPr="00BA09B6">
              <w:rPr>
                <w:rFonts w:ascii="Verdana" w:hAnsi="Verdana" w:cs="Arial"/>
                <w:color w:val="000000"/>
                <w:sz w:val="20"/>
                <w:lang w:val="en-US"/>
              </w:rPr>
              <w:t>Текущи</w:t>
            </w:r>
            <w:proofErr w:type="spellEnd"/>
          </w:p>
        </w:tc>
        <w:tc>
          <w:tcPr>
            <w:tcW w:w="901" w:type="pct"/>
            <w:shd w:val="clear" w:color="auto" w:fill="auto"/>
            <w:noWrap/>
            <w:vAlign w:val="center"/>
            <w:hideMark/>
          </w:tcPr>
          <w:p w:rsidR="00093DC7" w:rsidRPr="00BA09B6" w:rsidRDefault="00FC5B99" w:rsidP="007901C2">
            <w:pPr>
              <w:jc w:val="center"/>
              <w:rPr>
                <w:rFonts w:ascii="Verdana" w:hAnsi="Verdana" w:cs="Arial"/>
                <w:sz w:val="20"/>
              </w:rPr>
            </w:pPr>
            <w:r>
              <w:rPr>
                <w:rFonts w:ascii="Verdana" w:hAnsi="Verdana" w:cs="Arial"/>
                <w:sz w:val="20"/>
              </w:rPr>
              <w:t>206</w:t>
            </w:r>
          </w:p>
        </w:tc>
        <w:tc>
          <w:tcPr>
            <w:tcW w:w="901" w:type="pct"/>
            <w:shd w:val="clear" w:color="auto" w:fill="auto"/>
            <w:noWrap/>
            <w:vAlign w:val="center"/>
            <w:hideMark/>
          </w:tcPr>
          <w:p w:rsidR="00093DC7" w:rsidRPr="00BA09B6" w:rsidRDefault="0030100B" w:rsidP="007901C2">
            <w:pPr>
              <w:jc w:val="center"/>
              <w:rPr>
                <w:rFonts w:ascii="Verdana" w:hAnsi="Verdana" w:cs="Arial"/>
                <w:sz w:val="20"/>
              </w:rPr>
            </w:pPr>
            <w:r>
              <w:rPr>
                <w:rFonts w:ascii="Verdana" w:hAnsi="Verdana" w:cs="Arial"/>
                <w:sz w:val="20"/>
              </w:rPr>
              <w:t>959</w:t>
            </w:r>
          </w:p>
        </w:tc>
      </w:tr>
      <w:tr w:rsidR="00093DC7" w:rsidTr="007901C2">
        <w:trPr>
          <w:trHeight w:val="255"/>
          <w:tblCellSpacing w:w="1440" w:type="nil"/>
        </w:trPr>
        <w:tc>
          <w:tcPr>
            <w:tcW w:w="3117" w:type="pct"/>
            <w:shd w:val="clear" w:color="000000" w:fill="F2F2F2"/>
            <w:noWrap/>
            <w:vAlign w:val="center"/>
            <w:hideMark/>
          </w:tcPr>
          <w:p w:rsidR="00093DC7" w:rsidRPr="00BA09B6" w:rsidRDefault="00093DC7" w:rsidP="007901C2">
            <w:pPr>
              <w:jc w:val="left"/>
              <w:rPr>
                <w:rFonts w:ascii="Verdana" w:hAnsi="Verdana" w:cs="Arial"/>
                <w:b/>
                <w:bCs/>
                <w:sz w:val="20"/>
                <w:lang w:val="en-US"/>
              </w:rPr>
            </w:pPr>
            <w:proofErr w:type="spellStart"/>
            <w:r w:rsidRPr="00BA09B6">
              <w:rPr>
                <w:rFonts w:ascii="Verdana" w:hAnsi="Verdana" w:cs="Arial"/>
                <w:b/>
                <w:bCs/>
                <w:sz w:val="20"/>
                <w:lang w:val="en-US"/>
              </w:rPr>
              <w:t>Общо</w:t>
            </w:r>
            <w:proofErr w:type="spellEnd"/>
            <w:r w:rsidRPr="00BA09B6">
              <w:rPr>
                <w:rFonts w:ascii="Verdana" w:hAnsi="Verdana" w:cs="Arial"/>
                <w:b/>
                <w:bCs/>
                <w:sz w:val="20"/>
                <w:lang w:val="en-US"/>
              </w:rPr>
              <w:t xml:space="preserve"> </w:t>
            </w:r>
            <w:proofErr w:type="spellStart"/>
            <w:r w:rsidRPr="00BA09B6">
              <w:rPr>
                <w:rFonts w:ascii="Verdana" w:hAnsi="Verdana" w:cs="Arial"/>
                <w:b/>
                <w:bCs/>
                <w:sz w:val="20"/>
                <w:lang w:val="en-US"/>
              </w:rPr>
              <w:t>финансови</w:t>
            </w:r>
            <w:proofErr w:type="spellEnd"/>
            <w:r w:rsidRPr="00BA09B6">
              <w:rPr>
                <w:rFonts w:ascii="Verdana" w:hAnsi="Verdana" w:cs="Arial"/>
                <w:b/>
                <w:bCs/>
                <w:sz w:val="20"/>
                <w:lang w:val="en-US"/>
              </w:rPr>
              <w:t xml:space="preserve"> </w:t>
            </w:r>
            <w:proofErr w:type="spellStart"/>
            <w:r w:rsidRPr="00BA09B6">
              <w:rPr>
                <w:rFonts w:ascii="Verdana" w:hAnsi="Verdana" w:cs="Arial"/>
                <w:b/>
                <w:bCs/>
                <w:sz w:val="20"/>
                <w:lang w:val="en-US"/>
              </w:rPr>
              <w:t>пасиви</w:t>
            </w:r>
            <w:proofErr w:type="spellEnd"/>
          </w:p>
        </w:tc>
        <w:tc>
          <w:tcPr>
            <w:tcW w:w="901" w:type="pct"/>
            <w:shd w:val="clear" w:color="000000" w:fill="F2F2F2"/>
            <w:noWrap/>
            <w:vAlign w:val="center"/>
            <w:hideMark/>
          </w:tcPr>
          <w:p w:rsidR="00093DC7" w:rsidRPr="00BA09B6" w:rsidRDefault="000B21A9" w:rsidP="007901C2">
            <w:pPr>
              <w:jc w:val="center"/>
              <w:rPr>
                <w:rFonts w:ascii="Verdana" w:hAnsi="Verdana" w:cs="Arial"/>
                <w:b/>
                <w:bCs/>
                <w:sz w:val="20"/>
              </w:rPr>
            </w:pPr>
            <w:r>
              <w:rPr>
                <w:rFonts w:ascii="Verdana" w:hAnsi="Verdana" w:cs="Arial"/>
                <w:b/>
                <w:bCs/>
                <w:sz w:val="20"/>
              </w:rPr>
              <w:t>755</w:t>
            </w:r>
          </w:p>
        </w:tc>
        <w:tc>
          <w:tcPr>
            <w:tcW w:w="901" w:type="pct"/>
            <w:shd w:val="clear" w:color="000000" w:fill="F2F2F2"/>
            <w:noWrap/>
            <w:vAlign w:val="center"/>
            <w:hideMark/>
          </w:tcPr>
          <w:p w:rsidR="00093DC7" w:rsidRPr="00BA09B6" w:rsidRDefault="000B21A9" w:rsidP="007901C2">
            <w:pPr>
              <w:jc w:val="center"/>
              <w:rPr>
                <w:rFonts w:ascii="Verdana" w:hAnsi="Verdana" w:cs="Arial"/>
                <w:b/>
                <w:bCs/>
                <w:sz w:val="20"/>
              </w:rPr>
            </w:pPr>
            <w:r>
              <w:rPr>
                <w:rFonts w:ascii="Verdana" w:hAnsi="Verdana" w:cs="Arial"/>
                <w:b/>
                <w:bCs/>
                <w:sz w:val="20"/>
              </w:rPr>
              <w:t>4 874</w:t>
            </w:r>
          </w:p>
        </w:tc>
      </w:tr>
    </w:tbl>
    <w:p w:rsidR="006675AA" w:rsidRDefault="006675AA"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p>
    <w:p w:rsidR="00093DC7" w:rsidRPr="00BF3C91"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BF3C91">
        <w:rPr>
          <w:rFonts w:ascii="Verdana" w:hAnsi="Verdana" w:cs="Arial"/>
          <w:b/>
          <w:sz w:val="20"/>
          <w:lang w:val="bg-BG"/>
        </w:rPr>
        <w:t xml:space="preserve">Фактори, оказали въздействие върху финансовото състояние на дружеството и основни параметри в дейността през </w:t>
      </w:r>
      <w:r>
        <w:rPr>
          <w:rFonts w:ascii="Verdana" w:hAnsi="Verdana" w:cs="Arial"/>
          <w:b/>
          <w:sz w:val="20"/>
          <w:lang w:val="bg-BG"/>
        </w:rPr>
        <w:t>отчетния период</w:t>
      </w:r>
    </w:p>
    <w:p w:rsidR="00093DC7" w:rsidRPr="00C2255D" w:rsidRDefault="00093DC7" w:rsidP="00093DC7">
      <w:pPr>
        <w:spacing w:line="260" w:lineRule="atLeast"/>
        <w:rPr>
          <w:rFonts w:ascii="Verdana" w:hAnsi="Verdana" w:cs="Arial"/>
          <w:sz w:val="20"/>
        </w:rPr>
      </w:pPr>
      <w:r>
        <w:rPr>
          <w:rFonts w:ascii="Verdana" w:hAnsi="Verdana" w:cs="Arial"/>
          <w:sz w:val="20"/>
        </w:rPr>
        <w:t>През</w:t>
      </w:r>
      <w:r w:rsidR="00BC2F3E">
        <w:rPr>
          <w:rFonts w:ascii="Verdana" w:hAnsi="Verdana" w:cs="Arial"/>
          <w:sz w:val="20"/>
        </w:rPr>
        <w:t xml:space="preserve"> разглеждания период /01.</w:t>
      </w:r>
      <w:proofErr w:type="spellStart"/>
      <w:r w:rsidR="00BC2F3E">
        <w:rPr>
          <w:rFonts w:ascii="Verdana" w:hAnsi="Verdana" w:cs="Arial"/>
          <w:sz w:val="20"/>
        </w:rPr>
        <w:t>01</w:t>
      </w:r>
      <w:proofErr w:type="spellEnd"/>
      <w:r w:rsidR="00BC2F3E">
        <w:rPr>
          <w:rFonts w:ascii="Verdana" w:hAnsi="Verdana" w:cs="Arial"/>
          <w:sz w:val="20"/>
        </w:rPr>
        <w:t>.2019 г. – 30.06.2019</w:t>
      </w:r>
      <w:r>
        <w:rPr>
          <w:rFonts w:ascii="Verdana" w:hAnsi="Verdana" w:cs="Arial"/>
          <w:sz w:val="20"/>
        </w:rPr>
        <w:t xml:space="preserve"> г./</w:t>
      </w:r>
      <w:r w:rsidRPr="00C2255D">
        <w:rPr>
          <w:rFonts w:ascii="Verdana" w:hAnsi="Verdana" w:cs="Arial"/>
          <w:sz w:val="20"/>
        </w:rPr>
        <w:t xml:space="preserve"> основните фактори, оказали влияние върху финансовото състояние на Дружеството са свързани с :</w:t>
      </w:r>
    </w:p>
    <w:p w:rsidR="005226F1" w:rsidRPr="00C2255D" w:rsidRDefault="005226F1" w:rsidP="005226F1">
      <w:pPr>
        <w:numPr>
          <w:ilvl w:val="0"/>
          <w:numId w:val="7"/>
        </w:numPr>
        <w:spacing w:line="260" w:lineRule="atLeast"/>
        <w:rPr>
          <w:rFonts w:ascii="Verdana" w:hAnsi="Verdana" w:cs="Arial"/>
          <w:sz w:val="20"/>
        </w:rPr>
      </w:pPr>
      <w:r>
        <w:rPr>
          <w:rFonts w:ascii="Verdana" w:hAnsi="Verdana" w:cs="Arial"/>
          <w:sz w:val="20"/>
        </w:rPr>
        <w:t xml:space="preserve">Увеличение на </w:t>
      </w:r>
      <w:r w:rsidR="00FB5256">
        <w:rPr>
          <w:rFonts w:ascii="Verdana" w:hAnsi="Verdana" w:cs="Arial"/>
          <w:sz w:val="20"/>
        </w:rPr>
        <w:t>уставния капитал</w:t>
      </w:r>
      <w:r>
        <w:rPr>
          <w:rFonts w:ascii="Verdana" w:hAnsi="Verdana" w:cs="Arial"/>
          <w:sz w:val="20"/>
        </w:rPr>
        <w:t xml:space="preserve"> по решение на едноличния собственика, който от 2 099 хил. лв., става на 7 000 хил. лв.</w:t>
      </w:r>
    </w:p>
    <w:p w:rsidR="00093DC7" w:rsidRPr="00C2255D" w:rsidRDefault="00093DC7" w:rsidP="00093DC7">
      <w:pPr>
        <w:pStyle w:val="ListParagraph"/>
        <w:numPr>
          <w:ilvl w:val="0"/>
          <w:numId w:val="7"/>
        </w:numPr>
        <w:spacing w:line="260" w:lineRule="atLeast"/>
        <w:rPr>
          <w:rFonts w:ascii="Verdana" w:hAnsi="Verdana" w:cs="Arial"/>
          <w:sz w:val="20"/>
          <w:lang w:val="en-US"/>
        </w:rPr>
      </w:pPr>
      <w:r w:rsidRPr="00C2255D">
        <w:rPr>
          <w:rFonts w:ascii="Verdana" w:hAnsi="Verdana" w:cs="Arial"/>
          <w:sz w:val="20"/>
        </w:rPr>
        <w:t>Невъзможност за навременно обслужване на текущите задължения, водещо до увеличаване на неустойките за забавено плащане.</w:t>
      </w:r>
    </w:p>
    <w:p w:rsidR="00093DC7" w:rsidRPr="00C2255D" w:rsidRDefault="00093DC7" w:rsidP="00093DC7">
      <w:pPr>
        <w:numPr>
          <w:ilvl w:val="0"/>
          <w:numId w:val="7"/>
        </w:numPr>
        <w:spacing w:line="260" w:lineRule="atLeast"/>
        <w:rPr>
          <w:rFonts w:ascii="Verdana" w:hAnsi="Verdana" w:cs="Arial"/>
          <w:sz w:val="20"/>
        </w:rPr>
      </w:pPr>
      <w:r w:rsidRPr="00C2255D">
        <w:rPr>
          <w:rFonts w:ascii="Verdana" w:hAnsi="Verdana" w:cs="Arial"/>
          <w:sz w:val="20"/>
        </w:rPr>
        <w:t>По-ниски продажни цени на основните продукти на Дружеството – топлинна и електрическа енергия;</w:t>
      </w:r>
    </w:p>
    <w:p w:rsidR="00093DC7" w:rsidRPr="00C2255D" w:rsidRDefault="00093DC7" w:rsidP="00093DC7">
      <w:pPr>
        <w:numPr>
          <w:ilvl w:val="0"/>
          <w:numId w:val="7"/>
        </w:numPr>
        <w:spacing w:line="260" w:lineRule="atLeast"/>
        <w:rPr>
          <w:rFonts w:ascii="Verdana" w:hAnsi="Verdana" w:cs="Arial"/>
          <w:sz w:val="20"/>
        </w:rPr>
      </w:pPr>
      <w:r w:rsidRPr="00C2255D">
        <w:rPr>
          <w:rFonts w:ascii="Verdana" w:hAnsi="Verdana" w:cs="Arial"/>
          <w:sz w:val="20"/>
        </w:rPr>
        <w:t>Липса на навременно отразяване движението на цените на основната суровина, в цените на топлинната и електрическата енергия</w:t>
      </w:r>
      <w:r w:rsidR="005325A8">
        <w:rPr>
          <w:rFonts w:ascii="Verdana" w:hAnsi="Verdana" w:cs="Arial"/>
          <w:sz w:val="20"/>
        </w:rPr>
        <w:t>. През разглеждания период е отчетено увеличение на основната производствена   сурови на природния газ на два пъти считано от  01.</w:t>
      </w:r>
      <w:proofErr w:type="spellStart"/>
      <w:r w:rsidR="005325A8">
        <w:rPr>
          <w:rFonts w:ascii="Verdana" w:hAnsi="Verdana" w:cs="Arial"/>
          <w:sz w:val="20"/>
        </w:rPr>
        <w:t>01</w:t>
      </w:r>
      <w:proofErr w:type="spellEnd"/>
      <w:r w:rsidR="005325A8">
        <w:rPr>
          <w:rFonts w:ascii="Verdana" w:hAnsi="Verdana" w:cs="Arial"/>
          <w:sz w:val="20"/>
        </w:rPr>
        <w:t>.2019г.</w:t>
      </w:r>
      <w:r w:rsidR="005647A5">
        <w:rPr>
          <w:rFonts w:ascii="Verdana" w:hAnsi="Verdana" w:cs="Arial"/>
          <w:sz w:val="20"/>
        </w:rPr>
        <w:t xml:space="preserve"> и 01.04.</w:t>
      </w:r>
      <w:r w:rsidR="005325A8">
        <w:rPr>
          <w:rFonts w:ascii="Verdana" w:hAnsi="Verdana" w:cs="Arial"/>
          <w:sz w:val="20"/>
        </w:rPr>
        <w:t>2019</w:t>
      </w:r>
      <w:r w:rsidR="005647A5">
        <w:rPr>
          <w:rFonts w:ascii="Verdana" w:hAnsi="Verdana" w:cs="Arial"/>
          <w:sz w:val="20"/>
        </w:rPr>
        <w:t>г</w:t>
      </w:r>
      <w:r w:rsidR="005325A8">
        <w:rPr>
          <w:rFonts w:ascii="Verdana" w:hAnsi="Verdana" w:cs="Arial"/>
          <w:sz w:val="20"/>
        </w:rPr>
        <w:t>. Като същото не е довело до увелич</w:t>
      </w:r>
      <w:r w:rsidR="005647A5">
        <w:rPr>
          <w:rFonts w:ascii="Verdana" w:hAnsi="Verdana" w:cs="Arial"/>
          <w:sz w:val="20"/>
        </w:rPr>
        <w:t>е</w:t>
      </w:r>
      <w:r w:rsidR="005325A8">
        <w:rPr>
          <w:rFonts w:ascii="Verdana" w:hAnsi="Verdana" w:cs="Arial"/>
          <w:sz w:val="20"/>
        </w:rPr>
        <w:t>ния на цените на топлинна</w:t>
      </w:r>
      <w:r w:rsidR="005647A5">
        <w:rPr>
          <w:rFonts w:ascii="Verdana" w:hAnsi="Verdana" w:cs="Arial"/>
          <w:sz w:val="20"/>
        </w:rPr>
        <w:t>та</w:t>
      </w:r>
      <w:r w:rsidR="005325A8">
        <w:rPr>
          <w:rFonts w:ascii="Verdana" w:hAnsi="Verdana" w:cs="Arial"/>
          <w:sz w:val="20"/>
        </w:rPr>
        <w:t xml:space="preserve"> и електрич</w:t>
      </w:r>
      <w:r w:rsidR="005647A5">
        <w:rPr>
          <w:rFonts w:ascii="Verdana" w:hAnsi="Verdana" w:cs="Arial"/>
          <w:sz w:val="20"/>
        </w:rPr>
        <w:t>е</w:t>
      </w:r>
      <w:r w:rsidR="005325A8">
        <w:rPr>
          <w:rFonts w:ascii="Verdana" w:hAnsi="Verdana" w:cs="Arial"/>
          <w:sz w:val="20"/>
        </w:rPr>
        <w:t>ска е</w:t>
      </w:r>
      <w:r w:rsidR="005647A5">
        <w:rPr>
          <w:rFonts w:ascii="Verdana" w:hAnsi="Verdana" w:cs="Arial"/>
          <w:sz w:val="20"/>
        </w:rPr>
        <w:t>н</w:t>
      </w:r>
      <w:r w:rsidR="005325A8">
        <w:rPr>
          <w:rFonts w:ascii="Verdana" w:hAnsi="Verdana" w:cs="Arial"/>
          <w:sz w:val="20"/>
        </w:rPr>
        <w:t>ергия</w:t>
      </w:r>
      <w:r w:rsidRPr="00C2255D">
        <w:rPr>
          <w:rFonts w:ascii="Verdana" w:hAnsi="Verdana" w:cs="Arial"/>
          <w:sz w:val="20"/>
        </w:rPr>
        <w:t>;</w:t>
      </w:r>
    </w:p>
    <w:p w:rsidR="00093DC7" w:rsidRDefault="00093DC7" w:rsidP="00093DC7">
      <w:pPr>
        <w:numPr>
          <w:ilvl w:val="0"/>
          <w:numId w:val="7"/>
        </w:numPr>
        <w:spacing w:line="260" w:lineRule="atLeast"/>
        <w:rPr>
          <w:rFonts w:ascii="Verdana" w:hAnsi="Verdana" w:cs="Arial"/>
          <w:sz w:val="20"/>
        </w:rPr>
      </w:pPr>
      <w:r w:rsidRPr="00C2255D">
        <w:rPr>
          <w:rFonts w:ascii="Verdana" w:hAnsi="Verdana" w:cs="Arial"/>
          <w:sz w:val="20"/>
        </w:rPr>
        <w:t>Липса на конкретна държавна политика в Сектора - непрекъсната промяна в основните нормативни документи.</w:t>
      </w:r>
    </w:p>
    <w:p w:rsidR="00093DC7" w:rsidRPr="00C2255D" w:rsidRDefault="00093DC7" w:rsidP="00093DC7">
      <w:pPr>
        <w:spacing w:line="260" w:lineRule="atLeast"/>
        <w:rPr>
          <w:rFonts w:ascii="Verdana" w:hAnsi="Verdana" w:cs="Arial"/>
          <w:bCs/>
          <w:sz w:val="20"/>
        </w:rPr>
      </w:pPr>
    </w:p>
    <w:p w:rsidR="00093DC7" w:rsidRPr="00C2255D" w:rsidRDefault="00093DC7" w:rsidP="00093DC7">
      <w:pPr>
        <w:pStyle w:val="Document1"/>
        <w:keepNext w:val="0"/>
        <w:keepLines w:val="0"/>
        <w:widowControl/>
        <w:tabs>
          <w:tab w:val="clear" w:pos="-720"/>
        </w:tabs>
        <w:suppressAutoHyphens w:val="0"/>
        <w:spacing w:line="260" w:lineRule="atLeast"/>
        <w:jc w:val="both"/>
        <w:rPr>
          <w:rFonts w:ascii="Verdana" w:hAnsi="Verdana" w:cs="Arial"/>
          <w:b/>
          <w:sz w:val="20"/>
          <w:lang w:val="bg-BG"/>
        </w:rPr>
      </w:pPr>
      <w:r w:rsidRPr="00C2255D">
        <w:rPr>
          <w:rFonts w:ascii="Verdana" w:hAnsi="Verdana" w:cs="Arial"/>
          <w:b/>
          <w:sz w:val="20"/>
          <w:lang w:val="bg-BG"/>
        </w:rPr>
        <w:t xml:space="preserve">Стопански цели </w:t>
      </w:r>
    </w:p>
    <w:p w:rsidR="00093DC7" w:rsidRPr="00C2255D" w:rsidRDefault="00093DC7" w:rsidP="00093DC7">
      <w:pPr>
        <w:spacing w:line="260" w:lineRule="atLeast"/>
        <w:rPr>
          <w:rFonts w:ascii="Verdana" w:hAnsi="Verdana" w:cs="Arial"/>
          <w:i/>
          <w:sz w:val="20"/>
        </w:rPr>
      </w:pPr>
      <w:r w:rsidRPr="00C2255D">
        <w:rPr>
          <w:rFonts w:ascii="Verdana" w:hAnsi="Verdana" w:cs="Arial"/>
          <w:i/>
          <w:sz w:val="20"/>
        </w:rPr>
        <w:t>Предвиждано развитие на Дружеството</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Ръководството не предвижда промени в развитието на основната дейност на Дружеството.</w:t>
      </w:r>
    </w:p>
    <w:p w:rsidR="00093DC7" w:rsidRPr="00C2255D" w:rsidRDefault="00093DC7" w:rsidP="00093DC7">
      <w:pPr>
        <w:spacing w:line="260" w:lineRule="atLeast"/>
        <w:rPr>
          <w:rFonts w:ascii="Verdana" w:hAnsi="Verdana" w:cs="Arial"/>
          <w:sz w:val="20"/>
        </w:rPr>
      </w:pPr>
    </w:p>
    <w:p w:rsidR="00093DC7" w:rsidRPr="00C2255D" w:rsidRDefault="00093DC7" w:rsidP="00093DC7">
      <w:pPr>
        <w:spacing w:line="260" w:lineRule="atLeast"/>
        <w:rPr>
          <w:rFonts w:ascii="Verdana" w:hAnsi="Verdana" w:cs="Arial"/>
          <w:bCs/>
          <w:i/>
          <w:sz w:val="20"/>
        </w:rPr>
      </w:pPr>
      <w:r w:rsidRPr="00C2255D">
        <w:rPr>
          <w:rFonts w:ascii="Verdana" w:hAnsi="Verdana" w:cs="Arial"/>
          <w:bCs/>
          <w:i/>
          <w:sz w:val="20"/>
        </w:rPr>
        <w:t>Икономическо развитие</w:t>
      </w:r>
    </w:p>
    <w:p w:rsidR="007475B1" w:rsidRPr="007475B1" w:rsidRDefault="007475B1" w:rsidP="007475B1">
      <w:pPr>
        <w:spacing w:line="260" w:lineRule="atLeast"/>
        <w:rPr>
          <w:rFonts w:ascii="Verdana" w:hAnsi="Verdana" w:cs="Arial"/>
          <w:sz w:val="20"/>
        </w:rPr>
      </w:pPr>
      <w:r>
        <w:rPr>
          <w:rFonts w:ascii="Verdana" w:hAnsi="Verdana" w:cs="Arial"/>
          <w:sz w:val="20"/>
        </w:rPr>
        <w:t>В процеса на ценообразуване Комисията за енергийно и водно регулиране не признава определени разходи като ценообразуващ елемент, което води до утвърждаване на по-ниски цени от заявените на топлинна и електрическа енергия.</w:t>
      </w:r>
    </w:p>
    <w:p w:rsidR="00093DC7" w:rsidRDefault="00093DC7" w:rsidP="00093DC7">
      <w:pPr>
        <w:spacing w:line="260" w:lineRule="atLeast"/>
        <w:rPr>
          <w:rFonts w:ascii="Verdana" w:hAnsi="Verdana" w:cs="Arial"/>
          <w:sz w:val="20"/>
        </w:rPr>
      </w:pPr>
      <w:r w:rsidRPr="00C2255D">
        <w:rPr>
          <w:rFonts w:ascii="Verdana" w:hAnsi="Verdana" w:cs="Arial"/>
          <w:sz w:val="20"/>
        </w:rPr>
        <w:t>Това от своя страна ще доведе до възможност за обслужване на текущите задължения и същевременно отчитане на по-малки разходи за неустойки за забавено плащане.</w:t>
      </w:r>
    </w:p>
    <w:p w:rsidR="007475B1" w:rsidRDefault="007475B1" w:rsidP="00093DC7">
      <w:pPr>
        <w:spacing w:line="260" w:lineRule="atLeast"/>
        <w:rPr>
          <w:rFonts w:ascii="Verdana" w:hAnsi="Verdana" w:cs="Arial"/>
          <w:sz w:val="20"/>
        </w:rPr>
      </w:pPr>
    </w:p>
    <w:p w:rsidR="00093DC7" w:rsidRPr="00C2255D" w:rsidRDefault="00093DC7" w:rsidP="00093DC7">
      <w:pPr>
        <w:spacing w:line="260" w:lineRule="atLeast"/>
        <w:rPr>
          <w:rFonts w:ascii="Verdana" w:hAnsi="Verdana" w:cs="Arial"/>
          <w:bCs/>
          <w:i/>
          <w:sz w:val="20"/>
        </w:rPr>
      </w:pPr>
      <w:r w:rsidRPr="00C2255D">
        <w:rPr>
          <w:rFonts w:ascii="Verdana" w:hAnsi="Verdana" w:cs="Arial"/>
          <w:bCs/>
          <w:i/>
          <w:sz w:val="20"/>
        </w:rPr>
        <w:t>Развитие на персонала</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 xml:space="preserve">По </w:t>
      </w:r>
      <w:r w:rsidR="005325A8">
        <w:rPr>
          <w:rFonts w:ascii="Verdana" w:hAnsi="Verdana" w:cs="Arial"/>
          <w:sz w:val="20"/>
        </w:rPr>
        <w:t>отношение развитието на перс</w:t>
      </w:r>
      <w:r w:rsidR="007475B1">
        <w:rPr>
          <w:rFonts w:ascii="Verdana" w:hAnsi="Verdana" w:cs="Arial"/>
          <w:sz w:val="20"/>
        </w:rPr>
        <w:t>о</w:t>
      </w:r>
      <w:r w:rsidRPr="00C2255D">
        <w:rPr>
          <w:rFonts w:ascii="Verdana" w:hAnsi="Verdana" w:cs="Arial"/>
          <w:sz w:val="20"/>
        </w:rPr>
        <w:t>нала не се очаква драстично увеличаване или намаляване на персонала на дружеството, като същевременно се запазва тенденцията по предлагане на различни видове обучения с цел повишаване квалификац</w:t>
      </w:r>
      <w:r>
        <w:rPr>
          <w:rFonts w:ascii="Verdana" w:hAnsi="Verdana" w:cs="Arial"/>
          <w:sz w:val="20"/>
        </w:rPr>
        <w:t xml:space="preserve">ията на заетите лица. Отчита се </w:t>
      </w:r>
      <w:r w:rsidRPr="00C2255D">
        <w:rPr>
          <w:rFonts w:ascii="Verdana" w:hAnsi="Verdana" w:cs="Arial"/>
          <w:sz w:val="20"/>
        </w:rPr>
        <w:t>се все по-малко предлаган</w:t>
      </w:r>
      <w:r>
        <w:rPr>
          <w:rFonts w:ascii="Verdana" w:hAnsi="Verdana" w:cs="Arial"/>
          <w:sz w:val="20"/>
        </w:rPr>
        <w:t>е на квалифицирана работна сила и все по-голям % работно сила в предпенсионна и пенсионна възраст.</w:t>
      </w:r>
    </w:p>
    <w:p w:rsidR="00093DC7" w:rsidRPr="00C2255D" w:rsidRDefault="00093DC7" w:rsidP="00093DC7">
      <w:pPr>
        <w:spacing w:line="260" w:lineRule="atLeast"/>
        <w:rPr>
          <w:rFonts w:ascii="Verdana" w:hAnsi="Verdana" w:cs="Arial"/>
          <w:bCs/>
          <w:sz w:val="20"/>
        </w:rPr>
      </w:pPr>
    </w:p>
    <w:p w:rsidR="00093DC7" w:rsidRPr="00C2255D" w:rsidRDefault="00093DC7" w:rsidP="00093DC7">
      <w:pPr>
        <w:spacing w:line="260" w:lineRule="atLeast"/>
        <w:rPr>
          <w:rFonts w:ascii="Verdana" w:hAnsi="Verdana" w:cs="Arial"/>
          <w:bCs/>
          <w:i/>
          <w:sz w:val="20"/>
        </w:rPr>
      </w:pPr>
      <w:r w:rsidRPr="00C2255D">
        <w:rPr>
          <w:rFonts w:ascii="Verdana" w:hAnsi="Verdana" w:cs="Arial"/>
          <w:bCs/>
          <w:i/>
          <w:sz w:val="20"/>
        </w:rPr>
        <w:t>Очаквани инвестиции</w:t>
      </w:r>
    </w:p>
    <w:p w:rsidR="00093DC7" w:rsidRPr="00C2255D" w:rsidRDefault="00BC2F3E" w:rsidP="00093DC7">
      <w:pPr>
        <w:pStyle w:val="Document1"/>
        <w:keepNext w:val="0"/>
        <w:keepLines w:val="0"/>
        <w:widowControl/>
        <w:tabs>
          <w:tab w:val="clear" w:pos="-720"/>
        </w:tabs>
        <w:suppressAutoHyphens w:val="0"/>
        <w:spacing w:line="260" w:lineRule="atLeast"/>
        <w:jc w:val="both"/>
        <w:rPr>
          <w:rFonts w:ascii="Verdana" w:hAnsi="Verdana" w:cs="Arial"/>
          <w:sz w:val="20"/>
          <w:lang w:val="bg-BG"/>
        </w:rPr>
      </w:pPr>
      <w:r>
        <w:rPr>
          <w:rFonts w:ascii="Verdana" w:hAnsi="Verdana" w:cs="Arial"/>
          <w:sz w:val="20"/>
          <w:lang w:val="bg-BG"/>
        </w:rPr>
        <w:t>През 2019</w:t>
      </w:r>
      <w:r w:rsidR="00093DC7" w:rsidRPr="00C2255D">
        <w:rPr>
          <w:rFonts w:ascii="Verdana" w:hAnsi="Verdana" w:cs="Arial"/>
          <w:sz w:val="20"/>
          <w:lang w:val="bg-BG"/>
        </w:rPr>
        <w:t xml:space="preserve"> г. Дружеството очаква да направи инвестиции </w:t>
      </w:r>
      <w:r>
        <w:rPr>
          <w:rFonts w:ascii="Verdana" w:hAnsi="Verdana" w:cs="Arial"/>
          <w:sz w:val="20"/>
          <w:lang w:val="bg-BG"/>
        </w:rPr>
        <w:t xml:space="preserve">343 хил. лв., като в </w:t>
      </w:r>
      <w:r w:rsidR="00093DC7" w:rsidRPr="00C2255D">
        <w:rPr>
          <w:rFonts w:ascii="Verdana" w:hAnsi="Verdana" w:cs="Arial"/>
          <w:sz w:val="20"/>
          <w:lang w:val="bg-BG"/>
        </w:rPr>
        <w:t>преноса</w:t>
      </w:r>
      <w:r w:rsidR="007475B1">
        <w:rPr>
          <w:rFonts w:ascii="Verdana" w:hAnsi="Verdana" w:cs="Arial"/>
          <w:sz w:val="20"/>
          <w:lang w:val="bg-BG"/>
        </w:rPr>
        <w:t xml:space="preserve"> са в размер на </w:t>
      </w:r>
      <w:r w:rsidR="00093DC7">
        <w:rPr>
          <w:rFonts w:ascii="Verdana" w:hAnsi="Verdana" w:cs="Arial"/>
          <w:sz w:val="20"/>
          <w:lang w:val="bg-BG"/>
        </w:rPr>
        <w:t xml:space="preserve"> </w:t>
      </w:r>
      <w:r w:rsidR="007475B1">
        <w:rPr>
          <w:rFonts w:ascii="Verdana" w:hAnsi="Verdana" w:cs="Arial"/>
          <w:sz w:val="20"/>
          <w:lang w:val="bg-BG"/>
        </w:rPr>
        <w:t>76</w:t>
      </w:r>
      <w:r w:rsidR="00093DC7" w:rsidRPr="00C2255D">
        <w:rPr>
          <w:rFonts w:ascii="Verdana" w:hAnsi="Verdana" w:cs="Arial"/>
          <w:sz w:val="20"/>
          <w:lang w:val="bg-BG"/>
        </w:rPr>
        <w:t xml:space="preserve"> хил. лв., свързани с подмяна на абонатни станции, </w:t>
      </w:r>
      <w:r w:rsidR="007475B1">
        <w:rPr>
          <w:rFonts w:ascii="Verdana" w:hAnsi="Verdana" w:cs="Arial"/>
          <w:sz w:val="20"/>
          <w:lang w:val="bg-BG"/>
        </w:rPr>
        <w:t xml:space="preserve">и участъци от </w:t>
      </w:r>
      <w:proofErr w:type="spellStart"/>
      <w:r w:rsidR="007475B1">
        <w:rPr>
          <w:rFonts w:ascii="Verdana" w:hAnsi="Verdana" w:cs="Arial"/>
          <w:sz w:val="20"/>
          <w:lang w:val="bg-BG"/>
        </w:rPr>
        <w:t>топлопреносната</w:t>
      </w:r>
      <w:proofErr w:type="spellEnd"/>
      <w:r w:rsidR="007475B1">
        <w:rPr>
          <w:rFonts w:ascii="Verdana" w:hAnsi="Verdana" w:cs="Arial"/>
          <w:sz w:val="20"/>
          <w:lang w:val="bg-BG"/>
        </w:rPr>
        <w:t xml:space="preserve"> мрежа.</w:t>
      </w:r>
    </w:p>
    <w:p w:rsidR="00093DC7" w:rsidRPr="00D4273B" w:rsidRDefault="00093DC7" w:rsidP="00093DC7">
      <w:pPr>
        <w:spacing w:line="260" w:lineRule="atLeast"/>
        <w:rPr>
          <w:rFonts w:ascii="Verdana" w:hAnsi="Verdana" w:cs="Arial"/>
          <w:bCs/>
          <w:sz w:val="20"/>
        </w:rPr>
      </w:pPr>
    </w:p>
    <w:p w:rsidR="00093DC7" w:rsidRPr="003F5986" w:rsidRDefault="007475B1" w:rsidP="00093DC7">
      <w:pPr>
        <w:spacing w:line="260" w:lineRule="atLeast"/>
        <w:rPr>
          <w:rFonts w:ascii="Verdana" w:hAnsi="Verdana" w:cs="Arial"/>
          <w:b/>
          <w:sz w:val="20"/>
        </w:rPr>
      </w:pPr>
      <w:r>
        <w:rPr>
          <w:rFonts w:ascii="Verdana" w:hAnsi="Verdana" w:cs="Arial"/>
          <w:b/>
          <w:sz w:val="20"/>
        </w:rPr>
        <w:lastRenderedPageBreak/>
        <w:t>През 2019 г., както бе описано по-горе</w:t>
      </w:r>
      <w:r w:rsidR="00BC2F3E">
        <w:rPr>
          <w:rFonts w:ascii="Verdana" w:hAnsi="Verdana" w:cs="Arial"/>
          <w:b/>
          <w:sz w:val="20"/>
        </w:rPr>
        <w:t xml:space="preserve"> </w:t>
      </w:r>
      <w:r w:rsidR="00093DC7" w:rsidRPr="003F5986">
        <w:rPr>
          <w:rFonts w:ascii="Verdana" w:hAnsi="Verdana" w:cs="Arial"/>
          <w:b/>
          <w:sz w:val="20"/>
        </w:rPr>
        <w:t>са настъпили промени в броя притежавани акции от капитала на Дружеството.</w:t>
      </w:r>
    </w:p>
    <w:p w:rsidR="00093DC7" w:rsidRDefault="00093DC7" w:rsidP="00093DC7">
      <w:pPr>
        <w:spacing w:line="260" w:lineRule="atLeast"/>
        <w:rPr>
          <w:rFonts w:ascii="Verdana" w:hAnsi="Verdana" w:cs="Arial"/>
          <w:sz w:val="20"/>
        </w:rPr>
      </w:pPr>
      <w:r w:rsidRPr="00C2255D">
        <w:rPr>
          <w:rFonts w:ascii="Verdana" w:hAnsi="Verdana" w:cs="Arial"/>
          <w:sz w:val="20"/>
        </w:rPr>
        <w:t>В устава на Дружеството не са предвидени специални права, по силата на които членовете на Съвета да придобиват ак</w:t>
      </w:r>
      <w:r>
        <w:rPr>
          <w:rFonts w:ascii="Verdana" w:hAnsi="Verdana" w:cs="Arial"/>
          <w:sz w:val="20"/>
        </w:rPr>
        <w:t>ции и облигации на Дружеството.</w:t>
      </w:r>
    </w:p>
    <w:p w:rsidR="00093DC7" w:rsidRPr="000D0BC4" w:rsidRDefault="00093DC7" w:rsidP="00093DC7">
      <w:pPr>
        <w:spacing w:line="260" w:lineRule="atLeast"/>
        <w:rPr>
          <w:rFonts w:ascii="Verdana" w:hAnsi="Verdana" w:cs="Arial"/>
          <w:sz w:val="20"/>
        </w:rPr>
      </w:pPr>
    </w:p>
    <w:p w:rsidR="00093DC7" w:rsidRPr="00572E15" w:rsidRDefault="00093DC7" w:rsidP="00093DC7">
      <w:pPr>
        <w:spacing w:before="120" w:line="260" w:lineRule="atLeast"/>
        <w:rPr>
          <w:rFonts w:ascii="Verdana" w:hAnsi="Verdana" w:cs="Arial"/>
          <w:b/>
          <w:sz w:val="20"/>
        </w:rPr>
      </w:pPr>
      <w:r w:rsidRPr="00572E15">
        <w:rPr>
          <w:rFonts w:ascii="Verdana" w:hAnsi="Verdana" w:cs="Arial"/>
          <w:b/>
          <w:sz w:val="20"/>
        </w:rPr>
        <w:t>Управление на капиталовия риск</w:t>
      </w:r>
    </w:p>
    <w:p w:rsidR="007475B1" w:rsidRDefault="00093DC7" w:rsidP="00093DC7">
      <w:pPr>
        <w:spacing w:line="260" w:lineRule="atLeast"/>
        <w:rPr>
          <w:rFonts w:ascii="Verdana" w:hAnsi="Verdana" w:cs="Arial"/>
          <w:sz w:val="20"/>
        </w:rPr>
      </w:pPr>
      <w:r w:rsidRPr="00C2255D">
        <w:rPr>
          <w:rFonts w:ascii="Verdana" w:hAnsi="Verdana" w:cs="Arial"/>
          <w:sz w:val="20"/>
        </w:rPr>
        <w:t>Целите на ръководството при управление на капитала са да защитят правото на Дружеството да продължи като действащо дружество с цел доходност за акционерите и поддържане на оптимална капиталова структура</w:t>
      </w:r>
      <w:r w:rsidR="007475B1">
        <w:rPr>
          <w:rFonts w:ascii="Verdana" w:hAnsi="Verdana" w:cs="Arial"/>
          <w:sz w:val="20"/>
        </w:rPr>
        <w:t>.</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В съответствие с останалите в индустрията, „Топлофикация – Разград“ АД контролира капитала на база на съотношението собствен/привлечен капитал (коефициент на задлъжнялост). Този коефициент се изчислява, като нетните дългове (нетен дългов капитал) се разделят на общия капитал. Нетните дългове се изчисляват, като от общия дългов капитал, който се формира от задълженията към банки и финансови институции, по лизингови договори, търговски кредити и заеми, стокови кредити, без значение дали са към свързани или несвързани лица се приспаднат парите и парични еквиваленти. Общият капитал се изчислява, като „собствен капитал” (както е показан в Отчета за финансовото състояние) се събере с нетните дългове.</w:t>
      </w:r>
    </w:p>
    <w:p w:rsidR="00093DC7" w:rsidRPr="00BA09B6" w:rsidRDefault="00093DC7" w:rsidP="00093DC7">
      <w:pPr>
        <w:pStyle w:val="a0"/>
        <w:shd w:val="clear" w:color="auto" w:fill="auto"/>
        <w:spacing w:before="0" w:after="0" w:line="260" w:lineRule="atLeast"/>
        <w:ind w:right="-31"/>
        <w:rPr>
          <w:rFonts w:ascii="Verdana" w:hAnsi="Verdana" w:cs="Arial"/>
          <w:spacing w:val="0"/>
          <w:sz w:val="20"/>
          <w:szCs w:val="20"/>
        </w:rPr>
      </w:pPr>
      <w:r w:rsidRPr="00C2255D">
        <w:rPr>
          <w:rFonts w:ascii="Verdana" w:hAnsi="Verdana" w:cs="Arial"/>
          <w:spacing w:val="0"/>
          <w:sz w:val="20"/>
          <w:szCs w:val="20"/>
        </w:rPr>
        <w:t>Политиката на ръководството е да се подържа стабилна капиталова база, така че да се съхрани доверието на собствениците, и на пазара като цяло, и да може да се осигурят условия за развитие на бизнеса в бъдеще.</w:t>
      </w:r>
    </w:p>
    <w:p w:rsidR="00093DC7" w:rsidRPr="00572E15" w:rsidRDefault="00093DC7" w:rsidP="00093DC7">
      <w:pPr>
        <w:pStyle w:val="a0"/>
        <w:shd w:val="clear" w:color="auto" w:fill="auto"/>
        <w:spacing w:before="0" w:after="0" w:line="260" w:lineRule="atLeast"/>
        <w:ind w:right="-31"/>
        <w:rPr>
          <w:rFonts w:ascii="Verdana" w:hAnsi="Verdana" w:cs="Arial"/>
          <w:spacing w:val="0"/>
          <w:sz w:val="20"/>
          <w:szCs w:val="20"/>
          <w:lang w:val="en-US"/>
        </w:rPr>
      </w:pPr>
    </w:p>
    <w:tbl>
      <w:tblPr>
        <w:tblW w:w="5000" w:type="pct"/>
        <w:tblCellSpacing w:w="1440" w:type="nil"/>
        <w:tblBorders>
          <w:top w:val="outset" w:sz="6" w:space="0" w:color="auto"/>
          <w:bottom w:val="outset" w:sz="6" w:space="0" w:color="auto"/>
          <w:insideH w:val="outset" w:sz="6" w:space="0" w:color="auto"/>
        </w:tblBorders>
        <w:tblLook w:val="04A0" w:firstRow="1" w:lastRow="0" w:firstColumn="1" w:lastColumn="0" w:noHBand="0" w:noVBand="1"/>
      </w:tblPr>
      <w:tblGrid>
        <w:gridCol w:w="5798"/>
        <w:gridCol w:w="1745"/>
        <w:gridCol w:w="1745"/>
      </w:tblGrid>
      <w:tr w:rsidR="00093DC7" w:rsidTr="007901C2">
        <w:trPr>
          <w:trHeight w:val="255"/>
          <w:tblCellSpacing w:w="1440" w:type="nil"/>
        </w:trPr>
        <w:tc>
          <w:tcPr>
            <w:tcW w:w="3163" w:type="pct"/>
            <w:shd w:val="clear" w:color="auto" w:fill="auto"/>
            <w:noWrap/>
            <w:vAlign w:val="center"/>
            <w:hideMark/>
          </w:tcPr>
          <w:p w:rsidR="00093DC7" w:rsidRPr="00572E15" w:rsidRDefault="00093DC7" w:rsidP="007901C2">
            <w:pPr>
              <w:jc w:val="left"/>
              <w:rPr>
                <w:rFonts w:ascii="Verdana" w:hAnsi="Verdana" w:cs="Arial"/>
                <w:b/>
                <w:bCs/>
                <w:sz w:val="20"/>
                <w:lang w:val="en-US"/>
              </w:rPr>
            </w:pPr>
            <w:proofErr w:type="spellStart"/>
            <w:r w:rsidRPr="00572E15">
              <w:rPr>
                <w:rFonts w:ascii="Verdana" w:hAnsi="Verdana" w:cs="Arial"/>
                <w:b/>
                <w:bCs/>
                <w:sz w:val="20"/>
                <w:lang w:val="en-US"/>
              </w:rPr>
              <w:t>Вид</w:t>
            </w:r>
            <w:proofErr w:type="spellEnd"/>
          </w:p>
        </w:tc>
        <w:tc>
          <w:tcPr>
            <w:tcW w:w="878" w:type="pct"/>
            <w:shd w:val="clear" w:color="auto" w:fill="auto"/>
            <w:noWrap/>
            <w:vAlign w:val="center"/>
            <w:hideMark/>
          </w:tcPr>
          <w:p w:rsidR="00093DC7" w:rsidRPr="00572E15" w:rsidRDefault="00093DC7" w:rsidP="007901C2">
            <w:pPr>
              <w:jc w:val="center"/>
              <w:rPr>
                <w:rFonts w:ascii="Verdana" w:hAnsi="Verdana" w:cs="Arial"/>
                <w:b/>
                <w:bCs/>
                <w:sz w:val="20"/>
                <w:lang w:val="en-US"/>
              </w:rPr>
            </w:pPr>
            <w:r>
              <w:rPr>
                <w:rFonts w:ascii="Verdana" w:hAnsi="Verdana" w:cs="Arial"/>
                <w:b/>
                <w:bCs/>
                <w:sz w:val="20"/>
                <w:lang w:val="en-US"/>
              </w:rPr>
              <w:t>3</w:t>
            </w:r>
            <w:r>
              <w:rPr>
                <w:rFonts w:ascii="Verdana" w:hAnsi="Verdana" w:cs="Arial"/>
                <w:b/>
                <w:bCs/>
                <w:sz w:val="20"/>
              </w:rPr>
              <w:t>0</w:t>
            </w:r>
            <w:r>
              <w:rPr>
                <w:rFonts w:ascii="Verdana" w:hAnsi="Verdana" w:cs="Arial"/>
                <w:b/>
                <w:bCs/>
                <w:sz w:val="20"/>
                <w:lang w:val="en-US"/>
              </w:rPr>
              <w:t>.</w:t>
            </w:r>
            <w:r>
              <w:rPr>
                <w:rFonts w:ascii="Verdana" w:hAnsi="Verdana" w:cs="Arial"/>
                <w:b/>
                <w:bCs/>
                <w:sz w:val="20"/>
              </w:rPr>
              <w:t>06</w:t>
            </w:r>
            <w:r>
              <w:rPr>
                <w:rFonts w:ascii="Verdana" w:hAnsi="Verdana" w:cs="Arial"/>
                <w:b/>
                <w:bCs/>
                <w:sz w:val="20"/>
                <w:lang w:val="en-US"/>
              </w:rPr>
              <w:t>.201</w:t>
            </w:r>
            <w:r w:rsidR="00791948">
              <w:rPr>
                <w:rFonts w:ascii="Verdana" w:hAnsi="Verdana" w:cs="Arial"/>
                <w:b/>
                <w:bCs/>
                <w:sz w:val="20"/>
              </w:rPr>
              <w:t>9</w:t>
            </w:r>
            <w:r w:rsidRPr="00572E15">
              <w:rPr>
                <w:rFonts w:ascii="Verdana" w:hAnsi="Verdana" w:cs="Arial"/>
                <w:b/>
                <w:bCs/>
                <w:sz w:val="20"/>
                <w:lang w:val="en-US"/>
              </w:rPr>
              <w:t xml:space="preserve"> г.</w:t>
            </w:r>
          </w:p>
        </w:tc>
        <w:tc>
          <w:tcPr>
            <w:tcW w:w="878" w:type="pct"/>
            <w:shd w:val="clear" w:color="auto" w:fill="auto"/>
            <w:noWrap/>
            <w:vAlign w:val="center"/>
            <w:hideMark/>
          </w:tcPr>
          <w:p w:rsidR="00093DC7" w:rsidRPr="00572E15" w:rsidRDefault="00093DC7" w:rsidP="007901C2">
            <w:pPr>
              <w:jc w:val="center"/>
              <w:rPr>
                <w:rFonts w:ascii="Verdana" w:hAnsi="Verdana" w:cs="Arial"/>
                <w:b/>
                <w:bCs/>
                <w:sz w:val="20"/>
                <w:lang w:val="en-US"/>
              </w:rPr>
            </w:pPr>
            <w:r>
              <w:rPr>
                <w:rFonts w:ascii="Verdana" w:hAnsi="Verdana" w:cs="Arial"/>
                <w:b/>
                <w:bCs/>
                <w:sz w:val="20"/>
                <w:lang w:val="en-US"/>
              </w:rPr>
              <w:t>3</w:t>
            </w:r>
            <w:r>
              <w:rPr>
                <w:rFonts w:ascii="Verdana" w:hAnsi="Verdana" w:cs="Arial"/>
                <w:b/>
                <w:bCs/>
                <w:sz w:val="20"/>
              </w:rPr>
              <w:t>0</w:t>
            </w:r>
            <w:r>
              <w:rPr>
                <w:rFonts w:ascii="Verdana" w:hAnsi="Verdana" w:cs="Arial"/>
                <w:b/>
                <w:bCs/>
                <w:sz w:val="20"/>
                <w:lang w:val="en-US"/>
              </w:rPr>
              <w:t>.</w:t>
            </w:r>
            <w:r>
              <w:rPr>
                <w:rFonts w:ascii="Verdana" w:hAnsi="Verdana" w:cs="Arial"/>
                <w:b/>
                <w:bCs/>
                <w:sz w:val="20"/>
              </w:rPr>
              <w:t>06</w:t>
            </w:r>
            <w:r>
              <w:rPr>
                <w:rFonts w:ascii="Verdana" w:hAnsi="Verdana" w:cs="Arial"/>
                <w:b/>
                <w:bCs/>
                <w:sz w:val="20"/>
                <w:lang w:val="en-US"/>
              </w:rPr>
              <w:t>.201</w:t>
            </w:r>
            <w:r w:rsidR="00791948">
              <w:rPr>
                <w:rFonts w:ascii="Verdana" w:hAnsi="Verdana" w:cs="Arial"/>
                <w:b/>
                <w:bCs/>
                <w:sz w:val="20"/>
              </w:rPr>
              <w:t>8</w:t>
            </w:r>
            <w:r w:rsidRPr="00572E15">
              <w:rPr>
                <w:rFonts w:ascii="Verdana" w:hAnsi="Verdana" w:cs="Arial"/>
                <w:b/>
                <w:bCs/>
                <w:sz w:val="20"/>
                <w:lang w:val="en-US"/>
              </w:rPr>
              <w:t xml:space="preserve"> г.</w:t>
            </w:r>
          </w:p>
        </w:tc>
      </w:tr>
      <w:tr w:rsidR="00093DC7" w:rsidTr="007901C2">
        <w:trPr>
          <w:trHeight w:val="255"/>
          <w:tblCellSpacing w:w="1440" w:type="nil"/>
        </w:trPr>
        <w:tc>
          <w:tcPr>
            <w:tcW w:w="3163" w:type="pct"/>
            <w:shd w:val="clear" w:color="auto" w:fill="auto"/>
            <w:vAlign w:val="center"/>
            <w:hideMark/>
          </w:tcPr>
          <w:p w:rsidR="00093DC7" w:rsidRPr="00572E15" w:rsidRDefault="00093DC7" w:rsidP="007901C2">
            <w:pPr>
              <w:jc w:val="left"/>
              <w:rPr>
                <w:rFonts w:ascii="Verdana" w:hAnsi="Verdana" w:cs="Arial"/>
                <w:b/>
                <w:bCs/>
                <w:sz w:val="20"/>
                <w:lang w:val="en-US"/>
              </w:rPr>
            </w:pPr>
            <w:proofErr w:type="spellStart"/>
            <w:r w:rsidRPr="00572E15">
              <w:rPr>
                <w:rFonts w:ascii="Verdana" w:hAnsi="Verdana" w:cs="Arial"/>
                <w:b/>
                <w:bCs/>
                <w:sz w:val="20"/>
                <w:lang w:val="en-US"/>
              </w:rPr>
              <w:t>Общо</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дългов</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капитал</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т.ч</w:t>
            </w:r>
            <w:proofErr w:type="spellEnd"/>
            <w:r w:rsidRPr="00572E15">
              <w:rPr>
                <w:rFonts w:ascii="Verdana" w:hAnsi="Verdana" w:cs="Arial"/>
                <w:b/>
                <w:bCs/>
                <w:sz w:val="20"/>
                <w:lang w:val="en-US"/>
              </w:rPr>
              <w:t xml:space="preserve">.: </w:t>
            </w:r>
          </w:p>
        </w:tc>
        <w:tc>
          <w:tcPr>
            <w:tcW w:w="878" w:type="pct"/>
            <w:shd w:val="clear" w:color="auto" w:fill="auto"/>
            <w:noWrap/>
            <w:vAlign w:val="center"/>
            <w:hideMark/>
          </w:tcPr>
          <w:p w:rsidR="00093DC7" w:rsidRPr="00285AFC" w:rsidRDefault="00791948" w:rsidP="007901C2">
            <w:pPr>
              <w:jc w:val="center"/>
              <w:rPr>
                <w:rFonts w:ascii="Verdana" w:hAnsi="Verdana" w:cs="Arial"/>
                <w:b/>
                <w:bCs/>
                <w:sz w:val="20"/>
              </w:rPr>
            </w:pPr>
            <w:r>
              <w:rPr>
                <w:rFonts w:ascii="Verdana" w:hAnsi="Verdana" w:cs="Arial"/>
                <w:b/>
                <w:bCs/>
                <w:sz w:val="20"/>
              </w:rPr>
              <w:t>206</w:t>
            </w:r>
          </w:p>
        </w:tc>
        <w:tc>
          <w:tcPr>
            <w:tcW w:w="878" w:type="pct"/>
            <w:shd w:val="clear" w:color="auto" w:fill="auto"/>
            <w:noWrap/>
            <w:vAlign w:val="center"/>
            <w:hideMark/>
          </w:tcPr>
          <w:p w:rsidR="00093DC7" w:rsidRPr="00791948" w:rsidRDefault="00791948" w:rsidP="007901C2">
            <w:pPr>
              <w:jc w:val="center"/>
              <w:rPr>
                <w:rFonts w:ascii="Verdana" w:hAnsi="Verdana" w:cs="Arial"/>
                <w:b/>
                <w:bCs/>
                <w:sz w:val="20"/>
              </w:rPr>
            </w:pPr>
            <w:r>
              <w:rPr>
                <w:rFonts w:ascii="Verdana" w:hAnsi="Verdana" w:cs="Arial"/>
                <w:b/>
                <w:bCs/>
                <w:sz w:val="20"/>
              </w:rPr>
              <w:t>1 337</w:t>
            </w:r>
          </w:p>
        </w:tc>
      </w:tr>
      <w:tr w:rsidR="00093DC7" w:rsidTr="007901C2">
        <w:trPr>
          <w:trHeight w:val="255"/>
          <w:tblCellSpacing w:w="1440" w:type="nil"/>
        </w:trPr>
        <w:tc>
          <w:tcPr>
            <w:tcW w:w="3163" w:type="pct"/>
            <w:shd w:val="clear" w:color="auto" w:fill="auto"/>
            <w:vAlign w:val="center"/>
            <w:hideMark/>
          </w:tcPr>
          <w:p w:rsidR="00093DC7" w:rsidRPr="00572E15" w:rsidRDefault="00093DC7" w:rsidP="007901C2">
            <w:pPr>
              <w:jc w:val="left"/>
              <w:rPr>
                <w:rFonts w:ascii="Verdana" w:hAnsi="Verdana" w:cs="Arial"/>
                <w:sz w:val="20"/>
                <w:lang w:val="en-US"/>
              </w:rPr>
            </w:pPr>
            <w:proofErr w:type="spellStart"/>
            <w:r w:rsidRPr="00572E15">
              <w:rPr>
                <w:rFonts w:ascii="Verdana" w:hAnsi="Verdana" w:cs="Arial"/>
                <w:sz w:val="20"/>
                <w:lang w:val="en-US"/>
              </w:rPr>
              <w:t>Задължения</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към</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банки</w:t>
            </w:r>
            <w:proofErr w:type="spellEnd"/>
            <w:r w:rsidRPr="00572E15">
              <w:rPr>
                <w:rFonts w:ascii="Verdana" w:hAnsi="Verdana" w:cs="Arial"/>
                <w:sz w:val="20"/>
                <w:lang w:val="en-US"/>
              </w:rPr>
              <w:t xml:space="preserve"> и </w:t>
            </w:r>
            <w:proofErr w:type="spellStart"/>
            <w:r w:rsidRPr="00572E15">
              <w:rPr>
                <w:rFonts w:ascii="Verdana" w:hAnsi="Verdana" w:cs="Arial"/>
                <w:sz w:val="20"/>
                <w:lang w:val="en-US"/>
              </w:rPr>
              <w:t>финансови</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институции</w:t>
            </w:r>
            <w:proofErr w:type="spellEnd"/>
          </w:p>
        </w:tc>
        <w:tc>
          <w:tcPr>
            <w:tcW w:w="878" w:type="pct"/>
            <w:shd w:val="clear" w:color="auto" w:fill="auto"/>
            <w:noWrap/>
            <w:vAlign w:val="center"/>
            <w:hideMark/>
          </w:tcPr>
          <w:p w:rsidR="00093DC7" w:rsidRPr="00285AFC" w:rsidRDefault="00791948" w:rsidP="007901C2">
            <w:pPr>
              <w:jc w:val="center"/>
              <w:rPr>
                <w:rFonts w:ascii="Verdana" w:hAnsi="Verdana" w:cs="Arial"/>
                <w:sz w:val="20"/>
              </w:rPr>
            </w:pPr>
            <w:r>
              <w:rPr>
                <w:rFonts w:ascii="Verdana" w:hAnsi="Verdana" w:cs="Arial"/>
                <w:sz w:val="20"/>
              </w:rPr>
              <w:t>206</w:t>
            </w:r>
          </w:p>
        </w:tc>
        <w:tc>
          <w:tcPr>
            <w:tcW w:w="878" w:type="pct"/>
            <w:shd w:val="clear" w:color="auto" w:fill="auto"/>
            <w:noWrap/>
            <w:vAlign w:val="center"/>
            <w:hideMark/>
          </w:tcPr>
          <w:p w:rsidR="00093DC7" w:rsidRPr="00285AFC" w:rsidRDefault="00791948" w:rsidP="007901C2">
            <w:pPr>
              <w:jc w:val="center"/>
              <w:rPr>
                <w:rFonts w:ascii="Verdana" w:hAnsi="Verdana" w:cs="Arial"/>
                <w:sz w:val="20"/>
              </w:rPr>
            </w:pPr>
            <w:r>
              <w:rPr>
                <w:rFonts w:ascii="Verdana" w:hAnsi="Verdana" w:cs="Arial"/>
                <w:sz w:val="20"/>
              </w:rPr>
              <w:t>546</w:t>
            </w:r>
          </w:p>
        </w:tc>
      </w:tr>
      <w:tr w:rsidR="00093DC7" w:rsidTr="007901C2">
        <w:trPr>
          <w:trHeight w:val="210"/>
          <w:tblCellSpacing w:w="1440" w:type="nil"/>
        </w:trPr>
        <w:tc>
          <w:tcPr>
            <w:tcW w:w="3163" w:type="pct"/>
            <w:shd w:val="clear" w:color="auto" w:fill="auto"/>
            <w:vAlign w:val="center"/>
            <w:hideMark/>
          </w:tcPr>
          <w:p w:rsidR="00093DC7" w:rsidRPr="00572E15" w:rsidRDefault="00093DC7" w:rsidP="007901C2">
            <w:pPr>
              <w:jc w:val="left"/>
              <w:rPr>
                <w:rFonts w:ascii="Verdana" w:hAnsi="Verdana" w:cs="Arial"/>
                <w:sz w:val="20"/>
                <w:lang w:val="en-US"/>
              </w:rPr>
            </w:pPr>
            <w:proofErr w:type="spellStart"/>
            <w:r w:rsidRPr="00572E15">
              <w:rPr>
                <w:rFonts w:ascii="Verdana" w:hAnsi="Verdana" w:cs="Arial"/>
                <w:sz w:val="20"/>
                <w:lang w:val="en-US"/>
              </w:rPr>
              <w:t>Търговски</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кредити</w:t>
            </w:r>
            <w:proofErr w:type="spellEnd"/>
            <w:r w:rsidRPr="00572E15">
              <w:rPr>
                <w:rFonts w:ascii="Verdana" w:hAnsi="Verdana" w:cs="Arial"/>
                <w:sz w:val="20"/>
                <w:lang w:val="en-US"/>
              </w:rPr>
              <w:t xml:space="preserve"> и </w:t>
            </w:r>
            <w:proofErr w:type="spellStart"/>
            <w:r w:rsidRPr="00572E15">
              <w:rPr>
                <w:rFonts w:ascii="Verdana" w:hAnsi="Verdana" w:cs="Arial"/>
                <w:sz w:val="20"/>
                <w:lang w:val="en-US"/>
              </w:rPr>
              <w:t>заеми</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към</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свързани</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лица</w:t>
            </w:r>
            <w:proofErr w:type="spellEnd"/>
            <w:r w:rsidRPr="00572E15">
              <w:rPr>
                <w:rFonts w:ascii="Verdana" w:hAnsi="Verdana" w:cs="Arial"/>
                <w:sz w:val="20"/>
                <w:lang w:val="en-US"/>
              </w:rPr>
              <w:t xml:space="preserve"> и </w:t>
            </w:r>
            <w:proofErr w:type="spellStart"/>
            <w:r w:rsidRPr="00572E15">
              <w:rPr>
                <w:rFonts w:ascii="Verdana" w:hAnsi="Verdana" w:cs="Arial"/>
                <w:sz w:val="20"/>
                <w:lang w:val="en-US"/>
              </w:rPr>
              <w:t>стокови</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кредити</w:t>
            </w:r>
            <w:proofErr w:type="spellEnd"/>
          </w:p>
        </w:tc>
        <w:tc>
          <w:tcPr>
            <w:tcW w:w="878" w:type="pct"/>
            <w:shd w:val="clear" w:color="auto" w:fill="auto"/>
            <w:noWrap/>
            <w:vAlign w:val="center"/>
            <w:hideMark/>
          </w:tcPr>
          <w:p w:rsidR="00093DC7" w:rsidRPr="00285AFC" w:rsidRDefault="00791948" w:rsidP="007901C2">
            <w:pPr>
              <w:jc w:val="center"/>
              <w:rPr>
                <w:rFonts w:ascii="Verdana" w:hAnsi="Verdana" w:cs="Arial"/>
                <w:sz w:val="20"/>
              </w:rPr>
            </w:pPr>
            <w:r>
              <w:rPr>
                <w:rFonts w:ascii="Verdana" w:hAnsi="Verdana" w:cs="Arial"/>
                <w:sz w:val="20"/>
              </w:rPr>
              <w:t>-</w:t>
            </w:r>
          </w:p>
        </w:tc>
        <w:tc>
          <w:tcPr>
            <w:tcW w:w="878" w:type="pct"/>
            <w:shd w:val="clear" w:color="auto" w:fill="auto"/>
            <w:noWrap/>
            <w:vAlign w:val="center"/>
            <w:hideMark/>
          </w:tcPr>
          <w:p w:rsidR="00093DC7" w:rsidRPr="00791948" w:rsidRDefault="00791948" w:rsidP="007901C2">
            <w:pPr>
              <w:jc w:val="center"/>
              <w:rPr>
                <w:rFonts w:ascii="Verdana" w:hAnsi="Verdana" w:cs="Arial"/>
                <w:sz w:val="20"/>
              </w:rPr>
            </w:pPr>
            <w:r>
              <w:rPr>
                <w:rFonts w:ascii="Verdana" w:hAnsi="Verdana" w:cs="Arial"/>
                <w:sz w:val="20"/>
              </w:rPr>
              <w:t>791</w:t>
            </w:r>
          </w:p>
        </w:tc>
      </w:tr>
      <w:tr w:rsidR="00093DC7" w:rsidTr="007901C2">
        <w:trPr>
          <w:trHeight w:val="240"/>
          <w:tblCellSpacing w:w="1440" w:type="nil"/>
        </w:trPr>
        <w:tc>
          <w:tcPr>
            <w:tcW w:w="3163" w:type="pct"/>
            <w:shd w:val="clear" w:color="auto" w:fill="auto"/>
            <w:vAlign w:val="center"/>
            <w:hideMark/>
          </w:tcPr>
          <w:p w:rsidR="00093DC7" w:rsidRPr="00572E15" w:rsidRDefault="00093DC7" w:rsidP="007901C2">
            <w:pPr>
              <w:jc w:val="left"/>
              <w:rPr>
                <w:rFonts w:ascii="Verdana" w:hAnsi="Verdana" w:cs="Arial"/>
                <w:b/>
                <w:bCs/>
                <w:sz w:val="20"/>
                <w:lang w:val="en-US"/>
              </w:rPr>
            </w:pPr>
            <w:proofErr w:type="spellStart"/>
            <w:r w:rsidRPr="00572E15">
              <w:rPr>
                <w:rFonts w:ascii="Verdana" w:hAnsi="Verdana" w:cs="Arial"/>
                <w:b/>
                <w:bCs/>
                <w:sz w:val="20"/>
                <w:lang w:val="en-US"/>
              </w:rPr>
              <w:t>Намален</w:t>
            </w:r>
            <w:proofErr w:type="spellEnd"/>
            <w:r w:rsidRPr="00572E15">
              <w:rPr>
                <w:rFonts w:ascii="Verdana" w:hAnsi="Verdana" w:cs="Arial"/>
                <w:b/>
                <w:bCs/>
                <w:sz w:val="20"/>
                <w:lang w:val="en-US"/>
              </w:rPr>
              <w:t xml:space="preserve"> с: </w:t>
            </w:r>
            <w:proofErr w:type="spellStart"/>
            <w:r w:rsidRPr="00572E15">
              <w:rPr>
                <w:rFonts w:ascii="Verdana" w:hAnsi="Verdana" w:cs="Arial"/>
                <w:b/>
                <w:bCs/>
                <w:sz w:val="20"/>
                <w:lang w:val="en-US"/>
              </w:rPr>
              <w:t>паричните</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средства</w:t>
            </w:r>
            <w:proofErr w:type="spellEnd"/>
            <w:r w:rsidRPr="00572E15">
              <w:rPr>
                <w:rFonts w:ascii="Verdana" w:hAnsi="Verdana" w:cs="Arial"/>
                <w:b/>
                <w:bCs/>
                <w:sz w:val="20"/>
                <w:lang w:val="en-US"/>
              </w:rPr>
              <w:t xml:space="preserve"> и </w:t>
            </w:r>
            <w:proofErr w:type="spellStart"/>
            <w:r w:rsidRPr="00572E15">
              <w:rPr>
                <w:rFonts w:ascii="Verdana" w:hAnsi="Verdana" w:cs="Arial"/>
                <w:b/>
                <w:bCs/>
                <w:sz w:val="20"/>
                <w:lang w:val="en-US"/>
              </w:rPr>
              <w:t>парични</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еквиваленти</w:t>
            </w:r>
            <w:proofErr w:type="spellEnd"/>
          </w:p>
        </w:tc>
        <w:tc>
          <w:tcPr>
            <w:tcW w:w="878" w:type="pct"/>
            <w:shd w:val="clear" w:color="auto" w:fill="auto"/>
            <w:noWrap/>
            <w:vAlign w:val="center"/>
            <w:hideMark/>
          </w:tcPr>
          <w:p w:rsidR="00093DC7" w:rsidRPr="00572E15" w:rsidRDefault="00791948" w:rsidP="007901C2">
            <w:pPr>
              <w:jc w:val="center"/>
              <w:rPr>
                <w:rFonts w:ascii="Verdana" w:hAnsi="Verdana" w:cs="Arial"/>
                <w:b/>
                <w:bCs/>
                <w:sz w:val="20"/>
                <w:lang w:val="en-US"/>
              </w:rPr>
            </w:pPr>
            <w:r>
              <w:rPr>
                <w:rFonts w:ascii="Verdana" w:hAnsi="Verdana" w:cs="Arial"/>
                <w:b/>
                <w:bCs/>
                <w:sz w:val="20"/>
                <w:lang w:val="en-US"/>
              </w:rPr>
              <w:t>(</w:t>
            </w:r>
            <w:r>
              <w:rPr>
                <w:rFonts w:ascii="Verdana" w:hAnsi="Verdana" w:cs="Arial"/>
                <w:b/>
                <w:bCs/>
                <w:sz w:val="20"/>
              </w:rPr>
              <w:t>42</w:t>
            </w:r>
            <w:r w:rsidR="00093DC7" w:rsidRPr="00572E15">
              <w:rPr>
                <w:rFonts w:ascii="Verdana" w:hAnsi="Verdana" w:cs="Arial"/>
                <w:b/>
                <w:bCs/>
                <w:sz w:val="20"/>
                <w:lang w:val="en-US"/>
              </w:rPr>
              <w:t>)</w:t>
            </w:r>
          </w:p>
        </w:tc>
        <w:tc>
          <w:tcPr>
            <w:tcW w:w="878" w:type="pct"/>
            <w:shd w:val="clear" w:color="auto" w:fill="auto"/>
            <w:noWrap/>
            <w:vAlign w:val="center"/>
            <w:hideMark/>
          </w:tcPr>
          <w:p w:rsidR="00093DC7" w:rsidRPr="00572E15" w:rsidRDefault="00093DC7" w:rsidP="007901C2">
            <w:pPr>
              <w:jc w:val="center"/>
              <w:rPr>
                <w:rFonts w:ascii="Verdana" w:hAnsi="Verdana" w:cs="Arial"/>
                <w:b/>
                <w:bCs/>
                <w:sz w:val="20"/>
                <w:lang w:val="en-US"/>
              </w:rPr>
            </w:pPr>
            <w:r>
              <w:rPr>
                <w:rFonts w:ascii="Verdana" w:hAnsi="Verdana" w:cs="Arial"/>
                <w:b/>
                <w:bCs/>
                <w:sz w:val="20"/>
                <w:lang w:val="en-US"/>
              </w:rPr>
              <w:t>(5</w:t>
            </w:r>
            <w:r>
              <w:rPr>
                <w:rFonts w:ascii="Verdana" w:hAnsi="Verdana" w:cs="Arial"/>
                <w:b/>
                <w:bCs/>
                <w:sz w:val="20"/>
              </w:rPr>
              <w:t>0</w:t>
            </w:r>
            <w:r w:rsidRPr="00572E15">
              <w:rPr>
                <w:rFonts w:ascii="Verdana" w:hAnsi="Verdana" w:cs="Arial"/>
                <w:b/>
                <w:bCs/>
                <w:sz w:val="20"/>
                <w:lang w:val="en-US"/>
              </w:rPr>
              <w:t>)</w:t>
            </w:r>
          </w:p>
        </w:tc>
      </w:tr>
      <w:tr w:rsidR="00093DC7" w:rsidTr="007901C2">
        <w:trPr>
          <w:trHeight w:val="255"/>
          <w:tblCellSpacing w:w="1440" w:type="nil"/>
        </w:trPr>
        <w:tc>
          <w:tcPr>
            <w:tcW w:w="3163" w:type="pct"/>
            <w:shd w:val="clear" w:color="auto" w:fill="auto"/>
            <w:vAlign w:val="center"/>
            <w:hideMark/>
          </w:tcPr>
          <w:p w:rsidR="00093DC7" w:rsidRPr="00572E15" w:rsidRDefault="00093DC7" w:rsidP="007901C2">
            <w:pPr>
              <w:jc w:val="left"/>
              <w:rPr>
                <w:rFonts w:ascii="Verdana" w:hAnsi="Verdana" w:cs="Arial"/>
                <w:b/>
                <w:bCs/>
                <w:sz w:val="20"/>
                <w:lang w:val="en-US"/>
              </w:rPr>
            </w:pPr>
            <w:proofErr w:type="spellStart"/>
            <w:r w:rsidRPr="00572E15">
              <w:rPr>
                <w:rFonts w:ascii="Verdana" w:hAnsi="Verdana" w:cs="Arial"/>
                <w:b/>
                <w:bCs/>
                <w:sz w:val="20"/>
                <w:lang w:val="en-US"/>
              </w:rPr>
              <w:t>Нетен</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дългов</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капитал</w:t>
            </w:r>
            <w:proofErr w:type="spellEnd"/>
          </w:p>
        </w:tc>
        <w:tc>
          <w:tcPr>
            <w:tcW w:w="878" w:type="pct"/>
            <w:shd w:val="clear" w:color="auto" w:fill="auto"/>
            <w:noWrap/>
            <w:vAlign w:val="center"/>
            <w:hideMark/>
          </w:tcPr>
          <w:p w:rsidR="00093DC7" w:rsidRPr="00791948" w:rsidRDefault="00791948" w:rsidP="007901C2">
            <w:pPr>
              <w:jc w:val="center"/>
              <w:rPr>
                <w:rFonts w:ascii="Verdana" w:hAnsi="Verdana" w:cs="Arial"/>
                <w:b/>
                <w:bCs/>
                <w:sz w:val="20"/>
              </w:rPr>
            </w:pPr>
            <w:r>
              <w:rPr>
                <w:rFonts w:ascii="Verdana" w:hAnsi="Verdana" w:cs="Arial"/>
                <w:b/>
                <w:bCs/>
                <w:sz w:val="20"/>
              </w:rPr>
              <w:t>164</w:t>
            </w:r>
          </w:p>
        </w:tc>
        <w:tc>
          <w:tcPr>
            <w:tcW w:w="878" w:type="pct"/>
            <w:shd w:val="clear" w:color="auto" w:fill="auto"/>
            <w:noWrap/>
            <w:vAlign w:val="center"/>
            <w:hideMark/>
          </w:tcPr>
          <w:p w:rsidR="00093DC7" w:rsidRPr="00791948" w:rsidRDefault="00791948" w:rsidP="007901C2">
            <w:pPr>
              <w:jc w:val="center"/>
              <w:rPr>
                <w:rFonts w:ascii="Verdana" w:hAnsi="Verdana" w:cs="Arial"/>
                <w:b/>
                <w:bCs/>
                <w:sz w:val="20"/>
              </w:rPr>
            </w:pPr>
            <w:r>
              <w:rPr>
                <w:rFonts w:ascii="Verdana" w:hAnsi="Verdana" w:cs="Arial"/>
                <w:b/>
                <w:bCs/>
                <w:sz w:val="20"/>
              </w:rPr>
              <w:t>1 300</w:t>
            </w:r>
          </w:p>
        </w:tc>
      </w:tr>
      <w:tr w:rsidR="00093DC7" w:rsidTr="007901C2">
        <w:trPr>
          <w:trHeight w:val="255"/>
          <w:tblCellSpacing w:w="1440" w:type="nil"/>
        </w:trPr>
        <w:tc>
          <w:tcPr>
            <w:tcW w:w="3163" w:type="pct"/>
            <w:shd w:val="clear" w:color="auto" w:fill="auto"/>
            <w:vAlign w:val="center"/>
            <w:hideMark/>
          </w:tcPr>
          <w:p w:rsidR="00093DC7" w:rsidRPr="00572E15" w:rsidRDefault="00093DC7" w:rsidP="007901C2">
            <w:pPr>
              <w:jc w:val="left"/>
              <w:rPr>
                <w:rFonts w:ascii="Verdana" w:hAnsi="Verdana" w:cs="Arial"/>
                <w:sz w:val="20"/>
                <w:lang w:val="en-US"/>
              </w:rPr>
            </w:pPr>
            <w:proofErr w:type="spellStart"/>
            <w:r w:rsidRPr="00572E15">
              <w:rPr>
                <w:rFonts w:ascii="Verdana" w:hAnsi="Verdana" w:cs="Arial"/>
                <w:sz w:val="20"/>
                <w:lang w:val="en-US"/>
              </w:rPr>
              <w:t>Общо</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собствен</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капитал</w:t>
            </w:r>
            <w:proofErr w:type="spellEnd"/>
          </w:p>
        </w:tc>
        <w:tc>
          <w:tcPr>
            <w:tcW w:w="878" w:type="pct"/>
            <w:shd w:val="clear" w:color="auto" w:fill="auto"/>
            <w:noWrap/>
            <w:vAlign w:val="center"/>
            <w:hideMark/>
          </w:tcPr>
          <w:p w:rsidR="00093DC7" w:rsidRPr="00791948" w:rsidRDefault="00791948" w:rsidP="007901C2">
            <w:pPr>
              <w:jc w:val="center"/>
              <w:rPr>
                <w:rFonts w:ascii="Verdana" w:hAnsi="Verdana" w:cs="Arial"/>
                <w:sz w:val="20"/>
              </w:rPr>
            </w:pPr>
            <w:r>
              <w:rPr>
                <w:rFonts w:ascii="Verdana" w:hAnsi="Verdana" w:cs="Arial"/>
                <w:sz w:val="20"/>
              </w:rPr>
              <w:t>2 390</w:t>
            </w:r>
          </w:p>
        </w:tc>
        <w:tc>
          <w:tcPr>
            <w:tcW w:w="878" w:type="pct"/>
            <w:shd w:val="clear" w:color="auto" w:fill="auto"/>
            <w:noWrap/>
            <w:vAlign w:val="center"/>
            <w:hideMark/>
          </w:tcPr>
          <w:p w:rsidR="00093DC7" w:rsidRPr="00285AFC" w:rsidRDefault="00791948" w:rsidP="007901C2">
            <w:pPr>
              <w:jc w:val="center"/>
              <w:rPr>
                <w:rFonts w:ascii="Verdana" w:hAnsi="Verdana" w:cs="Arial"/>
                <w:sz w:val="20"/>
              </w:rPr>
            </w:pPr>
            <w:r>
              <w:rPr>
                <w:rFonts w:ascii="Verdana" w:hAnsi="Verdana" w:cs="Arial"/>
                <w:sz w:val="20"/>
              </w:rPr>
              <w:t>(1 044</w:t>
            </w:r>
            <w:r w:rsidR="00093DC7">
              <w:rPr>
                <w:rFonts w:ascii="Verdana" w:hAnsi="Verdana" w:cs="Arial"/>
                <w:sz w:val="20"/>
              </w:rPr>
              <w:t>)</w:t>
            </w:r>
          </w:p>
        </w:tc>
      </w:tr>
      <w:tr w:rsidR="00093DC7" w:rsidTr="007901C2">
        <w:trPr>
          <w:trHeight w:val="255"/>
          <w:tblCellSpacing w:w="1440" w:type="nil"/>
        </w:trPr>
        <w:tc>
          <w:tcPr>
            <w:tcW w:w="3163" w:type="pct"/>
            <w:shd w:val="clear" w:color="auto" w:fill="auto"/>
            <w:vAlign w:val="center"/>
            <w:hideMark/>
          </w:tcPr>
          <w:p w:rsidR="00093DC7" w:rsidRPr="00572E15" w:rsidRDefault="00093DC7" w:rsidP="007901C2">
            <w:pPr>
              <w:jc w:val="left"/>
              <w:rPr>
                <w:rFonts w:ascii="Verdana" w:hAnsi="Verdana" w:cs="Arial"/>
                <w:b/>
                <w:bCs/>
                <w:sz w:val="20"/>
                <w:lang w:val="en-US"/>
              </w:rPr>
            </w:pPr>
            <w:proofErr w:type="spellStart"/>
            <w:r w:rsidRPr="00572E15">
              <w:rPr>
                <w:rFonts w:ascii="Verdana" w:hAnsi="Verdana" w:cs="Arial"/>
                <w:b/>
                <w:bCs/>
                <w:sz w:val="20"/>
                <w:lang w:val="en-US"/>
              </w:rPr>
              <w:t>Общо</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капитал</w:t>
            </w:r>
            <w:proofErr w:type="spellEnd"/>
          </w:p>
        </w:tc>
        <w:tc>
          <w:tcPr>
            <w:tcW w:w="878" w:type="pct"/>
            <w:shd w:val="clear" w:color="auto" w:fill="auto"/>
            <w:noWrap/>
            <w:vAlign w:val="center"/>
            <w:hideMark/>
          </w:tcPr>
          <w:p w:rsidR="00093DC7" w:rsidRPr="00285AFC" w:rsidRDefault="00791948" w:rsidP="007901C2">
            <w:pPr>
              <w:jc w:val="center"/>
              <w:rPr>
                <w:rFonts w:ascii="Verdana" w:hAnsi="Verdana" w:cs="Arial"/>
                <w:b/>
                <w:bCs/>
                <w:sz w:val="20"/>
              </w:rPr>
            </w:pPr>
            <w:r>
              <w:rPr>
                <w:rFonts w:ascii="Verdana" w:hAnsi="Verdana" w:cs="Arial"/>
                <w:b/>
                <w:bCs/>
                <w:sz w:val="20"/>
              </w:rPr>
              <w:t>2 554</w:t>
            </w:r>
          </w:p>
        </w:tc>
        <w:tc>
          <w:tcPr>
            <w:tcW w:w="878" w:type="pct"/>
            <w:shd w:val="clear" w:color="auto" w:fill="auto"/>
            <w:noWrap/>
            <w:vAlign w:val="center"/>
            <w:hideMark/>
          </w:tcPr>
          <w:p w:rsidR="00093DC7" w:rsidRPr="00285AFC" w:rsidRDefault="00791948" w:rsidP="007901C2">
            <w:pPr>
              <w:jc w:val="center"/>
              <w:rPr>
                <w:rFonts w:ascii="Verdana" w:hAnsi="Verdana" w:cs="Arial"/>
                <w:b/>
                <w:bCs/>
                <w:sz w:val="20"/>
              </w:rPr>
            </w:pPr>
            <w:r>
              <w:rPr>
                <w:rFonts w:ascii="Verdana" w:hAnsi="Verdana" w:cs="Arial"/>
                <w:b/>
                <w:bCs/>
                <w:sz w:val="20"/>
              </w:rPr>
              <w:t>256</w:t>
            </w:r>
          </w:p>
        </w:tc>
      </w:tr>
      <w:tr w:rsidR="00093DC7" w:rsidTr="007901C2">
        <w:trPr>
          <w:trHeight w:val="255"/>
          <w:tblCellSpacing w:w="1440" w:type="nil"/>
        </w:trPr>
        <w:tc>
          <w:tcPr>
            <w:tcW w:w="3163" w:type="pct"/>
            <w:shd w:val="clear" w:color="000000" w:fill="F2F2F2"/>
            <w:vAlign w:val="center"/>
            <w:hideMark/>
          </w:tcPr>
          <w:p w:rsidR="00093DC7" w:rsidRPr="00572E15" w:rsidRDefault="00093DC7" w:rsidP="007901C2">
            <w:pPr>
              <w:jc w:val="left"/>
              <w:rPr>
                <w:rFonts w:ascii="Verdana" w:hAnsi="Verdana" w:cs="Arial"/>
                <w:b/>
                <w:bCs/>
                <w:sz w:val="20"/>
                <w:lang w:val="en-US"/>
              </w:rPr>
            </w:pPr>
            <w:proofErr w:type="spellStart"/>
            <w:r w:rsidRPr="00572E15">
              <w:rPr>
                <w:rFonts w:ascii="Verdana" w:hAnsi="Verdana" w:cs="Arial"/>
                <w:b/>
                <w:bCs/>
                <w:sz w:val="20"/>
                <w:lang w:val="en-US"/>
              </w:rPr>
              <w:t>Коефициент</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нетен</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дълг</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към</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собствен</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капитал</w:t>
            </w:r>
            <w:proofErr w:type="spellEnd"/>
          </w:p>
        </w:tc>
        <w:tc>
          <w:tcPr>
            <w:tcW w:w="878" w:type="pct"/>
            <w:shd w:val="clear" w:color="000000" w:fill="F2F2F2"/>
            <w:noWrap/>
            <w:vAlign w:val="center"/>
            <w:hideMark/>
          </w:tcPr>
          <w:p w:rsidR="00093DC7" w:rsidRPr="00285AFC" w:rsidRDefault="00791948" w:rsidP="007901C2">
            <w:pPr>
              <w:jc w:val="center"/>
              <w:rPr>
                <w:rFonts w:ascii="Verdana" w:hAnsi="Verdana" w:cs="Arial"/>
                <w:b/>
                <w:bCs/>
                <w:sz w:val="20"/>
              </w:rPr>
            </w:pPr>
            <w:r>
              <w:rPr>
                <w:rFonts w:ascii="Verdana" w:hAnsi="Verdana" w:cs="Arial"/>
                <w:b/>
                <w:bCs/>
                <w:sz w:val="20"/>
              </w:rPr>
              <w:t>0.06</w:t>
            </w:r>
          </w:p>
        </w:tc>
        <w:tc>
          <w:tcPr>
            <w:tcW w:w="878" w:type="pct"/>
            <w:shd w:val="clear" w:color="000000" w:fill="F2F2F2"/>
            <w:noWrap/>
            <w:vAlign w:val="center"/>
            <w:hideMark/>
          </w:tcPr>
          <w:p w:rsidR="00093DC7" w:rsidRPr="00791948" w:rsidRDefault="00791948" w:rsidP="007901C2">
            <w:pPr>
              <w:jc w:val="center"/>
              <w:rPr>
                <w:rFonts w:ascii="Verdana" w:hAnsi="Verdana" w:cs="Arial"/>
                <w:b/>
                <w:bCs/>
                <w:sz w:val="20"/>
              </w:rPr>
            </w:pPr>
            <w:r>
              <w:rPr>
                <w:rFonts w:ascii="Verdana" w:hAnsi="Verdana" w:cs="Arial"/>
                <w:b/>
                <w:bCs/>
                <w:sz w:val="20"/>
              </w:rPr>
              <w:t>5.08</w:t>
            </w:r>
          </w:p>
        </w:tc>
      </w:tr>
    </w:tbl>
    <w:p w:rsidR="00093DC7" w:rsidRDefault="00093DC7" w:rsidP="00093DC7">
      <w:pPr>
        <w:pStyle w:val="a0"/>
        <w:shd w:val="clear" w:color="auto" w:fill="auto"/>
        <w:spacing w:before="0" w:after="0" w:line="260" w:lineRule="atLeast"/>
        <w:ind w:right="280"/>
        <w:rPr>
          <w:rFonts w:ascii="Verdana" w:hAnsi="Verdana" w:cs="Arial"/>
          <w:spacing w:val="0"/>
          <w:sz w:val="20"/>
          <w:szCs w:val="20"/>
        </w:rPr>
      </w:pPr>
    </w:p>
    <w:p w:rsidR="00093DC7" w:rsidRPr="00C2255D" w:rsidRDefault="00BC2F3E" w:rsidP="00093DC7">
      <w:pPr>
        <w:pStyle w:val="a0"/>
        <w:shd w:val="clear" w:color="auto" w:fill="auto"/>
        <w:spacing w:before="0" w:after="0" w:line="260" w:lineRule="atLeast"/>
        <w:ind w:right="280"/>
        <w:rPr>
          <w:rFonts w:ascii="Verdana" w:hAnsi="Verdana" w:cs="Arial"/>
          <w:spacing w:val="0"/>
          <w:sz w:val="20"/>
          <w:szCs w:val="20"/>
        </w:rPr>
      </w:pPr>
      <w:r>
        <w:rPr>
          <w:rFonts w:ascii="Verdana" w:hAnsi="Verdana" w:cs="Arial"/>
          <w:spacing w:val="0"/>
          <w:sz w:val="20"/>
          <w:szCs w:val="20"/>
        </w:rPr>
        <w:t>Към 30.06.2019</w:t>
      </w:r>
      <w:r w:rsidR="00093DC7" w:rsidRPr="00C2255D">
        <w:rPr>
          <w:rFonts w:ascii="Verdana" w:hAnsi="Verdana" w:cs="Arial"/>
          <w:spacing w:val="0"/>
          <w:sz w:val="20"/>
          <w:szCs w:val="20"/>
          <w:lang w:val="en-US"/>
        </w:rPr>
        <w:t xml:space="preserve"> </w:t>
      </w:r>
      <w:r w:rsidR="00093DC7" w:rsidRPr="00C2255D">
        <w:rPr>
          <w:rFonts w:ascii="Verdana" w:hAnsi="Verdana" w:cs="Arial"/>
          <w:spacing w:val="0"/>
          <w:sz w:val="20"/>
          <w:szCs w:val="20"/>
        </w:rPr>
        <w:t xml:space="preserve">г. собственият </w:t>
      </w:r>
      <w:r w:rsidR="00093DC7">
        <w:rPr>
          <w:rFonts w:ascii="Verdana" w:hAnsi="Verdana" w:cs="Arial"/>
          <w:spacing w:val="0"/>
          <w:sz w:val="20"/>
          <w:szCs w:val="20"/>
        </w:rPr>
        <w:t xml:space="preserve">капитал е </w:t>
      </w:r>
      <w:r>
        <w:rPr>
          <w:rFonts w:ascii="Verdana" w:hAnsi="Verdana" w:cs="Arial"/>
          <w:spacing w:val="0"/>
          <w:sz w:val="20"/>
          <w:szCs w:val="20"/>
        </w:rPr>
        <w:t>2 390</w:t>
      </w:r>
      <w:r w:rsidR="00093DC7" w:rsidRPr="00C2255D">
        <w:rPr>
          <w:rFonts w:ascii="Verdana" w:hAnsi="Verdana" w:cs="Arial"/>
          <w:spacing w:val="0"/>
          <w:sz w:val="20"/>
          <w:szCs w:val="20"/>
        </w:rPr>
        <w:t xml:space="preserve"> хил. лв.</w:t>
      </w:r>
    </w:p>
    <w:p w:rsidR="00093DC7" w:rsidRPr="00572E15" w:rsidRDefault="00093DC7" w:rsidP="00093DC7">
      <w:pPr>
        <w:spacing w:before="120" w:line="260" w:lineRule="atLeast"/>
        <w:rPr>
          <w:rFonts w:ascii="Verdana" w:hAnsi="Verdana" w:cs="Arial"/>
          <w:b/>
          <w:sz w:val="20"/>
        </w:rPr>
      </w:pPr>
      <w:bookmarkStart w:id="7" w:name="_GoBack"/>
      <w:bookmarkEnd w:id="7"/>
      <w:r w:rsidRPr="00572E15">
        <w:rPr>
          <w:rFonts w:ascii="Verdana" w:hAnsi="Verdana" w:cs="Arial"/>
          <w:b/>
          <w:sz w:val="20"/>
        </w:rPr>
        <w:t>Управление на финансовия риск</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Дружеството има експозиция към следните финансови рискове:</w:t>
      </w:r>
    </w:p>
    <w:p w:rsidR="00093DC7" w:rsidRPr="00C2255D" w:rsidRDefault="00093DC7" w:rsidP="00093DC7">
      <w:pPr>
        <w:numPr>
          <w:ilvl w:val="0"/>
          <w:numId w:val="1"/>
        </w:numPr>
        <w:spacing w:line="260" w:lineRule="atLeast"/>
        <w:rPr>
          <w:rFonts w:ascii="Verdana" w:hAnsi="Verdana" w:cs="Arial"/>
          <w:sz w:val="20"/>
        </w:rPr>
      </w:pPr>
      <w:r w:rsidRPr="00C2255D">
        <w:rPr>
          <w:rFonts w:ascii="Verdana" w:hAnsi="Verdana" w:cs="Arial"/>
          <w:sz w:val="20"/>
        </w:rPr>
        <w:t>кредитен риск;</w:t>
      </w:r>
    </w:p>
    <w:p w:rsidR="00093DC7" w:rsidRPr="00C2255D" w:rsidRDefault="00093DC7" w:rsidP="00093DC7">
      <w:pPr>
        <w:numPr>
          <w:ilvl w:val="0"/>
          <w:numId w:val="1"/>
        </w:numPr>
        <w:spacing w:line="260" w:lineRule="atLeast"/>
        <w:rPr>
          <w:rFonts w:ascii="Verdana" w:hAnsi="Verdana" w:cs="Arial"/>
          <w:sz w:val="20"/>
        </w:rPr>
      </w:pPr>
      <w:r w:rsidRPr="00C2255D">
        <w:rPr>
          <w:rFonts w:ascii="Verdana" w:hAnsi="Verdana" w:cs="Arial"/>
          <w:sz w:val="20"/>
        </w:rPr>
        <w:t>ликвиден риск;</w:t>
      </w:r>
    </w:p>
    <w:p w:rsidR="00093DC7" w:rsidRPr="00C2255D" w:rsidRDefault="00093DC7" w:rsidP="00093DC7">
      <w:pPr>
        <w:numPr>
          <w:ilvl w:val="0"/>
          <w:numId w:val="1"/>
        </w:numPr>
        <w:spacing w:line="260" w:lineRule="atLeast"/>
        <w:rPr>
          <w:rFonts w:ascii="Verdana" w:hAnsi="Verdana" w:cs="Arial"/>
          <w:sz w:val="20"/>
        </w:rPr>
      </w:pPr>
      <w:r w:rsidRPr="00C2255D">
        <w:rPr>
          <w:rFonts w:ascii="Verdana" w:hAnsi="Verdana" w:cs="Arial"/>
          <w:sz w:val="20"/>
        </w:rPr>
        <w:t>пазарен риск;</w:t>
      </w:r>
    </w:p>
    <w:p w:rsidR="00093DC7" w:rsidRPr="00C2255D" w:rsidRDefault="00093DC7" w:rsidP="00093DC7">
      <w:pPr>
        <w:numPr>
          <w:ilvl w:val="0"/>
          <w:numId w:val="1"/>
        </w:numPr>
        <w:spacing w:line="260" w:lineRule="atLeast"/>
        <w:rPr>
          <w:rFonts w:ascii="Verdana" w:hAnsi="Verdana" w:cs="Arial"/>
          <w:sz w:val="20"/>
        </w:rPr>
      </w:pPr>
      <w:r w:rsidRPr="00C2255D">
        <w:rPr>
          <w:rFonts w:ascii="Verdana" w:hAnsi="Verdana" w:cs="Arial"/>
          <w:sz w:val="20"/>
        </w:rPr>
        <w:t>оперативен риск.</w:t>
      </w:r>
    </w:p>
    <w:p w:rsidR="006675AA" w:rsidRDefault="006675AA" w:rsidP="00093DC7">
      <w:pPr>
        <w:spacing w:before="120" w:line="260" w:lineRule="atLeast"/>
        <w:rPr>
          <w:rFonts w:ascii="Verdana" w:hAnsi="Verdana" w:cs="Arial"/>
          <w:b/>
          <w:sz w:val="20"/>
        </w:rPr>
      </w:pPr>
    </w:p>
    <w:p w:rsidR="00093DC7" w:rsidRPr="006861FA" w:rsidRDefault="00093DC7" w:rsidP="00093DC7">
      <w:pPr>
        <w:spacing w:before="120" w:line="260" w:lineRule="atLeast"/>
        <w:rPr>
          <w:rFonts w:ascii="Verdana" w:hAnsi="Verdana" w:cs="Arial"/>
          <w:b/>
          <w:sz w:val="20"/>
        </w:rPr>
      </w:pPr>
      <w:r w:rsidRPr="006861FA">
        <w:rPr>
          <w:rFonts w:ascii="Verdana" w:hAnsi="Verdana" w:cs="Arial"/>
          <w:b/>
          <w:sz w:val="20"/>
        </w:rPr>
        <w:t>Основни положения за управление на риска</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 xml:space="preserve">Политиките за управление на риска в Дружеството са установени с цел да идентифицират и анализират рисковете, влияещи върху Дружеството, да установяват граници за поемане на рискове по отделни видове, дефинират правила за контрол върху рисковете и спазване на установените граници. Политиките и системите по управление на рисковете подлежат на регулярна проверка с цел установяване на настъпили изменения на пазара и дейностите на Дружеството. Дружеството чрез обучение и прилагане на установените стандарти и процедури за </w:t>
      </w:r>
      <w:r w:rsidRPr="00C2255D">
        <w:rPr>
          <w:rFonts w:ascii="Verdana" w:hAnsi="Verdana" w:cs="Arial"/>
          <w:sz w:val="20"/>
        </w:rPr>
        <w:lastRenderedPageBreak/>
        <w:t>управление цели да развие дисциплина и конструктивна контролна среда, където всички служители разбират своята роля и задължения.</w:t>
      </w:r>
    </w:p>
    <w:p w:rsidR="00093DC7" w:rsidRPr="00C2255D" w:rsidRDefault="00093DC7" w:rsidP="00093DC7">
      <w:pPr>
        <w:spacing w:before="120" w:line="260" w:lineRule="atLeast"/>
        <w:rPr>
          <w:rFonts w:ascii="Verdana" w:hAnsi="Verdana" w:cs="Arial"/>
          <w:b/>
          <w:sz w:val="20"/>
        </w:rPr>
      </w:pPr>
      <w:r w:rsidRPr="00C2255D">
        <w:rPr>
          <w:rFonts w:ascii="Verdana" w:hAnsi="Verdana" w:cs="Arial"/>
          <w:b/>
          <w:sz w:val="20"/>
        </w:rPr>
        <w:t>Кредитен риск</w:t>
      </w:r>
    </w:p>
    <w:p w:rsidR="00093DC7" w:rsidRPr="00C2255D" w:rsidRDefault="00093DC7" w:rsidP="00093DC7">
      <w:pPr>
        <w:spacing w:line="260" w:lineRule="atLeast"/>
        <w:rPr>
          <w:rFonts w:ascii="Verdana" w:hAnsi="Verdana" w:cs="Arial"/>
          <w:color w:val="FF0000"/>
          <w:sz w:val="20"/>
        </w:rPr>
      </w:pPr>
      <w:r w:rsidRPr="00C2255D">
        <w:rPr>
          <w:rFonts w:ascii="Verdana" w:hAnsi="Verdana" w:cs="Arial"/>
          <w:sz w:val="20"/>
        </w:rPr>
        <w:t xml:space="preserve">Кредитният риск е рискът, че контрагентът няма да изпълни задълженията си по даден финансов инструмент или договор, което води до финансова загуба. </w:t>
      </w:r>
    </w:p>
    <w:p w:rsidR="00093DC7" w:rsidRPr="00C2255D" w:rsidRDefault="00093DC7" w:rsidP="00093DC7">
      <w:pPr>
        <w:spacing w:before="120" w:line="260" w:lineRule="atLeast"/>
        <w:rPr>
          <w:rFonts w:ascii="Verdana" w:hAnsi="Verdana" w:cs="Arial"/>
          <w:b/>
          <w:sz w:val="20"/>
        </w:rPr>
      </w:pPr>
      <w:r w:rsidRPr="00C2255D">
        <w:rPr>
          <w:rFonts w:ascii="Verdana" w:hAnsi="Verdana" w:cs="Arial"/>
          <w:b/>
          <w:sz w:val="20"/>
        </w:rPr>
        <w:t>Вземания от клиенти</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Експозицията към кредитен риск зависи от индивидуалните характеристики на отделните клиенти. Демографската структура на клиентите и риска от неплащане в индустрията или в страната, в която те оперират влиаят в по-малка степен на кредитният риск.</w:t>
      </w:r>
    </w:p>
    <w:p w:rsidR="00093DC7" w:rsidRPr="006861FA" w:rsidRDefault="00093DC7" w:rsidP="00093DC7">
      <w:pPr>
        <w:spacing w:before="120" w:line="260" w:lineRule="atLeast"/>
        <w:rPr>
          <w:rFonts w:ascii="Verdana" w:hAnsi="Verdana" w:cs="Arial"/>
          <w:b/>
          <w:sz w:val="20"/>
        </w:rPr>
      </w:pPr>
      <w:r w:rsidRPr="006861FA">
        <w:rPr>
          <w:rFonts w:ascii="Verdana" w:hAnsi="Verdana" w:cs="Arial"/>
          <w:b/>
          <w:sz w:val="20"/>
        </w:rPr>
        <w:t>Ликвиден риск</w:t>
      </w:r>
    </w:p>
    <w:p w:rsidR="00093DC7" w:rsidRPr="00C2255D" w:rsidRDefault="00093DC7" w:rsidP="00093DC7">
      <w:pPr>
        <w:pStyle w:val="a0"/>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Ликвиден риск възниква при положение, че Дружеството не изпълни своите задължения, когато те станат изискуеми. Дружеството прилага подход, който да осигури необходимия ликвиден ресурс да се посрещнат настъпилите задължения при нормални или стресови условия без да се реализират неприемливи загуби или да се увреди репутацията на Дружеството.</w:t>
      </w:r>
    </w:p>
    <w:p w:rsidR="00093DC7" w:rsidRPr="006861FA" w:rsidRDefault="00093DC7" w:rsidP="00093DC7">
      <w:pPr>
        <w:spacing w:before="120" w:line="260" w:lineRule="atLeast"/>
        <w:rPr>
          <w:rFonts w:ascii="Verdana" w:hAnsi="Verdana" w:cs="Arial"/>
          <w:b/>
          <w:sz w:val="20"/>
        </w:rPr>
      </w:pPr>
      <w:r w:rsidRPr="006861FA">
        <w:rPr>
          <w:rFonts w:ascii="Verdana" w:hAnsi="Verdana" w:cs="Arial"/>
          <w:b/>
          <w:sz w:val="20"/>
        </w:rPr>
        <w:t>Пазарен риск</w:t>
      </w:r>
    </w:p>
    <w:p w:rsidR="00093DC7" w:rsidRPr="00C2255D" w:rsidRDefault="00093DC7" w:rsidP="00093DC7">
      <w:pPr>
        <w:pStyle w:val="a0"/>
        <w:shd w:val="clear" w:color="auto" w:fill="auto"/>
        <w:spacing w:before="0" w:after="0" w:line="260" w:lineRule="atLeast"/>
        <w:ind w:right="60"/>
        <w:rPr>
          <w:rFonts w:ascii="Verdana" w:hAnsi="Verdana" w:cs="Arial"/>
          <w:spacing w:val="0"/>
          <w:sz w:val="20"/>
          <w:szCs w:val="20"/>
          <w:lang w:val="en-US"/>
        </w:rPr>
      </w:pPr>
      <w:r w:rsidRPr="00C2255D">
        <w:rPr>
          <w:rFonts w:ascii="Verdana" w:hAnsi="Verdana" w:cs="Arial"/>
          <w:spacing w:val="0"/>
          <w:sz w:val="20"/>
          <w:szCs w:val="20"/>
        </w:rPr>
        <w:t>Пазарен риск е рискът, при промяна на пазарните цени, като курс на чуждестранна валута, лихвени проценти или цени на капиталови инструменти, доходът на дружеството или стойността на неговите инвестиции да бъдат засегнати. Целта на управлението на пазарния риск е да управлява и контролира експозицията на пазарен риск в приемливи граници, като се оптимизира възвръщаемостта.</w:t>
      </w:r>
    </w:p>
    <w:p w:rsidR="00093DC7" w:rsidRPr="006861FA" w:rsidRDefault="00093DC7" w:rsidP="00093DC7">
      <w:pPr>
        <w:spacing w:before="120" w:line="260" w:lineRule="atLeast"/>
        <w:rPr>
          <w:rFonts w:ascii="Verdana" w:hAnsi="Verdana" w:cs="Arial"/>
          <w:b/>
          <w:sz w:val="20"/>
        </w:rPr>
      </w:pPr>
      <w:r w:rsidRPr="006861FA">
        <w:rPr>
          <w:rFonts w:ascii="Verdana" w:hAnsi="Verdana" w:cs="Arial"/>
          <w:b/>
          <w:sz w:val="20"/>
        </w:rPr>
        <w:t>Валутен риск</w:t>
      </w:r>
    </w:p>
    <w:p w:rsidR="00093DC7" w:rsidRPr="00C2255D" w:rsidRDefault="00093DC7" w:rsidP="00093DC7">
      <w:pPr>
        <w:pStyle w:val="a0"/>
        <w:shd w:val="clear" w:color="auto" w:fill="auto"/>
        <w:spacing w:before="0" w:after="0" w:line="260" w:lineRule="atLeast"/>
        <w:ind w:right="60"/>
        <w:rPr>
          <w:rFonts w:ascii="Verdana" w:hAnsi="Verdana" w:cs="Arial"/>
          <w:spacing w:val="0"/>
          <w:sz w:val="20"/>
          <w:szCs w:val="20"/>
        </w:rPr>
      </w:pPr>
      <w:r w:rsidRPr="00C2255D">
        <w:rPr>
          <w:rFonts w:ascii="Verdana" w:hAnsi="Verdana" w:cs="Arial"/>
          <w:sz w:val="20"/>
          <w:szCs w:val="20"/>
        </w:rPr>
        <w:t>Дружеството не е изложено на валутен риск, тъй като всички активи и пасиви на Дружеството са деноминирани в български лева или евро. Валутен риск би настъпил при промяна на съотношението на български лев/евро, за което Ръководството няма такава информация и предвиждания.</w:t>
      </w:r>
    </w:p>
    <w:p w:rsidR="00093DC7" w:rsidRPr="006861FA" w:rsidRDefault="00093DC7" w:rsidP="00093DC7">
      <w:pPr>
        <w:spacing w:before="120" w:line="260" w:lineRule="atLeast"/>
        <w:rPr>
          <w:rFonts w:ascii="Verdana" w:hAnsi="Verdana" w:cs="Arial"/>
          <w:b/>
          <w:sz w:val="20"/>
        </w:rPr>
      </w:pPr>
      <w:r w:rsidRPr="006861FA">
        <w:rPr>
          <w:rFonts w:ascii="Verdana" w:hAnsi="Verdana" w:cs="Arial"/>
          <w:b/>
          <w:sz w:val="20"/>
        </w:rPr>
        <w:t>Оперативен риск</w:t>
      </w:r>
    </w:p>
    <w:p w:rsidR="00093DC7" w:rsidRPr="00C2255D" w:rsidRDefault="00093DC7" w:rsidP="00093DC7">
      <w:pPr>
        <w:pStyle w:val="a0"/>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Оперативен риск е рискът от преки или косвени загуби, произтичащи от широк кръг от причини, свързани с процесите, персонала, технологиите и инфраструктурата на Дружеството, както и от външни фактори, различни от кредитни, пазарни и ликвидни рискове, като например тези, произтичащи от правни и регулаторни изисквания и общоприети стандарти на корпоративно поведение. Оперативни рискове възникват от всички операции на Дружеството.</w:t>
      </w:r>
    </w:p>
    <w:p w:rsidR="00093DC7" w:rsidRDefault="00093DC7" w:rsidP="00093DC7">
      <w:pPr>
        <w:pStyle w:val="a0"/>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Основната отговорност за разработване и прилагане на контроли за оперативния риск се възлага на висшето ръководство. Тази отговорност се подпомага от развитието на общи стандарти за Дружеството за управление на оперативния риск в следните области:</w:t>
      </w:r>
    </w:p>
    <w:p w:rsidR="006675AA" w:rsidRPr="00C2255D" w:rsidRDefault="006675AA" w:rsidP="00093DC7">
      <w:pPr>
        <w:pStyle w:val="a0"/>
        <w:shd w:val="clear" w:color="auto" w:fill="auto"/>
        <w:spacing w:before="0" w:after="0" w:line="260" w:lineRule="atLeast"/>
        <w:ind w:right="60"/>
        <w:rPr>
          <w:rFonts w:ascii="Verdana" w:hAnsi="Verdana" w:cs="Arial"/>
          <w:spacing w:val="0"/>
          <w:sz w:val="20"/>
          <w:szCs w:val="20"/>
        </w:rPr>
      </w:pP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подходящо разпределение на задълженията, включително и независимо оторизиране на сделки;</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равняване и мониторинг на сделките;</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bookmarkStart w:id="8" w:name="bookmark3"/>
      <w:r w:rsidRPr="00C2255D">
        <w:rPr>
          <w:rFonts w:ascii="Verdana" w:hAnsi="Verdana" w:cs="Arial"/>
          <w:spacing w:val="0"/>
          <w:sz w:val="20"/>
          <w:szCs w:val="20"/>
        </w:rPr>
        <w:t>съответствие с регулаторните и други правни изисквания</w:t>
      </w:r>
      <w:bookmarkEnd w:id="8"/>
      <w:r w:rsidRPr="00C2255D">
        <w:rPr>
          <w:rFonts w:ascii="Verdana" w:hAnsi="Verdana" w:cs="Arial"/>
          <w:spacing w:val="0"/>
          <w:sz w:val="20"/>
          <w:szCs w:val="20"/>
        </w:rPr>
        <w:t>;</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документация за контрол и процедури;</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периодична оценка на оперативните рискове и адекватността на контролите и процедурите за справяне с идентифицираните рискове;</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докладване на оперативни загуби и предложените коригиращи действия;</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развитие на аварийни планове;</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обучение и професионално развитие;</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етични и бизнес стандарти;</w:t>
      </w:r>
    </w:p>
    <w:p w:rsidR="00093DC7" w:rsidRPr="00FE2EA4"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lastRenderedPageBreak/>
        <w:t>намаляване на риска, включително застраховка, когато това е ефективно.</w:t>
      </w:r>
    </w:p>
    <w:p w:rsidR="00093DC7" w:rsidRPr="003B027D" w:rsidRDefault="00093DC7" w:rsidP="00093DC7">
      <w:pPr>
        <w:spacing w:line="260" w:lineRule="atLeast"/>
        <w:rPr>
          <w:rFonts w:ascii="Verdana" w:hAnsi="Verdana" w:cs="Arial"/>
          <w:sz w:val="20"/>
          <w:lang w:val="en-US"/>
        </w:rPr>
      </w:pPr>
      <w:r>
        <w:rPr>
          <w:rFonts w:ascii="Verdana" w:hAnsi="Verdana" w:cs="Arial"/>
          <w:sz w:val="20"/>
          <w:lang w:val="en-US"/>
        </w:rPr>
        <w:t>_____________________________________</w:t>
      </w:r>
    </w:p>
    <w:p w:rsidR="00093DC7" w:rsidRPr="00611ED0" w:rsidRDefault="00093DC7" w:rsidP="00093DC7">
      <w:pPr>
        <w:spacing w:before="120" w:line="260" w:lineRule="atLeast"/>
        <w:rPr>
          <w:rFonts w:ascii="Verdana" w:hAnsi="Verdana" w:cs="Arial"/>
          <w:b/>
          <w:sz w:val="20"/>
        </w:rPr>
      </w:pPr>
      <w:r w:rsidRPr="00611ED0">
        <w:rPr>
          <w:rFonts w:ascii="Verdana" w:hAnsi="Verdana" w:cs="Arial"/>
          <w:b/>
          <w:sz w:val="20"/>
        </w:rPr>
        <w:t>Михаил Ковачев</w:t>
      </w:r>
      <w:r>
        <w:rPr>
          <w:rFonts w:ascii="Verdana" w:hAnsi="Verdana" w:cs="Arial"/>
          <w:b/>
          <w:sz w:val="20"/>
          <w:lang w:val="en-US"/>
        </w:rPr>
        <w:t xml:space="preserve"> - </w:t>
      </w:r>
      <w:r w:rsidRPr="00611ED0">
        <w:rPr>
          <w:rFonts w:ascii="Verdana" w:hAnsi="Verdana" w:cs="Arial"/>
          <w:b/>
          <w:sz w:val="20"/>
        </w:rPr>
        <w:t>Изпълнителен директор</w:t>
      </w:r>
    </w:p>
    <w:p w:rsidR="00093DC7" w:rsidRPr="00611ED0" w:rsidRDefault="00BC2F3E" w:rsidP="00093DC7">
      <w:pPr>
        <w:spacing w:before="120" w:line="260" w:lineRule="atLeast"/>
        <w:rPr>
          <w:rFonts w:ascii="Verdana" w:hAnsi="Verdana" w:cs="Arial"/>
          <w:b/>
          <w:sz w:val="20"/>
        </w:rPr>
      </w:pPr>
      <w:r>
        <w:rPr>
          <w:rFonts w:ascii="Verdana" w:hAnsi="Verdana" w:cs="Arial"/>
          <w:b/>
          <w:sz w:val="20"/>
        </w:rPr>
        <w:t xml:space="preserve">Топлофикация – Разград  </w:t>
      </w:r>
      <w:r w:rsidR="00093DC7" w:rsidRPr="00611ED0">
        <w:rPr>
          <w:rFonts w:ascii="Verdana" w:hAnsi="Verdana" w:cs="Arial"/>
          <w:b/>
          <w:sz w:val="20"/>
        </w:rPr>
        <w:t>АД</w:t>
      </w:r>
    </w:p>
    <w:p w:rsidR="00093DC7" w:rsidRPr="00611ED0" w:rsidRDefault="00093DC7" w:rsidP="00093DC7">
      <w:pPr>
        <w:spacing w:line="260" w:lineRule="atLeast"/>
        <w:rPr>
          <w:rFonts w:ascii="Verdana" w:hAnsi="Verdana" w:cs="Arial"/>
          <w:b/>
          <w:sz w:val="20"/>
        </w:rPr>
      </w:pPr>
    </w:p>
    <w:p w:rsidR="00D34562" w:rsidRDefault="00093DC7" w:rsidP="008F353D">
      <w:pPr>
        <w:spacing w:line="260" w:lineRule="atLeast"/>
        <w:rPr>
          <w:rFonts w:ascii="Verdana" w:hAnsi="Verdana" w:cs="Arial"/>
          <w:b/>
          <w:sz w:val="20"/>
          <w:lang w:val="en-US"/>
        </w:rPr>
      </w:pPr>
      <w:r>
        <w:rPr>
          <w:rFonts w:ascii="Verdana" w:hAnsi="Verdana" w:cs="Arial"/>
          <w:b/>
          <w:sz w:val="20"/>
        </w:rPr>
        <w:t>София,</w:t>
      </w:r>
    </w:p>
    <w:p w:rsidR="00BF452C" w:rsidRPr="008F353D" w:rsidRDefault="00BC2F3E" w:rsidP="008F353D">
      <w:pPr>
        <w:spacing w:line="260" w:lineRule="atLeast"/>
        <w:rPr>
          <w:rFonts w:ascii="Verdana" w:hAnsi="Verdana" w:cs="Arial"/>
          <w:b/>
          <w:sz w:val="20"/>
          <w:lang w:val="en-US"/>
        </w:rPr>
      </w:pPr>
      <w:r>
        <w:rPr>
          <w:rFonts w:ascii="Verdana" w:hAnsi="Verdana" w:cs="Arial"/>
          <w:b/>
          <w:sz w:val="20"/>
        </w:rPr>
        <w:t>26</w:t>
      </w:r>
      <w:r w:rsidR="00D34562">
        <w:rPr>
          <w:rFonts w:ascii="Verdana" w:hAnsi="Verdana" w:cs="Arial"/>
          <w:b/>
          <w:sz w:val="20"/>
          <w:lang w:val="en-US"/>
        </w:rPr>
        <w:t>.</w:t>
      </w:r>
      <w:r w:rsidR="00093DC7" w:rsidRPr="00611ED0">
        <w:rPr>
          <w:rFonts w:ascii="Verdana" w:hAnsi="Verdana" w:cs="Arial"/>
          <w:b/>
          <w:sz w:val="20"/>
        </w:rPr>
        <w:t>0</w:t>
      </w:r>
      <w:r w:rsidR="00093DC7">
        <w:rPr>
          <w:rFonts w:ascii="Verdana" w:hAnsi="Verdana" w:cs="Arial"/>
          <w:b/>
          <w:sz w:val="20"/>
        </w:rPr>
        <w:t>7</w:t>
      </w:r>
      <w:r w:rsidR="00093DC7" w:rsidRPr="00611ED0">
        <w:rPr>
          <w:rFonts w:ascii="Verdana" w:hAnsi="Verdana" w:cs="Arial"/>
          <w:b/>
          <w:sz w:val="20"/>
        </w:rPr>
        <w:t>.</w:t>
      </w:r>
      <w:r w:rsidR="00093DC7">
        <w:rPr>
          <w:rFonts w:ascii="Verdana" w:hAnsi="Verdana" w:cs="Arial"/>
          <w:b/>
          <w:sz w:val="20"/>
        </w:rPr>
        <w:t>201</w:t>
      </w:r>
      <w:r>
        <w:rPr>
          <w:rFonts w:ascii="Verdana" w:hAnsi="Verdana" w:cs="Arial"/>
          <w:b/>
          <w:sz w:val="20"/>
        </w:rPr>
        <w:t>9</w:t>
      </w:r>
      <w:r w:rsidR="00093DC7" w:rsidRPr="00611ED0">
        <w:rPr>
          <w:rFonts w:ascii="Verdana" w:hAnsi="Verdana" w:cs="Arial"/>
          <w:b/>
          <w:sz w:val="20"/>
        </w:rPr>
        <w:t xml:space="preserve"> г.</w:t>
      </w:r>
    </w:p>
    <w:sectPr w:rsidR="00BF452C" w:rsidRPr="008F35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5AF"/>
    <w:multiLevelType w:val="hybridMultilevel"/>
    <w:tmpl w:val="5E22C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2FA2F02"/>
    <w:multiLevelType w:val="hybridMultilevel"/>
    <w:tmpl w:val="2F6464F0"/>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38861CC8"/>
    <w:multiLevelType w:val="hybridMultilevel"/>
    <w:tmpl w:val="C91E1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5F632AD3"/>
    <w:multiLevelType w:val="hybridMultilevel"/>
    <w:tmpl w:val="E6804D4C"/>
    <w:lvl w:ilvl="0" w:tplc="D3166AF0">
      <w:start w:val="1"/>
      <w:numFmt w:val="bullet"/>
      <w:lvlText w:val="-"/>
      <w:lvlJc w:val="left"/>
      <w:pPr>
        <w:ind w:left="720" w:hanging="360"/>
      </w:pPr>
      <w:rPr>
        <w:rFonts w:ascii="Calibri" w:eastAsia="Times New Roman" w:hAnsi="Calibri"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6B5F795B"/>
    <w:multiLevelType w:val="hybridMultilevel"/>
    <w:tmpl w:val="D164868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
    <w:nsid w:val="7B443233"/>
    <w:multiLevelType w:val="hybridMultilevel"/>
    <w:tmpl w:val="3500CE22"/>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09"/>
    <w:rsid w:val="00090668"/>
    <w:rsid w:val="00093DC7"/>
    <w:rsid w:val="000B21A9"/>
    <w:rsid w:val="002D0B7E"/>
    <w:rsid w:val="002E1389"/>
    <w:rsid w:val="002F1B0D"/>
    <w:rsid w:val="0030100B"/>
    <w:rsid w:val="0034168E"/>
    <w:rsid w:val="0038085E"/>
    <w:rsid w:val="004F03A5"/>
    <w:rsid w:val="005226F1"/>
    <w:rsid w:val="005325A8"/>
    <w:rsid w:val="005647A5"/>
    <w:rsid w:val="0065467A"/>
    <w:rsid w:val="006675AA"/>
    <w:rsid w:val="006E2189"/>
    <w:rsid w:val="007168D4"/>
    <w:rsid w:val="007475B1"/>
    <w:rsid w:val="00791948"/>
    <w:rsid w:val="00801818"/>
    <w:rsid w:val="00825E13"/>
    <w:rsid w:val="008C3CC9"/>
    <w:rsid w:val="008F353D"/>
    <w:rsid w:val="00907709"/>
    <w:rsid w:val="00AB2080"/>
    <w:rsid w:val="00AE1DE5"/>
    <w:rsid w:val="00BC2F3E"/>
    <w:rsid w:val="00BF452C"/>
    <w:rsid w:val="00C63E20"/>
    <w:rsid w:val="00C9292C"/>
    <w:rsid w:val="00CD50FC"/>
    <w:rsid w:val="00D34562"/>
    <w:rsid w:val="00D6352A"/>
    <w:rsid w:val="00E92DA1"/>
    <w:rsid w:val="00F77DC4"/>
    <w:rsid w:val="00FB5256"/>
    <w:rsid w:val="00FC53BF"/>
    <w:rsid w:val="00FC5B99"/>
    <w:rsid w:val="00FE2EA4"/>
    <w:rsid w:val="00FE6DE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C7"/>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093DC7"/>
    <w:pPr>
      <w:keepNext/>
      <w:keepLines/>
      <w:spacing w:before="480"/>
      <w:outlineLvl w:val="0"/>
    </w:pPr>
    <w:rPr>
      <w:rFonts w:ascii="Cambria" w:hAnsi="Cambria"/>
      <w:b/>
      <w:bCs/>
      <w:color w:val="365F91"/>
      <w:sz w:val="28"/>
      <w:szCs w:val="28"/>
      <w:lang w:val="en-US" w:eastAsia="x-none"/>
    </w:rPr>
  </w:style>
  <w:style w:type="paragraph" w:styleId="Heading6">
    <w:name w:val="heading 6"/>
    <w:basedOn w:val="Normal"/>
    <w:next w:val="Normal"/>
    <w:link w:val="Heading6Char"/>
    <w:qFormat/>
    <w:rsid w:val="00093DC7"/>
    <w:pPr>
      <w:spacing w:before="240" w:after="60"/>
      <w:outlineLvl w:val="5"/>
    </w:pPr>
    <w:rPr>
      <w:b/>
      <w:bCs/>
      <w:sz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DC7"/>
    <w:rPr>
      <w:rFonts w:ascii="Cambria" w:eastAsia="Times New Roman" w:hAnsi="Cambria" w:cs="Times New Roman"/>
      <w:b/>
      <w:bCs/>
      <w:color w:val="365F91"/>
      <w:sz w:val="28"/>
      <w:szCs w:val="28"/>
      <w:lang w:val="en-US" w:eastAsia="x-none"/>
    </w:rPr>
  </w:style>
  <w:style w:type="character" w:customStyle="1" w:styleId="Heading6Char">
    <w:name w:val="Heading 6 Char"/>
    <w:basedOn w:val="DefaultParagraphFont"/>
    <w:link w:val="Heading6"/>
    <w:rsid w:val="00093DC7"/>
    <w:rPr>
      <w:rFonts w:ascii="Times New Roman" w:eastAsia="Times New Roman" w:hAnsi="Times New Roman" w:cs="Times New Roman"/>
      <w:b/>
      <w:bCs/>
      <w:sz w:val="20"/>
      <w:szCs w:val="20"/>
      <w:lang w:val="en-US" w:eastAsia="x-none"/>
    </w:rPr>
  </w:style>
  <w:style w:type="paragraph" w:styleId="Header">
    <w:name w:val="header"/>
    <w:basedOn w:val="Normal"/>
    <w:link w:val="HeaderChar"/>
    <w:unhideWhenUsed/>
    <w:rsid w:val="00093DC7"/>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093DC7"/>
    <w:rPr>
      <w:rFonts w:ascii="Calibri" w:eastAsia="Calibri" w:hAnsi="Calibri" w:cs="Times New Roman"/>
    </w:rPr>
  </w:style>
  <w:style w:type="paragraph" w:styleId="BodyTextIndent">
    <w:name w:val="Body Text Indent"/>
    <w:basedOn w:val="Normal"/>
    <w:link w:val="BodyTextIndentChar"/>
    <w:uiPriority w:val="99"/>
    <w:rsid w:val="00093DC7"/>
    <w:pPr>
      <w:spacing w:before="120"/>
      <w:ind w:left="709"/>
    </w:pPr>
    <w:rPr>
      <w:bCs/>
      <w:snapToGrid w:val="0"/>
      <w:sz w:val="24"/>
      <w:szCs w:val="24"/>
      <w:lang w:val="x-none" w:eastAsia="x-none"/>
    </w:rPr>
  </w:style>
  <w:style w:type="character" w:customStyle="1" w:styleId="BodyTextIndentChar">
    <w:name w:val="Body Text Indent Char"/>
    <w:basedOn w:val="DefaultParagraphFont"/>
    <w:link w:val="BodyTextIndent"/>
    <w:uiPriority w:val="99"/>
    <w:rsid w:val="00093DC7"/>
    <w:rPr>
      <w:rFonts w:ascii="Times New Roman" w:eastAsia="Times New Roman" w:hAnsi="Times New Roman" w:cs="Times New Roman"/>
      <w:bCs/>
      <w:snapToGrid w:val="0"/>
      <w:sz w:val="24"/>
      <w:szCs w:val="24"/>
      <w:lang w:val="x-none" w:eastAsia="x-none"/>
    </w:rPr>
  </w:style>
  <w:style w:type="paragraph" w:styleId="BodyText">
    <w:name w:val="Body Text"/>
    <w:basedOn w:val="Normal"/>
    <w:link w:val="BodyTextChar"/>
    <w:uiPriority w:val="99"/>
    <w:rsid w:val="00093DC7"/>
    <w:pPr>
      <w:spacing w:after="120"/>
    </w:pPr>
    <w:rPr>
      <w:bCs/>
      <w:sz w:val="24"/>
      <w:szCs w:val="24"/>
      <w:lang w:val="en-US" w:eastAsia="x-none"/>
    </w:rPr>
  </w:style>
  <w:style w:type="character" w:customStyle="1" w:styleId="BodyTextChar">
    <w:name w:val="Body Text Char"/>
    <w:basedOn w:val="DefaultParagraphFont"/>
    <w:link w:val="BodyText"/>
    <w:uiPriority w:val="99"/>
    <w:rsid w:val="00093DC7"/>
    <w:rPr>
      <w:rFonts w:ascii="Times New Roman" w:eastAsia="Times New Roman" w:hAnsi="Times New Roman" w:cs="Times New Roman"/>
      <w:bCs/>
      <w:sz w:val="24"/>
      <w:szCs w:val="24"/>
      <w:lang w:val="en-US" w:eastAsia="x-none"/>
    </w:rPr>
  </w:style>
  <w:style w:type="paragraph" w:styleId="TOC1">
    <w:name w:val="toc 1"/>
    <w:basedOn w:val="Normal"/>
    <w:next w:val="Normal"/>
    <w:autoRedefine/>
    <w:uiPriority w:val="39"/>
    <w:rsid w:val="00093DC7"/>
    <w:pPr>
      <w:tabs>
        <w:tab w:val="right" w:leader="dot" w:pos="9457"/>
      </w:tabs>
    </w:pPr>
    <w:rPr>
      <w:rFonts w:ascii="Georgia" w:hAnsi="Georgia"/>
      <w:bCs/>
      <w:noProof/>
      <w:snapToGrid w:val="0"/>
      <w:szCs w:val="22"/>
    </w:rPr>
  </w:style>
  <w:style w:type="paragraph" w:customStyle="1" w:styleId="Document1">
    <w:name w:val="Document 1"/>
    <w:link w:val="Document1Char"/>
    <w:rsid w:val="00093DC7"/>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093DC7"/>
    <w:rPr>
      <w:rFonts w:ascii="Bodoni Book 12pt" w:eastAsia="Times New Roman" w:hAnsi="Bodoni Book 12pt" w:cs="Times New Roman"/>
      <w:sz w:val="24"/>
      <w:szCs w:val="20"/>
      <w:lang w:val="en-US"/>
    </w:rPr>
  </w:style>
  <w:style w:type="paragraph" w:styleId="List">
    <w:name w:val="List"/>
    <w:basedOn w:val="Normal"/>
    <w:rsid w:val="00093DC7"/>
    <w:pPr>
      <w:ind w:left="283" w:hanging="283"/>
      <w:jc w:val="left"/>
    </w:pPr>
    <w:rPr>
      <w:bCs/>
      <w:sz w:val="20"/>
      <w:szCs w:val="24"/>
      <w:lang w:val="en-AU"/>
    </w:rPr>
  </w:style>
  <w:style w:type="paragraph" w:styleId="ListContinue">
    <w:name w:val="List Continue"/>
    <w:basedOn w:val="Normal"/>
    <w:rsid w:val="00093DC7"/>
    <w:pPr>
      <w:spacing w:after="120"/>
      <w:ind w:left="283"/>
      <w:jc w:val="left"/>
    </w:pPr>
    <w:rPr>
      <w:bCs/>
      <w:sz w:val="20"/>
      <w:szCs w:val="24"/>
      <w:lang w:val="en-AU"/>
    </w:rPr>
  </w:style>
  <w:style w:type="paragraph" w:styleId="EndnoteText">
    <w:name w:val="endnote text"/>
    <w:basedOn w:val="Normal"/>
    <w:link w:val="EndnoteTextChar"/>
    <w:uiPriority w:val="99"/>
    <w:rsid w:val="00093DC7"/>
    <w:pPr>
      <w:tabs>
        <w:tab w:val="left" w:pos="709"/>
        <w:tab w:val="left" w:pos="1418"/>
        <w:tab w:val="left" w:pos="2127"/>
        <w:tab w:val="right" w:pos="5954"/>
        <w:tab w:val="right" w:pos="7371"/>
        <w:tab w:val="right" w:pos="8789"/>
      </w:tabs>
      <w:spacing w:after="240"/>
      <w:jc w:val="left"/>
    </w:pPr>
    <w:rPr>
      <w:rFonts w:ascii="Arial" w:hAnsi="Arial"/>
      <w:bCs/>
      <w:sz w:val="20"/>
      <w:szCs w:val="24"/>
      <w:lang w:val="en-GB" w:eastAsia="x-none"/>
    </w:rPr>
  </w:style>
  <w:style w:type="character" w:customStyle="1" w:styleId="EndnoteTextChar">
    <w:name w:val="Endnote Text Char"/>
    <w:basedOn w:val="DefaultParagraphFont"/>
    <w:link w:val="EndnoteText"/>
    <w:uiPriority w:val="99"/>
    <w:rsid w:val="00093DC7"/>
    <w:rPr>
      <w:rFonts w:ascii="Arial" w:eastAsia="Times New Roman" w:hAnsi="Arial" w:cs="Times New Roman"/>
      <w:bCs/>
      <w:sz w:val="20"/>
      <w:szCs w:val="24"/>
      <w:lang w:val="en-GB" w:eastAsia="x-none"/>
    </w:rPr>
  </w:style>
  <w:style w:type="paragraph" w:customStyle="1" w:styleId="firstline">
    <w:name w:val="firstline"/>
    <w:basedOn w:val="Normal"/>
    <w:rsid w:val="00093DC7"/>
    <w:pPr>
      <w:spacing w:before="100" w:beforeAutospacing="1" w:after="100" w:afterAutospacing="1"/>
      <w:jc w:val="left"/>
    </w:pPr>
    <w:rPr>
      <w:bCs/>
      <w:sz w:val="24"/>
      <w:szCs w:val="24"/>
      <w:lang w:eastAsia="bg-BG"/>
    </w:rPr>
  </w:style>
  <w:style w:type="character" w:styleId="Hyperlink">
    <w:name w:val="Hyperlink"/>
    <w:uiPriority w:val="99"/>
    <w:unhideWhenUsed/>
    <w:rsid w:val="00093DC7"/>
    <w:rPr>
      <w:color w:val="0000FF"/>
      <w:u w:val="single"/>
    </w:rPr>
  </w:style>
  <w:style w:type="paragraph" w:styleId="ListParagraph">
    <w:name w:val="List Paragraph"/>
    <w:basedOn w:val="Normal"/>
    <w:uiPriority w:val="34"/>
    <w:qFormat/>
    <w:rsid w:val="00093DC7"/>
    <w:pPr>
      <w:ind w:left="720"/>
      <w:contextualSpacing/>
    </w:pPr>
  </w:style>
  <w:style w:type="character" w:customStyle="1" w:styleId="a">
    <w:name w:val="Основен текст_"/>
    <w:link w:val="a0"/>
    <w:rsid w:val="00093DC7"/>
    <w:rPr>
      <w:rFonts w:ascii="Times New Roman" w:eastAsia="Times New Roman" w:hAnsi="Times New Roman"/>
      <w:spacing w:val="2"/>
      <w:sz w:val="16"/>
      <w:szCs w:val="16"/>
      <w:shd w:val="clear" w:color="auto" w:fill="FFFFFF"/>
    </w:rPr>
  </w:style>
  <w:style w:type="paragraph" w:customStyle="1" w:styleId="a0">
    <w:name w:val="Основен текст"/>
    <w:basedOn w:val="Normal"/>
    <w:link w:val="a"/>
    <w:rsid w:val="00093DC7"/>
    <w:pPr>
      <w:widowControl w:val="0"/>
      <w:shd w:val="clear" w:color="auto" w:fill="FFFFFF"/>
      <w:spacing w:before="60" w:after="180" w:line="262" w:lineRule="exact"/>
    </w:pPr>
    <w:rPr>
      <w:rFonts w:cstheme="minorBidi"/>
      <w:spacing w:val="2"/>
      <w:sz w:val="16"/>
      <w:szCs w:val="16"/>
    </w:rPr>
  </w:style>
  <w:style w:type="paragraph" w:styleId="BalloonText">
    <w:name w:val="Balloon Text"/>
    <w:basedOn w:val="Normal"/>
    <w:link w:val="BalloonTextChar"/>
    <w:uiPriority w:val="99"/>
    <w:semiHidden/>
    <w:unhideWhenUsed/>
    <w:rsid w:val="00093DC7"/>
    <w:rPr>
      <w:rFonts w:ascii="Tahoma" w:hAnsi="Tahoma" w:cs="Tahoma"/>
      <w:sz w:val="16"/>
      <w:szCs w:val="16"/>
    </w:rPr>
  </w:style>
  <w:style w:type="character" w:customStyle="1" w:styleId="BalloonTextChar">
    <w:name w:val="Balloon Text Char"/>
    <w:basedOn w:val="DefaultParagraphFont"/>
    <w:link w:val="BalloonText"/>
    <w:uiPriority w:val="99"/>
    <w:semiHidden/>
    <w:rsid w:val="00093DC7"/>
    <w:rPr>
      <w:rFonts w:ascii="Tahoma" w:eastAsia="Times New Roman" w:hAnsi="Tahoma" w:cs="Tahoma"/>
      <w:sz w:val="16"/>
      <w:szCs w:val="16"/>
    </w:rPr>
  </w:style>
  <w:style w:type="paragraph" w:styleId="NormalWeb">
    <w:name w:val="Normal (Web)"/>
    <w:basedOn w:val="Normal"/>
    <w:uiPriority w:val="99"/>
    <w:semiHidden/>
    <w:unhideWhenUsed/>
    <w:rsid w:val="00C9292C"/>
    <w:pPr>
      <w:spacing w:before="100" w:beforeAutospacing="1" w:after="100" w:afterAutospacing="1"/>
      <w:jc w:val="left"/>
    </w:pPr>
    <w:rPr>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C7"/>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093DC7"/>
    <w:pPr>
      <w:keepNext/>
      <w:keepLines/>
      <w:spacing w:before="480"/>
      <w:outlineLvl w:val="0"/>
    </w:pPr>
    <w:rPr>
      <w:rFonts w:ascii="Cambria" w:hAnsi="Cambria"/>
      <w:b/>
      <w:bCs/>
      <w:color w:val="365F91"/>
      <w:sz w:val="28"/>
      <w:szCs w:val="28"/>
      <w:lang w:val="en-US" w:eastAsia="x-none"/>
    </w:rPr>
  </w:style>
  <w:style w:type="paragraph" w:styleId="Heading6">
    <w:name w:val="heading 6"/>
    <w:basedOn w:val="Normal"/>
    <w:next w:val="Normal"/>
    <w:link w:val="Heading6Char"/>
    <w:qFormat/>
    <w:rsid w:val="00093DC7"/>
    <w:pPr>
      <w:spacing w:before="240" w:after="60"/>
      <w:outlineLvl w:val="5"/>
    </w:pPr>
    <w:rPr>
      <w:b/>
      <w:bCs/>
      <w:sz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DC7"/>
    <w:rPr>
      <w:rFonts w:ascii="Cambria" w:eastAsia="Times New Roman" w:hAnsi="Cambria" w:cs="Times New Roman"/>
      <w:b/>
      <w:bCs/>
      <w:color w:val="365F91"/>
      <w:sz w:val="28"/>
      <w:szCs w:val="28"/>
      <w:lang w:val="en-US" w:eastAsia="x-none"/>
    </w:rPr>
  </w:style>
  <w:style w:type="character" w:customStyle="1" w:styleId="Heading6Char">
    <w:name w:val="Heading 6 Char"/>
    <w:basedOn w:val="DefaultParagraphFont"/>
    <w:link w:val="Heading6"/>
    <w:rsid w:val="00093DC7"/>
    <w:rPr>
      <w:rFonts w:ascii="Times New Roman" w:eastAsia="Times New Roman" w:hAnsi="Times New Roman" w:cs="Times New Roman"/>
      <w:b/>
      <w:bCs/>
      <w:sz w:val="20"/>
      <w:szCs w:val="20"/>
      <w:lang w:val="en-US" w:eastAsia="x-none"/>
    </w:rPr>
  </w:style>
  <w:style w:type="paragraph" w:styleId="Header">
    <w:name w:val="header"/>
    <w:basedOn w:val="Normal"/>
    <w:link w:val="HeaderChar"/>
    <w:unhideWhenUsed/>
    <w:rsid w:val="00093DC7"/>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093DC7"/>
    <w:rPr>
      <w:rFonts w:ascii="Calibri" w:eastAsia="Calibri" w:hAnsi="Calibri" w:cs="Times New Roman"/>
    </w:rPr>
  </w:style>
  <w:style w:type="paragraph" w:styleId="BodyTextIndent">
    <w:name w:val="Body Text Indent"/>
    <w:basedOn w:val="Normal"/>
    <w:link w:val="BodyTextIndentChar"/>
    <w:uiPriority w:val="99"/>
    <w:rsid w:val="00093DC7"/>
    <w:pPr>
      <w:spacing w:before="120"/>
      <w:ind w:left="709"/>
    </w:pPr>
    <w:rPr>
      <w:bCs/>
      <w:snapToGrid w:val="0"/>
      <w:sz w:val="24"/>
      <w:szCs w:val="24"/>
      <w:lang w:val="x-none" w:eastAsia="x-none"/>
    </w:rPr>
  </w:style>
  <w:style w:type="character" w:customStyle="1" w:styleId="BodyTextIndentChar">
    <w:name w:val="Body Text Indent Char"/>
    <w:basedOn w:val="DefaultParagraphFont"/>
    <w:link w:val="BodyTextIndent"/>
    <w:uiPriority w:val="99"/>
    <w:rsid w:val="00093DC7"/>
    <w:rPr>
      <w:rFonts w:ascii="Times New Roman" w:eastAsia="Times New Roman" w:hAnsi="Times New Roman" w:cs="Times New Roman"/>
      <w:bCs/>
      <w:snapToGrid w:val="0"/>
      <w:sz w:val="24"/>
      <w:szCs w:val="24"/>
      <w:lang w:val="x-none" w:eastAsia="x-none"/>
    </w:rPr>
  </w:style>
  <w:style w:type="paragraph" w:styleId="BodyText">
    <w:name w:val="Body Text"/>
    <w:basedOn w:val="Normal"/>
    <w:link w:val="BodyTextChar"/>
    <w:uiPriority w:val="99"/>
    <w:rsid w:val="00093DC7"/>
    <w:pPr>
      <w:spacing w:after="120"/>
    </w:pPr>
    <w:rPr>
      <w:bCs/>
      <w:sz w:val="24"/>
      <w:szCs w:val="24"/>
      <w:lang w:val="en-US" w:eastAsia="x-none"/>
    </w:rPr>
  </w:style>
  <w:style w:type="character" w:customStyle="1" w:styleId="BodyTextChar">
    <w:name w:val="Body Text Char"/>
    <w:basedOn w:val="DefaultParagraphFont"/>
    <w:link w:val="BodyText"/>
    <w:uiPriority w:val="99"/>
    <w:rsid w:val="00093DC7"/>
    <w:rPr>
      <w:rFonts w:ascii="Times New Roman" w:eastAsia="Times New Roman" w:hAnsi="Times New Roman" w:cs="Times New Roman"/>
      <w:bCs/>
      <w:sz w:val="24"/>
      <w:szCs w:val="24"/>
      <w:lang w:val="en-US" w:eastAsia="x-none"/>
    </w:rPr>
  </w:style>
  <w:style w:type="paragraph" w:styleId="TOC1">
    <w:name w:val="toc 1"/>
    <w:basedOn w:val="Normal"/>
    <w:next w:val="Normal"/>
    <w:autoRedefine/>
    <w:uiPriority w:val="39"/>
    <w:rsid w:val="00093DC7"/>
    <w:pPr>
      <w:tabs>
        <w:tab w:val="right" w:leader="dot" w:pos="9457"/>
      </w:tabs>
    </w:pPr>
    <w:rPr>
      <w:rFonts w:ascii="Georgia" w:hAnsi="Georgia"/>
      <w:bCs/>
      <w:noProof/>
      <w:snapToGrid w:val="0"/>
      <w:szCs w:val="22"/>
    </w:rPr>
  </w:style>
  <w:style w:type="paragraph" w:customStyle="1" w:styleId="Document1">
    <w:name w:val="Document 1"/>
    <w:link w:val="Document1Char"/>
    <w:rsid w:val="00093DC7"/>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093DC7"/>
    <w:rPr>
      <w:rFonts w:ascii="Bodoni Book 12pt" w:eastAsia="Times New Roman" w:hAnsi="Bodoni Book 12pt" w:cs="Times New Roman"/>
      <w:sz w:val="24"/>
      <w:szCs w:val="20"/>
      <w:lang w:val="en-US"/>
    </w:rPr>
  </w:style>
  <w:style w:type="paragraph" w:styleId="List">
    <w:name w:val="List"/>
    <w:basedOn w:val="Normal"/>
    <w:rsid w:val="00093DC7"/>
    <w:pPr>
      <w:ind w:left="283" w:hanging="283"/>
      <w:jc w:val="left"/>
    </w:pPr>
    <w:rPr>
      <w:bCs/>
      <w:sz w:val="20"/>
      <w:szCs w:val="24"/>
      <w:lang w:val="en-AU"/>
    </w:rPr>
  </w:style>
  <w:style w:type="paragraph" w:styleId="ListContinue">
    <w:name w:val="List Continue"/>
    <w:basedOn w:val="Normal"/>
    <w:rsid w:val="00093DC7"/>
    <w:pPr>
      <w:spacing w:after="120"/>
      <w:ind w:left="283"/>
      <w:jc w:val="left"/>
    </w:pPr>
    <w:rPr>
      <w:bCs/>
      <w:sz w:val="20"/>
      <w:szCs w:val="24"/>
      <w:lang w:val="en-AU"/>
    </w:rPr>
  </w:style>
  <w:style w:type="paragraph" w:styleId="EndnoteText">
    <w:name w:val="endnote text"/>
    <w:basedOn w:val="Normal"/>
    <w:link w:val="EndnoteTextChar"/>
    <w:uiPriority w:val="99"/>
    <w:rsid w:val="00093DC7"/>
    <w:pPr>
      <w:tabs>
        <w:tab w:val="left" w:pos="709"/>
        <w:tab w:val="left" w:pos="1418"/>
        <w:tab w:val="left" w:pos="2127"/>
        <w:tab w:val="right" w:pos="5954"/>
        <w:tab w:val="right" w:pos="7371"/>
        <w:tab w:val="right" w:pos="8789"/>
      </w:tabs>
      <w:spacing w:after="240"/>
      <w:jc w:val="left"/>
    </w:pPr>
    <w:rPr>
      <w:rFonts w:ascii="Arial" w:hAnsi="Arial"/>
      <w:bCs/>
      <w:sz w:val="20"/>
      <w:szCs w:val="24"/>
      <w:lang w:val="en-GB" w:eastAsia="x-none"/>
    </w:rPr>
  </w:style>
  <w:style w:type="character" w:customStyle="1" w:styleId="EndnoteTextChar">
    <w:name w:val="Endnote Text Char"/>
    <w:basedOn w:val="DefaultParagraphFont"/>
    <w:link w:val="EndnoteText"/>
    <w:uiPriority w:val="99"/>
    <w:rsid w:val="00093DC7"/>
    <w:rPr>
      <w:rFonts w:ascii="Arial" w:eastAsia="Times New Roman" w:hAnsi="Arial" w:cs="Times New Roman"/>
      <w:bCs/>
      <w:sz w:val="20"/>
      <w:szCs w:val="24"/>
      <w:lang w:val="en-GB" w:eastAsia="x-none"/>
    </w:rPr>
  </w:style>
  <w:style w:type="paragraph" w:customStyle="1" w:styleId="firstline">
    <w:name w:val="firstline"/>
    <w:basedOn w:val="Normal"/>
    <w:rsid w:val="00093DC7"/>
    <w:pPr>
      <w:spacing w:before="100" w:beforeAutospacing="1" w:after="100" w:afterAutospacing="1"/>
      <w:jc w:val="left"/>
    </w:pPr>
    <w:rPr>
      <w:bCs/>
      <w:sz w:val="24"/>
      <w:szCs w:val="24"/>
      <w:lang w:eastAsia="bg-BG"/>
    </w:rPr>
  </w:style>
  <w:style w:type="character" w:styleId="Hyperlink">
    <w:name w:val="Hyperlink"/>
    <w:uiPriority w:val="99"/>
    <w:unhideWhenUsed/>
    <w:rsid w:val="00093DC7"/>
    <w:rPr>
      <w:color w:val="0000FF"/>
      <w:u w:val="single"/>
    </w:rPr>
  </w:style>
  <w:style w:type="paragraph" w:styleId="ListParagraph">
    <w:name w:val="List Paragraph"/>
    <w:basedOn w:val="Normal"/>
    <w:uiPriority w:val="34"/>
    <w:qFormat/>
    <w:rsid w:val="00093DC7"/>
    <w:pPr>
      <w:ind w:left="720"/>
      <w:contextualSpacing/>
    </w:pPr>
  </w:style>
  <w:style w:type="character" w:customStyle="1" w:styleId="a">
    <w:name w:val="Основен текст_"/>
    <w:link w:val="a0"/>
    <w:rsid w:val="00093DC7"/>
    <w:rPr>
      <w:rFonts w:ascii="Times New Roman" w:eastAsia="Times New Roman" w:hAnsi="Times New Roman"/>
      <w:spacing w:val="2"/>
      <w:sz w:val="16"/>
      <w:szCs w:val="16"/>
      <w:shd w:val="clear" w:color="auto" w:fill="FFFFFF"/>
    </w:rPr>
  </w:style>
  <w:style w:type="paragraph" w:customStyle="1" w:styleId="a0">
    <w:name w:val="Основен текст"/>
    <w:basedOn w:val="Normal"/>
    <w:link w:val="a"/>
    <w:rsid w:val="00093DC7"/>
    <w:pPr>
      <w:widowControl w:val="0"/>
      <w:shd w:val="clear" w:color="auto" w:fill="FFFFFF"/>
      <w:spacing w:before="60" w:after="180" w:line="262" w:lineRule="exact"/>
    </w:pPr>
    <w:rPr>
      <w:rFonts w:cstheme="minorBidi"/>
      <w:spacing w:val="2"/>
      <w:sz w:val="16"/>
      <w:szCs w:val="16"/>
    </w:rPr>
  </w:style>
  <w:style w:type="paragraph" w:styleId="BalloonText">
    <w:name w:val="Balloon Text"/>
    <w:basedOn w:val="Normal"/>
    <w:link w:val="BalloonTextChar"/>
    <w:uiPriority w:val="99"/>
    <w:semiHidden/>
    <w:unhideWhenUsed/>
    <w:rsid w:val="00093DC7"/>
    <w:rPr>
      <w:rFonts w:ascii="Tahoma" w:hAnsi="Tahoma" w:cs="Tahoma"/>
      <w:sz w:val="16"/>
      <w:szCs w:val="16"/>
    </w:rPr>
  </w:style>
  <w:style w:type="character" w:customStyle="1" w:styleId="BalloonTextChar">
    <w:name w:val="Balloon Text Char"/>
    <w:basedOn w:val="DefaultParagraphFont"/>
    <w:link w:val="BalloonText"/>
    <w:uiPriority w:val="99"/>
    <w:semiHidden/>
    <w:rsid w:val="00093DC7"/>
    <w:rPr>
      <w:rFonts w:ascii="Tahoma" w:eastAsia="Times New Roman" w:hAnsi="Tahoma" w:cs="Tahoma"/>
      <w:sz w:val="16"/>
      <w:szCs w:val="16"/>
    </w:rPr>
  </w:style>
  <w:style w:type="paragraph" w:styleId="NormalWeb">
    <w:name w:val="Normal (Web)"/>
    <w:basedOn w:val="Normal"/>
    <w:uiPriority w:val="99"/>
    <w:semiHidden/>
    <w:unhideWhenUsed/>
    <w:rsid w:val="00C9292C"/>
    <w:pPr>
      <w:spacing w:before="100" w:beforeAutospacing="1" w:after="100" w:afterAutospacing="1"/>
      <w:jc w:val="left"/>
    </w:pPr>
    <w:rPr>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440301">
      <w:bodyDiv w:val="1"/>
      <w:marLeft w:val="0"/>
      <w:marRight w:val="0"/>
      <w:marTop w:val="0"/>
      <w:marBottom w:val="0"/>
      <w:divBdr>
        <w:top w:val="none" w:sz="0" w:space="0" w:color="auto"/>
        <w:left w:val="none" w:sz="0" w:space="0" w:color="auto"/>
        <w:bottom w:val="none" w:sz="0" w:space="0" w:color="auto"/>
        <w:right w:val="none" w:sz="0" w:space="0" w:color="auto"/>
      </w:divBdr>
      <w:divsChild>
        <w:div w:id="755781401">
          <w:marLeft w:val="0"/>
          <w:marRight w:val="0"/>
          <w:marTop w:val="0"/>
          <w:marBottom w:val="0"/>
          <w:divBdr>
            <w:top w:val="none" w:sz="0" w:space="0" w:color="auto"/>
            <w:left w:val="none" w:sz="0" w:space="0" w:color="auto"/>
            <w:bottom w:val="none" w:sz="0" w:space="0" w:color="auto"/>
            <w:right w:val="none" w:sz="0" w:space="0" w:color="auto"/>
          </w:divBdr>
        </w:div>
        <w:div w:id="3853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lo_rz@overgas.bg"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7</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2018-07-30T06:16:00Z</dcterms:created>
  <dcterms:modified xsi:type="dcterms:W3CDTF">2019-07-26T12:36:00Z</dcterms:modified>
</cp:coreProperties>
</file>