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95" w:rsidRPr="00CC5E0B" w:rsidRDefault="0023343B" w:rsidP="00F22BD8">
      <w:pPr>
        <w:spacing w:before="120" w:after="120"/>
        <w:jc w:val="both"/>
        <w:rPr>
          <w:b/>
          <w:sz w:val="36"/>
          <w:szCs w:val="36"/>
        </w:rPr>
      </w:pPr>
      <w:bookmarkStart w:id="0" w:name="_GoBack"/>
      <w:bookmarkEnd w:id="0"/>
      <w:r w:rsidRPr="00CC5E0B">
        <w:rPr>
          <w:b/>
          <w:sz w:val="36"/>
          <w:szCs w:val="36"/>
        </w:rPr>
        <w:t>Пояснения</w:t>
      </w:r>
      <w:r w:rsidR="002C5C0C" w:rsidRPr="00CC5E0B">
        <w:rPr>
          <w:b/>
          <w:sz w:val="36"/>
          <w:szCs w:val="36"/>
        </w:rPr>
        <w:t xml:space="preserve"> към </w:t>
      </w:r>
      <w:r w:rsidR="00895A45" w:rsidRPr="00CC5E0B">
        <w:rPr>
          <w:b/>
          <w:sz w:val="36"/>
          <w:szCs w:val="36"/>
        </w:rPr>
        <w:t xml:space="preserve">междинния съкратен </w:t>
      </w:r>
      <w:r w:rsidR="0034124B" w:rsidRPr="00CC5E0B">
        <w:rPr>
          <w:b/>
          <w:sz w:val="36"/>
          <w:szCs w:val="36"/>
        </w:rPr>
        <w:t>финансов</w:t>
      </w:r>
      <w:r w:rsidR="008464E8" w:rsidRPr="00CC5E0B">
        <w:rPr>
          <w:b/>
          <w:sz w:val="36"/>
          <w:szCs w:val="36"/>
        </w:rPr>
        <w:t xml:space="preserve"> </w:t>
      </w:r>
      <w:r w:rsidR="002C5C0C" w:rsidRPr="00CC5E0B">
        <w:rPr>
          <w:b/>
          <w:sz w:val="36"/>
          <w:szCs w:val="36"/>
        </w:rPr>
        <w:t>отчет</w:t>
      </w:r>
    </w:p>
    <w:p w:rsidR="00AB4692" w:rsidRPr="00CC5E0B" w:rsidRDefault="00AB4692" w:rsidP="007428D8">
      <w:pPr>
        <w:pStyle w:val="Heading1"/>
        <w:numPr>
          <w:ilvl w:val="0"/>
          <w:numId w:val="5"/>
        </w:numPr>
        <w:tabs>
          <w:tab w:val="left" w:pos="567"/>
        </w:tabs>
        <w:spacing w:before="360" w:after="0" w:line="240" w:lineRule="auto"/>
        <w:ind w:left="0" w:firstLine="0"/>
        <w:jc w:val="both"/>
        <w:rPr>
          <w:color w:val="auto"/>
          <w:sz w:val="22"/>
          <w:szCs w:val="22"/>
        </w:rPr>
      </w:pPr>
      <w:bookmarkStart w:id="1" w:name="_Ref250323014"/>
      <w:r w:rsidRPr="00CC5E0B">
        <w:rPr>
          <w:color w:val="auto"/>
          <w:sz w:val="22"/>
          <w:szCs w:val="22"/>
        </w:rPr>
        <w:t>Предмет на дейност</w:t>
      </w:r>
      <w:bookmarkEnd w:id="1"/>
    </w:p>
    <w:p w:rsidR="0028160D" w:rsidRPr="00CC5E0B" w:rsidRDefault="00513F95" w:rsidP="00145387">
      <w:pPr>
        <w:tabs>
          <w:tab w:val="left" w:pos="284"/>
        </w:tabs>
        <w:spacing w:before="240" w:after="120"/>
        <w:contextualSpacing/>
        <w:jc w:val="both"/>
        <w:rPr>
          <w:rFonts w:cs="Times New Roman"/>
          <w:szCs w:val="22"/>
        </w:rPr>
      </w:pPr>
      <w:r w:rsidRPr="00CC5E0B">
        <w:rPr>
          <w:rFonts w:cs="Times New Roman"/>
          <w:szCs w:val="22"/>
        </w:rPr>
        <w:t>„</w:t>
      </w:r>
      <w:r w:rsidR="0028160D" w:rsidRPr="00CC5E0B">
        <w:rPr>
          <w:rFonts w:cs="Times New Roman"/>
          <w:szCs w:val="22"/>
        </w:rPr>
        <w:t>ВЕЦ Козлодуй</w:t>
      </w:r>
      <w:r w:rsidRPr="00CC5E0B">
        <w:rPr>
          <w:rFonts w:cs="Times New Roman"/>
          <w:szCs w:val="22"/>
        </w:rPr>
        <w:t>”</w:t>
      </w:r>
      <w:r w:rsidR="0028160D" w:rsidRPr="00CC5E0B">
        <w:rPr>
          <w:rFonts w:cs="Times New Roman"/>
          <w:szCs w:val="22"/>
        </w:rPr>
        <w:t xml:space="preserve"> ЕАД е еднолично акционерно дружество учредено през 2004 г. и регистрирано с решение № 1300 на Врачански Окръжен съд </w:t>
      </w:r>
      <w:r w:rsidRPr="00CC5E0B">
        <w:rPr>
          <w:rFonts w:cs="Times New Roman"/>
          <w:szCs w:val="22"/>
        </w:rPr>
        <w:t>–</w:t>
      </w:r>
      <w:r w:rsidR="0028160D" w:rsidRPr="00CC5E0B">
        <w:rPr>
          <w:rFonts w:cs="Times New Roman"/>
          <w:szCs w:val="22"/>
        </w:rPr>
        <w:t xml:space="preserve">ВрОС от 19.08.2004 г. постановено по ф.д. № 495/2004 по описа на съда. </w:t>
      </w:r>
      <w:r w:rsidRPr="00CC5E0B">
        <w:rPr>
          <w:rFonts w:cs="Times New Roman"/>
          <w:szCs w:val="22"/>
        </w:rPr>
        <w:t>„</w:t>
      </w:r>
      <w:r w:rsidR="0028160D" w:rsidRPr="00CC5E0B">
        <w:rPr>
          <w:rFonts w:cs="Times New Roman"/>
          <w:szCs w:val="22"/>
        </w:rPr>
        <w:t>ВЕЦ Козлодуй</w:t>
      </w:r>
      <w:r w:rsidRPr="00CC5E0B">
        <w:rPr>
          <w:rFonts w:cs="Times New Roman"/>
          <w:szCs w:val="22"/>
        </w:rPr>
        <w:t>”</w:t>
      </w:r>
      <w:r w:rsidR="0028160D" w:rsidRPr="00CC5E0B">
        <w:rPr>
          <w:rFonts w:cs="Times New Roman"/>
          <w:szCs w:val="22"/>
        </w:rPr>
        <w:t xml:space="preserve"> е пререгистрирано съгласно изискванията на търговското</w:t>
      </w:r>
      <w:r w:rsidR="00284DB1" w:rsidRPr="00CC5E0B">
        <w:rPr>
          <w:rFonts w:cs="Times New Roman"/>
          <w:szCs w:val="22"/>
        </w:rPr>
        <w:t xml:space="preserve"> законодателство и е вписано в Т</w:t>
      </w:r>
      <w:r w:rsidR="0028160D" w:rsidRPr="00CC5E0B">
        <w:rPr>
          <w:rFonts w:cs="Times New Roman"/>
          <w:szCs w:val="22"/>
        </w:rPr>
        <w:t>ърговския регистър при Агенцията по вписванията към Министерство на правосъдието с ЕИК 106588180.</w:t>
      </w:r>
    </w:p>
    <w:p w:rsidR="0028160D" w:rsidRPr="00CC5E0B" w:rsidRDefault="0028160D" w:rsidP="007428D8">
      <w:pPr>
        <w:spacing w:after="120"/>
        <w:jc w:val="both"/>
        <w:rPr>
          <w:rFonts w:cs="Times New Roman"/>
          <w:szCs w:val="22"/>
        </w:rPr>
      </w:pPr>
      <w:r w:rsidRPr="00CC5E0B">
        <w:rPr>
          <w:rFonts w:cs="Times New Roman"/>
          <w:szCs w:val="22"/>
        </w:rPr>
        <w:t>Седалището и адресът на управление на Дружеството е гр. Козлодуй, п.к. 3321, Площадка АЕЦ.</w:t>
      </w:r>
    </w:p>
    <w:p w:rsidR="00CB7297" w:rsidRPr="00CC5E0B" w:rsidRDefault="0046468C" w:rsidP="007428D8">
      <w:pPr>
        <w:spacing w:after="120"/>
        <w:jc w:val="both"/>
        <w:rPr>
          <w:rFonts w:cs="Times New Roman"/>
          <w:szCs w:val="22"/>
        </w:rPr>
      </w:pPr>
      <w:r w:rsidRPr="00CC5E0B">
        <w:rPr>
          <w:rFonts w:cs="Times New Roman"/>
          <w:szCs w:val="22"/>
        </w:rPr>
        <w:t xml:space="preserve">Членовете на </w:t>
      </w:r>
      <w:r w:rsidR="0028160D" w:rsidRPr="00CC5E0B">
        <w:rPr>
          <w:rFonts w:cs="Times New Roman"/>
          <w:szCs w:val="22"/>
        </w:rPr>
        <w:t>Съвет</w:t>
      </w:r>
      <w:r w:rsidRPr="00CC5E0B">
        <w:rPr>
          <w:rFonts w:cs="Times New Roman"/>
          <w:szCs w:val="22"/>
        </w:rPr>
        <w:t>а</w:t>
      </w:r>
      <w:r w:rsidR="0028160D" w:rsidRPr="00CC5E0B">
        <w:rPr>
          <w:rFonts w:cs="Times New Roman"/>
          <w:szCs w:val="22"/>
        </w:rPr>
        <w:t xml:space="preserve"> на директорите на </w:t>
      </w:r>
      <w:r w:rsidR="00513F95" w:rsidRPr="00CC5E0B">
        <w:rPr>
          <w:rFonts w:cs="Times New Roman"/>
          <w:szCs w:val="22"/>
        </w:rPr>
        <w:t>„</w:t>
      </w:r>
      <w:r w:rsidR="0028160D" w:rsidRPr="00CC5E0B">
        <w:rPr>
          <w:rFonts w:cs="Times New Roman"/>
          <w:szCs w:val="22"/>
        </w:rPr>
        <w:t>ВЕЦ Козлодуй</w:t>
      </w:r>
      <w:r w:rsidR="00513F95" w:rsidRPr="00CC5E0B">
        <w:rPr>
          <w:rFonts w:cs="Times New Roman"/>
          <w:szCs w:val="22"/>
        </w:rPr>
        <w:t>”</w:t>
      </w:r>
      <w:r w:rsidR="0028160D" w:rsidRPr="00CC5E0B">
        <w:rPr>
          <w:rFonts w:cs="Times New Roman"/>
          <w:szCs w:val="22"/>
        </w:rPr>
        <w:t xml:space="preserve"> ЕАД към </w:t>
      </w:r>
      <w:r w:rsidR="00CB7297" w:rsidRPr="00CC5E0B">
        <w:rPr>
          <w:rFonts w:cs="Times New Roman"/>
          <w:szCs w:val="22"/>
        </w:rPr>
        <w:t>3</w:t>
      </w:r>
      <w:r w:rsidR="005830B2" w:rsidRPr="00CC5E0B">
        <w:rPr>
          <w:rFonts w:cs="Times New Roman"/>
          <w:szCs w:val="22"/>
        </w:rPr>
        <w:t>0 юни</w:t>
      </w:r>
      <w:r w:rsidR="007257F6" w:rsidRPr="00CC5E0B">
        <w:rPr>
          <w:rFonts w:cs="Times New Roman"/>
          <w:szCs w:val="22"/>
        </w:rPr>
        <w:t xml:space="preserve"> 201</w:t>
      </w:r>
      <w:r w:rsidR="00FF1003" w:rsidRPr="00CC5E0B">
        <w:rPr>
          <w:rFonts w:cs="Times New Roman"/>
          <w:szCs w:val="22"/>
        </w:rPr>
        <w:t>9</w:t>
      </w:r>
      <w:r w:rsidR="0028160D" w:rsidRPr="00CC5E0B">
        <w:rPr>
          <w:rFonts w:cs="Times New Roman"/>
          <w:szCs w:val="22"/>
        </w:rPr>
        <w:t xml:space="preserve"> г. </w:t>
      </w:r>
      <w:r w:rsidRPr="00CC5E0B">
        <w:rPr>
          <w:rFonts w:cs="Times New Roman"/>
          <w:szCs w:val="22"/>
        </w:rPr>
        <w:t>са</w:t>
      </w:r>
      <w:r w:rsidR="0028160D" w:rsidRPr="00CC5E0B">
        <w:rPr>
          <w:rFonts w:cs="Times New Roman"/>
          <w:szCs w:val="22"/>
        </w:rPr>
        <w:t>:</w:t>
      </w:r>
    </w:p>
    <w:p w:rsidR="00EB6384" w:rsidRPr="00CC5E0B" w:rsidRDefault="007257F6" w:rsidP="007428D8">
      <w:pPr>
        <w:numPr>
          <w:ilvl w:val="0"/>
          <w:numId w:val="7"/>
        </w:numPr>
        <w:spacing w:after="120"/>
        <w:ind w:left="709" w:right="-329"/>
        <w:jc w:val="both"/>
        <w:rPr>
          <w:rFonts w:cs="Times New Roman"/>
          <w:szCs w:val="22"/>
        </w:rPr>
      </w:pPr>
      <w:r w:rsidRPr="00CC5E0B">
        <w:rPr>
          <w:rFonts w:cs="Times New Roman"/>
          <w:szCs w:val="22"/>
        </w:rPr>
        <w:t>Емил Илиев Писарев</w:t>
      </w:r>
    </w:p>
    <w:p w:rsidR="0028160D" w:rsidRPr="00CC5E0B" w:rsidRDefault="007257F6" w:rsidP="007428D8">
      <w:pPr>
        <w:numPr>
          <w:ilvl w:val="0"/>
          <w:numId w:val="7"/>
        </w:numPr>
        <w:spacing w:after="120"/>
        <w:ind w:left="709" w:right="-329"/>
        <w:jc w:val="both"/>
        <w:rPr>
          <w:rFonts w:cs="Times New Roman"/>
          <w:szCs w:val="22"/>
        </w:rPr>
      </w:pPr>
      <w:r w:rsidRPr="00CC5E0B">
        <w:rPr>
          <w:rFonts w:cs="Times New Roman"/>
          <w:szCs w:val="22"/>
        </w:rPr>
        <w:t>Цанко Венцеславов</w:t>
      </w:r>
      <w:r w:rsidR="00E5778E" w:rsidRPr="00CC5E0B">
        <w:rPr>
          <w:rFonts w:cs="Times New Roman"/>
          <w:szCs w:val="22"/>
        </w:rPr>
        <w:t xml:space="preserve"> </w:t>
      </w:r>
      <w:r w:rsidRPr="00CC5E0B">
        <w:rPr>
          <w:rFonts w:cs="Times New Roman"/>
          <w:szCs w:val="22"/>
        </w:rPr>
        <w:t>Бачийски</w:t>
      </w:r>
    </w:p>
    <w:p w:rsidR="0028160D" w:rsidRPr="00CC5E0B" w:rsidRDefault="00167648" w:rsidP="007428D8">
      <w:pPr>
        <w:numPr>
          <w:ilvl w:val="0"/>
          <w:numId w:val="7"/>
        </w:numPr>
        <w:spacing w:after="120"/>
        <w:ind w:left="709" w:right="-329"/>
        <w:jc w:val="both"/>
        <w:rPr>
          <w:rFonts w:cs="Times New Roman"/>
          <w:szCs w:val="22"/>
        </w:rPr>
      </w:pPr>
      <w:r w:rsidRPr="00CC5E0B">
        <w:rPr>
          <w:rFonts w:cs="Times New Roman"/>
          <w:szCs w:val="22"/>
        </w:rPr>
        <w:t>Десислав Герчев Димов</w:t>
      </w:r>
      <w:r w:rsidR="0028160D" w:rsidRPr="00CC5E0B">
        <w:rPr>
          <w:rFonts w:cs="Times New Roman"/>
          <w:szCs w:val="22"/>
        </w:rPr>
        <w:t xml:space="preserve">. </w:t>
      </w:r>
    </w:p>
    <w:p w:rsidR="0028160D" w:rsidRPr="00CC5E0B" w:rsidRDefault="0028160D" w:rsidP="007428D8">
      <w:pPr>
        <w:spacing w:after="120"/>
        <w:jc w:val="both"/>
        <w:rPr>
          <w:rFonts w:cs="Times New Roman"/>
          <w:szCs w:val="22"/>
        </w:rPr>
      </w:pPr>
      <w:r w:rsidRPr="00CC5E0B">
        <w:rPr>
          <w:rFonts w:cs="Times New Roman"/>
          <w:szCs w:val="22"/>
        </w:rPr>
        <w:t>Дружеството се</w:t>
      </w:r>
      <w:r w:rsidR="00CB7297" w:rsidRPr="00CC5E0B">
        <w:rPr>
          <w:rFonts w:cs="Times New Roman"/>
          <w:szCs w:val="22"/>
        </w:rPr>
        <w:t xml:space="preserve"> представлява самостоятелно от И</w:t>
      </w:r>
      <w:r w:rsidRPr="00CC5E0B">
        <w:rPr>
          <w:rFonts w:cs="Times New Roman"/>
          <w:szCs w:val="22"/>
        </w:rPr>
        <w:t>зпълнителни</w:t>
      </w:r>
      <w:r w:rsidR="007257F6" w:rsidRPr="00CC5E0B">
        <w:rPr>
          <w:rFonts w:cs="Times New Roman"/>
          <w:szCs w:val="22"/>
        </w:rPr>
        <w:t>я директор Емил Илиев Писарев</w:t>
      </w:r>
      <w:r w:rsidRPr="00CC5E0B">
        <w:rPr>
          <w:rFonts w:cs="Times New Roman"/>
          <w:szCs w:val="22"/>
        </w:rPr>
        <w:t>.</w:t>
      </w:r>
    </w:p>
    <w:p w:rsidR="0028160D" w:rsidRPr="00CC5E0B" w:rsidRDefault="0028160D" w:rsidP="007428D8">
      <w:pPr>
        <w:spacing w:after="120"/>
        <w:jc w:val="both"/>
        <w:rPr>
          <w:rFonts w:cs="Times New Roman"/>
          <w:szCs w:val="22"/>
        </w:rPr>
      </w:pPr>
      <w:r w:rsidRPr="00CC5E0B">
        <w:rPr>
          <w:rFonts w:cs="Times New Roman"/>
          <w:szCs w:val="22"/>
        </w:rPr>
        <w:t>Предметът на дейност на Дружеството е</w:t>
      </w:r>
      <w:r w:rsidR="00E5778E" w:rsidRPr="00CC5E0B">
        <w:rPr>
          <w:rFonts w:cs="Times New Roman"/>
          <w:szCs w:val="22"/>
        </w:rPr>
        <w:t xml:space="preserve"> </w:t>
      </w:r>
      <w:r w:rsidRPr="00CC5E0B">
        <w:rPr>
          <w:rFonts w:cs="Times New Roman"/>
          <w:szCs w:val="22"/>
        </w:rPr>
        <w:t>производство, пренос, разпределение и продажба на електрическа енергия, планиране, проектиране, изграждане, поддържане и експлоатация на съоръжения и обекти за производство на електроенергия, строителна и ремонтна дейност в областта на енергетиката, електропроизводство, внос и износ на горива, придобиване и разпореждане с авторски права върху изобретения, търговски марки и промишлени образци, ноу- хау и други обекти на интелектуалната собственост, търговско представителство и посредничество, както и всяка друга дейност, незабранена със закон.</w:t>
      </w:r>
    </w:p>
    <w:p w:rsidR="0028160D" w:rsidRPr="00CC5E0B" w:rsidRDefault="0028160D" w:rsidP="007428D8">
      <w:pPr>
        <w:spacing w:after="120"/>
        <w:jc w:val="both"/>
        <w:rPr>
          <w:rFonts w:cs="Times New Roman"/>
          <w:szCs w:val="22"/>
        </w:rPr>
      </w:pPr>
      <w:r w:rsidRPr="00CC5E0B">
        <w:rPr>
          <w:rFonts w:cs="Times New Roman"/>
          <w:szCs w:val="22"/>
        </w:rPr>
        <w:t>Дружеството е учредено с цел планиране, проектиране, изграждане, поддържане и експлоатация на водноелектрическа централа.</w:t>
      </w:r>
    </w:p>
    <w:p w:rsidR="0028160D" w:rsidRPr="00CC5E0B" w:rsidRDefault="0028160D" w:rsidP="007428D8">
      <w:pPr>
        <w:spacing w:after="120"/>
        <w:jc w:val="both"/>
        <w:rPr>
          <w:rFonts w:cs="Times New Roman"/>
          <w:szCs w:val="22"/>
        </w:rPr>
      </w:pPr>
      <w:r w:rsidRPr="00CC5E0B">
        <w:rPr>
          <w:rFonts w:cs="Times New Roman"/>
          <w:szCs w:val="22"/>
        </w:rPr>
        <w:t xml:space="preserve">Дейността на </w:t>
      </w:r>
      <w:r w:rsidR="00513F95" w:rsidRPr="00CC5E0B">
        <w:rPr>
          <w:rFonts w:cs="Times New Roman"/>
          <w:szCs w:val="22"/>
        </w:rPr>
        <w:t>„</w:t>
      </w:r>
      <w:r w:rsidRPr="00CC5E0B">
        <w:rPr>
          <w:rFonts w:cs="Times New Roman"/>
          <w:szCs w:val="22"/>
        </w:rPr>
        <w:t>ВЕЦ Козлодуй</w:t>
      </w:r>
      <w:r w:rsidR="00513F95" w:rsidRPr="00CC5E0B">
        <w:rPr>
          <w:rFonts w:cs="Times New Roman"/>
          <w:szCs w:val="22"/>
        </w:rPr>
        <w:t>”</w:t>
      </w:r>
      <w:r w:rsidRPr="00CC5E0B">
        <w:rPr>
          <w:rFonts w:cs="Times New Roman"/>
          <w:szCs w:val="22"/>
        </w:rPr>
        <w:t xml:space="preserve"> ЕАД не е ограничена от срок и не е поставена под друго прекратително условие.</w:t>
      </w:r>
    </w:p>
    <w:p w:rsidR="0028160D" w:rsidRPr="00CC5E0B" w:rsidRDefault="0028160D" w:rsidP="007428D8">
      <w:pPr>
        <w:spacing w:after="120"/>
        <w:jc w:val="both"/>
        <w:rPr>
          <w:rFonts w:cs="Times New Roman"/>
          <w:szCs w:val="22"/>
        </w:rPr>
      </w:pPr>
      <w:r w:rsidRPr="00CC5E0B">
        <w:rPr>
          <w:rFonts w:cs="Times New Roman"/>
          <w:szCs w:val="22"/>
        </w:rPr>
        <w:t xml:space="preserve">Капиталът на </w:t>
      </w:r>
      <w:r w:rsidR="00513F95" w:rsidRPr="00CC5E0B">
        <w:rPr>
          <w:rFonts w:cs="Times New Roman"/>
          <w:szCs w:val="22"/>
        </w:rPr>
        <w:t>„</w:t>
      </w:r>
      <w:r w:rsidRPr="00CC5E0B">
        <w:rPr>
          <w:rFonts w:cs="Times New Roman"/>
          <w:szCs w:val="22"/>
        </w:rPr>
        <w:t>ВЕЦ Козлодуй</w:t>
      </w:r>
      <w:r w:rsidR="00513F95" w:rsidRPr="00CC5E0B">
        <w:rPr>
          <w:rFonts w:cs="Times New Roman"/>
          <w:szCs w:val="22"/>
        </w:rPr>
        <w:t>”</w:t>
      </w:r>
      <w:r w:rsidRPr="00CC5E0B">
        <w:rPr>
          <w:rFonts w:cs="Times New Roman"/>
          <w:szCs w:val="22"/>
        </w:rPr>
        <w:t xml:space="preserve"> ЕАД е 1 082 000 лв. /един милион осемдесет и две хиляди лева/, разпределен в 1 082 /хиляда осемдесет и два/ броя акции, всяка с номинална стойност от 1 000 лв. /хиляда лева/. Едноличен собственик на капитала е </w:t>
      </w:r>
      <w:r w:rsidR="00513F95" w:rsidRPr="00CC5E0B">
        <w:rPr>
          <w:rFonts w:cs="Times New Roman"/>
          <w:szCs w:val="22"/>
        </w:rPr>
        <w:t>„</w:t>
      </w:r>
      <w:r w:rsidRPr="00CC5E0B">
        <w:rPr>
          <w:rFonts w:cs="Times New Roman"/>
          <w:szCs w:val="22"/>
        </w:rPr>
        <w:t xml:space="preserve">АЕЦ </w:t>
      </w:r>
      <w:r w:rsidR="00513F95" w:rsidRPr="00CC5E0B">
        <w:rPr>
          <w:rFonts w:cs="Times New Roman"/>
          <w:szCs w:val="22"/>
        </w:rPr>
        <w:t>–</w:t>
      </w:r>
      <w:r w:rsidRPr="00CC5E0B">
        <w:rPr>
          <w:rFonts w:cs="Times New Roman"/>
          <w:szCs w:val="22"/>
        </w:rPr>
        <w:t xml:space="preserve"> Козлодуй</w:t>
      </w:r>
      <w:r w:rsidR="00513F95" w:rsidRPr="00CC5E0B">
        <w:rPr>
          <w:rFonts w:cs="Times New Roman"/>
          <w:szCs w:val="22"/>
        </w:rPr>
        <w:t>”</w:t>
      </w:r>
      <w:r w:rsidRPr="00CC5E0B">
        <w:rPr>
          <w:rFonts w:cs="Times New Roman"/>
          <w:szCs w:val="22"/>
        </w:rPr>
        <w:t xml:space="preserve"> ЕАД. </w:t>
      </w:r>
    </w:p>
    <w:p w:rsidR="00817FBA" w:rsidRPr="00CC5E0B" w:rsidRDefault="0028160D" w:rsidP="007428D8">
      <w:pPr>
        <w:spacing w:after="120"/>
        <w:jc w:val="both"/>
        <w:rPr>
          <w:szCs w:val="22"/>
        </w:rPr>
      </w:pPr>
      <w:r w:rsidRPr="00CC5E0B">
        <w:rPr>
          <w:rFonts w:cs="Times New Roman"/>
          <w:szCs w:val="22"/>
        </w:rPr>
        <w:t xml:space="preserve">Крайният собственик на </w:t>
      </w:r>
      <w:r w:rsidR="00F5395E" w:rsidRPr="00CC5E0B">
        <w:rPr>
          <w:rFonts w:cs="Times New Roman"/>
          <w:szCs w:val="22"/>
        </w:rPr>
        <w:t>Д</w:t>
      </w:r>
      <w:r w:rsidRPr="00CC5E0B">
        <w:rPr>
          <w:rFonts w:cs="Times New Roman"/>
          <w:szCs w:val="22"/>
        </w:rPr>
        <w:t xml:space="preserve">ружество е </w:t>
      </w:r>
      <w:r w:rsidR="00F5395E" w:rsidRPr="00CC5E0B">
        <w:rPr>
          <w:rFonts w:cs="Times New Roman"/>
          <w:szCs w:val="22"/>
        </w:rPr>
        <w:t>Б</w:t>
      </w:r>
      <w:r w:rsidRPr="00CC5E0B">
        <w:rPr>
          <w:rFonts w:cs="Times New Roman"/>
          <w:szCs w:val="22"/>
        </w:rPr>
        <w:t xml:space="preserve">ългарската държава, чрез </w:t>
      </w:r>
      <w:r w:rsidR="00EB6384" w:rsidRPr="00CC5E0B">
        <w:rPr>
          <w:rFonts w:cs="Times New Roman"/>
          <w:szCs w:val="22"/>
        </w:rPr>
        <w:t>М</w:t>
      </w:r>
      <w:r w:rsidRPr="00CC5E0B">
        <w:rPr>
          <w:rFonts w:cs="Times New Roman"/>
          <w:szCs w:val="22"/>
        </w:rPr>
        <w:t xml:space="preserve">инистъра на </w:t>
      </w:r>
      <w:r w:rsidR="0034124B" w:rsidRPr="00CC5E0B">
        <w:rPr>
          <w:rFonts w:cs="Times New Roman"/>
          <w:szCs w:val="22"/>
        </w:rPr>
        <w:t>енергетиката</w:t>
      </w:r>
      <w:r w:rsidR="00D54F2E" w:rsidRPr="00CC5E0B">
        <w:rPr>
          <w:szCs w:val="22"/>
        </w:rPr>
        <w:t>.</w:t>
      </w:r>
    </w:p>
    <w:p w:rsidR="00AB4692" w:rsidRPr="00CC5E0B" w:rsidRDefault="00AB4692" w:rsidP="007428D8">
      <w:pPr>
        <w:pStyle w:val="Heading1"/>
        <w:numPr>
          <w:ilvl w:val="0"/>
          <w:numId w:val="5"/>
        </w:numPr>
        <w:tabs>
          <w:tab w:val="left" w:pos="567"/>
        </w:tabs>
        <w:spacing w:before="360" w:after="0" w:line="259" w:lineRule="auto"/>
        <w:ind w:left="0" w:firstLine="0"/>
        <w:contextualSpacing/>
        <w:jc w:val="both"/>
        <w:rPr>
          <w:color w:val="auto"/>
          <w:sz w:val="22"/>
          <w:szCs w:val="22"/>
        </w:rPr>
      </w:pPr>
      <w:r w:rsidRPr="00CC5E0B">
        <w:rPr>
          <w:color w:val="auto"/>
          <w:sz w:val="22"/>
          <w:szCs w:val="22"/>
        </w:rPr>
        <w:t>О</w:t>
      </w:r>
      <w:r w:rsidR="00985924" w:rsidRPr="00CC5E0B">
        <w:rPr>
          <w:color w:val="auto"/>
          <w:sz w:val="22"/>
          <w:szCs w:val="22"/>
        </w:rPr>
        <w:t>снова за изготвяне на</w:t>
      </w:r>
      <w:r w:rsidR="005830B2" w:rsidRPr="00CC5E0B">
        <w:rPr>
          <w:color w:val="auto"/>
          <w:sz w:val="22"/>
          <w:szCs w:val="22"/>
        </w:rPr>
        <w:t xml:space="preserve"> </w:t>
      </w:r>
      <w:r w:rsidR="00895A45" w:rsidRPr="00CC5E0B">
        <w:rPr>
          <w:color w:val="auto"/>
          <w:sz w:val="22"/>
          <w:szCs w:val="22"/>
        </w:rPr>
        <w:t xml:space="preserve">междинния съкратен </w:t>
      </w:r>
      <w:r w:rsidR="000E6103" w:rsidRPr="00CC5E0B">
        <w:rPr>
          <w:color w:val="auto"/>
          <w:sz w:val="22"/>
          <w:szCs w:val="22"/>
        </w:rPr>
        <w:t>финансов</w:t>
      </w:r>
      <w:r w:rsidR="008313C2" w:rsidRPr="00CC5E0B">
        <w:rPr>
          <w:color w:val="auto"/>
          <w:sz w:val="22"/>
          <w:szCs w:val="22"/>
        </w:rPr>
        <w:t xml:space="preserve"> отчет</w:t>
      </w:r>
    </w:p>
    <w:p w:rsidR="00796446" w:rsidRPr="00CC5E0B" w:rsidRDefault="00895A45" w:rsidP="00CC5E0B">
      <w:pPr>
        <w:spacing w:before="240" w:after="120"/>
        <w:contextualSpacing/>
        <w:jc w:val="both"/>
        <w:rPr>
          <w:szCs w:val="22"/>
        </w:rPr>
      </w:pPr>
      <w:r w:rsidRPr="00CC5E0B">
        <w:rPr>
          <w:szCs w:val="22"/>
        </w:rPr>
        <w:t>Този междинен съкратен ф</w:t>
      </w:r>
      <w:r w:rsidR="009C5FCD" w:rsidRPr="00CC5E0B">
        <w:rPr>
          <w:szCs w:val="22"/>
        </w:rPr>
        <w:t>инансов отчет</w:t>
      </w:r>
      <w:r w:rsidR="00227E24" w:rsidRPr="00CC5E0B">
        <w:rPr>
          <w:szCs w:val="22"/>
        </w:rPr>
        <w:t xml:space="preserve"> </w:t>
      </w:r>
      <w:r w:rsidRPr="00CC5E0B">
        <w:rPr>
          <w:szCs w:val="22"/>
        </w:rPr>
        <w:t xml:space="preserve">за период от </w:t>
      </w:r>
      <w:r w:rsidR="005830B2" w:rsidRPr="00CC5E0B">
        <w:rPr>
          <w:szCs w:val="22"/>
        </w:rPr>
        <w:t>шест</w:t>
      </w:r>
      <w:r w:rsidRPr="00CC5E0B">
        <w:rPr>
          <w:szCs w:val="22"/>
        </w:rPr>
        <w:t xml:space="preserve"> месеца до 3</w:t>
      </w:r>
      <w:r w:rsidR="005830B2" w:rsidRPr="00CC5E0B">
        <w:rPr>
          <w:szCs w:val="22"/>
        </w:rPr>
        <w:t>0</w:t>
      </w:r>
      <w:r w:rsidRPr="00CC5E0B">
        <w:rPr>
          <w:szCs w:val="22"/>
        </w:rPr>
        <w:t xml:space="preserve"> </w:t>
      </w:r>
      <w:r w:rsidR="005830B2" w:rsidRPr="00CC5E0B">
        <w:rPr>
          <w:szCs w:val="22"/>
        </w:rPr>
        <w:t>юни</w:t>
      </w:r>
      <w:r w:rsidRPr="00CC5E0B">
        <w:rPr>
          <w:szCs w:val="22"/>
        </w:rPr>
        <w:t xml:space="preserve"> 2019 г. </w:t>
      </w:r>
      <w:r w:rsidR="009C5FCD" w:rsidRPr="00CC5E0B">
        <w:rPr>
          <w:szCs w:val="22"/>
        </w:rPr>
        <w:t>е съставен в съ</w:t>
      </w:r>
      <w:r w:rsidR="00985924" w:rsidRPr="00CC5E0B">
        <w:rPr>
          <w:szCs w:val="22"/>
        </w:rPr>
        <w:t xml:space="preserve">ответствие с </w:t>
      </w:r>
      <w:r w:rsidRPr="00CC5E0B">
        <w:rPr>
          <w:szCs w:val="22"/>
        </w:rPr>
        <w:t xml:space="preserve">МСС 34 „Междинно финансово отчитане“, приет от ЕС. Той не съдържа цялата информация, която се изисква за изготвяне на пълни годишни финансови отчети съгласно МСФО и следва да се чете заедно с годишния финансов отчет на Дружеството към 31.12.2018 г. ,изготвен в съответствие с  </w:t>
      </w:r>
      <w:r w:rsidR="009C5FCD" w:rsidRPr="00CC5E0B">
        <w:rPr>
          <w:szCs w:val="22"/>
        </w:rPr>
        <w:t>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rsidR="007E60BF" w:rsidRPr="00CC5E0B" w:rsidRDefault="00895A45" w:rsidP="00CC5E0B">
      <w:pPr>
        <w:spacing w:before="240" w:after="120"/>
        <w:jc w:val="both"/>
        <w:rPr>
          <w:bCs/>
          <w:szCs w:val="22"/>
        </w:rPr>
      </w:pPr>
      <w:r w:rsidRPr="00CC5E0B">
        <w:rPr>
          <w:bCs/>
          <w:szCs w:val="22"/>
        </w:rPr>
        <w:t>Междинният съкратен ф</w:t>
      </w:r>
      <w:r w:rsidR="001A268F" w:rsidRPr="00CC5E0B">
        <w:rPr>
          <w:bCs/>
          <w:szCs w:val="22"/>
        </w:rPr>
        <w:t xml:space="preserve">инансов отчет е </w:t>
      </w:r>
      <w:r w:rsidR="00441011" w:rsidRPr="00CC5E0B">
        <w:rPr>
          <w:bCs/>
          <w:szCs w:val="22"/>
        </w:rPr>
        <w:t>съставен</w:t>
      </w:r>
      <w:r w:rsidR="001A268F" w:rsidRPr="00CC5E0B">
        <w:rPr>
          <w:bCs/>
          <w:szCs w:val="22"/>
        </w:rPr>
        <w:t xml:space="preserve"> в </w:t>
      </w:r>
      <w:r w:rsidR="00A71C95" w:rsidRPr="00CC5E0B">
        <w:rPr>
          <w:bCs/>
          <w:szCs w:val="22"/>
        </w:rPr>
        <w:t xml:space="preserve">български </w:t>
      </w:r>
      <w:r w:rsidR="001A268F" w:rsidRPr="00CC5E0B">
        <w:rPr>
          <w:bCs/>
          <w:szCs w:val="22"/>
        </w:rPr>
        <w:t>лева</w:t>
      </w:r>
      <w:r w:rsidR="00F547BE" w:rsidRPr="00CC5E0B">
        <w:rPr>
          <w:bCs/>
          <w:szCs w:val="22"/>
        </w:rPr>
        <w:t xml:space="preserve">, което е </w:t>
      </w:r>
      <w:r w:rsidR="001A268F" w:rsidRPr="00CC5E0B">
        <w:rPr>
          <w:bCs/>
          <w:szCs w:val="22"/>
        </w:rPr>
        <w:t xml:space="preserve">функционалната валута на </w:t>
      </w:r>
      <w:r w:rsidR="003E0AD8" w:rsidRPr="00CC5E0B">
        <w:rPr>
          <w:bCs/>
          <w:szCs w:val="22"/>
        </w:rPr>
        <w:t>Дружеството</w:t>
      </w:r>
      <w:r w:rsidR="001A268F" w:rsidRPr="00CC5E0B">
        <w:rPr>
          <w:bCs/>
          <w:szCs w:val="22"/>
        </w:rPr>
        <w:t>.</w:t>
      </w:r>
      <w:r w:rsidR="000812CA" w:rsidRPr="00CC5E0B">
        <w:rPr>
          <w:bCs/>
          <w:szCs w:val="22"/>
        </w:rPr>
        <w:t>Всички суми са представени в</w:t>
      </w:r>
      <w:r w:rsidR="007030C9" w:rsidRPr="00CC5E0B">
        <w:rPr>
          <w:bCs/>
          <w:szCs w:val="22"/>
        </w:rPr>
        <w:t xml:space="preserve"> хиляди лева(‘000 лв.)</w:t>
      </w:r>
      <w:r w:rsidR="000812CA" w:rsidRPr="00CC5E0B">
        <w:rPr>
          <w:bCs/>
          <w:szCs w:val="22"/>
        </w:rPr>
        <w:t xml:space="preserve">(включително </w:t>
      </w:r>
      <w:r w:rsidR="00FB42BA" w:rsidRPr="00CC5E0B">
        <w:rPr>
          <w:bCs/>
          <w:szCs w:val="22"/>
        </w:rPr>
        <w:t>сравнителната информация</w:t>
      </w:r>
      <w:r w:rsidR="00DB1434" w:rsidRPr="00CC5E0B">
        <w:rPr>
          <w:bCs/>
          <w:szCs w:val="22"/>
        </w:rPr>
        <w:t xml:space="preserve"> за 2018 г.</w:t>
      </w:r>
      <w:r w:rsidR="000812CA" w:rsidRPr="00CC5E0B">
        <w:rPr>
          <w:bCs/>
          <w:szCs w:val="22"/>
        </w:rPr>
        <w:t xml:space="preserve">), освен ако не е посочено друго. </w:t>
      </w:r>
    </w:p>
    <w:p w:rsidR="00F92378" w:rsidRPr="00CC5E0B" w:rsidRDefault="00895A45" w:rsidP="007428D8">
      <w:pPr>
        <w:autoSpaceDE w:val="0"/>
        <w:autoSpaceDN w:val="0"/>
        <w:adjustRightInd w:val="0"/>
        <w:spacing w:after="120"/>
        <w:jc w:val="both"/>
        <w:rPr>
          <w:rFonts w:cs="SPTime-Bold"/>
          <w:bCs/>
          <w:szCs w:val="22"/>
        </w:rPr>
      </w:pPr>
      <w:r w:rsidRPr="00CC5E0B">
        <w:rPr>
          <w:rFonts w:cs="SPTime-Bold"/>
          <w:bCs/>
          <w:szCs w:val="22"/>
        </w:rPr>
        <w:t>Междинният съкратен ф</w:t>
      </w:r>
      <w:r w:rsidR="00F92378" w:rsidRPr="00CC5E0B">
        <w:rPr>
          <w:rFonts w:cs="SPTime-Bold"/>
          <w:bCs/>
          <w:szCs w:val="22"/>
        </w:rPr>
        <w:t>инансов отчет е съставен при спазване на принципа на действащо предприятие.</w:t>
      </w:r>
    </w:p>
    <w:p w:rsidR="00E44DEC" w:rsidRPr="00CC5E0B" w:rsidRDefault="00964C03" w:rsidP="007428D8">
      <w:pPr>
        <w:pStyle w:val="BodyText"/>
        <w:spacing w:after="120" w:line="240" w:lineRule="auto"/>
        <w:jc w:val="both"/>
        <w:rPr>
          <w:bCs/>
          <w:szCs w:val="22"/>
        </w:rPr>
      </w:pPr>
      <w:r w:rsidRPr="00CC5E0B">
        <w:rPr>
          <w:rFonts w:cs="PalatinoLinotype-Roman"/>
          <w:szCs w:val="22"/>
        </w:rPr>
        <w:lastRenderedPageBreak/>
        <w:t>Към датата на изготвян</w:t>
      </w:r>
      <w:r w:rsidR="005D491C" w:rsidRPr="00CC5E0B">
        <w:rPr>
          <w:rFonts w:cs="PalatinoLinotype-Roman"/>
          <w:szCs w:val="22"/>
        </w:rPr>
        <w:t>е на настоящия</w:t>
      </w:r>
      <w:r w:rsidR="005830B2" w:rsidRPr="00CC5E0B">
        <w:rPr>
          <w:rFonts w:cs="PalatinoLinotype-Roman"/>
          <w:szCs w:val="22"/>
        </w:rPr>
        <w:t xml:space="preserve"> </w:t>
      </w:r>
      <w:r w:rsidR="00895A45" w:rsidRPr="00CC5E0B">
        <w:rPr>
          <w:rFonts w:cs="PalatinoLinotype-Roman"/>
          <w:szCs w:val="22"/>
        </w:rPr>
        <w:t xml:space="preserve">междинен съкратен </w:t>
      </w:r>
      <w:r w:rsidRPr="00CC5E0B">
        <w:rPr>
          <w:rFonts w:cs="PalatinoLinotype-Roman"/>
          <w:szCs w:val="22"/>
        </w:rPr>
        <w:t xml:space="preserve">финансов отчет ръководството е направило преценка на способността на Дружеството да продължи своята дейност като действащо предприятие на база на наличната информация за предвидимото бъдеще. След извършения преглед на дейността на Дружеството ръководството очаква, че Дружеството има достатъчно финансови ресурси, за да продължи оперативната си дейност в близко бъдеще и продължава да прилага принципа за действащо предприятие при изготвянето на </w:t>
      </w:r>
      <w:r w:rsidR="00895A45" w:rsidRPr="00CC5E0B">
        <w:rPr>
          <w:rFonts w:cs="PalatinoLinotype-Roman"/>
          <w:szCs w:val="22"/>
        </w:rPr>
        <w:t xml:space="preserve">междинния съкратен </w:t>
      </w:r>
      <w:r w:rsidRPr="00CC5E0B">
        <w:rPr>
          <w:rFonts w:cs="PalatinoLinotype-Roman"/>
          <w:szCs w:val="22"/>
        </w:rPr>
        <w:t>финансов отчет</w:t>
      </w:r>
      <w:r w:rsidRPr="00CC5E0B">
        <w:rPr>
          <w:szCs w:val="22"/>
        </w:rPr>
        <w:t>.</w:t>
      </w:r>
    </w:p>
    <w:p w:rsidR="00486688" w:rsidRDefault="008A5FB5" w:rsidP="007428D8">
      <w:pPr>
        <w:pStyle w:val="Heading1"/>
        <w:numPr>
          <w:ilvl w:val="0"/>
          <w:numId w:val="5"/>
        </w:numPr>
        <w:tabs>
          <w:tab w:val="left" w:pos="567"/>
        </w:tabs>
        <w:spacing w:before="360" w:after="0" w:line="259" w:lineRule="auto"/>
        <w:ind w:left="0" w:firstLine="0"/>
        <w:jc w:val="both"/>
        <w:rPr>
          <w:color w:val="auto"/>
          <w:sz w:val="22"/>
          <w:szCs w:val="22"/>
        </w:rPr>
      </w:pPr>
      <w:r w:rsidRPr="00CC5E0B">
        <w:rPr>
          <w:color w:val="auto"/>
          <w:sz w:val="22"/>
          <w:szCs w:val="22"/>
        </w:rPr>
        <w:t>Счетоводна политика и промени през периода</w:t>
      </w:r>
    </w:p>
    <w:p w:rsidR="009E7821" w:rsidRPr="003D4233" w:rsidRDefault="009E7821" w:rsidP="00CC5E0B">
      <w:pPr>
        <w:pStyle w:val="Heading1"/>
        <w:spacing w:after="0" w:line="259" w:lineRule="auto"/>
        <w:jc w:val="both"/>
        <w:rPr>
          <w:bCs w:val="0"/>
          <w:color w:val="auto"/>
          <w:szCs w:val="24"/>
        </w:rPr>
      </w:pPr>
      <w:r w:rsidRPr="00CC5E0B">
        <w:rPr>
          <w:bCs w:val="0"/>
          <w:color w:val="auto"/>
          <w:sz w:val="22"/>
          <w:szCs w:val="22"/>
        </w:rPr>
        <w:t>3.1.</w:t>
      </w:r>
      <w:r w:rsidRPr="00CB29BF">
        <w:rPr>
          <w:bCs w:val="0"/>
          <w:color w:val="auto"/>
          <w:szCs w:val="24"/>
        </w:rPr>
        <w:t xml:space="preserve"> </w:t>
      </w:r>
      <w:r w:rsidRPr="00CC5E0B">
        <w:rPr>
          <w:bCs w:val="0"/>
          <w:color w:val="auto"/>
          <w:sz w:val="22"/>
          <w:szCs w:val="22"/>
        </w:rPr>
        <w:t>Общи положения</w:t>
      </w:r>
    </w:p>
    <w:p w:rsidR="008A5FB5" w:rsidRPr="00CC5E0B" w:rsidRDefault="008A5FB5" w:rsidP="00CC5E0B">
      <w:pPr>
        <w:spacing w:before="120" w:after="120"/>
        <w:jc w:val="both"/>
        <w:rPr>
          <w:szCs w:val="22"/>
          <w:lang w:eastAsia="ar-SA"/>
        </w:rPr>
      </w:pPr>
      <w:r w:rsidRPr="00CC5E0B">
        <w:rPr>
          <w:szCs w:val="22"/>
          <w:lang w:eastAsia="ar-SA"/>
        </w:rPr>
        <w:t>Този междинен съкратен финансов отчет е изготвен съгласно приетата счетоводна политика в последния годишен финансов отчет на Дружеството към 31 декември 2018 г.</w:t>
      </w:r>
    </w:p>
    <w:p w:rsidR="00796446" w:rsidRPr="00CC5E0B" w:rsidRDefault="00796446" w:rsidP="00F96568">
      <w:pPr>
        <w:spacing w:after="120"/>
        <w:jc w:val="both"/>
        <w:rPr>
          <w:szCs w:val="22"/>
          <w:lang w:eastAsia="ar-SA"/>
        </w:rPr>
      </w:pPr>
      <w:r w:rsidRPr="00CC5E0B">
        <w:rPr>
          <w:szCs w:val="22"/>
          <w:lang w:eastAsia="ar-SA"/>
        </w:rPr>
        <w:t>Дружеството не е извършвало промени в счетоводната си политика във връзка с прилагането на всички нови и/или ревизирани МСФО, които са ефективни за текущия отчетен период, започващ на 01.01.2019г., тъй като през периода не е имало обекти или операции, които са засегнати от промените и измененията в МСФО. Към датата на одобрение за издаване на настоящия съкратен междинен индивидуален финансов отчет са направени изменения и подобрения в действащи стандарти, оповестени в т. 3.</w:t>
      </w:r>
      <w:r w:rsidR="0042574A">
        <w:rPr>
          <w:szCs w:val="22"/>
          <w:lang w:eastAsia="ar-SA"/>
        </w:rPr>
        <w:t>2</w:t>
      </w:r>
      <w:r w:rsidRPr="00CC5E0B">
        <w:rPr>
          <w:szCs w:val="22"/>
          <w:lang w:eastAsia="ar-SA"/>
        </w:rPr>
        <w:t>.</w:t>
      </w:r>
    </w:p>
    <w:p w:rsidR="00796446" w:rsidRPr="00796446" w:rsidRDefault="00796446" w:rsidP="00796446">
      <w:pPr>
        <w:pStyle w:val="BodyText"/>
        <w:spacing w:after="120" w:line="276" w:lineRule="auto"/>
        <w:jc w:val="both"/>
        <w:rPr>
          <w:szCs w:val="22"/>
        </w:rPr>
      </w:pPr>
      <w:r w:rsidRPr="00796446">
        <w:rPr>
          <w:b/>
          <w:bCs/>
          <w:szCs w:val="22"/>
        </w:rPr>
        <w:t>Сравнителна информация</w:t>
      </w:r>
    </w:p>
    <w:p w:rsidR="00796446" w:rsidRDefault="00796446">
      <w:pPr>
        <w:jc w:val="both"/>
        <w:rPr>
          <w:lang w:val="ru-RU"/>
        </w:rPr>
      </w:pPr>
      <w:bookmarkStart w:id="2" w:name="_Hlk15572789"/>
      <w:r w:rsidRPr="003D4233">
        <w:t xml:space="preserve">Към датата на издаване на междинния съкратен индивидуален финансов отчет към 30 юни 2018 г. Дружеството не е </w:t>
      </w:r>
      <w:r w:rsidRPr="003D4233">
        <w:rPr>
          <w:lang w:val="ru-RU"/>
        </w:rPr>
        <w:t xml:space="preserve">успяло да определи конкретните ефекти от прилагане  на счетоводните стандарти в сила от 01.01.2018 г., приложението </w:t>
      </w:r>
      <w:r w:rsidRPr="003D4233">
        <w:t xml:space="preserve">им </w:t>
      </w:r>
      <w:r w:rsidRPr="003D4233">
        <w:rPr>
          <w:lang w:val="ru-RU"/>
        </w:rPr>
        <w:t>към текущите операции и изчисляването на ефектите на необходимите корекции произтичащи от първоначалното прилагане на промените</w:t>
      </w:r>
      <w:r w:rsidRPr="003D4233">
        <w:t>.</w:t>
      </w:r>
      <w:r w:rsidRPr="003D4233">
        <w:rPr>
          <w:lang w:val="ru-RU"/>
        </w:rPr>
        <w:t xml:space="preserve"> </w:t>
      </w:r>
    </w:p>
    <w:p w:rsidR="0032497C" w:rsidRPr="003D4233" w:rsidRDefault="0032497C" w:rsidP="00CC5E0B">
      <w:pPr>
        <w:jc w:val="both"/>
        <w:rPr>
          <w:lang w:val="ru-RU"/>
        </w:rPr>
      </w:pPr>
    </w:p>
    <w:p w:rsidR="00796446" w:rsidRDefault="00796446">
      <w:pPr>
        <w:jc w:val="both"/>
        <w:rPr>
          <w:lang w:val="ru-RU"/>
        </w:rPr>
      </w:pPr>
      <w:r w:rsidRPr="003D4233">
        <w:t>Към датата на издаване на настоящия междинен съкратен индивидуален финансов отчет Дружеството представя преизчислена информация за предходния</w:t>
      </w:r>
      <w:r w:rsidRPr="003D4233">
        <w:rPr>
          <w:lang w:val="en-US"/>
        </w:rPr>
        <w:t xml:space="preserve"> </w:t>
      </w:r>
      <w:r w:rsidRPr="003D4233">
        <w:t>съпоставим период.</w:t>
      </w:r>
      <w:r w:rsidRPr="003D4233">
        <w:rPr>
          <w:lang w:val="ru-RU"/>
        </w:rPr>
        <w:t xml:space="preserve"> </w:t>
      </w:r>
      <w:r w:rsidRPr="003D4233">
        <w:t>К</w:t>
      </w:r>
      <w:r w:rsidRPr="003D4233">
        <w:rPr>
          <w:lang w:val="ru-RU"/>
        </w:rPr>
        <w:t>ласификациите, представянето и оповестяването</w:t>
      </w:r>
      <w:r w:rsidRPr="003D4233">
        <w:t xml:space="preserve"> на сравнителната информация</w:t>
      </w:r>
      <w:r w:rsidRPr="003D4233">
        <w:rPr>
          <w:lang w:val="ru-RU"/>
        </w:rPr>
        <w:t xml:space="preserve"> в настоящия междинен съкратен индивидуален финансов отчет е съобразно политиките прилагани от Дружеството</w:t>
      </w:r>
      <w:r w:rsidRPr="003D4233">
        <w:t xml:space="preserve"> в сила от 1 януари </w:t>
      </w:r>
      <w:r w:rsidRPr="003D4233">
        <w:rPr>
          <w:lang w:val="ru-RU"/>
        </w:rPr>
        <w:t>201</w:t>
      </w:r>
      <w:r w:rsidRPr="003D4233">
        <w:t>8</w:t>
      </w:r>
      <w:r w:rsidRPr="003D4233">
        <w:rPr>
          <w:lang w:val="ru-RU"/>
        </w:rPr>
        <w:t xml:space="preserve"> г.</w:t>
      </w:r>
      <w:r w:rsidRPr="003D4233">
        <w:t xml:space="preserve"> и приложени </w:t>
      </w:r>
      <w:r w:rsidRPr="003D4233">
        <w:rPr>
          <w:lang w:val="ru-RU"/>
        </w:rPr>
        <w:t>за финансовите му отчети изготвени към дата 31</w:t>
      </w:r>
      <w:r w:rsidRPr="003D4233">
        <w:t xml:space="preserve"> декември </w:t>
      </w:r>
      <w:r w:rsidRPr="003D4233">
        <w:rPr>
          <w:lang w:val="ru-RU"/>
        </w:rPr>
        <w:t>201</w:t>
      </w:r>
      <w:r w:rsidRPr="003D4233">
        <w:t>8</w:t>
      </w:r>
      <w:r w:rsidRPr="003D4233">
        <w:rPr>
          <w:lang w:val="ru-RU"/>
        </w:rPr>
        <w:t xml:space="preserve"> г.</w:t>
      </w:r>
    </w:p>
    <w:p w:rsidR="0032497C" w:rsidRPr="003D4233" w:rsidRDefault="0032497C" w:rsidP="00CC5E0B">
      <w:pPr>
        <w:jc w:val="both"/>
        <w:rPr>
          <w:lang w:val="ru-RU"/>
        </w:rPr>
      </w:pPr>
    </w:p>
    <w:p w:rsidR="000B2407" w:rsidRDefault="00796446" w:rsidP="00CC5E0B">
      <w:pPr>
        <w:jc w:val="both"/>
      </w:pPr>
      <w:r w:rsidRPr="003D4233">
        <w:t>Съветът на директорите  Дружеството е определил, че прилагането на изискванията за обезценка на МСФО 9, в сила от 1 януари 2018 г., води до признаване на първоначален ефект и обезценка към 30.06.2018 както следва:</w:t>
      </w:r>
    </w:p>
    <w:p w:rsidR="00E05BBA" w:rsidRDefault="00E05BBA" w:rsidP="00CC5E0B">
      <w:pPr>
        <w:jc w:val="both"/>
      </w:pPr>
    </w:p>
    <w:p w:rsidR="00E05BBA" w:rsidRPr="003D4233" w:rsidRDefault="00E05BBA" w:rsidP="00CC5E0B">
      <w:pPr>
        <w:jc w:val="both"/>
      </w:pPr>
    </w:p>
    <w:tbl>
      <w:tblPr>
        <w:tblW w:w="5000" w:type="pct"/>
        <w:tblLook w:val="04A0"/>
      </w:tblPr>
      <w:tblGrid>
        <w:gridCol w:w="3790"/>
        <w:gridCol w:w="1767"/>
        <w:gridCol w:w="1916"/>
        <w:gridCol w:w="1770"/>
      </w:tblGrid>
      <w:tr w:rsidR="000B2407" w:rsidRPr="00796446" w:rsidTr="00CC5E0B">
        <w:trPr>
          <w:trHeight w:val="20"/>
        </w:trPr>
        <w:tc>
          <w:tcPr>
            <w:tcW w:w="2051" w:type="pct"/>
            <w:vMerge w:val="restart"/>
            <w:tcBorders>
              <w:top w:val="nil"/>
              <w:left w:val="nil"/>
              <w:bottom w:val="nil"/>
              <w:right w:val="nil"/>
            </w:tcBorders>
            <w:shd w:val="clear" w:color="auto" w:fill="auto"/>
            <w:noWrap/>
            <w:vAlign w:val="center"/>
            <w:hideMark/>
          </w:tcPr>
          <w:p w:rsidR="00796446" w:rsidRPr="00CC5E0B" w:rsidRDefault="00796446">
            <w:pPr>
              <w:jc w:val="center"/>
              <w:rPr>
                <w:rFonts w:cs="Calibri"/>
                <w:b/>
                <w:bCs/>
                <w:color w:val="000000"/>
                <w:szCs w:val="22"/>
              </w:rPr>
            </w:pPr>
            <w:r w:rsidRPr="00CC5E0B">
              <w:rPr>
                <w:rFonts w:cs="Calibri"/>
                <w:b/>
                <w:bCs/>
                <w:color w:val="000000"/>
                <w:szCs w:val="22"/>
              </w:rPr>
              <w:t>Ефект върху :</w:t>
            </w:r>
          </w:p>
        </w:tc>
        <w:tc>
          <w:tcPr>
            <w:tcW w:w="955" w:type="pct"/>
            <w:tcBorders>
              <w:top w:val="nil"/>
              <w:left w:val="nil"/>
              <w:bottom w:val="nil"/>
              <w:right w:val="nil"/>
            </w:tcBorders>
            <w:shd w:val="clear" w:color="auto" w:fill="auto"/>
            <w:vAlign w:val="bottom"/>
            <w:hideMark/>
          </w:tcPr>
          <w:p w:rsidR="00796446" w:rsidRPr="00CC5E0B" w:rsidRDefault="00796446">
            <w:pPr>
              <w:jc w:val="right"/>
              <w:rPr>
                <w:rFonts w:cs="Calibri"/>
                <w:b/>
                <w:bCs/>
                <w:color w:val="000000"/>
                <w:szCs w:val="22"/>
              </w:rPr>
            </w:pPr>
            <w:r w:rsidRPr="00CC5E0B">
              <w:rPr>
                <w:rFonts w:cs="Calibri"/>
                <w:b/>
                <w:bCs/>
                <w:color w:val="000000"/>
                <w:szCs w:val="22"/>
              </w:rPr>
              <w:t>Ефект върху неразпределена печалба</w:t>
            </w:r>
          </w:p>
          <w:p w:rsidR="00796446" w:rsidRPr="00CC5E0B" w:rsidRDefault="00796446">
            <w:pPr>
              <w:jc w:val="right"/>
              <w:rPr>
                <w:rFonts w:cs="Calibri"/>
                <w:b/>
                <w:bCs/>
                <w:color w:val="000000"/>
                <w:szCs w:val="22"/>
              </w:rPr>
            </w:pPr>
            <w:r w:rsidRPr="00CC5E0B">
              <w:rPr>
                <w:rFonts w:cs="Calibri"/>
                <w:b/>
                <w:bCs/>
                <w:color w:val="000000"/>
                <w:szCs w:val="22"/>
              </w:rPr>
              <w:t>към 01.01.2018</w:t>
            </w:r>
          </w:p>
        </w:tc>
        <w:tc>
          <w:tcPr>
            <w:tcW w:w="1037" w:type="pct"/>
            <w:tcBorders>
              <w:top w:val="nil"/>
              <w:left w:val="nil"/>
              <w:bottom w:val="nil"/>
              <w:right w:val="nil"/>
            </w:tcBorders>
            <w:shd w:val="clear" w:color="auto" w:fill="auto"/>
            <w:vAlign w:val="bottom"/>
            <w:hideMark/>
          </w:tcPr>
          <w:p w:rsidR="00796446" w:rsidRPr="00CC5E0B" w:rsidRDefault="00796446">
            <w:pPr>
              <w:jc w:val="right"/>
              <w:rPr>
                <w:rFonts w:cs="Calibri"/>
                <w:b/>
                <w:bCs/>
                <w:color w:val="000000"/>
                <w:szCs w:val="22"/>
              </w:rPr>
            </w:pPr>
            <w:r w:rsidRPr="00CC5E0B">
              <w:rPr>
                <w:rFonts w:cs="Calibri"/>
                <w:b/>
                <w:bCs/>
                <w:color w:val="000000"/>
                <w:szCs w:val="22"/>
              </w:rPr>
              <w:t>Ефект върху отчет за печалбата и загубата към 30.06.2018</w:t>
            </w:r>
          </w:p>
        </w:tc>
        <w:tc>
          <w:tcPr>
            <w:tcW w:w="957" w:type="pct"/>
            <w:tcBorders>
              <w:top w:val="nil"/>
              <w:left w:val="nil"/>
              <w:bottom w:val="nil"/>
              <w:right w:val="nil"/>
            </w:tcBorders>
            <w:shd w:val="clear" w:color="auto" w:fill="auto"/>
            <w:vAlign w:val="bottom"/>
            <w:hideMark/>
          </w:tcPr>
          <w:p w:rsidR="00796446" w:rsidRPr="00CC5E0B" w:rsidRDefault="00796446">
            <w:pPr>
              <w:jc w:val="right"/>
              <w:rPr>
                <w:rFonts w:cs="Calibri"/>
                <w:b/>
                <w:bCs/>
                <w:color w:val="000000"/>
                <w:szCs w:val="22"/>
              </w:rPr>
            </w:pPr>
            <w:r w:rsidRPr="00CC5E0B">
              <w:rPr>
                <w:rFonts w:cs="Calibri"/>
                <w:b/>
                <w:bCs/>
                <w:color w:val="000000"/>
                <w:szCs w:val="22"/>
              </w:rPr>
              <w:t>Ефект върху наразпределена печалба към 30.06.2018</w:t>
            </w:r>
          </w:p>
        </w:tc>
      </w:tr>
      <w:tr w:rsidR="000B2407" w:rsidRPr="00796446" w:rsidTr="00CC5E0B">
        <w:trPr>
          <w:trHeight w:val="20"/>
        </w:trPr>
        <w:tc>
          <w:tcPr>
            <w:tcW w:w="2051" w:type="pct"/>
            <w:vMerge/>
            <w:tcBorders>
              <w:top w:val="nil"/>
              <w:left w:val="nil"/>
              <w:bottom w:val="nil"/>
              <w:right w:val="nil"/>
            </w:tcBorders>
            <w:vAlign w:val="center"/>
            <w:hideMark/>
          </w:tcPr>
          <w:p w:rsidR="00796446" w:rsidRPr="00CC5E0B" w:rsidRDefault="00796446">
            <w:pPr>
              <w:rPr>
                <w:rFonts w:cs="Calibri"/>
                <w:b/>
                <w:bCs/>
                <w:color w:val="000000"/>
                <w:szCs w:val="22"/>
              </w:rPr>
            </w:pPr>
          </w:p>
        </w:tc>
        <w:tc>
          <w:tcPr>
            <w:tcW w:w="955" w:type="pct"/>
            <w:tcBorders>
              <w:top w:val="nil"/>
              <w:left w:val="nil"/>
              <w:bottom w:val="single" w:sz="8" w:space="0" w:color="auto"/>
              <w:right w:val="nil"/>
            </w:tcBorders>
            <w:shd w:val="clear" w:color="auto" w:fill="auto"/>
            <w:vAlign w:val="center"/>
            <w:hideMark/>
          </w:tcPr>
          <w:p w:rsidR="00796446" w:rsidRPr="00CC5E0B" w:rsidRDefault="00796446">
            <w:pPr>
              <w:jc w:val="right"/>
              <w:rPr>
                <w:rFonts w:cs="Calibri"/>
                <w:b/>
                <w:bCs/>
                <w:color w:val="000000"/>
                <w:szCs w:val="22"/>
              </w:rPr>
            </w:pPr>
            <w:r w:rsidRPr="00CC5E0B">
              <w:rPr>
                <w:rFonts w:cs="Calibri"/>
                <w:b/>
                <w:bCs/>
                <w:color w:val="000000"/>
                <w:szCs w:val="22"/>
              </w:rPr>
              <w:t>(хил. лв.)</w:t>
            </w:r>
          </w:p>
        </w:tc>
        <w:tc>
          <w:tcPr>
            <w:tcW w:w="1037" w:type="pct"/>
            <w:tcBorders>
              <w:top w:val="nil"/>
              <w:left w:val="nil"/>
              <w:bottom w:val="single" w:sz="8" w:space="0" w:color="auto"/>
              <w:right w:val="nil"/>
            </w:tcBorders>
            <w:shd w:val="clear" w:color="auto" w:fill="auto"/>
            <w:vAlign w:val="center"/>
            <w:hideMark/>
          </w:tcPr>
          <w:p w:rsidR="00796446" w:rsidRPr="00CC5E0B" w:rsidRDefault="00796446">
            <w:pPr>
              <w:jc w:val="right"/>
              <w:rPr>
                <w:rFonts w:cs="Calibri"/>
                <w:b/>
                <w:bCs/>
                <w:color w:val="000000"/>
                <w:szCs w:val="22"/>
              </w:rPr>
            </w:pPr>
            <w:r w:rsidRPr="00CC5E0B">
              <w:rPr>
                <w:rFonts w:cs="Calibri"/>
                <w:b/>
                <w:bCs/>
                <w:color w:val="000000"/>
                <w:szCs w:val="22"/>
              </w:rPr>
              <w:t>(хил. лв.)</w:t>
            </w:r>
          </w:p>
        </w:tc>
        <w:tc>
          <w:tcPr>
            <w:tcW w:w="957" w:type="pct"/>
            <w:tcBorders>
              <w:top w:val="nil"/>
              <w:left w:val="nil"/>
              <w:bottom w:val="single" w:sz="8" w:space="0" w:color="auto"/>
              <w:right w:val="nil"/>
            </w:tcBorders>
            <w:shd w:val="clear" w:color="auto" w:fill="auto"/>
            <w:vAlign w:val="center"/>
            <w:hideMark/>
          </w:tcPr>
          <w:p w:rsidR="00796446" w:rsidRPr="00CC5E0B" w:rsidRDefault="00796446">
            <w:pPr>
              <w:jc w:val="right"/>
              <w:rPr>
                <w:rFonts w:cs="Calibri"/>
                <w:b/>
                <w:bCs/>
                <w:color w:val="000000"/>
                <w:szCs w:val="22"/>
              </w:rPr>
            </w:pPr>
            <w:r w:rsidRPr="00CC5E0B">
              <w:rPr>
                <w:rFonts w:cs="Calibri"/>
                <w:b/>
                <w:bCs/>
                <w:color w:val="000000"/>
                <w:szCs w:val="22"/>
              </w:rPr>
              <w:t>(хил. лв.)</w:t>
            </w:r>
          </w:p>
        </w:tc>
      </w:tr>
      <w:tr w:rsidR="000B2407" w:rsidRPr="00796446" w:rsidTr="00CC5E0B">
        <w:trPr>
          <w:trHeight w:val="20"/>
        </w:trPr>
        <w:tc>
          <w:tcPr>
            <w:tcW w:w="2051" w:type="pct"/>
            <w:tcBorders>
              <w:top w:val="nil"/>
              <w:left w:val="nil"/>
              <w:bottom w:val="nil"/>
              <w:right w:val="nil"/>
            </w:tcBorders>
            <w:shd w:val="clear" w:color="auto" w:fill="auto"/>
            <w:vAlign w:val="center"/>
            <w:hideMark/>
          </w:tcPr>
          <w:p w:rsidR="00796446" w:rsidRPr="00CC5E0B" w:rsidRDefault="00796446">
            <w:pPr>
              <w:jc w:val="both"/>
              <w:rPr>
                <w:rFonts w:cs="Calibri"/>
                <w:color w:val="000000"/>
                <w:szCs w:val="22"/>
              </w:rPr>
            </w:pPr>
            <w:r w:rsidRPr="00CC5E0B">
              <w:rPr>
                <w:rFonts w:cs="Calibri"/>
                <w:color w:val="000000"/>
                <w:szCs w:val="22"/>
              </w:rPr>
              <w:t>Признаване на очаквани кредитни загуби по МСФО 9 от обезценка на пари и парични еквиваленти</w:t>
            </w:r>
          </w:p>
        </w:tc>
        <w:tc>
          <w:tcPr>
            <w:tcW w:w="955" w:type="pct"/>
            <w:tcBorders>
              <w:top w:val="nil"/>
              <w:left w:val="nil"/>
              <w:bottom w:val="nil"/>
              <w:right w:val="nil"/>
            </w:tcBorders>
            <w:shd w:val="clear" w:color="auto" w:fill="auto"/>
            <w:vAlign w:val="center"/>
          </w:tcPr>
          <w:p w:rsidR="00796446" w:rsidRPr="00CC5E0B" w:rsidRDefault="00796446">
            <w:pPr>
              <w:jc w:val="right"/>
              <w:rPr>
                <w:szCs w:val="22"/>
                <w:lang w:val="en-US"/>
              </w:rPr>
            </w:pPr>
            <w:r w:rsidRPr="00CC5E0B">
              <w:rPr>
                <w:szCs w:val="22"/>
                <w:lang w:val="en-US"/>
              </w:rPr>
              <w:t>(</w:t>
            </w:r>
            <w:r w:rsidR="000B2407">
              <w:rPr>
                <w:szCs w:val="22"/>
              </w:rPr>
              <w:t>2</w:t>
            </w:r>
            <w:r w:rsidRPr="00CC5E0B">
              <w:rPr>
                <w:szCs w:val="22"/>
                <w:lang w:val="en-US"/>
              </w:rPr>
              <w:t>)</w:t>
            </w:r>
          </w:p>
        </w:tc>
        <w:tc>
          <w:tcPr>
            <w:tcW w:w="1037" w:type="pct"/>
            <w:tcBorders>
              <w:top w:val="nil"/>
              <w:left w:val="nil"/>
              <w:bottom w:val="nil"/>
              <w:right w:val="nil"/>
            </w:tcBorders>
            <w:shd w:val="clear" w:color="auto" w:fill="auto"/>
            <w:vAlign w:val="center"/>
          </w:tcPr>
          <w:p w:rsidR="00796446" w:rsidRPr="00CC5E0B" w:rsidRDefault="000B2407">
            <w:pPr>
              <w:jc w:val="right"/>
              <w:rPr>
                <w:szCs w:val="22"/>
              </w:rPr>
            </w:pPr>
            <w:r>
              <w:rPr>
                <w:szCs w:val="22"/>
              </w:rPr>
              <w:t>1</w:t>
            </w:r>
          </w:p>
        </w:tc>
        <w:tc>
          <w:tcPr>
            <w:tcW w:w="957" w:type="pct"/>
            <w:tcBorders>
              <w:top w:val="nil"/>
              <w:left w:val="nil"/>
              <w:bottom w:val="nil"/>
              <w:right w:val="nil"/>
            </w:tcBorders>
            <w:shd w:val="clear" w:color="auto" w:fill="auto"/>
            <w:vAlign w:val="center"/>
          </w:tcPr>
          <w:p w:rsidR="00796446" w:rsidRPr="00CC5E0B" w:rsidRDefault="000B2407">
            <w:pPr>
              <w:jc w:val="right"/>
              <w:rPr>
                <w:szCs w:val="22"/>
              </w:rPr>
            </w:pPr>
            <w:r>
              <w:rPr>
                <w:szCs w:val="22"/>
              </w:rPr>
              <w:t>(1)</w:t>
            </w:r>
          </w:p>
        </w:tc>
      </w:tr>
      <w:tr w:rsidR="000B2407" w:rsidRPr="00796446" w:rsidTr="00CC5E0B">
        <w:trPr>
          <w:trHeight w:val="20"/>
        </w:trPr>
        <w:tc>
          <w:tcPr>
            <w:tcW w:w="2051" w:type="pct"/>
            <w:tcBorders>
              <w:top w:val="nil"/>
              <w:left w:val="nil"/>
              <w:bottom w:val="nil"/>
              <w:right w:val="nil"/>
            </w:tcBorders>
            <w:shd w:val="clear" w:color="auto" w:fill="auto"/>
            <w:vAlign w:val="center"/>
            <w:hideMark/>
          </w:tcPr>
          <w:p w:rsidR="00796446" w:rsidRPr="00CC5E0B" w:rsidRDefault="00796446">
            <w:pPr>
              <w:jc w:val="both"/>
              <w:rPr>
                <w:rFonts w:cs="Calibri"/>
                <w:b/>
                <w:bCs/>
                <w:color w:val="000000"/>
                <w:szCs w:val="22"/>
              </w:rPr>
            </w:pPr>
            <w:r w:rsidRPr="00CC5E0B">
              <w:rPr>
                <w:rFonts w:cs="Calibri"/>
                <w:b/>
                <w:bCs/>
                <w:color w:val="000000"/>
                <w:szCs w:val="22"/>
              </w:rPr>
              <w:t xml:space="preserve">Обезценка </w:t>
            </w:r>
          </w:p>
        </w:tc>
        <w:tc>
          <w:tcPr>
            <w:tcW w:w="955" w:type="pct"/>
            <w:tcBorders>
              <w:top w:val="nil"/>
              <w:left w:val="nil"/>
              <w:bottom w:val="nil"/>
              <w:right w:val="nil"/>
            </w:tcBorders>
            <w:shd w:val="clear" w:color="auto" w:fill="auto"/>
            <w:vAlign w:val="center"/>
          </w:tcPr>
          <w:p w:rsidR="00796446" w:rsidRPr="00CC5E0B" w:rsidRDefault="00796446">
            <w:pPr>
              <w:jc w:val="right"/>
              <w:rPr>
                <w:b/>
                <w:bCs/>
                <w:szCs w:val="22"/>
              </w:rPr>
            </w:pPr>
            <w:r w:rsidRPr="00CC5E0B">
              <w:rPr>
                <w:b/>
                <w:bCs/>
                <w:szCs w:val="22"/>
                <w:lang w:val="en-US"/>
              </w:rPr>
              <w:t>(</w:t>
            </w:r>
            <w:r w:rsidR="000B2407">
              <w:rPr>
                <w:b/>
                <w:bCs/>
                <w:szCs w:val="22"/>
              </w:rPr>
              <w:t>2)</w:t>
            </w:r>
          </w:p>
        </w:tc>
        <w:tc>
          <w:tcPr>
            <w:tcW w:w="1037" w:type="pct"/>
            <w:tcBorders>
              <w:top w:val="nil"/>
              <w:left w:val="nil"/>
              <w:bottom w:val="nil"/>
              <w:right w:val="nil"/>
            </w:tcBorders>
            <w:shd w:val="clear" w:color="auto" w:fill="auto"/>
            <w:vAlign w:val="center"/>
          </w:tcPr>
          <w:p w:rsidR="00796446" w:rsidRPr="00CC5E0B" w:rsidRDefault="000B2407">
            <w:pPr>
              <w:jc w:val="right"/>
              <w:rPr>
                <w:b/>
                <w:bCs/>
                <w:szCs w:val="22"/>
              </w:rPr>
            </w:pPr>
            <w:r>
              <w:rPr>
                <w:b/>
                <w:bCs/>
                <w:szCs w:val="22"/>
              </w:rPr>
              <w:t>1</w:t>
            </w:r>
          </w:p>
        </w:tc>
        <w:tc>
          <w:tcPr>
            <w:tcW w:w="957" w:type="pct"/>
            <w:tcBorders>
              <w:top w:val="nil"/>
              <w:left w:val="nil"/>
              <w:bottom w:val="nil"/>
              <w:right w:val="nil"/>
            </w:tcBorders>
            <w:shd w:val="clear" w:color="auto" w:fill="auto"/>
            <w:vAlign w:val="center"/>
          </w:tcPr>
          <w:p w:rsidR="00796446" w:rsidRPr="00CC5E0B" w:rsidRDefault="000B2407">
            <w:pPr>
              <w:jc w:val="right"/>
              <w:rPr>
                <w:b/>
                <w:bCs/>
                <w:szCs w:val="22"/>
              </w:rPr>
            </w:pPr>
            <w:r>
              <w:rPr>
                <w:b/>
                <w:bCs/>
                <w:szCs w:val="22"/>
              </w:rPr>
              <w:t>(1)</w:t>
            </w:r>
          </w:p>
        </w:tc>
      </w:tr>
      <w:tr w:rsidR="000B2407" w:rsidRPr="00796446" w:rsidTr="00CC5E0B">
        <w:trPr>
          <w:trHeight w:val="20"/>
        </w:trPr>
        <w:tc>
          <w:tcPr>
            <w:tcW w:w="2051" w:type="pct"/>
            <w:tcBorders>
              <w:top w:val="nil"/>
              <w:left w:val="nil"/>
              <w:bottom w:val="nil"/>
              <w:right w:val="nil"/>
            </w:tcBorders>
            <w:shd w:val="clear" w:color="auto" w:fill="auto"/>
            <w:vAlign w:val="center"/>
            <w:hideMark/>
          </w:tcPr>
          <w:p w:rsidR="00796446" w:rsidRPr="00CC5E0B" w:rsidRDefault="00796446">
            <w:pPr>
              <w:jc w:val="both"/>
              <w:rPr>
                <w:rFonts w:cs="Calibri"/>
                <w:color w:val="000000"/>
                <w:szCs w:val="22"/>
              </w:rPr>
            </w:pPr>
            <w:r w:rsidRPr="00CC5E0B">
              <w:rPr>
                <w:rFonts w:cs="Calibri"/>
                <w:color w:val="000000"/>
                <w:szCs w:val="22"/>
              </w:rPr>
              <w:t xml:space="preserve">Отсрочени данъци </w:t>
            </w:r>
          </w:p>
        </w:tc>
        <w:tc>
          <w:tcPr>
            <w:tcW w:w="955" w:type="pct"/>
            <w:tcBorders>
              <w:top w:val="nil"/>
              <w:left w:val="nil"/>
              <w:bottom w:val="nil"/>
              <w:right w:val="nil"/>
            </w:tcBorders>
            <w:shd w:val="clear" w:color="auto" w:fill="auto"/>
            <w:vAlign w:val="center"/>
          </w:tcPr>
          <w:p w:rsidR="00796446" w:rsidRPr="00CC5E0B" w:rsidRDefault="000B2407">
            <w:pPr>
              <w:jc w:val="right"/>
              <w:rPr>
                <w:szCs w:val="22"/>
              </w:rPr>
            </w:pPr>
            <w:r>
              <w:rPr>
                <w:szCs w:val="22"/>
              </w:rPr>
              <w:t>-</w:t>
            </w:r>
          </w:p>
        </w:tc>
        <w:tc>
          <w:tcPr>
            <w:tcW w:w="1037" w:type="pct"/>
            <w:tcBorders>
              <w:top w:val="nil"/>
              <w:left w:val="nil"/>
              <w:bottom w:val="nil"/>
              <w:right w:val="nil"/>
            </w:tcBorders>
            <w:shd w:val="clear" w:color="auto" w:fill="auto"/>
            <w:vAlign w:val="center"/>
          </w:tcPr>
          <w:p w:rsidR="00796446" w:rsidRPr="00CC5E0B" w:rsidRDefault="000B2407">
            <w:pPr>
              <w:jc w:val="right"/>
              <w:rPr>
                <w:szCs w:val="22"/>
              </w:rPr>
            </w:pPr>
            <w:r>
              <w:rPr>
                <w:szCs w:val="22"/>
              </w:rPr>
              <w:t>-</w:t>
            </w:r>
          </w:p>
        </w:tc>
        <w:tc>
          <w:tcPr>
            <w:tcW w:w="957" w:type="pct"/>
            <w:tcBorders>
              <w:top w:val="nil"/>
              <w:left w:val="nil"/>
              <w:bottom w:val="nil"/>
              <w:right w:val="nil"/>
            </w:tcBorders>
            <w:shd w:val="clear" w:color="auto" w:fill="auto"/>
            <w:vAlign w:val="center"/>
          </w:tcPr>
          <w:p w:rsidR="00796446" w:rsidRPr="00CC5E0B" w:rsidRDefault="000B2407">
            <w:pPr>
              <w:jc w:val="right"/>
              <w:rPr>
                <w:szCs w:val="22"/>
              </w:rPr>
            </w:pPr>
            <w:r>
              <w:rPr>
                <w:szCs w:val="22"/>
              </w:rPr>
              <w:t>-</w:t>
            </w:r>
          </w:p>
        </w:tc>
      </w:tr>
      <w:tr w:rsidR="000B2407" w:rsidRPr="00796446" w:rsidTr="00CC5E0B">
        <w:trPr>
          <w:trHeight w:val="20"/>
        </w:trPr>
        <w:tc>
          <w:tcPr>
            <w:tcW w:w="2051" w:type="pct"/>
            <w:tcBorders>
              <w:top w:val="nil"/>
              <w:left w:val="nil"/>
              <w:bottom w:val="nil"/>
              <w:right w:val="nil"/>
            </w:tcBorders>
            <w:shd w:val="clear" w:color="auto" w:fill="auto"/>
            <w:vAlign w:val="center"/>
            <w:hideMark/>
          </w:tcPr>
          <w:p w:rsidR="00796446" w:rsidRPr="00CC5E0B" w:rsidRDefault="00796446">
            <w:pPr>
              <w:jc w:val="both"/>
              <w:rPr>
                <w:rFonts w:cs="Calibri"/>
                <w:b/>
                <w:bCs/>
                <w:color w:val="000000"/>
                <w:szCs w:val="22"/>
              </w:rPr>
            </w:pPr>
            <w:r w:rsidRPr="00CC5E0B">
              <w:rPr>
                <w:rFonts w:cs="Calibri"/>
                <w:b/>
                <w:bCs/>
                <w:color w:val="000000"/>
                <w:szCs w:val="22"/>
              </w:rPr>
              <w:t>Нетен ефект</w:t>
            </w:r>
          </w:p>
        </w:tc>
        <w:tc>
          <w:tcPr>
            <w:tcW w:w="955" w:type="pct"/>
            <w:tcBorders>
              <w:top w:val="single" w:sz="4" w:space="0" w:color="auto"/>
              <w:left w:val="nil"/>
              <w:bottom w:val="single" w:sz="8" w:space="0" w:color="auto"/>
              <w:right w:val="nil"/>
            </w:tcBorders>
            <w:shd w:val="clear" w:color="auto" w:fill="auto"/>
            <w:vAlign w:val="center"/>
          </w:tcPr>
          <w:p w:rsidR="00796446" w:rsidRPr="00CC5E0B" w:rsidRDefault="00796446">
            <w:pPr>
              <w:jc w:val="right"/>
              <w:rPr>
                <w:b/>
                <w:bCs/>
                <w:szCs w:val="22"/>
                <w:lang w:val="en-US"/>
              </w:rPr>
            </w:pPr>
            <w:r w:rsidRPr="00CC5E0B">
              <w:rPr>
                <w:b/>
                <w:bCs/>
                <w:szCs w:val="22"/>
                <w:lang w:val="en-US"/>
              </w:rPr>
              <w:t>(</w:t>
            </w:r>
            <w:r w:rsidR="000B2407">
              <w:rPr>
                <w:b/>
                <w:bCs/>
                <w:szCs w:val="22"/>
              </w:rPr>
              <w:t>2</w:t>
            </w:r>
            <w:r w:rsidRPr="00CC5E0B">
              <w:rPr>
                <w:b/>
                <w:bCs/>
                <w:szCs w:val="22"/>
                <w:lang w:val="en-US"/>
              </w:rPr>
              <w:t>)</w:t>
            </w:r>
          </w:p>
        </w:tc>
        <w:tc>
          <w:tcPr>
            <w:tcW w:w="1037" w:type="pct"/>
            <w:tcBorders>
              <w:top w:val="single" w:sz="4" w:space="0" w:color="auto"/>
              <w:left w:val="nil"/>
              <w:bottom w:val="single" w:sz="8" w:space="0" w:color="auto"/>
              <w:right w:val="nil"/>
            </w:tcBorders>
            <w:shd w:val="clear" w:color="auto" w:fill="auto"/>
            <w:vAlign w:val="center"/>
          </w:tcPr>
          <w:p w:rsidR="00796446" w:rsidRPr="00CC5E0B" w:rsidRDefault="000B2407">
            <w:pPr>
              <w:jc w:val="right"/>
              <w:rPr>
                <w:b/>
                <w:bCs/>
                <w:szCs w:val="22"/>
              </w:rPr>
            </w:pPr>
            <w:r>
              <w:rPr>
                <w:b/>
                <w:bCs/>
                <w:szCs w:val="22"/>
              </w:rPr>
              <w:t>1</w:t>
            </w:r>
          </w:p>
        </w:tc>
        <w:tc>
          <w:tcPr>
            <w:tcW w:w="957" w:type="pct"/>
            <w:tcBorders>
              <w:top w:val="single" w:sz="4" w:space="0" w:color="auto"/>
              <w:left w:val="nil"/>
              <w:bottom w:val="single" w:sz="8" w:space="0" w:color="auto"/>
              <w:right w:val="nil"/>
            </w:tcBorders>
            <w:shd w:val="clear" w:color="auto" w:fill="auto"/>
            <w:vAlign w:val="center"/>
          </w:tcPr>
          <w:p w:rsidR="00796446" w:rsidRPr="00CC5E0B" w:rsidRDefault="000B2407">
            <w:pPr>
              <w:jc w:val="right"/>
              <w:rPr>
                <w:b/>
                <w:bCs/>
                <w:szCs w:val="22"/>
              </w:rPr>
            </w:pPr>
            <w:r>
              <w:rPr>
                <w:b/>
                <w:bCs/>
                <w:szCs w:val="22"/>
              </w:rPr>
              <w:t>(1)</w:t>
            </w:r>
          </w:p>
        </w:tc>
      </w:tr>
    </w:tbl>
    <w:p w:rsidR="000B2407" w:rsidRDefault="000B2407" w:rsidP="00CC5E0B">
      <w:pPr>
        <w:pStyle w:val="BodyText"/>
        <w:spacing w:after="0" w:line="276" w:lineRule="auto"/>
        <w:jc w:val="both"/>
        <w:rPr>
          <w:szCs w:val="22"/>
        </w:rPr>
      </w:pPr>
      <w:bookmarkStart w:id="3" w:name="_Hlk14909261"/>
    </w:p>
    <w:p w:rsidR="00E05BBA" w:rsidRDefault="00E05BBA" w:rsidP="00CC5E0B">
      <w:pPr>
        <w:pStyle w:val="BodyText"/>
        <w:spacing w:after="0" w:line="276" w:lineRule="auto"/>
        <w:jc w:val="both"/>
        <w:rPr>
          <w:szCs w:val="22"/>
        </w:rPr>
      </w:pPr>
    </w:p>
    <w:p w:rsidR="00E05BBA" w:rsidRDefault="00E05BBA" w:rsidP="00CC5E0B">
      <w:pPr>
        <w:pStyle w:val="BodyText"/>
        <w:spacing w:after="0" w:line="276" w:lineRule="auto"/>
        <w:jc w:val="both"/>
        <w:rPr>
          <w:szCs w:val="22"/>
        </w:rPr>
      </w:pPr>
    </w:p>
    <w:p w:rsidR="00E05BBA" w:rsidRDefault="00E05BBA" w:rsidP="00CC5E0B">
      <w:pPr>
        <w:pStyle w:val="BodyText"/>
        <w:spacing w:after="0" w:line="276" w:lineRule="auto"/>
        <w:jc w:val="both"/>
        <w:rPr>
          <w:szCs w:val="22"/>
        </w:rPr>
      </w:pPr>
    </w:p>
    <w:p w:rsidR="00796446" w:rsidRPr="00796446" w:rsidRDefault="00796446" w:rsidP="00CC5E0B">
      <w:pPr>
        <w:pStyle w:val="BodyText"/>
        <w:spacing w:after="0" w:line="276" w:lineRule="auto"/>
        <w:jc w:val="both"/>
        <w:rPr>
          <w:b/>
          <w:bCs/>
          <w:szCs w:val="22"/>
        </w:rPr>
      </w:pPr>
      <w:r w:rsidRPr="00796446">
        <w:rPr>
          <w:szCs w:val="22"/>
        </w:rPr>
        <w:t>Ефектът върху финансовия резултат към 1 януари 2018 г. е представен в следващата таблица</w:t>
      </w:r>
      <w:r w:rsidRPr="00796446">
        <w:rPr>
          <w:b/>
          <w:bCs/>
          <w:szCs w:val="22"/>
        </w:rPr>
        <w:t>:</w:t>
      </w:r>
    </w:p>
    <w:tbl>
      <w:tblPr>
        <w:tblW w:w="4968" w:type="pct"/>
        <w:tblLook w:val="04A0"/>
      </w:tblPr>
      <w:tblGrid>
        <w:gridCol w:w="7443"/>
        <w:gridCol w:w="1741"/>
      </w:tblGrid>
      <w:tr w:rsidR="00796446" w:rsidRPr="00796446" w:rsidTr="00116FC2">
        <w:trPr>
          <w:trHeight w:val="20"/>
        </w:trPr>
        <w:tc>
          <w:tcPr>
            <w:tcW w:w="4052" w:type="pct"/>
            <w:tcBorders>
              <w:top w:val="nil"/>
              <w:left w:val="nil"/>
              <w:bottom w:val="nil"/>
              <w:right w:val="nil"/>
            </w:tcBorders>
            <w:shd w:val="clear" w:color="auto" w:fill="auto"/>
            <w:noWrap/>
            <w:vAlign w:val="center"/>
            <w:hideMark/>
          </w:tcPr>
          <w:bookmarkEnd w:id="3"/>
          <w:p w:rsidR="00796446" w:rsidRPr="00796446" w:rsidRDefault="00796446">
            <w:pPr>
              <w:rPr>
                <w:rFonts w:cs="Calibri"/>
                <w:b/>
                <w:bCs/>
                <w:color w:val="000000"/>
                <w:szCs w:val="22"/>
              </w:rPr>
            </w:pPr>
            <w:r w:rsidRPr="00796446">
              <w:rPr>
                <w:rFonts w:cs="Calibri"/>
                <w:b/>
                <w:bCs/>
                <w:color w:val="000000"/>
                <w:szCs w:val="22"/>
              </w:rPr>
              <w:t>Ефект върху :</w:t>
            </w:r>
          </w:p>
        </w:tc>
        <w:tc>
          <w:tcPr>
            <w:tcW w:w="948" w:type="pct"/>
            <w:tcBorders>
              <w:top w:val="nil"/>
              <w:left w:val="nil"/>
              <w:bottom w:val="single" w:sz="8" w:space="0" w:color="auto"/>
              <w:right w:val="nil"/>
            </w:tcBorders>
            <w:shd w:val="clear" w:color="auto" w:fill="auto"/>
            <w:vAlign w:val="center"/>
            <w:hideMark/>
          </w:tcPr>
          <w:p w:rsidR="00796446" w:rsidRPr="00796446" w:rsidRDefault="00796446">
            <w:pPr>
              <w:jc w:val="right"/>
              <w:rPr>
                <w:rFonts w:cs="Calibri"/>
                <w:b/>
                <w:bCs/>
                <w:color w:val="000000"/>
                <w:szCs w:val="22"/>
              </w:rPr>
            </w:pPr>
            <w:r w:rsidRPr="00796446">
              <w:rPr>
                <w:rFonts w:cs="Calibri"/>
                <w:b/>
                <w:bCs/>
                <w:color w:val="000000"/>
                <w:szCs w:val="22"/>
              </w:rPr>
              <w:t>(хил. лв.)</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b/>
                <w:bCs/>
                <w:color w:val="000000"/>
                <w:szCs w:val="22"/>
              </w:rPr>
            </w:pPr>
            <w:r w:rsidRPr="00796446">
              <w:rPr>
                <w:rFonts w:cs="Calibri"/>
                <w:b/>
                <w:bCs/>
                <w:color w:val="000000"/>
                <w:szCs w:val="22"/>
              </w:rPr>
              <w:t>Неразпределена печалба/(непокрита загуба) 31.12.2017</w:t>
            </w:r>
          </w:p>
        </w:tc>
        <w:tc>
          <w:tcPr>
            <w:tcW w:w="948" w:type="pct"/>
            <w:tcBorders>
              <w:top w:val="nil"/>
              <w:left w:val="nil"/>
              <w:bottom w:val="nil"/>
              <w:right w:val="nil"/>
            </w:tcBorders>
            <w:shd w:val="clear" w:color="auto" w:fill="auto"/>
            <w:vAlign w:val="center"/>
          </w:tcPr>
          <w:p w:rsidR="00796446" w:rsidRPr="00796446" w:rsidRDefault="00DD0141">
            <w:pPr>
              <w:jc w:val="right"/>
              <w:rPr>
                <w:rFonts w:cs="Calibri"/>
                <w:b/>
                <w:bCs/>
                <w:color w:val="000000"/>
                <w:szCs w:val="22"/>
              </w:rPr>
            </w:pPr>
            <w:r>
              <w:rPr>
                <w:rFonts w:cs="Calibri"/>
                <w:b/>
                <w:bCs/>
                <w:color w:val="000000"/>
                <w:szCs w:val="22"/>
              </w:rPr>
              <w:t>1,524</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color w:val="000000"/>
                <w:szCs w:val="22"/>
              </w:rPr>
            </w:pPr>
            <w:r w:rsidRPr="00796446">
              <w:rPr>
                <w:rFonts w:cs="Calibri"/>
                <w:color w:val="000000"/>
                <w:szCs w:val="22"/>
              </w:rPr>
              <w:t>Корекция от допълнителна обезценка за очаквани кредитни загуби</w:t>
            </w:r>
          </w:p>
        </w:tc>
        <w:tc>
          <w:tcPr>
            <w:tcW w:w="948" w:type="pct"/>
            <w:tcBorders>
              <w:top w:val="nil"/>
              <w:left w:val="nil"/>
              <w:bottom w:val="nil"/>
              <w:right w:val="nil"/>
            </w:tcBorders>
            <w:shd w:val="clear" w:color="auto" w:fill="auto"/>
            <w:vAlign w:val="center"/>
          </w:tcPr>
          <w:p w:rsidR="00796446" w:rsidRPr="00CC5E0B" w:rsidRDefault="00796446">
            <w:pPr>
              <w:jc w:val="right"/>
              <w:rPr>
                <w:szCs w:val="22"/>
              </w:rPr>
            </w:pPr>
            <w:r w:rsidRPr="00CC5E0B">
              <w:rPr>
                <w:szCs w:val="22"/>
              </w:rPr>
              <w:t>(</w:t>
            </w:r>
            <w:r w:rsidR="00DD0141">
              <w:rPr>
                <w:szCs w:val="22"/>
              </w:rPr>
              <w:t>2</w:t>
            </w:r>
            <w:r w:rsidRPr="00CC5E0B">
              <w:rPr>
                <w:szCs w:val="22"/>
              </w:rPr>
              <w:t>)</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color w:val="000000"/>
                <w:szCs w:val="22"/>
              </w:rPr>
            </w:pPr>
            <w:r w:rsidRPr="00796446">
              <w:rPr>
                <w:rFonts w:cs="Calibri"/>
                <w:color w:val="000000"/>
                <w:szCs w:val="22"/>
              </w:rPr>
              <w:t xml:space="preserve">Отсрочени данъци </w:t>
            </w:r>
          </w:p>
        </w:tc>
        <w:tc>
          <w:tcPr>
            <w:tcW w:w="948" w:type="pct"/>
            <w:tcBorders>
              <w:top w:val="nil"/>
              <w:left w:val="nil"/>
              <w:bottom w:val="nil"/>
              <w:right w:val="nil"/>
            </w:tcBorders>
            <w:shd w:val="clear" w:color="auto" w:fill="auto"/>
            <w:vAlign w:val="center"/>
          </w:tcPr>
          <w:p w:rsidR="00796446" w:rsidRPr="00CC5E0B" w:rsidRDefault="00DD0141">
            <w:pPr>
              <w:jc w:val="right"/>
              <w:rPr>
                <w:szCs w:val="22"/>
              </w:rPr>
            </w:pPr>
            <w:r>
              <w:rPr>
                <w:szCs w:val="22"/>
              </w:rPr>
              <w:t>-</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b/>
                <w:bCs/>
                <w:color w:val="000000"/>
                <w:szCs w:val="22"/>
              </w:rPr>
            </w:pPr>
            <w:r w:rsidRPr="00796446">
              <w:rPr>
                <w:rFonts w:cs="Calibri"/>
                <w:b/>
                <w:bCs/>
                <w:color w:val="000000"/>
                <w:szCs w:val="22"/>
              </w:rPr>
              <w:t>Неразпределена печалба/(непокрита загуба) 01.01.2018</w:t>
            </w:r>
          </w:p>
        </w:tc>
        <w:tc>
          <w:tcPr>
            <w:tcW w:w="948" w:type="pct"/>
            <w:tcBorders>
              <w:top w:val="single" w:sz="4" w:space="0" w:color="auto"/>
              <w:left w:val="nil"/>
              <w:bottom w:val="single" w:sz="8" w:space="0" w:color="auto"/>
              <w:right w:val="nil"/>
            </w:tcBorders>
            <w:shd w:val="clear" w:color="auto" w:fill="auto"/>
            <w:vAlign w:val="center"/>
          </w:tcPr>
          <w:p w:rsidR="00796446" w:rsidRPr="00CC5E0B" w:rsidRDefault="00DD0141">
            <w:pPr>
              <w:jc w:val="right"/>
              <w:rPr>
                <w:b/>
                <w:bCs/>
                <w:szCs w:val="22"/>
              </w:rPr>
            </w:pPr>
            <w:r>
              <w:rPr>
                <w:b/>
                <w:bCs/>
                <w:szCs w:val="22"/>
              </w:rPr>
              <w:t>1,522</w:t>
            </w:r>
          </w:p>
        </w:tc>
      </w:tr>
    </w:tbl>
    <w:p w:rsidR="00796446" w:rsidRPr="00796446" w:rsidRDefault="00796446">
      <w:pPr>
        <w:pStyle w:val="BodyText"/>
        <w:spacing w:line="276" w:lineRule="auto"/>
        <w:jc w:val="both"/>
        <w:rPr>
          <w:b/>
          <w:bCs/>
          <w:szCs w:val="22"/>
        </w:rPr>
      </w:pPr>
      <w:r w:rsidRPr="00796446">
        <w:rPr>
          <w:szCs w:val="22"/>
        </w:rPr>
        <w:t>Ефектът върху финансовия резултат към 30 юни 2018 г. е представен в следващата таблица</w:t>
      </w:r>
      <w:r w:rsidRPr="00796446">
        <w:rPr>
          <w:b/>
          <w:bCs/>
          <w:szCs w:val="22"/>
        </w:rPr>
        <w:t>:</w:t>
      </w:r>
    </w:p>
    <w:tbl>
      <w:tblPr>
        <w:tblW w:w="4968" w:type="pct"/>
        <w:tblLook w:val="04A0"/>
      </w:tblPr>
      <w:tblGrid>
        <w:gridCol w:w="7443"/>
        <w:gridCol w:w="1741"/>
      </w:tblGrid>
      <w:tr w:rsidR="00796446" w:rsidRPr="00796446" w:rsidTr="00116FC2">
        <w:trPr>
          <w:trHeight w:val="20"/>
        </w:trPr>
        <w:tc>
          <w:tcPr>
            <w:tcW w:w="4052" w:type="pct"/>
            <w:tcBorders>
              <w:top w:val="nil"/>
              <w:left w:val="nil"/>
              <w:bottom w:val="nil"/>
              <w:right w:val="nil"/>
            </w:tcBorders>
            <w:shd w:val="clear" w:color="auto" w:fill="auto"/>
            <w:noWrap/>
            <w:vAlign w:val="center"/>
            <w:hideMark/>
          </w:tcPr>
          <w:p w:rsidR="00796446" w:rsidRPr="00796446" w:rsidRDefault="00796446">
            <w:pPr>
              <w:rPr>
                <w:rFonts w:cs="Calibri"/>
                <w:b/>
                <w:bCs/>
                <w:color w:val="000000"/>
                <w:szCs w:val="22"/>
              </w:rPr>
            </w:pPr>
            <w:r w:rsidRPr="00796446">
              <w:rPr>
                <w:rFonts w:cs="Calibri"/>
                <w:b/>
                <w:bCs/>
                <w:color w:val="000000"/>
                <w:szCs w:val="22"/>
              </w:rPr>
              <w:t>Ефект върху :</w:t>
            </w:r>
          </w:p>
        </w:tc>
        <w:tc>
          <w:tcPr>
            <w:tcW w:w="948" w:type="pct"/>
            <w:tcBorders>
              <w:top w:val="nil"/>
              <w:left w:val="nil"/>
              <w:bottom w:val="single" w:sz="8" w:space="0" w:color="auto"/>
              <w:right w:val="nil"/>
            </w:tcBorders>
            <w:shd w:val="clear" w:color="auto" w:fill="auto"/>
            <w:vAlign w:val="center"/>
            <w:hideMark/>
          </w:tcPr>
          <w:p w:rsidR="00796446" w:rsidRPr="00796446" w:rsidRDefault="00796446">
            <w:pPr>
              <w:jc w:val="right"/>
              <w:rPr>
                <w:rFonts w:cs="Calibri"/>
                <w:b/>
                <w:bCs/>
                <w:color w:val="000000"/>
                <w:szCs w:val="22"/>
              </w:rPr>
            </w:pPr>
            <w:r w:rsidRPr="00796446">
              <w:rPr>
                <w:rFonts w:cs="Calibri"/>
                <w:b/>
                <w:bCs/>
                <w:color w:val="000000"/>
                <w:szCs w:val="22"/>
              </w:rPr>
              <w:t>(хил. лв.)</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b/>
                <w:bCs/>
                <w:color w:val="000000"/>
                <w:szCs w:val="22"/>
              </w:rPr>
            </w:pPr>
            <w:r w:rsidRPr="00796446">
              <w:rPr>
                <w:rFonts w:cs="Calibri"/>
                <w:b/>
                <w:bCs/>
                <w:color w:val="000000"/>
                <w:szCs w:val="22"/>
              </w:rPr>
              <w:t>Неразпределена печалба/(непокрита загуба) 30.06.2018 г.</w:t>
            </w:r>
          </w:p>
        </w:tc>
        <w:tc>
          <w:tcPr>
            <w:tcW w:w="948" w:type="pct"/>
            <w:tcBorders>
              <w:top w:val="nil"/>
              <w:left w:val="nil"/>
              <w:bottom w:val="nil"/>
              <w:right w:val="nil"/>
            </w:tcBorders>
            <w:shd w:val="clear" w:color="auto" w:fill="auto"/>
            <w:vAlign w:val="center"/>
          </w:tcPr>
          <w:p w:rsidR="00796446" w:rsidRPr="00CC5E0B" w:rsidRDefault="008F40F6">
            <w:pPr>
              <w:jc w:val="right"/>
              <w:rPr>
                <w:rFonts w:cs="Calibri"/>
                <w:b/>
                <w:bCs/>
                <w:color w:val="000000"/>
                <w:szCs w:val="22"/>
              </w:rPr>
            </w:pPr>
            <w:r>
              <w:rPr>
                <w:rFonts w:cs="Calibri"/>
                <w:b/>
                <w:bCs/>
                <w:color w:val="000000"/>
                <w:szCs w:val="22"/>
              </w:rPr>
              <w:t>329</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color w:val="000000"/>
                <w:szCs w:val="22"/>
              </w:rPr>
            </w:pPr>
            <w:r w:rsidRPr="00796446">
              <w:rPr>
                <w:rFonts w:cs="Calibri"/>
                <w:color w:val="000000"/>
                <w:szCs w:val="22"/>
              </w:rPr>
              <w:t>Корекция от допълнителна обезценка за очаквани кредитни загуби при първоначално прилагане на МСФО 9</w:t>
            </w:r>
          </w:p>
        </w:tc>
        <w:tc>
          <w:tcPr>
            <w:tcW w:w="948" w:type="pct"/>
            <w:tcBorders>
              <w:top w:val="nil"/>
              <w:left w:val="nil"/>
              <w:bottom w:val="nil"/>
              <w:right w:val="nil"/>
            </w:tcBorders>
            <w:shd w:val="clear" w:color="auto" w:fill="auto"/>
            <w:vAlign w:val="center"/>
          </w:tcPr>
          <w:p w:rsidR="00796446" w:rsidRPr="00CC5E0B" w:rsidRDefault="008F40F6">
            <w:pPr>
              <w:jc w:val="right"/>
              <w:rPr>
                <w:szCs w:val="22"/>
              </w:rPr>
            </w:pPr>
            <w:r>
              <w:rPr>
                <w:szCs w:val="22"/>
              </w:rPr>
              <w:t>1</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color w:val="000000"/>
                <w:szCs w:val="22"/>
              </w:rPr>
            </w:pPr>
            <w:r w:rsidRPr="00796446">
              <w:rPr>
                <w:rFonts w:cs="Calibri"/>
                <w:color w:val="000000"/>
                <w:szCs w:val="22"/>
              </w:rPr>
              <w:t xml:space="preserve">Отсрочени данъци </w:t>
            </w:r>
          </w:p>
        </w:tc>
        <w:tc>
          <w:tcPr>
            <w:tcW w:w="948" w:type="pct"/>
            <w:tcBorders>
              <w:top w:val="nil"/>
              <w:left w:val="nil"/>
              <w:bottom w:val="nil"/>
              <w:right w:val="nil"/>
            </w:tcBorders>
            <w:shd w:val="clear" w:color="auto" w:fill="auto"/>
            <w:vAlign w:val="center"/>
          </w:tcPr>
          <w:p w:rsidR="00796446" w:rsidRPr="00CC5E0B" w:rsidRDefault="008F40F6">
            <w:pPr>
              <w:jc w:val="right"/>
              <w:rPr>
                <w:color w:val="000000"/>
                <w:szCs w:val="22"/>
              </w:rPr>
            </w:pPr>
            <w:r>
              <w:rPr>
                <w:color w:val="000000"/>
                <w:szCs w:val="22"/>
              </w:rPr>
              <w:t>-</w:t>
            </w:r>
          </w:p>
        </w:tc>
      </w:tr>
      <w:tr w:rsidR="00796446" w:rsidRPr="00796446" w:rsidTr="00116FC2">
        <w:trPr>
          <w:trHeight w:val="20"/>
        </w:trPr>
        <w:tc>
          <w:tcPr>
            <w:tcW w:w="4052" w:type="pct"/>
            <w:tcBorders>
              <w:top w:val="nil"/>
              <w:left w:val="nil"/>
              <w:bottom w:val="nil"/>
              <w:right w:val="nil"/>
            </w:tcBorders>
            <w:shd w:val="clear" w:color="auto" w:fill="auto"/>
            <w:vAlign w:val="center"/>
            <w:hideMark/>
          </w:tcPr>
          <w:p w:rsidR="00796446" w:rsidRPr="00796446" w:rsidRDefault="00796446">
            <w:pPr>
              <w:jc w:val="both"/>
              <w:rPr>
                <w:rFonts w:cs="Calibri"/>
                <w:b/>
                <w:bCs/>
                <w:color w:val="000000"/>
                <w:szCs w:val="22"/>
              </w:rPr>
            </w:pPr>
            <w:r w:rsidRPr="00796446">
              <w:rPr>
                <w:rFonts w:cs="Calibri"/>
                <w:b/>
                <w:bCs/>
                <w:color w:val="000000"/>
                <w:szCs w:val="22"/>
              </w:rPr>
              <w:t>Неразпределена печалба/(непокрита загуба) преизчислена към 30.06.2018 г.</w:t>
            </w:r>
          </w:p>
        </w:tc>
        <w:tc>
          <w:tcPr>
            <w:tcW w:w="948" w:type="pct"/>
            <w:tcBorders>
              <w:top w:val="single" w:sz="8" w:space="0" w:color="auto"/>
              <w:left w:val="nil"/>
              <w:bottom w:val="single" w:sz="8" w:space="0" w:color="auto"/>
              <w:right w:val="nil"/>
            </w:tcBorders>
            <w:shd w:val="clear" w:color="auto" w:fill="auto"/>
            <w:vAlign w:val="center"/>
          </w:tcPr>
          <w:p w:rsidR="00796446" w:rsidRPr="00CC5E0B" w:rsidRDefault="008F40F6">
            <w:pPr>
              <w:jc w:val="right"/>
              <w:rPr>
                <w:b/>
                <w:bCs/>
                <w:color w:val="000000"/>
                <w:szCs w:val="22"/>
              </w:rPr>
            </w:pPr>
            <w:r>
              <w:rPr>
                <w:b/>
                <w:bCs/>
                <w:color w:val="000000"/>
                <w:szCs w:val="22"/>
              </w:rPr>
              <w:t>330</w:t>
            </w:r>
          </w:p>
        </w:tc>
      </w:tr>
      <w:bookmarkEnd w:id="2"/>
    </w:tbl>
    <w:p w:rsidR="00796446" w:rsidRDefault="00796446" w:rsidP="0042574A">
      <w:pPr>
        <w:jc w:val="both"/>
        <w:rPr>
          <w:szCs w:val="22"/>
          <w:lang w:eastAsia="ar-SA"/>
        </w:rPr>
      </w:pPr>
    </w:p>
    <w:p w:rsidR="0042574A" w:rsidRPr="00CC5E0B" w:rsidRDefault="0042574A" w:rsidP="00CC5E0B">
      <w:pPr>
        <w:jc w:val="both"/>
        <w:rPr>
          <w:szCs w:val="22"/>
          <w:lang w:eastAsia="ar-SA"/>
        </w:rPr>
      </w:pPr>
    </w:p>
    <w:p w:rsidR="0042574A" w:rsidRDefault="00BD24EC" w:rsidP="0042574A">
      <w:pPr>
        <w:pStyle w:val="ListParagraph"/>
        <w:numPr>
          <w:ilvl w:val="1"/>
          <w:numId w:val="26"/>
        </w:numPr>
        <w:rPr>
          <w:rFonts w:cs="Times New Roman"/>
          <w:b/>
          <w:kern w:val="32"/>
          <w:szCs w:val="22"/>
        </w:rPr>
      </w:pPr>
      <w:bookmarkStart w:id="4" w:name="_Hlk9514065"/>
      <w:r w:rsidRPr="00CC5E0B">
        <w:rPr>
          <w:rFonts w:cs="Times New Roman"/>
          <w:b/>
          <w:kern w:val="32"/>
          <w:szCs w:val="22"/>
        </w:rPr>
        <w:t>С</w:t>
      </w:r>
      <w:r w:rsidR="00E67104" w:rsidRPr="00CC5E0B">
        <w:rPr>
          <w:rFonts w:cs="Times New Roman"/>
          <w:b/>
          <w:kern w:val="32"/>
          <w:szCs w:val="22"/>
        </w:rPr>
        <w:t xml:space="preserve">тандарти </w:t>
      </w:r>
      <w:r w:rsidR="0042574A" w:rsidRPr="0042574A">
        <w:rPr>
          <w:rFonts w:cs="Times New Roman"/>
          <w:b/>
          <w:kern w:val="32"/>
          <w:szCs w:val="22"/>
        </w:rPr>
        <w:t>Нови стандарти, изменения и разяснения, които са влезли в сила за финансовата година, започваща на 1 януари 2019 г.</w:t>
      </w:r>
    </w:p>
    <w:p w:rsidR="0042574A" w:rsidRPr="001E2C38" w:rsidRDefault="0042574A" w:rsidP="00E05BBA">
      <w:pPr>
        <w:spacing w:before="120" w:after="120"/>
        <w:jc w:val="both"/>
        <w:rPr>
          <w:szCs w:val="22"/>
          <w:lang w:val="ru-RU"/>
        </w:rPr>
      </w:pPr>
      <w:bookmarkStart w:id="5" w:name="_Ref357794056"/>
      <w:r w:rsidRPr="001E2C38">
        <w:rPr>
          <w:szCs w:val="22"/>
          <w:lang w:val="ru-RU"/>
        </w:rPr>
        <w:t>Към датата на одобрение за издаване на настоящия междинен съкратен финансов отчет са направени изменения и подобрения в действащи стандарти</w:t>
      </w:r>
      <w:r w:rsidRPr="001E2C38">
        <w:rPr>
          <w:kern w:val="32"/>
          <w:szCs w:val="22"/>
          <w:lang w:val="ru-RU"/>
        </w:rPr>
        <w:t xml:space="preserve">, издадени от СМСС и приети от ЕС, </w:t>
      </w:r>
      <w:r w:rsidRPr="001E2C38">
        <w:rPr>
          <w:szCs w:val="22"/>
          <w:lang w:val="ru-RU"/>
        </w:rPr>
        <w:t>които са задължителни за прилагане за първи път от 1 януари 201</w:t>
      </w:r>
      <w:r>
        <w:rPr>
          <w:szCs w:val="22"/>
        </w:rPr>
        <w:t>9</w:t>
      </w:r>
      <w:r w:rsidRPr="001E2C38">
        <w:rPr>
          <w:szCs w:val="22"/>
          <w:lang w:val="ru-RU"/>
        </w:rPr>
        <w:t xml:space="preserve"> г., както следва:</w:t>
      </w:r>
    </w:p>
    <w:p w:rsidR="0042574A" w:rsidRPr="001E2C38" w:rsidRDefault="0042574A" w:rsidP="009C5687">
      <w:pPr>
        <w:spacing w:after="120"/>
        <w:jc w:val="both"/>
        <w:rPr>
          <w:szCs w:val="22"/>
          <w:lang w:val="ru-RU"/>
        </w:rPr>
      </w:pPr>
      <w:r w:rsidRPr="001E2C38">
        <w:rPr>
          <w:b/>
          <w:szCs w:val="22"/>
          <w:lang w:val="ru-RU"/>
        </w:rPr>
        <w:t>МСФО 16 „Лизинг”</w:t>
      </w:r>
      <w:r w:rsidRPr="001E2C38">
        <w:rPr>
          <w:szCs w:val="22"/>
          <w:lang w:val="ru-RU"/>
        </w:rPr>
        <w:t xml:space="preserve"> – приет от ЕС на 31 октомври 2017 г. (в сила за годишни периоди, започващи на или след 1 януари 2019 г.); </w:t>
      </w:r>
    </w:p>
    <w:p w:rsidR="0042574A" w:rsidRDefault="0042574A" w:rsidP="009C5687">
      <w:pPr>
        <w:spacing w:after="120"/>
        <w:jc w:val="both"/>
        <w:rPr>
          <w:szCs w:val="22"/>
          <w:lang w:val="ru-RU"/>
        </w:rPr>
      </w:pPr>
      <w:r w:rsidRPr="001E2C38">
        <w:rPr>
          <w:szCs w:val="22"/>
          <w:lang w:val="ru-RU"/>
        </w:rPr>
        <w:t xml:space="preserve">Този стандарт е с изцяло променена концепция и въвежда значителни промени в отчитането на лизинги особено от страна на лизингополучателите. Въвежда нови принципи за признаване, измерване и представяне на лизинги с цел по-достоверно представяне на тези сделки. Стандартът ще замени действащия до този момент стандарт МСС 17 </w:t>
      </w:r>
      <w:r w:rsidRPr="001E2C38">
        <w:rPr>
          <w:i/>
          <w:szCs w:val="22"/>
          <w:lang w:val="ru-RU"/>
        </w:rPr>
        <w:t>Лизинг</w:t>
      </w:r>
      <w:r w:rsidRPr="001E2C38">
        <w:rPr>
          <w:szCs w:val="22"/>
          <w:lang w:val="ru-RU"/>
        </w:rPr>
        <w:t xml:space="preserve">, КРМСФО 4 </w:t>
      </w:r>
      <w:r w:rsidRPr="001E2C38">
        <w:rPr>
          <w:i/>
          <w:szCs w:val="22"/>
          <w:lang w:val="ru-RU"/>
        </w:rPr>
        <w:t>Определяне дали дадено споразумение съдържа лизинг</w:t>
      </w:r>
      <w:r w:rsidRPr="001E2C38">
        <w:rPr>
          <w:szCs w:val="22"/>
          <w:lang w:val="ru-RU"/>
        </w:rPr>
        <w:t xml:space="preserve">, ПКР-15 </w:t>
      </w:r>
      <w:r w:rsidRPr="001E2C38">
        <w:rPr>
          <w:i/>
          <w:szCs w:val="22"/>
          <w:lang w:val="ru-RU"/>
        </w:rPr>
        <w:t>Оперативен лизинг – стимули</w:t>
      </w:r>
      <w:r w:rsidRPr="001E2C38">
        <w:rPr>
          <w:szCs w:val="22"/>
          <w:lang w:val="ru-RU"/>
        </w:rPr>
        <w:t xml:space="preserve"> и ПКР-27 </w:t>
      </w:r>
      <w:r w:rsidRPr="001E2C38">
        <w:rPr>
          <w:i/>
          <w:szCs w:val="22"/>
          <w:lang w:val="ru-RU"/>
        </w:rPr>
        <w:t>Оценяване на съдържанието на операции, включващи правната форма на лизинг</w:t>
      </w:r>
      <w:r w:rsidRPr="001E2C38">
        <w:rPr>
          <w:szCs w:val="22"/>
          <w:lang w:val="ru-RU"/>
        </w:rPr>
        <w:t>. Водещият принцип на новия стандарт е въвеждането на еднотипен модел на счетоводно третиране на лизингите при лизингополучателите за всички лизингови договори с продължителност от повече от 12 месеца, като ще се признава актив „право на ползване”, който ще се амортизира за периода на договора, и респективно, ще се отчита задължението по тези договори. Съгласно МСФО 16 за договор, който е или съдържа лизинг, се счита договор, който предоставя правото за контрол върху ползването на актива за определен период от време срещу възнаграждение. СМСС е включил право на избор за някои краткосрочни лизинги и лизинги на малоценни активи, като това изключение може да бъде приложено само от лизингополучателите.</w:t>
      </w:r>
    </w:p>
    <w:p w:rsidR="0042574A" w:rsidRPr="001E2C38" w:rsidRDefault="0042574A" w:rsidP="009C5687">
      <w:pPr>
        <w:spacing w:after="120"/>
        <w:jc w:val="both"/>
        <w:rPr>
          <w:szCs w:val="22"/>
        </w:rPr>
      </w:pPr>
      <w:r w:rsidRPr="00527EBA">
        <w:rPr>
          <w:szCs w:val="22"/>
          <w:lang w:val="ru-RU"/>
        </w:rPr>
        <w:t>Дружеството е прегледало всички споразумения, в светлината на новия МСФО 16. Стандартът засяга основно оперативните лизинги на дружеството в качеството му на лизингополучател. Към датата на междинния съкратен финансов отчет неотменими ангажименти по договори за оперативен лизинг са с несъществена стойност. Прегледът показа, че основната част от договорите, попадащи в обхвата на МСФО 16 са с кратък срок и договори на ниска стойност, които продължават да се признават по линеен метод като текущ разход в печалбата или загубата.</w:t>
      </w:r>
    </w:p>
    <w:p w:rsidR="0042574A" w:rsidRPr="001E2C38" w:rsidRDefault="0042574A" w:rsidP="009C5687">
      <w:pPr>
        <w:spacing w:after="120"/>
        <w:jc w:val="both"/>
        <w:rPr>
          <w:szCs w:val="22"/>
          <w:lang w:val="ru-RU"/>
        </w:rPr>
      </w:pPr>
      <w:r w:rsidRPr="001E2C38">
        <w:rPr>
          <w:b/>
          <w:szCs w:val="22"/>
          <w:lang w:val="ru-RU"/>
        </w:rPr>
        <w:t>Изменение в МСФО 9 „Финансови инструменти”</w:t>
      </w:r>
      <w:r w:rsidRPr="001E2C38">
        <w:rPr>
          <w:szCs w:val="22"/>
          <w:lang w:val="ru-RU"/>
        </w:rPr>
        <w:t xml:space="preserve"> - Предплащания с негативна компенсация - приет от ЕС на 22 март 2018 г. - (в сила за годишни периоди от 1 януари 2019 г.);</w:t>
      </w:r>
    </w:p>
    <w:p w:rsidR="0042574A" w:rsidRPr="001E2C38" w:rsidRDefault="0042574A" w:rsidP="009C5687">
      <w:pPr>
        <w:spacing w:after="120"/>
        <w:jc w:val="both"/>
        <w:rPr>
          <w:szCs w:val="22"/>
          <w:lang w:val="ru-RU"/>
        </w:rPr>
      </w:pPr>
      <w:r w:rsidRPr="001E2C38">
        <w:rPr>
          <w:szCs w:val="22"/>
          <w:lang w:val="ru-RU"/>
        </w:rPr>
        <w:t>Променят се съществуващите изисквания на МСФО 9 по отношение на права за прекратяване, за да се позволи оценяване по амортизирана стойност (или, в зависимост от бизнес модела, по справедлива стойност в ДВД), дори в случай на плащане на негативна компенсация.</w:t>
      </w:r>
    </w:p>
    <w:p w:rsidR="0042574A" w:rsidRPr="001E2C38" w:rsidRDefault="0042574A" w:rsidP="009C5687">
      <w:pPr>
        <w:spacing w:after="120"/>
        <w:jc w:val="both"/>
        <w:rPr>
          <w:szCs w:val="22"/>
          <w:lang w:val="ru-RU"/>
        </w:rPr>
      </w:pPr>
      <w:r w:rsidRPr="001E2C38">
        <w:rPr>
          <w:b/>
          <w:szCs w:val="22"/>
          <w:lang w:val="ru-RU"/>
        </w:rPr>
        <w:lastRenderedPageBreak/>
        <w:t xml:space="preserve">КРМСФО 23 „Несигурност, свързана с данъчни третирания на данъци върху дохода” </w:t>
      </w:r>
      <w:r w:rsidRPr="001E2C38">
        <w:rPr>
          <w:szCs w:val="22"/>
          <w:lang w:val="ru-RU"/>
        </w:rPr>
        <w:t xml:space="preserve">- (в сила за годишни периоди от 1 януари 2019 г.); </w:t>
      </w:r>
    </w:p>
    <w:p w:rsidR="0042574A" w:rsidRPr="001E2C38" w:rsidRDefault="0042574A" w:rsidP="009C5687">
      <w:pPr>
        <w:spacing w:after="120"/>
        <w:contextualSpacing/>
        <w:jc w:val="both"/>
        <w:rPr>
          <w:szCs w:val="22"/>
          <w:lang w:val="ru-RU"/>
        </w:rPr>
      </w:pPr>
      <w:r w:rsidRPr="001E2C38">
        <w:rPr>
          <w:szCs w:val="22"/>
          <w:lang w:val="ru-RU"/>
        </w:rPr>
        <w:t>Дават се насоки за прилагане на изискванията за признаване и оценяване на МСС 12 Данъци върху дохода, когато съществува несигурност, свързана с данъчни третирания на данъци върху дохода (т.е. несигурност дали избраното от предприятието данъчно третиране ще бъде прието от данъчните власти съгласно данъчното законодателство).</w:t>
      </w:r>
    </w:p>
    <w:p w:rsidR="0042574A" w:rsidRPr="001E2C38" w:rsidRDefault="0042574A" w:rsidP="009C5687">
      <w:pPr>
        <w:spacing w:after="120"/>
        <w:contextualSpacing/>
        <w:jc w:val="both"/>
        <w:rPr>
          <w:szCs w:val="22"/>
          <w:lang w:val="ru-RU"/>
        </w:rPr>
      </w:pPr>
      <w:r w:rsidRPr="001E2C38">
        <w:rPr>
          <w:b/>
          <w:szCs w:val="22"/>
          <w:lang w:val="ru-RU"/>
        </w:rPr>
        <w:t>Изменение в МСС 28 „Инвестиции в асоциирани предприятия и в съвместно контролирани предприятия”</w:t>
      </w:r>
      <w:r w:rsidRPr="001E2C38">
        <w:rPr>
          <w:szCs w:val="22"/>
          <w:lang w:val="ru-RU"/>
        </w:rPr>
        <w:t xml:space="preserve"> - Дългосрочни инвестиции в асоциирани предприятия или в съвместно контролирани предприятия. Одобрени от ЕС на 8 март 2019г., публикувани в Официален вестник на 11 март 2019 г.- (в сила за годишни периоди от 1 януари 2019 г.);</w:t>
      </w:r>
    </w:p>
    <w:p w:rsidR="0042574A" w:rsidRPr="001E2C38" w:rsidRDefault="0042574A" w:rsidP="009C5687">
      <w:pPr>
        <w:spacing w:after="120"/>
        <w:contextualSpacing/>
        <w:jc w:val="both"/>
        <w:rPr>
          <w:i/>
          <w:szCs w:val="22"/>
          <w:lang w:val="ru-RU"/>
        </w:rPr>
      </w:pPr>
      <w:r w:rsidRPr="001E2C38">
        <w:rPr>
          <w:szCs w:val="22"/>
          <w:lang w:val="ru-RU"/>
        </w:rPr>
        <w:t>Уточнява се, че предприятие прилага МСФО 9 при отчитане на дългосрочна инвестиция в асоциирано или в съвместно контролирано предприятие, която е част от нетната инвестиция в това асоциирано или съвместно контролирано предприятие и към която, обаче, не се прилага метода на собствения капитал.</w:t>
      </w:r>
    </w:p>
    <w:p w:rsidR="0042574A" w:rsidRPr="007733EC" w:rsidRDefault="0042574A" w:rsidP="009C5687">
      <w:pPr>
        <w:spacing w:after="120"/>
        <w:contextualSpacing/>
        <w:jc w:val="both"/>
        <w:rPr>
          <w:szCs w:val="22"/>
          <w:lang w:val="ru-RU"/>
        </w:rPr>
      </w:pPr>
      <w:r w:rsidRPr="001E2C38">
        <w:rPr>
          <w:b/>
          <w:szCs w:val="22"/>
          <w:lang w:val="ru-RU"/>
        </w:rPr>
        <w:t xml:space="preserve">Изменения на различни стандарти „Подобрения в МСФО (цикъл 2015-2017)” </w:t>
      </w:r>
      <w:r w:rsidRPr="001E2C38">
        <w:rPr>
          <w:bCs/>
          <w:szCs w:val="22"/>
          <w:lang w:val="ru-RU"/>
        </w:rPr>
        <w:t xml:space="preserve">- </w:t>
      </w:r>
      <w:r w:rsidRPr="001E2C38">
        <w:rPr>
          <w:szCs w:val="22"/>
          <w:lang w:val="ru-RU"/>
        </w:rPr>
        <w:t xml:space="preserve">(в сила за </w:t>
      </w:r>
      <w:r w:rsidRPr="004C3FD9">
        <w:rPr>
          <w:szCs w:val="22"/>
          <w:lang w:val="ru-RU"/>
        </w:rPr>
        <w:t xml:space="preserve">годишни периоди от 1 януари 2019 г.), </w:t>
      </w:r>
    </w:p>
    <w:p w:rsidR="00E67104" w:rsidRPr="00CC5E0B" w:rsidRDefault="0042574A" w:rsidP="009C5687">
      <w:pPr>
        <w:spacing w:after="120"/>
        <w:contextualSpacing/>
        <w:jc w:val="both"/>
        <w:rPr>
          <w:szCs w:val="22"/>
          <w:lang w:val="ru-RU"/>
        </w:rPr>
      </w:pPr>
      <w:r w:rsidRPr="00A64790">
        <w:rPr>
          <w:b/>
          <w:szCs w:val="22"/>
          <w:lang w:val="ru-RU"/>
        </w:rPr>
        <w:t xml:space="preserve">Изменения в МСС 19 „Доходи на наети лица” – Изменение, съкращаване или уреждане на </w:t>
      </w:r>
      <w:r w:rsidRPr="006A68DD">
        <w:rPr>
          <w:b/>
          <w:szCs w:val="22"/>
          <w:lang w:val="ru-RU"/>
        </w:rPr>
        <w:t>плана</w:t>
      </w:r>
      <w:r w:rsidRPr="006A68DD">
        <w:rPr>
          <w:szCs w:val="22"/>
          <w:lang w:val="ru-RU"/>
        </w:rPr>
        <w:t xml:space="preserve"> – (в сила за годишни периоди от 1 януари 2</w:t>
      </w:r>
      <w:r w:rsidRPr="00575AB5">
        <w:rPr>
          <w:szCs w:val="22"/>
          <w:lang w:val="ru-RU"/>
        </w:rPr>
        <w:t xml:space="preserve">019 г.), одобрени от ЕС на 13 март 2019г. , публикувани в Официален </w:t>
      </w:r>
      <w:r w:rsidRPr="000D53A7">
        <w:rPr>
          <w:szCs w:val="22"/>
          <w:lang w:val="ru-RU"/>
        </w:rPr>
        <w:t>вестник на 15 март 2019г.</w:t>
      </w:r>
      <w:bookmarkEnd w:id="5"/>
    </w:p>
    <w:bookmarkEnd w:id="4"/>
    <w:p w:rsidR="0042574A" w:rsidRPr="00CC5E0B" w:rsidRDefault="0042574A" w:rsidP="009C5687">
      <w:pPr>
        <w:pStyle w:val="ListParagraph"/>
        <w:numPr>
          <w:ilvl w:val="1"/>
          <w:numId w:val="26"/>
        </w:numPr>
        <w:spacing w:after="120"/>
        <w:ind w:left="0" w:firstLine="0"/>
        <w:jc w:val="both"/>
        <w:rPr>
          <w:b/>
          <w:bCs/>
          <w:lang w:val="en-US"/>
        </w:rPr>
      </w:pPr>
      <w:r w:rsidRPr="00CC5E0B">
        <w:rPr>
          <w:b/>
          <w:bCs/>
          <w:lang/>
        </w:rPr>
        <w:t>Стандарти и разяснения, издадени от СМСС, които все още не са влезли в сила и не се прилагат от по-ранна дата от Дружеството</w:t>
      </w:r>
    </w:p>
    <w:p w:rsidR="0042574A" w:rsidRDefault="0042574A" w:rsidP="00E05BBA">
      <w:pPr>
        <w:spacing w:before="120" w:after="120"/>
        <w:jc w:val="both"/>
        <w:rPr>
          <w:szCs w:val="22"/>
          <w:lang w:val="ru-RU"/>
        </w:rPr>
      </w:pPr>
      <w:r w:rsidRPr="004C3FD9">
        <w:rPr>
          <w:szCs w:val="22"/>
          <w:lang w:val="ru-RU"/>
        </w:rPr>
        <w:t>Към датата на одобряване за издаване на този междинен съкратен финансов отчет са издадени, но не са все още в сила (и/или не са приети от ЕК) за годишни периоди,</w:t>
      </w:r>
      <w:r w:rsidRPr="007733EC">
        <w:rPr>
          <w:szCs w:val="22"/>
          <w:lang w:val="ru-RU"/>
        </w:rPr>
        <w:t xml:space="preserve"> започващи на 1 януари 201</w:t>
      </w:r>
      <w:r w:rsidRPr="00A64790">
        <w:rPr>
          <w:szCs w:val="22"/>
        </w:rPr>
        <w:t>9</w:t>
      </w:r>
      <w:r w:rsidRPr="00A64790">
        <w:rPr>
          <w:szCs w:val="22"/>
          <w:lang w:val="ru-RU"/>
        </w:rPr>
        <w:t xml:space="preserve"> г. нови стандарти, променен</w:t>
      </w:r>
      <w:r w:rsidRPr="006A68DD">
        <w:rPr>
          <w:szCs w:val="22"/>
          <w:lang w:val="ru-RU"/>
        </w:rPr>
        <w:t>и стандарти и разяснения</w:t>
      </w:r>
      <w:r w:rsidRPr="007232C9">
        <w:rPr>
          <w:szCs w:val="22"/>
          <w:lang w:val="ru-RU"/>
        </w:rPr>
        <w:t>, които не са били приети за по-ранно приложение от дружеството. От тях ръководството на Дружеството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за следващи периоди, като по- долу е оповестено как може да се очаква да бъдат повлияни оповестяванията, финансовото състояние и резултатите от дейността, когато Дружеството приеме тези стандарти за първи път</w:t>
      </w:r>
    </w:p>
    <w:p w:rsidR="0042574A" w:rsidRPr="001E2C38" w:rsidRDefault="0042574A" w:rsidP="0042574A">
      <w:pPr>
        <w:spacing w:after="120"/>
        <w:jc w:val="both"/>
        <w:rPr>
          <w:szCs w:val="22"/>
          <w:lang w:val="ru-RU"/>
        </w:rPr>
      </w:pPr>
      <w:r w:rsidRPr="001E2C38">
        <w:rPr>
          <w:b/>
          <w:bCs/>
          <w:szCs w:val="22"/>
          <w:lang w:val="ru-RU"/>
        </w:rPr>
        <w:t xml:space="preserve">Промени в Концептуалната рамка за финансово отчитане  </w:t>
      </w:r>
      <w:r w:rsidRPr="001E2C38">
        <w:rPr>
          <w:szCs w:val="22"/>
          <w:lang w:val="ru-RU"/>
        </w:rPr>
        <w:t>–   (в сила за годишни периоди от 1 януари 2020 г.);</w:t>
      </w:r>
    </w:p>
    <w:p w:rsidR="0042574A" w:rsidRPr="001E2C38" w:rsidRDefault="0042574A" w:rsidP="0042574A">
      <w:pPr>
        <w:spacing w:after="120"/>
        <w:jc w:val="both"/>
        <w:rPr>
          <w:szCs w:val="22"/>
          <w:lang w:val="ru-RU"/>
        </w:rPr>
      </w:pPr>
      <w:r w:rsidRPr="001E2C38">
        <w:rPr>
          <w:b/>
          <w:bCs/>
          <w:szCs w:val="22"/>
          <w:lang w:val="ru-RU"/>
        </w:rPr>
        <w:t>МСФО 17 „Застрахователни договори”</w:t>
      </w:r>
      <w:r w:rsidRPr="001E2C38">
        <w:rPr>
          <w:szCs w:val="22"/>
          <w:lang w:val="ru-RU"/>
        </w:rPr>
        <w:t xml:space="preserve">   –  (в сила за годишни периоди, започващи на или след 1 януари 2021 г. не е приет от ЕК). През май 2017 г. СМСС публикува МСФО 17 Застрахователни договори (МСФО 17), изчерпателен нов счетоводен стандарт за застрахователни договори, обхващащ признаването и оценяването, представянето и оповестяването. След влизането му в сила, МСФО 17 ще замени МСФО 4 Застрахователни договори (МСФО 4), който беше публикуван през 2005 г. МСФО 17 се прилага към всички видове застрахователни договори (т.е. животозастраховане, общо застраховане, пряко застраховане и презастраховане), независимо от вида на предприятията, които ги издават, както и по отношение на определени гаранции и финансови инструменти с допълнителен, негарантиран доход (участие по преценка). Ще се прилагат малко на брой изключения от обхвата. Общата цел на МСФО 17 е да осигури счетоводен модел на застрахователните договори, който е по-полезен и последователен за застрахователите. </w:t>
      </w:r>
    </w:p>
    <w:p w:rsidR="0042574A" w:rsidRPr="001E2C38" w:rsidRDefault="0042574A" w:rsidP="0042574A">
      <w:pPr>
        <w:spacing w:after="120"/>
        <w:jc w:val="both"/>
        <w:rPr>
          <w:szCs w:val="22"/>
          <w:lang w:val="ru-RU"/>
        </w:rPr>
      </w:pPr>
      <w:r w:rsidRPr="001E2C38">
        <w:rPr>
          <w:b/>
          <w:bCs/>
          <w:szCs w:val="22"/>
          <w:lang w:val="ru-RU"/>
        </w:rPr>
        <w:t>Изменения в МСФО 3 “Бизнес комбинации“</w:t>
      </w:r>
      <w:r w:rsidRPr="001E2C38">
        <w:rPr>
          <w:szCs w:val="22"/>
          <w:lang w:val="ru-RU"/>
        </w:rPr>
        <w:t xml:space="preserve"> –  (в сила за годишни периоди, започващи на или след 1 януари 2020 г. не е приет от ЕК);</w:t>
      </w:r>
    </w:p>
    <w:p w:rsidR="00183665" w:rsidRPr="00CC5E0B" w:rsidRDefault="0042574A" w:rsidP="00E05BBA">
      <w:pPr>
        <w:spacing w:after="120"/>
        <w:jc w:val="both"/>
        <w:rPr>
          <w:szCs w:val="22"/>
          <w:lang w:val="ru-RU"/>
        </w:rPr>
      </w:pPr>
      <w:r w:rsidRPr="001E2C38">
        <w:rPr>
          <w:b/>
          <w:bCs/>
          <w:szCs w:val="22"/>
          <w:lang w:val="ru-RU"/>
        </w:rPr>
        <w:t>Изменения на МСС 1 „Представяне на финансови отчети“ и МСС 8 „Счетоводна политика, промени в счетоводните приблизителни оценки и грешки“ -</w:t>
      </w:r>
      <w:r w:rsidRPr="001E2C38">
        <w:rPr>
          <w:szCs w:val="22"/>
          <w:lang w:val="ru-RU"/>
        </w:rPr>
        <w:t xml:space="preserve"> (в сила за годишни периоди, започващи на или след 1 януари 2020 г. не е приет от ЕК).</w:t>
      </w:r>
    </w:p>
    <w:p w:rsidR="00473054" w:rsidRPr="00CC5E0B" w:rsidRDefault="00183665" w:rsidP="00DB1434">
      <w:pPr>
        <w:pStyle w:val="Heading1"/>
        <w:tabs>
          <w:tab w:val="left" w:pos="567"/>
        </w:tabs>
        <w:spacing w:before="0" w:after="0" w:line="259" w:lineRule="auto"/>
        <w:jc w:val="both"/>
        <w:rPr>
          <w:color w:val="auto"/>
          <w:sz w:val="22"/>
          <w:szCs w:val="22"/>
        </w:rPr>
      </w:pPr>
      <w:bookmarkStart w:id="6" w:name="_Ref248331039"/>
      <w:r w:rsidRPr="00CC5E0B">
        <w:rPr>
          <w:color w:val="auto"/>
          <w:sz w:val="22"/>
          <w:szCs w:val="22"/>
        </w:rPr>
        <w:lastRenderedPageBreak/>
        <w:t xml:space="preserve">3.4. </w:t>
      </w:r>
      <w:r w:rsidR="00473054" w:rsidRPr="00CC5E0B">
        <w:rPr>
          <w:color w:val="auto"/>
          <w:sz w:val="22"/>
          <w:szCs w:val="22"/>
        </w:rPr>
        <w:t>Промени в приблизителните оценки</w:t>
      </w:r>
      <w:bookmarkEnd w:id="6"/>
    </w:p>
    <w:p w:rsidR="00DB6B6D" w:rsidRPr="005D34DF" w:rsidRDefault="00DB6B6D" w:rsidP="00E05BBA">
      <w:pPr>
        <w:spacing w:before="120" w:after="120"/>
        <w:jc w:val="both"/>
      </w:pPr>
      <w:r w:rsidRPr="005D34DF">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rsidR="00DB6B6D" w:rsidRPr="005D34DF" w:rsidRDefault="00DB6B6D" w:rsidP="009C5687">
      <w:pPr>
        <w:spacing w:after="120"/>
        <w:jc w:val="both"/>
      </w:pPr>
      <w:r w:rsidRPr="005D34DF">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DB6B6D" w:rsidRPr="0038683B" w:rsidRDefault="00DB6B6D" w:rsidP="009C5687">
      <w:pPr>
        <w:pStyle w:val="BodyText"/>
        <w:spacing w:after="120" w:line="240" w:lineRule="auto"/>
        <w:jc w:val="both"/>
        <w:rPr>
          <w:szCs w:val="22"/>
        </w:rPr>
      </w:pPr>
      <w:r w:rsidRPr="0038683B">
        <w:rPr>
          <w:iCs/>
          <w:szCs w:val="22"/>
        </w:rPr>
        <w:t xml:space="preserve">При изготвянето на настоящия междинен съкратен индивидуален финансов отчет </w:t>
      </w:r>
      <w:r w:rsidRPr="0038683B">
        <w:rPr>
          <w:szCs w:val="22"/>
        </w:rPr>
        <w:t>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индивидуален финансов отчет на Дружеството към 31 декември 201</w:t>
      </w:r>
      <w:r>
        <w:rPr>
          <w:szCs w:val="22"/>
        </w:rPr>
        <w:t>8</w:t>
      </w:r>
      <w:r w:rsidRPr="0038683B">
        <w:rPr>
          <w:szCs w:val="22"/>
        </w:rPr>
        <w:t>г.</w:t>
      </w:r>
    </w:p>
    <w:p w:rsidR="00DB6B6D" w:rsidRDefault="00DB6B6D" w:rsidP="00DB6B6D">
      <w:pPr>
        <w:pStyle w:val="BodyText"/>
        <w:spacing w:after="120" w:line="240" w:lineRule="auto"/>
        <w:contextualSpacing/>
        <w:jc w:val="both"/>
      </w:pPr>
      <w:r w:rsidRPr="0038683B">
        <w:t>За целите на представянето на настоящия междинен съкратен индивидуален финансов отчет не са извършвани прегледи за обезценка до нетна</w:t>
      </w:r>
      <w:r>
        <w:t xml:space="preserve"> реализуема стойност на материални запаси, преглед за обезценка на имоти, машини и съоръжения.</w:t>
      </w:r>
    </w:p>
    <w:p w:rsidR="00473054" w:rsidRPr="00CC5E0B" w:rsidRDefault="00473054" w:rsidP="00CC5E0B">
      <w:pPr>
        <w:pStyle w:val="Heading1"/>
        <w:numPr>
          <w:ilvl w:val="1"/>
          <w:numId w:val="45"/>
        </w:numPr>
        <w:spacing w:line="259" w:lineRule="auto"/>
        <w:ind w:left="567" w:hanging="567"/>
        <w:jc w:val="both"/>
        <w:rPr>
          <w:color w:val="auto"/>
          <w:sz w:val="22"/>
          <w:szCs w:val="22"/>
        </w:rPr>
      </w:pPr>
      <w:r w:rsidRPr="00CC5E0B">
        <w:rPr>
          <w:color w:val="auto"/>
          <w:sz w:val="22"/>
          <w:szCs w:val="22"/>
        </w:rPr>
        <w:t>Управление на риска относно финансовите инструменти</w:t>
      </w:r>
    </w:p>
    <w:p w:rsidR="00DB6B6D" w:rsidRPr="005D34DF" w:rsidRDefault="00DB6B6D" w:rsidP="00E05BBA">
      <w:pPr>
        <w:spacing w:before="120" w:after="120"/>
        <w:jc w:val="both"/>
      </w:pPr>
      <w:r w:rsidRPr="005D34DF">
        <w:t>Дружеството е изложено на различни видове рискове по отношение на финансовите си инструменти. Най-значимите финансови рискове, на които е изложено Дружеството са пазарен риск, кредитен риск и ликвиден риск.</w:t>
      </w:r>
    </w:p>
    <w:p w:rsidR="00DB6B6D" w:rsidRDefault="00DB6B6D" w:rsidP="009C5687">
      <w:pPr>
        <w:spacing w:after="120"/>
        <w:contextualSpacing/>
        <w:jc w:val="both"/>
      </w:pPr>
      <w:r w:rsidRPr="005D34DF">
        <w:rPr>
          <w:iCs/>
        </w:rPr>
        <w:t xml:space="preserve">Междинният съкратен индивидуален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w:t>
      </w:r>
      <w:r w:rsidRPr="005D34DF">
        <w:t xml:space="preserve">следва да се чете заедно с годишния </w:t>
      </w:r>
      <w:r>
        <w:t xml:space="preserve">индивидуален </w:t>
      </w:r>
      <w:r w:rsidRPr="005D34DF">
        <w:t>финансов отчет на Дружеството към 31 декември 201</w:t>
      </w:r>
      <w:r>
        <w:t>8</w:t>
      </w:r>
      <w:r w:rsidRPr="005D34DF">
        <w:t xml:space="preserve"> г. Не е имало промени в политиката за управление на риска относно финансови инструменти през периода.</w:t>
      </w:r>
    </w:p>
    <w:p w:rsidR="007A1619" w:rsidRPr="00CC5E0B" w:rsidRDefault="00DF4858" w:rsidP="00CC5E0B">
      <w:pPr>
        <w:pStyle w:val="Heading1"/>
        <w:numPr>
          <w:ilvl w:val="0"/>
          <w:numId w:val="45"/>
        </w:numPr>
        <w:spacing w:before="100" w:beforeAutospacing="1" w:after="0" w:line="259" w:lineRule="auto"/>
        <w:ind w:left="567" w:hanging="567"/>
        <w:rPr>
          <w:color w:val="auto"/>
          <w:sz w:val="22"/>
          <w:szCs w:val="22"/>
        </w:rPr>
      </w:pPr>
      <w:bookmarkStart w:id="7" w:name="_Ref248328969"/>
      <w:r w:rsidRPr="00CC5E0B">
        <w:rPr>
          <w:color w:val="auto"/>
          <w:sz w:val="22"/>
          <w:szCs w:val="22"/>
        </w:rPr>
        <w:t>Н</w:t>
      </w:r>
      <w:r w:rsidR="007A1619" w:rsidRPr="00CC5E0B">
        <w:rPr>
          <w:color w:val="auto"/>
          <w:sz w:val="22"/>
          <w:szCs w:val="22"/>
        </w:rPr>
        <w:t>ематериални активи</w:t>
      </w:r>
      <w:bookmarkEnd w:id="7"/>
    </w:p>
    <w:p w:rsidR="00A14361" w:rsidRPr="00CC5E0B" w:rsidRDefault="00DF4858" w:rsidP="00E05BBA">
      <w:pPr>
        <w:spacing w:before="120" w:after="120"/>
        <w:jc w:val="both"/>
        <w:rPr>
          <w:szCs w:val="22"/>
        </w:rPr>
      </w:pPr>
      <w:r w:rsidRPr="00CC5E0B">
        <w:rPr>
          <w:szCs w:val="22"/>
        </w:rPr>
        <w:t>Н</w:t>
      </w:r>
      <w:r w:rsidR="007A1619" w:rsidRPr="00CC5E0B">
        <w:rPr>
          <w:szCs w:val="22"/>
        </w:rPr>
        <w:t xml:space="preserve">ематериални активи на </w:t>
      </w:r>
      <w:r w:rsidR="003E0AD8" w:rsidRPr="00CC5E0B">
        <w:rPr>
          <w:szCs w:val="22"/>
        </w:rPr>
        <w:t>Дружеството</w:t>
      </w:r>
      <w:r w:rsidR="006D23AB" w:rsidRPr="00CC5E0B">
        <w:rPr>
          <w:szCs w:val="22"/>
        </w:rPr>
        <w:t xml:space="preserve"> </w:t>
      </w:r>
      <w:r w:rsidR="007A1619" w:rsidRPr="00CC5E0B">
        <w:rPr>
          <w:szCs w:val="22"/>
        </w:rPr>
        <w:t>включват</w:t>
      </w:r>
      <w:r w:rsidR="006D23AB" w:rsidRPr="00CC5E0B">
        <w:rPr>
          <w:szCs w:val="22"/>
        </w:rPr>
        <w:t xml:space="preserve"> </w:t>
      </w:r>
      <w:r w:rsidR="00E44E7C" w:rsidRPr="00CC5E0B">
        <w:rPr>
          <w:szCs w:val="22"/>
        </w:rPr>
        <w:t>софтуерни продукти</w:t>
      </w:r>
      <w:r w:rsidR="0067453C" w:rsidRPr="00CC5E0B">
        <w:rPr>
          <w:szCs w:val="22"/>
        </w:rPr>
        <w:t>, лицензи</w:t>
      </w:r>
      <w:r w:rsidR="00096027" w:rsidRPr="00CC5E0B">
        <w:rPr>
          <w:szCs w:val="22"/>
        </w:rPr>
        <w:t xml:space="preserve"> и енергийни сервитути</w:t>
      </w:r>
      <w:r w:rsidR="00872FC2" w:rsidRPr="00CC5E0B">
        <w:rPr>
          <w:szCs w:val="22"/>
        </w:rPr>
        <w:t>. Балансовите</w:t>
      </w:r>
      <w:r w:rsidR="007A1619" w:rsidRPr="00CC5E0B">
        <w:rPr>
          <w:szCs w:val="22"/>
        </w:rPr>
        <w:t xml:space="preserve"> стойности за представените отчетни периоди могат да бъдат анализирани</w:t>
      </w:r>
      <w:r w:rsidR="00A71CA4" w:rsidRPr="00CC5E0B">
        <w:rPr>
          <w:szCs w:val="22"/>
        </w:rPr>
        <w:t>,</w:t>
      </w:r>
      <w:r w:rsidR="004F17FE" w:rsidRPr="00CC5E0B">
        <w:rPr>
          <w:szCs w:val="22"/>
        </w:rPr>
        <w:t xml:space="preserve"> както следва:</w:t>
      </w:r>
    </w:p>
    <w:p w:rsidR="00183665" w:rsidRPr="00CC5E0B" w:rsidRDefault="00183665" w:rsidP="00F62D0A">
      <w:pPr>
        <w:spacing w:before="120" w:line="259" w:lineRule="auto"/>
        <w:jc w:val="both"/>
        <w:rPr>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tblPr>
      <w:tblGrid>
        <w:gridCol w:w="3684"/>
        <w:gridCol w:w="1416"/>
        <w:gridCol w:w="1417"/>
        <w:gridCol w:w="1563"/>
        <w:gridCol w:w="992"/>
      </w:tblGrid>
      <w:tr w:rsidR="005C4E8B" w:rsidRPr="00796446" w:rsidTr="005C4E8B">
        <w:trPr>
          <w:trHeight w:val="20"/>
        </w:trPr>
        <w:tc>
          <w:tcPr>
            <w:tcW w:w="3684" w:type="dxa"/>
          </w:tcPr>
          <w:p w:rsidR="005C4E8B" w:rsidRPr="00796446" w:rsidRDefault="005C4E8B" w:rsidP="005C4E8B">
            <w:pPr>
              <w:rPr>
                <w:b/>
                <w:szCs w:val="22"/>
              </w:rPr>
            </w:pPr>
            <w:r w:rsidRPr="00796446">
              <w:rPr>
                <w:b/>
                <w:szCs w:val="22"/>
              </w:rPr>
              <w:t>Към 3</w:t>
            </w:r>
            <w:r w:rsidR="006D23AB" w:rsidRPr="00796446">
              <w:rPr>
                <w:b/>
                <w:szCs w:val="22"/>
              </w:rPr>
              <w:t>0</w:t>
            </w:r>
            <w:r w:rsidRPr="00796446">
              <w:rPr>
                <w:b/>
                <w:szCs w:val="22"/>
              </w:rPr>
              <w:t>.0</w:t>
            </w:r>
            <w:r w:rsidR="006D23AB" w:rsidRPr="00796446">
              <w:rPr>
                <w:b/>
                <w:szCs w:val="22"/>
              </w:rPr>
              <w:t>6</w:t>
            </w:r>
            <w:r w:rsidRPr="00796446">
              <w:rPr>
                <w:b/>
                <w:szCs w:val="22"/>
              </w:rPr>
              <w:t>.2019 г.</w:t>
            </w:r>
          </w:p>
          <w:p w:rsidR="005C4E8B" w:rsidRPr="00CC5E0B" w:rsidRDefault="005C4E8B" w:rsidP="005C4E8B">
            <w:pPr>
              <w:rPr>
                <w:rFonts w:cs="Times New Roman"/>
                <w:b/>
                <w:szCs w:val="22"/>
                <w:lang w:eastAsia="bg-BG"/>
              </w:rPr>
            </w:pPr>
          </w:p>
        </w:tc>
        <w:tc>
          <w:tcPr>
            <w:tcW w:w="1416" w:type="dxa"/>
          </w:tcPr>
          <w:p w:rsidR="005C4E8B" w:rsidRPr="00CC5E0B" w:rsidRDefault="005C4E8B" w:rsidP="005C4E8B">
            <w:pPr>
              <w:jc w:val="right"/>
              <w:rPr>
                <w:rFonts w:cs="Times New Roman"/>
                <w:b/>
                <w:bCs/>
                <w:szCs w:val="22"/>
                <w:lang w:eastAsia="bg-BG"/>
              </w:rPr>
            </w:pPr>
            <w:r w:rsidRPr="00CC5E0B">
              <w:rPr>
                <w:rFonts w:cs="Times New Roman"/>
                <w:b/>
                <w:bCs/>
                <w:szCs w:val="22"/>
                <w:lang w:eastAsia="bg-BG"/>
              </w:rPr>
              <w:t xml:space="preserve">Софтуер       </w:t>
            </w:r>
          </w:p>
        </w:tc>
        <w:tc>
          <w:tcPr>
            <w:tcW w:w="1417" w:type="dxa"/>
          </w:tcPr>
          <w:p w:rsidR="005C4E8B" w:rsidRPr="00CC5E0B" w:rsidRDefault="005C4E8B" w:rsidP="005C4E8B">
            <w:pPr>
              <w:jc w:val="right"/>
              <w:rPr>
                <w:rFonts w:cs="Times New Roman"/>
                <w:b/>
                <w:bCs/>
                <w:szCs w:val="22"/>
                <w:lang w:eastAsia="bg-BG"/>
              </w:rPr>
            </w:pPr>
            <w:r w:rsidRPr="00CC5E0B">
              <w:rPr>
                <w:rFonts w:cs="Times New Roman"/>
                <w:b/>
                <w:bCs/>
                <w:szCs w:val="22"/>
                <w:lang w:eastAsia="bg-BG"/>
              </w:rPr>
              <w:t>Патенти и лицензи</w:t>
            </w:r>
          </w:p>
        </w:tc>
        <w:tc>
          <w:tcPr>
            <w:tcW w:w="1563" w:type="dxa"/>
          </w:tcPr>
          <w:p w:rsidR="005C4E8B" w:rsidRPr="00CC5E0B" w:rsidRDefault="005C4E8B" w:rsidP="005C4E8B">
            <w:pPr>
              <w:jc w:val="right"/>
              <w:rPr>
                <w:rFonts w:cs="Times New Roman"/>
                <w:b/>
                <w:bCs/>
                <w:szCs w:val="22"/>
                <w:lang w:eastAsia="bg-BG"/>
              </w:rPr>
            </w:pPr>
            <w:r w:rsidRPr="00CC5E0B">
              <w:rPr>
                <w:rFonts w:cs="Times New Roman"/>
                <w:b/>
                <w:bCs/>
                <w:szCs w:val="22"/>
                <w:lang w:eastAsia="bg-BG"/>
              </w:rPr>
              <w:t xml:space="preserve">Енергийни сервитути </w:t>
            </w:r>
          </w:p>
        </w:tc>
        <w:tc>
          <w:tcPr>
            <w:tcW w:w="992" w:type="dxa"/>
          </w:tcPr>
          <w:p w:rsidR="005C4E8B" w:rsidRPr="00CC5E0B" w:rsidRDefault="005C4E8B" w:rsidP="005C4E8B">
            <w:pPr>
              <w:jc w:val="right"/>
              <w:rPr>
                <w:rFonts w:cs="Times New Roman"/>
                <w:b/>
                <w:bCs/>
                <w:szCs w:val="22"/>
                <w:lang w:eastAsia="bg-BG"/>
              </w:rPr>
            </w:pPr>
            <w:r w:rsidRPr="00CC5E0B">
              <w:rPr>
                <w:rFonts w:cs="Times New Roman"/>
                <w:b/>
                <w:bCs/>
                <w:szCs w:val="22"/>
                <w:lang w:eastAsia="bg-BG"/>
              </w:rPr>
              <w:t>Общо</w:t>
            </w:r>
          </w:p>
        </w:tc>
      </w:tr>
      <w:tr w:rsidR="005C4E8B" w:rsidRPr="00796446" w:rsidTr="005C4E8B">
        <w:trPr>
          <w:trHeight w:val="20"/>
        </w:trPr>
        <w:tc>
          <w:tcPr>
            <w:tcW w:w="3684" w:type="dxa"/>
          </w:tcPr>
          <w:p w:rsidR="005C4E8B" w:rsidRPr="00CC5E0B" w:rsidRDefault="005C4E8B" w:rsidP="005C4E8B">
            <w:pPr>
              <w:rPr>
                <w:rFonts w:cs="Times New Roman"/>
                <w:szCs w:val="22"/>
                <w:lang w:eastAsia="bg-BG"/>
              </w:rPr>
            </w:pPr>
          </w:p>
        </w:tc>
        <w:tc>
          <w:tcPr>
            <w:tcW w:w="1416" w:type="dxa"/>
          </w:tcPr>
          <w:p w:rsidR="005C4E8B" w:rsidRPr="00CC5E0B" w:rsidRDefault="005C4E8B" w:rsidP="005C4E8B">
            <w:pPr>
              <w:autoSpaceDE w:val="0"/>
              <w:autoSpaceDN w:val="0"/>
              <w:adjustRightInd w:val="0"/>
              <w:jc w:val="right"/>
              <w:rPr>
                <w:b/>
                <w:bCs/>
                <w:szCs w:val="22"/>
              </w:rPr>
            </w:pPr>
            <w:bookmarkStart w:id="8" w:name="OLE_LINK1"/>
            <w:bookmarkStart w:id="9" w:name="OLE_LINK2"/>
            <w:r w:rsidRPr="00CC5E0B">
              <w:rPr>
                <w:b/>
                <w:bCs/>
                <w:szCs w:val="22"/>
              </w:rPr>
              <w:t>‘000 лв.</w:t>
            </w:r>
            <w:bookmarkEnd w:id="8"/>
            <w:bookmarkEnd w:id="9"/>
          </w:p>
        </w:tc>
        <w:tc>
          <w:tcPr>
            <w:tcW w:w="1417" w:type="dxa"/>
          </w:tcPr>
          <w:p w:rsidR="005C4E8B" w:rsidRPr="00CC5E0B" w:rsidRDefault="005C4E8B" w:rsidP="005C4E8B">
            <w:pPr>
              <w:autoSpaceDE w:val="0"/>
              <w:autoSpaceDN w:val="0"/>
              <w:adjustRightInd w:val="0"/>
              <w:jc w:val="right"/>
              <w:rPr>
                <w:b/>
                <w:bCs/>
                <w:szCs w:val="22"/>
              </w:rPr>
            </w:pPr>
            <w:r w:rsidRPr="00CC5E0B">
              <w:rPr>
                <w:b/>
                <w:bCs/>
                <w:szCs w:val="22"/>
              </w:rPr>
              <w:t>‘000 лв.</w:t>
            </w:r>
          </w:p>
        </w:tc>
        <w:tc>
          <w:tcPr>
            <w:tcW w:w="1563" w:type="dxa"/>
          </w:tcPr>
          <w:p w:rsidR="005C4E8B" w:rsidRPr="00CC5E0B" w:rsidRDefault="005C4E8B" w:rsidP="005C4E8B">
            <w:pPr>
              <w:autoSpaceDE w:val="0"/>
              <w:autoSpaceDN w:val="0"/>
              <w:adjustRightInd w:val="0"/>
              <w:jc w:val="right"/>
              <w:rPr>
                <w:b/>
                <w:bCs/>
                <w:szCs w:val="22"/>
              </w:rPr>
            </w:pPr>
            <w:r w:rsidRPr="00CC5E0B">
              <w:rPr>
                <w:b/>
                <w:bCs/>
                <w:szCs w:val="22"/>
              </w:rPr>
              <w:t>‘000 лв.</w:t>
            </w:r>
          </w:p>
        </w:tc>
        <w:tc>
          <w:tcPr>
            <w:tcW w:w="992" w:type="dxa"/>
          </w:tcPr>
          <w:p w:rsidR="005C4E8B" w:rsidRPr="00CC5E0B" w:rsidRDefault="005C4E8B" w:rsidP="005C4E8B">
            <w:pPr>
              <w:autoSpaceDE w:val="0"/>
              <w:autoSpaceDN w:val="0"/>
              <w:adjustRightInd w:val="0"/>
              <w:jc w:val="right"/>
              <w:rPr>
                <w:b/>
                <w:bCs/>
                <w:szCs w:val="22"/>
              </w:rPr>
            </w:pPr>
            <w:r w:rsidRPr="00CC5E0B">
              <w:rPr>
                <w:b/>
                <w:bCs/>
                <w:szCs w:val="22"/>
              </w:rPr>
              <w:t>‘000 лв.</w:t>
            </w:r>
          </w:p>
        </w:tc>
      </w:tr>
      <w:tr w:rsidR="005C4E8B" w:rsidRPr="00796446" w:rsidTr="005C4E8B">
        <w:trPr>
          <w:trHeight w:val="20"/>
        </w:trPr>
        <w:tc>
          <w:tcPr>
            <w:tcW w:w="3684" w:type="dxa"/>
          </w:tcPr>
          <w:p w:rsidR="005C4E8B" w:rsidRPr="00CC5E0B" w:rsidRDefault="005C4E8B" w:rsidP="005C4E8B">
            <w:pPr>
              <w:rPr>
                <w:rFonts w:cs="Times New Roman"/>
                <w:szCs w:val="22"/>
                <w:lang w:eastAsia="bg-BG"/>
              </w:rPr>
            </w:pPr>
            <w:r w:rsidRPr="00CC5E0B">
              <w:rPr>
                <w:rFonts w:cs="Times New Roman"/>
                <w:b/>
                <w:bCs/>
                <w:szCs w:val="22"/>
                <w:lang w:eastAsia="bg-BG"/>
              </w:rPr>
              <w:t>Брутна балансова стойност</w:t>
            </w:r>
          </w:p>
        </w:tc>
        <w:tc>
          <w:tcPr>
            <w:tcW w:w="1416" w:type="dxa"/>
          </w:tcPr>
          <w:p w:rsidR="005C4E8B" w:rsidRPr="00CC5E0B" w:rsidRDefault="005C4E8B" w:rsidP="005C4E8B">
            <w:pPr>
              <w:jc w:val="right"/>
              <w:rPr>
                <w:rFonts w:cs="Times New Roman"/>
                <w:szCs w:val="22"/>
                <w:lang w:eastAsia="bg-BG"/>
              </w:rPr>
            </w:pPr>
          </w:p>
        </w:tc>
        <w:tc>
          <w:tcPr>
            <w:tcW w:w="1417" w:type="dxa"/>
          </w:tcPr>
          <w:p w:rsidR="005C4E8B" w:rsidRPr="00CC5E0B" w:rsidRDefault="005C4E8B" w:rsidP="005C4E8B">
            <w:pPr>
              <w:jc w:val="right"/>
              <w:rPr>
                <w:rFonts w:cs="Times New Roman"/>
                <w:szCs w:val="22"/>
                <w:lang w:eastAsia="bg-BG"/>
              </w:rPr>
            </w:pPr>
          </w:p>
        </w:tc>
        <w:tc>
          <w:tcPr>
            <w:tcW w:w="1563" w:type="dxa"/>
          </w:tcPr>
          <w:p w:rsidR="005C4E8B" w:rsidRPr="00CC5E0B" w:rsidRDefault="005C4E8B" w:rsidP="005C4E8B">
            <w:pPr>
              <w:jc w:val="right"/>
              <w:rPr>
                <w:rFonts w:cs="Times New Roman"/>
                <w:szCs w:val="22"/>
                <w:lang w:eastAsia="bg-BG"/>
              </w:rPr>
            </w:pPr>
          </w:p>
        </w:tc>
        <w:tc>
          <w:tcPr>
            <w:tcW w:w="992" w:type="dxa"/>
          </w:tcPr>
          <w:p w:rsidR="005C4E8B" w:rsidRPr="00CC5E0B" w:rsidRDefault="005C4E8B" w:rsidP="005C4E8B">
            <w:pPr>
              <w:jc w:val="right"/>
              <w:rPr>
                <w:rFonts w:cs="Times New Roman"/>
                <w:b/>
                <w:szCs w:val="22"/>
                <w:lang w:eastAsia="bg-BG"/>
              </w:rPr>
            </w:pPr>
          </w:p>
        </w:tc>
      </w:tr>
      <w:tr w:rsidR="005C4E8B" w:rsidRPr="00796446" w:rsidTr="005C4E8B">
        <w:trPr>
          <w:trHeight w:val="20"/>
        </w:trPr>
        <w:tc>
          <w:tcPr>
            <w:tcW w:w="3684" w:type="dxa"/>
          </w:tcPr>
          <w:p w:rsidR="005C4E8B" w:rsidRPr="00CC5E0B" w:rsidRDefault="005C4E8B" w:rsidP="005C4E8B">
            <w:pPr>
              <w:rPr>
                <w:rFonts w:cs="Times New Roman"/>
                <w:szCs w:val="22"/>
                <w:lang w:eastAsia="bg-BG"/>
              </w:rPr>
            </w:pPr>
            <w:r w:rsidRPr="00CC5E0B">
              <w:rPr>
                <w:rFonts w:cs="Times New Roman"/>
                <w:szCs w:val="22"/>
                <w:lang w:eastAsia="bg-BG"/>
              </w:rPr>
              <w:t>Салдо към 1 януари 2019 г.</w:t>
            </w:r>
          </w:p>
        </w:tc>
        <w:tc>
          <w:tcPr>
            <w:tcW w:w="1416" w:type="dxa"/>
            <w:tcBorders>
              <w:bottom w:val="single" w:sz="4" w:space="0" w:color="auto"/>
            </w:tcBorders>
          </w:tcPr>
          <w:p w:rsidR="005C4E8B" w:rsidRPr="00CC5E0B" w:rsidRDefault="005C4E8B" w:rsidP="005C4E8B">
            <w:pPr>
              <w:jc w:val="right"/>
              <w:rPr>
                <w:rFonts w:cs="Times New Roman"/>
                <w:szCs w:val="22"/>
                <w:lang w:val="en-US" w:eastAsia="bg-BG"/>
              </w:rPr>
            </w:pPr>
            <w:r w:rsidRPr="00CC5E0B">
              <w:rPr>
                <w:rFonts w:cs="Times New Roman"/>
                <w:szCs w:val="22"/>
                <w:lang w:val="en-US" w:eastAsia="bg-BG"/>
              </w:rPr>
              <w:t>5</w:t>
            </w:r>
          </w:p>
        </w:tc>
        <w:tc>
          <w:tcPr>
            <w:tcW w:w="1417" w:type="dxa"/>
            <w:tcBorders>
              <w:bottom w:val="single" w:sz="4" w:space="0" w:color="auto"/>
            </w:tcBorders>
          </w:tcPr>
          <w:p w:rsidR="005C4E8B" w:rsidRPr="00CC5E0B" w:rsidRDefault="005C4E8B" w:rsidP="005C4E8B">
            <w:pPr>
              <w:jc w:val="right"/>
              <w:rPr>
                <w:rFonts w:cs="Times New Roman"/>
                <w:szCs w:val="22"/>
                <w:lang w:eastAsia="bg-BG"/>
              </w:rPr>
            </w:pPr>
            <w:r w:rsidRPr="00CC5E0B">
              <w:rPr>
                <w:rFonts w:cs="Times New Roman"/>
                <w:szCs w:val="22"/>
                <w:lang w:eastAsia="bg-BG"/>
              </w:rPr>
              <w:t>1</w:t>
            </w:r>
          </w:p>
        </w:tc>
        <w:tc>
          <w:tcPr>
            <w:tcW w:w="1563" w:type="dxa"/>
            <w:tcBorders>
              <w:bottom w:val="single" w:sz="4" w:space="0" w:color="auto"/>
            </w:tcBorders>
          </w:tcPr>
          <w:p w:rsidR="005C4E8B" w:rsidRPr="00CC5E0B" w:rsidRDefault="005C4E8B" w:rsidP="005C4E8B">
            <w:pPr>
              <w:jc w:val="right"/>
              <w:rPr>
                <w:rFonts w:cs="Times New Roman"/>
                <w:szCs w:val="22"/>
                <w:lang w:eastAsia="bg-BG"/>
              </w:rPr>
            </w:pPr>
            <w:r w:rsidRPr="00CC5E0B">
              <w:rPr>
                <w:rFonts w:cs="Times New Roman"/>
                <w:szCs w:val="22"/>
                <w:lang w:eastAsia="bg-BG"/>
              </w:rPr>
              <w:t>6</w:t>
            </w:r>
          </w:p>
        </w:tc>
        <w:tc>
          <w:tcPr>
            <w:tcW w:w="992" w:type="dxa"/>
            <w:tcBorders>
              <w:bottom w:val="single" w:sz="4" w:space="0" w:color="auto"/>
            </w:tcBorders>
          </w:tcPr>
          <w:p w:rsidR="005C4E8B" w:rsidRPr="00CC5E0B" w:rsidRDefault="005C4E8B" w:rsidP="005C4E8B">
            <w:pPr>
              <w:jc w:val="right"/>
              <w:rPr>
                <w:rFonts w:cs="Times New Roman"/>
                <w:b/>
                <w:szCs w:val="22"/>
                <w:lang w:eastAsia="bg-BG"/>
              </w:rPr>
            </w:pPr>
            <w:r w:rsidRPr="00CC5E0B">
              <w:rPr>
                <w:rFonts w:cs="Times New Roman"/>
                <w:b/>
                <w:szCs w:val="22"/>
                <w:lang w:val="en-US" w:eastAsia="bg-BG"/>
              </w:rPr>
              <w:t>1</w:t>
            </w:r>
            <w:r w:rsidRPr="00CC5E0B">
              <w:rPr>
                <w:rFonts w:cs="Times New Roman"/>
                <w:b/>
                <w:szCs w:val="22"/>
                <w:lang w:eastAsia="bg-BG"/>
              </w:rPr>
              <w:t>2</w:t>
            </w:r>
          </w:p>
        </w:tc>
      </w:tr>
      <w:tr w:rsidR="005C4E8B" w:rsidRPr="00796446" w:rsidTr="005C4E8B">
        <w:trPr>
          <w:trHeight w:val="20"/>
        </w:trPr>
        <w:tc>
          <w:tcPr>
            <w:tcW w:w="3684" w:type="dxa"/>
          </w:tcPr>
          <w:p w:rsidR="005C4E8B" w:rsidRPr="00CC5E0B" w:rsidRDefault="005C4E8B" w:rsidP="005C4E8B">
            <w:pPr>
              <w:rPr>
                <w:rFonts w:cs="Times New Roman"/>
                <w:b/>
                <w:szCs w:val="22"/>
                <w:lang w:eastAsia="bg-BG"/>
              </w:rPr>
            </w:pPr>
            <w:r w:rsidRPr="00CC5E0B">
              <w:rPr>
                <w:rFonts w:cs="Times New Roman"/>
                <w:b/>
                <w:szCs w:val="22"/>
                <w:lang w:eastAsia="bg-BG"/>
              </w:rPr>
              <w:t>Салдо към  3</w:t>
            </w:r>
            <w:r w:rsidR="006D23AB" w:rsidRPr="00CC5E0B">
              <w:rPr>
                <w:rFonts w:cs="Times New Roman"/>
                <w:b/>
                <w:szCs w:val="22"/>
                <w:lang w:eastAsia="bg-BG"/>
              </w:rPr>
              <w:t>0</w:t>
            </w:r>
            <w:r w:rsidRPr="00CC5E0B">
              <w:rPr>
                <w:rFonts w:cs="Times New Roman"/>
                <w:b/>
                <w:szCs w:val="22"/>
                <w:lang w:eastAsia="bg-BG"/>
              </w:rPr>
              <w:t xml:space="preserve"> </w:t>
            </w:r>
            <w:r w:rsidR="006D23AB" w:rsidRPr="00CC5E0B">
              <w:rPr>
                <w:rFonts w:cs="Times New Roman"/>
                <w:b/>
                <w:szCs w:val="22"/>
                <w:lang w:eastAsia="bg-BG"/>
              </w:rPr>
              <w:t>юни</w:t>
            </w:r>
            <w:r w:rsidRPr="00CC5E0B">
              <w:rPr>
                <w:rFonts w:cs="Times New Roman"/>
                <w:b/>
                <w:szCs w:val="22"/>
                <w:lang w:eastAsia="bg-BG"/>
              </w:rPr>
              <w:t xml:space="preserve"> 2019 г.</w:t>
            </w:r>
          </w:p>
        </w:tc>
        <w:tc>
          <w:tcPr>
            <w:tcW w:w="1416" w:type="dxa"/>
            <w:tcBorders>
              <w:top w:val="single" w:sz="4" w:space="0" w:color="auto"/>
              <w:bottom w:val="single" w:sz="4" w:space="0" w:color="auto"/>
            </w:tcBorders>
          </w:tcPr>
          <w:p w:rsidR="005C4E8B" w:rsidRPr="00CC5E0B" w:rsidRDefault="005C4E8B" w:rsidP="005C4E8B">
            <w:pPr>
              <w:jc w:val="right"/>
              <w:rPr>
                <w:rFonts w:cs="Times New Roman"/>
                <w:b/>
                <w:szCs w:val="22"/>
                <w:lang w:eastAsia="bg-BG"/>
              </w:rPr>
            </w:pPr>
            <w:r w:rsidRPr="00CC5E0B">
              <w:rPr>
                <w:rFonts w:cs="Times New Roman"/>
                <w:b/>
                <w:szCs w:val="22"/>
                <w:lang w:eastAsia="bg-BG"/>
              </w:rPr>
              <w:t>5</w:t>
            </w:r>
          </w:p>
        </w:tc>
        <w:tc>
          <w:tcPr>
            <w:tcW w:w="1417" w:type="dxa"/>
            <w:tcBorders>
              <w:top w:val="single" w:sz="4" w:space="0" w:color="auto"/>
              <w:bottom w:val="single" w:sz="4" w:space="0" w:color="auto"/>
            </w:tcBorders>
          </w:tcPr>
          <w:p w:rsidR="005C4E8B" w:rsidRPr="00CC5E0B" w:rsidRDefault="005C4E8B" w:rsidP="005C4E8B">
            <w:pPr>
              <w:jc w:val="right"/>
              <w:rPr>
                <w:rFonts w:cs="Times New Roman"/>
                <w:b/>
                <w:szCs w:val="22"/>
                <w:lang w:eastAsia="bg-BG"/>
              </w:rPr>
            </w:pPr>
            <w:r w:rsidRPr="00CC5E0B">
              <w:rPr>
                <w:rFonts w:cs="Times New Roman"/>
                <w:b/>
                <w:szCs w:val="22"/>
                <w:lang w:eastAsia="bg-BG"/>
              </w:rPr>
              <w:t>1</w:t>
            </w:r>
          </w:p>
        </w:tc>
        <w:tc>
          <w:tcPr>
            <w:tcW w:w="1563" w:type="dxa"/>
            <w:tcBorders>
              <w:top w:val="single" w:sz="4" w:space="0" w:color="auto"/>
              <w:bottom w:val="single" w:sz="4" w:space="0" w:color="auto"/>
            </w:tcBorders>
          </w:tcPr>
          <w:p w:rsidR="005C4E8B" w:rsidRPr="00CC5E0B" w:rsidRDefault="005C4E8B" w:rsidP="005C4E8B">
            <w:pPr>
              <w:jc w:val="right"/>
              <w:rPr>
                <w:rFonts w:cs="Times New Roman"/>
                <w:b/>
                <w:szCs w:val="22"/>
                <w:lang w:eastAsia="bg-BG"/>
              </w:rPr>
            </w:pPr>
            <w:r w:rsidRPr="00CC5E0B">
              <w:rPr>
                <w:rFonts w:cs="Times New Roman"/>
                <w:b/>
                <w:szCs w:val="22"/>
                <w:lang w:eastAsia="bg-BG"/>
              </w:rPr>
              <w:t>6</w:t>
            </w:r>
          </w:p>
        </w:tc>
        <w:tc>
          <w:tcPr>
            <w:tcW w:w="992" w:type="dxa"/>
            <w:tcBorders>
              <w:top w:val="single" w:sz="4" w:space="0" w:color="auto"/>
              <w:bottom w:val="single" w:sz="4" w:space="0" w:color="auto"/>
            </w:tcBorders>
          </w:tcPr>
          <w:p w:rsidR="005C4E8B" w:rsidRPr="00CC5E0B" w:rsidRDefault="005C4E8B" w:rsidP="005C4E8B">
            <w:pPr>
              <w:jc w:val="right"/>
              <w:rPr>
                <w:rFonts w:cs="Times New Roman"/>
                <w:b/>
                <w:szCs w:val="22"/>
                <w:lang w:eastAsia="bg-BG"/>
              </w:rPr>
            </w:pPr>
            <w:r w:rsidRPr="00CC5E0B">
              <w:rPr>
                <w:rFonts w:cs="Times New Roman"/>
                <w:b/>
                <w:szCs w:val="22"/>
                <w:lang w:eastAsia="bg-BG"/>
              </w:rPr>
              <w:t>12</w:t>
            </w:r>
          </w:p>
        </w:tc>
      </w:tr>
      <w:tr w:rsidR="005C4E8B" w:rsidRPr="00796446" w:rsidTr="005C4E8B">
        <w:trPr>
          <w:trHeight w:val="20"/>
        </w:trPr>
        <w:tc>
          <w:tcPr>
            <w:tcW w:w="3684" w:type="dxa"/>
          </w:tcPr>
          <w:p w:rsidR="005C4E8B" w:rsidRPr="00CC5E0B" w:rsidRDefault="005C4E8B" w:rsidP="005C4E8B">
            <w:pPr>
              <w:rPr>
                <w:rFonts w:cs="Times New Roman"/>
                <w:szCs w:val="22"/>
                <w:lang w:eastAsia="bg-BG"/>
              </w:rPr>
            </w:pPr>
          </w:p>
        </w:tc>
        <w:tc>
          <w:tcPr>
            <w:tcW w:w="1416" w:type="dxa"/>
            <w:tcBorders>
              <w:top w:val="single" w:sz="4" w:space="0" w:color="auto"/>
            </w:tcBorders>
          </w:tcPr>
          <w:p w:rsidR="005C4E8B" w:rsidRPr="00CC5E0B" w:rsidRDefault="005C4E8B" w:rsidP="005C4E8B">
            <w:pPr>
              <w:jc w:val="right"/>
              <w:rPr>
                <w:rFonts w:cs="Times New Roman"/>
                <w:szCs w:val="22"/>
                <w:lang w:eastAsia="bg-BG"/>
              </w:rPr>
            </w:pPr>
          </w:p>
        </w:tc>
        <w:tc>
          <w:tcPr>
            <w:tcW w:w="1417" w:type="dxa"/>
            <w:tcBorders>
              <w:top w:val="single" w:sz="4" w:space="0" w:color="auto"/>
            </w:tcBorders>
          </w:tcPr>
          <w:p w:rsidR="005C4E8B" w:rsidRPr="00CC5E0B" w:rsidRDefault="005C4E8B" w:rsidP="005C4E8B">
            <w:pPr>
              <w:jc w:val="right"/>
              <w:rPr>
                <w:rFonts w:cs="Times New Roman"/>
                <w:szCs w:val="22"/>
                <w:lang w:eastAsia="bg-BG"/>
              </w:rPr>
            </w:pPr>
          </w:p>
        </w:tc>
        <w:tc>
          <w:tcPr>
            <w:tcW w:w="1563" w:type="dxa"/>
            <w:tcBorders>
              <w:top w:val="single" w:sz="4" w:space="0" w:color="auto"/>
            </w:tcBorders>
          </w:tcPr>
          <w:p w:rsidR="005C4E8B" w:rsidRPr="00CC5E0B" w:rsidRDefault="005C4E8B" w:rsidP="005C4E8B">
            <w:pPr>
              <w:jc w:val="right"/>
              <w:rPr>
                <w:rFonts w:cs="Times New Roman"/>
                <w:szCs w:val="22"/>
                <w:lang w:eastAsia="bg-BG"/>
              </w:rPr>
            </w:pPr>
          </w:p>
        </w:tc>
        <w:tc>
          <w:tcPr>
            <w:tcW w:w="992" w:type="dxa"/>
            <w:tcBorders>
              <w:top w:val="single" w:sz="4" w:space="0" w:color="auto"/>
            </w:tcBorders>
          </w:tcPr>
          <w:p w:rsidR="005C4E8B" w:rsidRPr="00CC5E0B" w:rsidRDefault="005C4E8B" w:rsidP="005C4E8B">
            <w:pPr>
              <w:jc w:val="right"/>
              <w:rPr>
                <w:rFonts w:cs="Times New Roman"/>
                <w:b/>
                <w:szCs w:val="22"/>
                <w:lang w:eastAsia="bg-BG"/>
              </w:rPr>
            </w:pPr>
          </w:p>
        </w:tc>
      </w:tr>
      <w:tr w:rsidR="005C4E8B" w:rsidRPr="00796446" w:rsidTr="005C4E8B">
        <w:trPr>
          <w:trHeight w:val="20"/>
        </w:trPr>
        <w:tc>
          <w:tcPr>
            <w:tcW w:w="3684" w:type="dxa"/>
          </w:tcPr>
          <w:p w:rsidR="005C4E8B" w:rsidRPr="00CC5E0B" w:rsidRDefault="005C4E8B" w:rsidP="005C4E8B">
            <w:pPr>
              <w:rPr>
                <w:rFonts w:cs="Times New Roman"/>
                <w:b/>
                <w:szCs w:val="22"/>
                <w:lang w:eastAsia="bg-BG"/>
              </w:rPr>
            </w:pPr>
            <w:r w:rsidRPr="00CC5E0B">
              <w:rPr>
                <w:rFonts w:cs="Times New Roman"/>
                <w:b/>
                <w:szCs w:val="22"/>
                <w:lang w:eastAsia="bg-BG"/>
              </w:rPr>
              <w:t>Амортизация</w:t>
            </w:r>
          </w:p>
        </w:tc>
        <w:tc>
          <w:tcPr>
            <w:tcW w:w="1416" w:type="dxa"/>
            <w:noWrap/>
          </w:tcPr>
          <w:p w:rsidR="005C4E8B" w:rsidRPr="00CC5E0B" w:rsidRDefault="005C4E8B" w:rsidP="005C4E8B">
            <w:pPr>
              <w:jc w:val="right"/>
              <w:rPr>
                <w:rFonts w:cs="Times New Roman"/>
                <w:b/>
                <w:szCs w:val="22"/>
                <w:lang w:eastAsia="bg-BG"/>
              </w:rPr>
            </w:pPr>
          </w:p>
        </w:tc>
        <w:tc>
          <w:tcPr>
            <w:tcW w:w="1417" w:type="dxa"/>
          </w:tcPr>
          <w:p w:rsidR="005C4E8B" w:rsidRPr="00CC5E0B" w:rsidRDefault="005C4E8B" w:rsidP="005C4E8B">
            <w:pPr>
              <w:jc w:val="right"/>
              <w:rPr>
                <w:rFonts w:cs="Times New Roman"/>
                <w:b/>
                <w:szCs w:val="22"/>
                <w:lang w:eastAsia="bg-BG"/>
              </w:rPr>
            </w:pPr>
          </w:p>
        </w:tc>
        <w:tc>
          <w:tcPr>
            <w:tcW w:w="1563" w:type="dxa"/>
          </w:tcPr>
          <w:p w:rsidR="005C4E8B" w:rsidRPr="00CC5E0B" w:rsidRDefault="005C4E8B" w:rsidP="005C4E8B">
            <w:pPr>
              <w:jc w:val="right"/>
              <w:rPr>
                <w:rFonts w:cs="Times New Roman"/>
                <w:b/>
                <w:szCs w:val="22"/>
                <w:lang w:eastAsia="bg-BG"/>
              </w:rPr>
            </w:pPr>
          </w:p>
        </w:tc>
        <w:tc>
          <w:tcPr>
            <w:tcW w:w="992" w:type="dxa"/>
          </w:tcPr>
          <w:p w:rsidR="005C4E8B" w:rsidRPr="00CC5E0B" w:rsidRDefault="005C4E8B" w:rsidP="005C4E8B">
            <w:pPr>
              <w:jc w:val="right"/>
              <w:rPr>
                <w:rFonts w:cs="Times New Roman"/>
                <w:b/>
                <w:szCs w:val="22"/>
                <w:lang w:eastAsia="bg-BG"/>
              </w:rPr>
            </w:pPr>
          </w:p>
        </w:tc>
      </w:tr>
      <w:tr w:rsidR="005C4E8B" w:rsidRPr="00796446" w:rsidTr="005C4E8B">
        <w:trPr>
          <w:trHeight w:val="20"/>
        </w:trPr>
        <w:tc>
          <w:tcPr>
            <w:tcW w:w="3684" w:type="dxa"/>
          </w:tcPr>
          <w:p w:rsidR="005C4E8B" w:rsidRPr="00CC5E0B" w:rsidRDefault="005C4E8B" w:rsidP="005C4E8B">
            <w:pPr>
              <w:rPr>
                <w:rFonts w:cs="Times New Roman"/>
                <w:szCs w:val="22"/>
                <w:lang w:eastAsia="bg-BG"/>
              </w:rPr>
            </w:pPr>
            <w:r w:rsidRPr="00CC5E0B">
              <w:rPr>
                <w:rFonts w:cs="Times New Roman"/>
                <w:szCs w:val="22"/>
                <w:lang w:eastAsia="bg-BG"/>
              </w:rPr>
              <w:t>Салдо към 1 януари 2019 г.</w:t>
            </w:r>
          </w:p>
        </w:tc>
        <w:tc>
          <w:tcPr>
            <w:tcW w:w="1416" w:type="dxa"/>
            <w:noWrap/>
          </w:tcPr>
          <w:p w:rsidR="005C4E8B" w:rsidRPr="00CC5E0B" w:rsidRDefault="005C4E8B" w:rsidP="005C4E8B">
            <w:pPr>
              <w:jc w:val="right"/>
              <w:rPr>
                <w:rFonts w:cs="Times New Roman"/>
                <w:szCs w:val="22"/>
                <w:lang w:eastAsia="bg-BG"/>
              </w:rPr>
            </w:pPr>
            <w:r w:rsidRPr="00CC5E0B">
              <w:rPr>
                <w:rFonts w:cs="Times New Roman"/>
                <w:szCs w:val="22"/>
                <w:lang w:eastAsia="bg-BG"/>
              </w:rPr>
              <w:t>(5)</w:t>
            </w:r>
          </w:p>
        </w:tc>
        <w:tc>
          <w:tcPr>
            <w:tcW w:w="1417" w:type="dxa"/>
          </w:tcPr>
          <w:p w:rsidR="005C4E8B" w:rsidRPr="00CC5E0B" w:rsidRDefault="005C4E8B" w:rsidP="005C4E8B">
            <w:pPr>
              <w:jc w:val="right"/>
              <w:rPr>
                <w:rFonts w:cs="Times New Roman"/>
                <w:szCs w:val="22"/>
                <w:lang w:eastAsia="bg-BG"/>
              </w:rPr>
            </w:pPr>
            <w:r w:rsidRPr="00CC5E0B">
              <w:rPr>
                <w:rFonts w:cs="Times New Roman"/>
                <w:szCs w:val="22"/>
                <w:lang w:eastAsia="bg-BG"/>
              </w:rPr>
              <w:t>-</w:t>
            </w:r>
          </w:p>
        </w:tc>
        <w:tc>
          <w:tcPr>
            <w:tcW w:w="1563" w:type="dxa"/>
          </w:tcPr>
          <w:p w:rsidR="005C4E8B" w:rsidRPr="00CC5E0B" w:rsidRDefault="005C4E8B" w:rsidP="005C4E8B">
            <w:pPr>
              <w:jc w:val="right"/>
              <w:rPr>
                <w:rFonts w:cs="Times New Roman"/>
                <w:szCs w:val="22"/>
                <w:lang w:val="en-US" w:eastAsia="bg-BG"/>
              </w:rPr>
            </w:pPr>
            <w:r w:rsidRPr="00CC5E0B">
              <w:rPr>
                <w:rFonts w:cs="Times New Roman"/>
                <w:szCs w:val="22"/>
                <w:lang w:val="en-US" w:eastAsia="bg-BG"/>
              </w:rPr>
              <w:t>(1)</w:t>
            </w:r>
          </w:p>
        </w:tc>
        <w:tc>
          <w:tcPr>
            <w:tcW w:w="992" w:type="dxa"/>
          </w:tcPr>
          <w:p w:rsidR="005C4E8B" w:rsidRPr="00CC5E0B" w:rsidRDefault="005C4E8B" w:rsidP="005C4E8B">
            <w:pPr>
              <w:jc w:val="right"/>
              <w:rPr>
                <w:rFonts w:cs="Times New Roman"/>
                <w:b/>
                <w:szCs w:val="22"/>
                <w:lang w:eastAsia="bg-BG"/>
              </w:rPr>
            </w:pPr>
            <w:r w:rsidRPr="00CC5E0B">
              <w:rPr>
                <w:rFonts w:cs="Times New Roman"/>
                <w:b/>
                <w:szCs w:val="22"/>
                <w:lang w:eastAsia="bg-BG"/>
              </w:rPr>
              <w:t>(6)</w:t>
            </w:r>
          </w:p>
        </w:tc>
      </w:tr>
      <w:tr w:rsidR="005C4E8B" w:rsidRPr="00796446" w:rsidTr="005C4E8B">
        <w:trPr>
          <w:trHeight w:val="20"/>
        </w:trPr>
        <w:tc>
          <w:tcPr>
            <w:tcW w:w="3684" w:type="dxa"/>
          </w:tcPr>
          <w:p w:rsidR="005C4E8B" w:rsidRPr="00CC5E0B" w:rsidRDefault="005C4E8B" w:rsidP="005C4E8B">
            <w:pPr>
              <w:rPr>
                <w:rFonts w:cs="Times New Roman"/>
                <w:szCs w:val="22"/>
                <w:lang w:eastAsia="bg-BG"/>
              </w:rPr>
            </w:pPr>
            <w:r w:rsidRPr="00CC5E0B">
              <w:rPr>
                <w:rFonts w:cs="Times New Roman"/>
                <w:szCs w:val="22"/>
                <w:lang w:eastAsia="bg-BG"/>
              </w:rPr>
              <w:t>Амортизация за периода</w:t>
            </w:r>
          </w:p>
        </w:tc>
        <w:tc>
          <w:tcPr>
            <w:tcW w:w="1416" w:type="dxa"/>
            <w:tcBorders>
              <w:bottom w:val="single" w:sz="4" w:space="0" w:color="auto"/>
            </w:tcBorders>
            <w:noWrap/>
          </w:tcPr>
          <w:p w:rsidR="005C4E8B" w:rsidRPr="00CC5E0B" w:rsidRDefault="005C4E8B" w:rsidP="005C4E8B">
            <w:pPr>
              <w:jc w:val="right"/>
              <w:rPr>
                <w:rFonts w:cs="Times New Roman"/>
                <w:szCs w:val="22"/>
                <w:lang w:eastAsia="bg-BG"/>
              </w:rPr>
            </w:pPr>
            <w:r w:rsidRPr="00CC5E0B">
              <w:rPr>
                <w:rFonts w:cs="Times New Roman"/>
                <w:szCs w:val="22"/>
                <w:lang w:eastAsia="bg-BG"/>
              </w:rPr>
              <w:t>-</w:t>
            </w:r>
          </w:p>
        </w:tc>
        <w:tc>
          <w:tcPr>
            <w:tcW w:w="1417" w:type="dxa"/>
            <w:tcBorders>
              <w:bottom w:val="single" w:sz="4" w:space="0" w:color="auto"/>
            </w:tcBorders>
          </w:tcPr>
          <w:p w:rsidR="005C4E8B" w:rsidRPr="00CC5E0B" w:rsidRDefault="001B10D5" w:rsidP="005C4E8B">
            <w:pPr>
              <w:jc w:val="right"/>
              <w:rPr>
                <w:rFonts w:cs="Times New Roman"/>
                <w:szCs w:val="22"/>
                <w:lang w:eastAsia="bg-BG"/>
              </w:rPr>
            </w:pPr>
            <w:r w:rsidRPr="00CC5E0B">
              <w:rPr>
                <w:rFonts w:cs="Times New Roman"/>
                <w:szCs w:val="22"/>
                <w:lang w:eastAsia="bg-BG"/>
              </w:rPr>
              <w:t>(1)</w:t>
            </w:r>
          </w:p>
        </w:tc>
        <w:tc>
          <w:tcPr>
            <w:tcW w:w="1563" w:type="dxa"/>
            <w:tcBorders>
              <w:bottom w:val="single" w:sz="4" w:space="0" w:color="auto"/>
            </w:tcBorders>
          </w:tcPr>
          <w:p w:rsidR="005C4E8B" w:rsidRPr="00CC5E0B" w:rsidRDefault="005C4E8B" w:rsidP="005C4E8B">
            <w:pPr>
              <w:jc w:val="right"/>
              <w:rPr>
                <w:rFonts w:cs="Times New Roman"/>
                <w:szCs w:val="22"/>
                <w:lang w:eastAsia="bg-BG"/>
              </w:rPr>
            </w:pPr>
            <w:r w:rsidRPr="00CC5E0B">
              <w:rPr>
                <w:rFonts w:cs="Times New Roman"/>
                <w:szCs w:val="22"/>
                <w:lang w:eastAsia="bg-BG"/>
              </w:rPr>
              <w:t>-</w:t>
            </w:r>
          </w:p>
        </w:tc>
        <w:tc>
          <w:tcPr>
            <w:tcW w:w="992" w:type="dxa"/>
            <w:tcBorders>
              <w:bottom w:val="single" w:sz="4" w:space="0" w:color="auto"/>
            </w:tcBorders>
          </w:tcPr>
          <w:p w:rsidR="005C4E8B" w:rsidRPr="00CC5E0B" w:rsidRDefault="001B10D5" w:rsidP="005C4E8B">
            <w:pPr>
              <w:jc w:val="right"/>
              <w:rPr>
                <w:rFonts w:cs="Times New Roman"/>
                <w:b/>
                <w:bCs/>
                <w:szCs w:val="22"/>
                <w:lang w:eastAsia="bg-BG"/>
              </w:rPr>
            </w:pPr>
            <w:r w:rsidRPr="00CC5E0B">
              <w:rPr>
                <w:rFonts w:cs="Times New Roman"/>
                <w:b/>
                <w:bCs/>
                <w:szCs w:val="22"/>
                <w:lang w:eastAsia="bg-BG"/>
              </w:rPr>
              <w:t>(1)</w:t>
            </w:r>
          </w:p>
        </w:tc>
      </w:tr>
      <w:tr w:rsidR="005C4E8B" w:rsidRPr="00796446" w:rsidTr="005C4E8B">
        <w:trPr>
          <w:trHeight w:val="20"/>
        </w:trPr>
        <w:tc>
          <w:tcPr>
            <w:tcW w:w="3684" w:type="dxa"/>
          </w:tcPr>
          <w:p w:rsidR="005C4E8B" w:rsidRPr="00CC5E0B" w:rsidRDefault="005C4E8B" w:rsidP="005C4E8B">
            <w:pPr>
              <w:rPr>
                <w:rFonts w:cs="Times New Roman"/>
                <w:b/>
                <w:szCs w:val="22"/>
                <w:lang w:eastAsia="bg-BG"/>
              </w:rPr>
            </w:pPr>
            <w:r w:rsidRPr="00CC5E0B">
              <w:rPr>
                <w:rFonts w:cs="Times New Roman"/>
                <w:b/>
                <w:szCs w:val="22"/>
                <w:lang w:eastAsia="bg-BG"/>
              </w:rPr>
              <w:t>Салдо към 3</w:t>
            </w:r>
            <w:r w:rsidR="006D23AB" w:rsidRPr="00CC5E0B">
              <w:rPr>
                <w:rFonts w:cs="Times New Roman"/>
                <w:b/>
                <w:szCs w:val="22"/>
                <w:lang w:eastAsia="bg-BG"/>
              </w:rPr>
              <w:t>0</w:t>
            </w:r>
            <w:r w:rsidRPr="00CC5E0B">
              <w:rPr>
                <w:rFonts w:cs="Times New Roman"/>
                <w:b/>
                <w:szCs w:val="22"/>
                <w:lang w:eastAsia="bg-BG"/>
              </w:rPr>
              <w:t xml:space="preserve"> </w:t>
            </w:r>
            <w:r w:rsidR="006D23AB" w:rsidRPr="00CC5E0B">
              <w:rPr>
                <w:rFonts w:cs="Times New Roman"/>
                <w:b/>
                <w:szCs w:val="22"/>
                <w:lang w:eastAsia="bg-BG"/>
              </w:rPr>
              <w:t>юни</w:t>
            </w:r>
            <w:r w:rsidRPr="00CC5E0B">
              <w:rPr>
                <w:rFonts w:cs="Times New Roman"/>
                <w:b/>
                <w:szCs w:val="22"/>
                <w:lang w:eastAsia="bg-BG"/>
              </w:rPr>
              <w:t xml:space="preserve"> 2019 г.</w:t>
            </w:r>
          </w:p>
        </w:tc>
        <w:tc>
          <w:tcPr>
            <w:tcW w:w="1416" w:type="dxa"/>
            <w:tcBorders>
              <w:top w:val="single" w:sz="4" w:space="0" w:color="auto"/>
              <w:bottom w:val="single" w:sz="4" w:space="0" w:color="auto"/>
            </w:tcBorders>
            <w:noWrap/>
          </w:tcPr>
          <w:p w:rsidR="005C4E8B" w:rsidRPr="00CC5E0B" w:rsidRDefault="005C4E8B" w:rsidP="005C4E8B">
            <w:pPr>
              <w:jc w:val="right"/>
              <w:rPr>
                <w:rFonts w:cs="Times New Roman"/>
                <w:b/>
                <w:szCs w:val="22"/>
                <w:lang w:eastAsia="bg-BG"/>
              </w:rPr>
            </w:pPr>
            <w:r w:rsidRPr="00CC5E0B">
              <w:rPr>
                <w:rFonts w:cs="Times New Roman"/>
                <w:b/>
                <w:szCs w:val="22"/>
                <w:lang w:eastAsia="bg-BG"/>
              </w:rPr>
              <w:t>(5)</w:t>
            </w:r>
          </w:p>
        </w:tc>
        <w:tc>
          <w:tcPr>
            <w:tcW w:w="1417" w:type="dxa"/>
            <w:tcBorders>
              <w:top w:val="single" w:sz="4" w:space="0" w:color="auto"/>
              <w:bottom w:val="single" w:sz="4" w:space="0" w:color="auto"/>
            </w:tcBorders>
          </w:tcPr>
          <w:p w:rsidR="005C4E8B" w:rsidRPr="00CC5E0B" w:rsidRDefault="001B10D5" w:rsidP="005C4E8B">
            <w:pPr>
              <w:jc w:val="right"/>
              <w:rPr>
                <w:rFonts w:cs="Times New Roman"/>
                <w:b/>
                <w:bCs/>
                <w:szCs w:val="22"/>
                <w:lang w:eastAsia="bg-BG"/>
              </w:rPr>
            </w:pPr>
            <w:r w:rsidRPr="00CC5E0B">
              <w:rPr>
                <w:rFonts w:cs="Times New Roman"/>
                <w:b/>
                <w:bCs/>
                <w:szCs w:val="22"/>
                <w:lang w:eastAsia="bg-BG"/>
              </w:rPr>
              <w:t>(1)</w:t>
            </w:r>
          </w:p>
        </w:tc>
        <w:tc>
          <w:tcPr>
            <w:tcW w:w="1563" w:type="dxa"/>
            <w:tcBorders>
              <w:top w:val="single" w:sz="4" w:space="0" w:color="auto"/>
              <w:bottom w:val="single" w:sz="4" w:space="0" w:color="auto"/>
            </w:tcBorders>
          </w:tcPr>
          <w:p w:rsidR="005C4E8B" w:rsidRPr="00CC5E0B" w:rsidRDefault="005C4E8B" w:rsidP="005C4E8B">
            <w:pPr>
              <w:jc w:val="right"/>
              <w:rPr>
                <w:rFonts w:cs="Times New Roman"/>
                <w:b/>
                <w:szCs w:val="22"/>
                <w:lang w:eastAsia="bg-BG"/>
              </w:rPr>
            </w:pPr>
            <w:r w:rsidRPr="00CC5E0B">
              <w:rPr>
                <w:rFonts w:cs="Times New Roman"/>
                <w:b/>
                <w:szCs w:val="22"/>
                <w:lang w:eastAsia="bg-BG"/>
              </w:rPr>
              <w:t>(1)</w:t>
            </w:r>
          </w:p>
        </w:tc>
        <w:tc>
          <w:tcPr>
            <w:tcW w:w="992" w:type="dxa"/>
            <w:tcBorders>
              <w:top w:val="single" w:sz="4" w:space="0" w:color="auto"/>
              <w:bottom w:val="single" w:sz="4" w:space="0" w:color="auto"/>
            </w:tcBorders>
          </w:tcPr>
          <w:p w:rsidR="005C4E8B" w:rsidRPr="00CC5E0B" w:rsidRDefault="005C4E8B" w:rsidP="005C4E8B">
            <w:pPr>
              <w:jc w:val="right"/>
              <w:rPr>
                <w:rFonts w:cs="Times New Roman"/>
                <w:b/>
                <w:szCs w:val="22"/>
                <w:lang w:eastAsia="bg-BG"/>
              </w:rPr>
            </w:pPr>
            <w:r w:rsidRPr="00CC5E0B">
              <w:rPr>
                <w:rFonts w:cs="Times New Roman"/>
                <w:b/>
                <w:szCs w:val="22"/>
                <w:lang w:eastAsia="bg-BG"/>
              </w:rPr>
              <w:t>(</w:t>
            </w:r>
            <w:r w:rsidR="001B10D5" w:rsidRPr="00CC5E0B">
              <w:rPr>
                <w:rFonts w:cs="Times New Roman"/>
                <w:b/>
                <w:szCs w:val="22"/>
                <w:lang w:eastAsia="bg-BG"/>
              </w:rPr>
              <w:t>7</w:t>
            </w:r>
            <w:r w:rsidRPr="00CC5E0B">
              <w:rPr>
                <w:rFonts w:cs="Times New Roman"/>
                <w:b/>
                <w:szCs w:val="22"/>
                <w:lang w:eastAsia="bg-BG"/>
              </w:rPr>
              <w:t>)</w:t>
            </w:r>
          </w:p>
        </w:tc>
      </w:tr>
      <w:tr w:rsidR="005C4E8B" w:rsidRPr="00796446" w:rsidTr="005C4E8B">
        <w:trPr>
          <w:trHeight w:val="20"/>
        </w:trPr>
        <w:tc>
          <w:tcPr>
            <w:tcW w:w="3684" w:type="dxa"/>
          </w:tcPr>
          <w:p w:rsidR="005C4E8B" w:rsidRPr="00CC5E0B" w:rsidRDefault="005C4E8B" w:rsidP="005C4E8B">
            <w:pPr>
              <w:rPr>
                <w:rFonts w:cs="Times New Roman"/>
                <w:b/>
                <w:szCs w:val="22"/>
                <w:lang w:eastAsia="bg-BG"/>
              </w:rPr>
            </w:pPr>
            <w:r w:rsidRPr="00CC5E0B">
              <w:rPr>
                <w:rFonts w:cs="Times New Roman"/>
                <w:b/>
                <w:szCs w:val="22"/>
                <w:lang w:eastAsia="bg-BG"/>
              </w:rPr>
              <w:t xml:space="preserve">Балансова стойност към </w:t>
            </w:r>
          </w:p>
          <w:p w:rsidR="005C4E8B" w:rsidRPr="00CC5E0B" w:rsidRDefault="005C4E8B" w:rsidP="005C4E8B">
            <w:pPr>
              <w:rPr>
                <w:rFonts w:cs="Times New Roman"/>
                <w:b/>
                <w:szCs w:val="22"/>
                <w:lang w:eastAsia="bg-BG"/>
              </w:rPr>
            </w:pPr>
            <w:r w:rsidRPr="00CC5E0B">
              <w:rPr>
                <w:rFonts w:cs="Times New Roman"/>
                <w:b/>
                <w:szCs w:val="22"/>
                <w:lang w:eastAsia="bg-BG"/>
              </w:rPr>
              <w:t>3</w:t>
            </w:r>
            <w:r w:rsidR="006D23AB" w:rsidRPr="00CC5E0B">
              <w:rPr>
                <w:rFonts w:cs="Times New Roman"/>
                <w:b/>
                <w:szCs w:val="22"/>
                <w:lang w:eastAsia="bg-BG"/>
              </w:rPr>
              <w:t>0</w:t>
            </w:r>
            <w:r w:rsidRPr="00CC5E0B">
              <w:rPr>
                <w:rFonts w:cs="Times New Roman"/>
                <w:b/>
                <w:szCs w:val="22"/>
                <w:lang w:eastAsia="bg-BG"/>
              </w:rPr>
              <w:t xml:space="preserve"> </w:t>
            </w:r>
            <w:r w:rsidR="006D23AB" w:rsidRPr="00CC5E0B">
              <w:rPr>
                <w:rFonts w:cs="Times New Roman"/>
                <w:b/>
                <w:szCs w:val="22"/>
                <w:lang w:eastAsia="bg-BG"/>
              </w:rPr>
              <w:t>юни</w:t>
            </w:r>
            <w:r w:rsidRPr="00CC5E0B">
              <w:rPr>
                <w:rFonts w:cs="Times New Roman"/>
                <w:b/>
                <w:szCs w:val="22"/>
                <w:lang w:eastAsia="bg-BG"/>
              </w:rPr>
              <w:t xml:space="preserve"> 2019 г.</w:t>
            </w:r>
          </w:p>
        </w:tc>
        <w:tc>
          <w:tcPr>
            <w:tcW w:w="1416" w:type="dxa"/>
            <w:tcBorders>
              <w:top w:val="single" w:sz="4" w:space="0" w:color="auto"/>
              <w:bottom w:val="double" w:sz="4" w:space="0" w:color="auto"/>
            </w:tcBorders>
            <w:noWrap/>
          </w:tcPr>
          <w:p w:rsidR="005C4E8B" w:rsidRPr="00CC5E0B" w:rsidRDefault="005C4E8B" w:rsidP="005C4E8B">
            <w:pPr>
              <w:jc w:val="right"/>
              <w:rPr>
                <w:rFonts w:cs="Times New Roman"/>
                <w:b/>
                <w:szCs w:val="22"/>
                <w:lang w:eastAsia="bg-BG"/>
              </w:rPr>
            </w:pPr>
          </w:p>
          <w:p w:rsidR="005C4E8B" w:rsidRPr="00CC5E0B" w:rsidRDefault="005C4E8B" w:rsidP="005C4E8B">
            <w:pPr>
              <w:jc w:val="right"/>
              <w:rPr>
                <w:rFonts w:cs="Times New Roman"/>
                <w:b/>
                <w:szCs w:val="22"/>
                <w:lang w:eastAsia="bg-BG"/>
              </w:rPr>
            </w:pPr>
            <w:r w:rsidRPr="00CC5E0B">
              <w:rPr>
                <w:rFonts w:cs="Times New Roman"/>
                <w:b/>
                <w:szCs w:val="22"/>
                <w:lang w:eastAsia="bg-BG"/>
              </w:rPr>
              <w:t>-</w:t>
            </w:r>
          </w:p>
        </w:tc>
        <w:tc>
          <w:tcPr>
            <w:tcW w:w="1417" w:type="dxa"/>
            <w:tcBorders>
              <w:top w:val="single" w:sz="4" w:space="0" w:color="auto"/>
              <w:bottom w:val="double" w:sz="4" w:space="0" w:color="auto"/>
            </w:tcBorders>
          </w:tcPr>
          <w:p w:rsidR="005C4E8B" w:rsidRPr="00CC5E0B" w:rsidRDefault="005C4E8B" w:rsidP="005C4E8B">
            <w:pPr>
              <w:jc w:val="right"/>
              <w:rPr>
                <w:rFonts w:cs="Times New Roman"/>
                <w:b/>
                <w:szCs w:val="22"/>
                <w:lang w:eastAsia="bg-BG"/>
              </w:rPr>
            </w:pPr>
          </w:p>
          <w:p w:rsidR="005C4E8B" w:rsidRPr="00CC5E0B" w:rsidRDefault="001B10D5" w:rsidP="005C4E8B">
            <w:pPr>
              <w:jc w:val="right"/>
              <w:rPr>
                <w:rFonts w:cs="Times New Roman"/>
                <w:b/>
                <w:szCs w:val="22"/>
                <w:lang w:eastAsia="bg-BG"/>
              </w:rPr>
            </w:pPr>
            <w:r w:rsidRPr="00CC5E0B">
              <w:rPr>
                <w:rFonts w:cs="Times New Roman"/>
                <w:b/>
                <w:szCs w:val="22"/>
                <w:lang w:eastAsia="bg-BG"/>
              </w:rPr>
              <w:t>-</w:t>
            </w:r>
          </w:p>
        </w:tc>
        <w:tc>
          <w:tcPr>
            <w:tcW w:w="1563" w:type="dxa"/>
            <w:tcBorders>
              <w:top w:val="single" w:sz="4" w:space="0" w:color="auto"/>
              <w:bottom w:val="double" w:sz="4" w:space="0" w:color="auto"/>
            </w:tcBorders>
          </w:tcPr>
          <w:p w:rsidR="005C4E8B" w:rsidRPr="00CC5E0B" w:rsidRDefault="005C4E8B" w:rsidP="005C4E8B">
            <w:pPr>
              <w:jc w:val="right"/>
              <w:rPr>
                <w:rFonts w:cs="Times New Roman"/>
                <w:b/>
                <w:szCs w:val="22"/>
                <w:lang w:eastAsia="bg-BG"/>
              </w:rPr>
            </w:pPr>
          </w:p>
          <w:p w:rsidR="005C4E8B" w:rsidRPr="00CC5E0B" w:rsidRDefault="005C4E8B" w:rsidP="005C4E8B">
            <w:pPr>
              <w:jc w:val="right"/>
              <w:rPr>
                <w:rFonts w:cs="Times New Roman"/>
                <w:b/>
                <w:szCs w:val="22"/>
                <w:lang w:eastAsia="bg-BG"/>
              </w:rPr>
            </w:pPr>
            <w:r w:rsidRPr="00CC5E0B">
              <w:rPr>
                <w:rFonts w:cs="Times New Roman"/>
                <w:b/>
                <w:szCs w:val="22"/>
                <w:lang w:eastAsia="bg-BG"/>
              </w:rPr>
              <w:t>5</w:t>
            </w:r>
          </w:p>
        </w:tc>
        <w:tc>
          <w:tcPr>
            <w:tcW w:w="992" w:type="dxa"/>
            <w:tcBorders>
              <w:top w:val="single" w:sz="4" w:space="0" w:color="auto"/>
              <w:bottom w:val="double" w:sz="4" w:space="0" w:color="auto"/>
            </w:tcBorders>
          </w:tcPr>
          <w:p w:rsidR="005C4E8B" w:rsidRPr="00CC5E0B" w:rsidRDefault="005C4E8B" w:rsidP="005C4E8B">
            <w:pPr>
              <w:jc w:val="right"/>
              <w:rPr>
                <w:rFonts w:cs="Times New Roman"/>
                <w:b/>
                <w:szCs w:val="22"/>
                <w:lang w:eastAsia="bg-BG"/>
              </w:rPr>
            </w:pPr>
          </w:p>
          <w:p w:rsidR="005C4E8B" w:rsidRPr="00CC5E0B" w:rsidRDefault="001B10D5" w:rsidP="005C4E8B">
            <w:pPr>
              <w:jc w:val="right"/>
              <w:rPr>
                <w:rFonts w:cs="Times New Roman"/>
                <w:b/>
                <w:szCs w:val="22"/>
                <w:lang w:eastAsia="bg-BG"/>
              </w:rPr>
            </w:pPr>
            <w:r w:rsidRPr="00CC5E0B">
              <w:rPr>
                <w:rFonts w:cs="Times New Roman"/>
                <w:b/>
                <w:szCs w:val="22"/>
                <w:lang w:eastAsia="bg-BG"/>
              </w:rPr>
              <w:t>5</w:t>
            </w:r>
          </w:p>
        </w:tc>
      </w:tr>
      <w:tr w:rsidR="005C4E8B" w:rsidRPr="00796446" w:rsidTr="005C4E8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Ex>
        <w:trPr>
          <w:gridBefore w:val="1"/>
          <w:wBefore w:w="3684" w:type="dxa"/>
          <w:trHeight w:val="105"/>
        </w:trPr>
        <w:tc>
          <w:tcPr>
            <w:tcW w:w="5388" w:type="dxa"/>
            <w:gridSpan w:val="4"/>
            <w:tcBorders>
              <w:top w:val="double" w:sz="4" w:space="0" w:color="auto"/>
              <w:left w:val="nil"/>
              <w:bottom w:val="nil"/>
              <w:right w:val="nil"/>
            </w:tcBorders>
          </w:tcPr>
          <w:p w:rsidR="005C4E8B" w:rsidRPr="00796446" w:rsidRDefault="005C4E8B" w:rsidP="005C4E8B">
            <w:pPr>
              <w:spacing w:after="120" w:line="259" w:lineRule="auto"/>
              <w:jc w:val="both"/>
              <w:rPr>
                <w:szCs w:val="22"/>
              </w:rPr>
            </w:pPr>
          </w:p>
        </w:tc>
      </w:tr>
    </w:tbl>
    <w:p w:rsidR="00D224DA" w:rsidRDefault="00D224DA" w:rsidP="00817FBA">
      <w:pPr>
        <w:spacing w:after="120" w:line="259" w:lineRule="auto"/>
        <w:jc w:val="both"/>
        <w:rPr>
          <w:szCs w:val="22"/>
        </w:rPr>
      </w:pPr>
    </w:p>
    <w:p w:rsidR="00E05BBA" w:rsidRDefault="00E05BBA" w:rsidP="00817FBA">
      <w:pPr>
        <w:spacing w:after="120" w:line="259" w:lineRule="auto"/>
        <w:jc w:val="both"/>
        <w:rPr>
          <w:szCs w:val="22"/>
        </w:rPr>
      </w:pPr>
    </w:p>
    <w:p w:rsidR="00E05BBA" w:rsidRDefault="00E05BBA" w:rsidP="00817FBA">
      <w:pPr>
        <w:spacing w:after="120" w:line="259" w:lineRule="auto"/>
        <w:jc w:val="both"/>
        <w:rPr>
          <w:szCs w:val="22"/>
        </w:rPr>
      </w:pPr>
    </w:p>
    <w:p w:rsidR="00E05BBA" w:rsidRDefault="00E05BBA" w:rsidP="00817FBA">
      <w:pPr>
        <w:spacing w:after="120" w:line="259" w:lineRule="auto"/>
        <w:jc w:val="both"/>
        <w:rPr>
          <w:szCs w:val="22"/>
        </w:rPr>
      </w:pPr>
    </w:p>
    <w:p w:rsidR="00E05BBA" w:rsidRDefault="00E05BBA" w:rsidP="00817FBA">
      <w:pPr>
        <w:spacing w:after="120" w:line="259" w:lineRule="auto"/>
        <w:jc w:val="both"/>
        <w:rPr>
          <w:szCs w:val="22"/>
        </w:rPr>
      </w:pPr>
    </w:p>
    <w:p w:rsidR="00E05BBA" w:rsidRDefault="00E05BBA" w:rsidP="00817FBA">
      <w:pPr>
        <w:spacing w:after="120" w:line="259" w:lineRule="auto"/>
        <w:jc w:val="both"/>
        <w:rPr>
          <w:szCs w:val="22"/>
        </w:rPr>
      </w:pPr>
    </w:p>
    <w:p w:rsidR="00E05BBA" w:rsidRPr="00796446" w:rsidRDefault="00E05BBA" w:rsidP="00817FBA">
      <w:pPr>
        <w:spacing w:after="120" w:line="259" w:lineRule="auto"/>
        <w:jc w:val="both"/>
        <w:rPr>
          <w:szCs w:val="22"/>
        </w:rPr>
      </w:pPr>
    </w:p>
    <w:p w:rsidR="00D224DA" w:rsidRPr="00796446" w:rsidRDefault="00D224DA" w:rsidP="00817FBA">
      <w:pPr>
        <w:spacing w:after="120" w:line="259" w:lineRule="auto"/>
        <w:jc w:val="both"/>
        <w:rPr>
          <w:szCs w:val="22"/>
        </w:rPr>
      </w:pPr>
    </w:p>
    <w:tbl>
      <w:tblPr>
        <w:tblW w:w="9180" w:type="dxa"/>
        <w:tblLayout w:type="fixed"/>
        <w:tblLook w:val="00A0"/>
      </w:tblPr>
      <w:tblGrid>
        <w:gridCol w:w="3686"/>
        <w:gridCol w:w="1417"/>
        <w:gridCol w:w="1418"/>
        <w:gridCol w:w="1559"/>
        <w:gridCol w:w="1100"/>
      </w:tblGrid>
      <w:tr w:rsidR="00183665" w:rsidRPr="00796446" w:rsidTr="00CC5E0B">
        <w:trPr>
          <w:trHeight w:val="20"/>
        </w:trPr>
        <w:tc>
          <w:tcPr>
            <w:tcW w:w="3686" w:type="dxa"/>
            <w:shd w:val="clear" w:color="auto" w:fill="auto"/>
          </w:tcPr>
          <w:p w:rsidR="00183665" w:rsidRPr="00796446" w:rsidRDefault="00183665" w:rsidP="000E4BAC">
            <w:pPr>
              <w:rPr>
                <w:b/>
                <w:szCs w:val="22"/>
              </w:rPr>
            </w:pPr>
            <w:r w:rsidRPr="00796446">
              <w:rPr>
                <w:b/>
                <w:szCs w:val="22"/>
              </w:rPr>
              <w:t>Към 31.12.2018 г.</w:t>
            </w:r>
          </w:p>
          <w:p w:rsidR="00183665" w:rsidRPr="00CC5E0B" w:rsidRDefault="00183665" w:rsidP="00183665">
            <w:pPr>
              <w:ind w:left="-105"/>
              <w:rPr>
                <w:rFonts w:cs="Times New Roman"/>
                <w:szCs w:val="22"/>
                <w:lang w:eastAsia="bg-BG"/>
              </w:rPr>
            </w:pPr>
          </w:p>
        </w:tc>
        <w:tc>
          <w:tcPr>
            <w:tcW w:w="1417" w:type="dxa"/>
            <w:shd w:val="clear" w:color="auto" w:fill="auto"/>
          </w:tcPr>
          <w:p w:rsidR="00183665" w:rsidRPr="00CC5E0B" w:rsidRDefault="00183665" w:rsidP="00EE2830">
            <w:pPr>
              <w:jc w:val="right"/>
              <w:rPr>
                <w:rFonts w:cs="Times New Roman"/>
                <w:b/>
                <w:bCs/>
                <w:szCs w:val="22"/>
                <w:lang w:eastAsia="bg-BG"/>
              </w:rPr>
            </w:pPr>
            <w:r w:rsidRPr="00CC5E0B">
              <w:rPr>
                <w:rFonts w:cs="Times New Roman"/>
                <w:b/>
                <w:bCs/>
                <w:szCs w:val="22"/>
                <w:lang w:eastAsia="bg-BG"/>
              </w:rPr>
              <w:t xml:space="preserve">Софтуер       </w:t>
            </w:r>
          </w:p>
        </w:tc>
        <w:tc>
          <w:tcPr>
            <w:tcW w:w="1418" w:type="dxa"/>
          </w:tcPr>
          <w:p w:rsidR="00183665" w:rsidRPr="00CC5E0B" w:rsidRDefault="00183665" w:rsidP="00EE2830">
            <w:pPr>
              <w:jc w:val="right"/>
              <w:rPr>
                <w:rFonts w:cs="Times New Roman"/>
                <w:b/>
                <w:bCs/>
                <w:szCs w:val="22"/>
                <w:lang w:eastAsia="bg-BG"/>
              </w:rPr>
            </w:pPr>
            <w:r w:rsidRPr="00CC5E0B">
              <w:rPr>
                <w:rFonts w:cs="Times New Roman"/>
                <w:b/>
                <w:bCs/>
                <w:szCs w:val="22"/>
                <w:lang w:eastAsia="bg-BG"/>
              </w:rPr>
              <w:t>Патенти и лицензи</w:t>
            </w:r>
          </w:p>
        </w:tc>
        <w:tc>
          <w:tcPr>
            <w:tcW w:w="1559" w:type="dxa"/>
            <w:shd w:val="clear" w:color="auto" w:fill="auto"/>
          </w:tcPr>
          <w:p w:rsidR="00183665" w:rsidRPr="00CC5E0B" w:rsidRDefault="00183665" w:rsidP="00EE2830">
            <w:pPr>
              <w:jc w:val="right"/>
              <w:rPr>
                <w:rFonts w:cs="Times New Roman"/>
                <w:b/>
                <w:bCs/>
                <w:szCs w:val="22"/>
                <w:lang w:eastAsia="bg-BG"/>
              </w:rPr>
            </w:pPr>
            <w:r w:rsidRPr="00CC5E0B">
              <w:rPr>
                <w:rFonts w:cs="Times New Roman"/>
                <w:b/>
                <w:bCs/>
                <w:szCs w:val="22"/>
                <w:lang w:eastAsia="bg-BG"/>
              </w:rPr>
              <w:t xml:space="preserve">Енергийни сервитути </w:t>
            </w:r>
          </w:p>
        </w:tc>
        <w:tc>
          <w:tcPr>
            <w:tcW w:w="1100" w:type="dxa"/>
            <w:shd w:val="clear" w:color="auto" w:fill="auto"/>
          </w:tcPr>
          <w:p w:rsidR="00183665" w:rsidRPr="00CC5E0B" w:rsidRDefault="00183665" w:rsidP="00EE2830">
            <w:pPr>
              <w:jc w:val="right"/>
              <w:rPr>
                <w:rFonts w:cs="Times New Roman"/>
                <w:b/>
                <w:bCs/>
                <w:szCs w:val="22"/>
                <w:lang w:eastAsia="bg-BG"/>
              </w:rPr>
            </w:pPr>
            <w:r w:rsidRPr="00CC5E0B">
              <w:rPr>
                <w:rFonts w:cs="Times New Roman"/>
                <w:b/>
                <w:bCs/>
                <w:szCs w:val="22"/>
                <w:lang w:eastAsia="bg-BG"/>
              </w:rPr>
              <w:t>Общо</w:t>
            </w:r>
          </w:p>
        </w:tc>
      </w:tr>
      <w:tr w:rsidR="00183665" w:rsidRPr="00796446" w:rsidTr="00CC5E0B">
        <w:trPr>
          <w:trHeight w:val="20"/>
        </w:trPr>
        <w:tc>
          <w:tcPr>
            <w:tcW w:w="3686" w:type="dxa"/>
            <w:shd w:val="clear" w:color="auto" w:fill="auto"/>
          </w:tcPr>
          <w:p w:rsidR="00183665" w:rsidRPr="00CC5E0B" w:rsidRDefault="00183665" w:rsidP="00817FBA">
            <w:pPr>
              <w:rPr>
                <w:rFonts w:cs="Times New Roman"/>
                <w:szCs w:val="22"/>
                <w:lang w:eastAsia="bg-BG"/>
              </w:rPr>
            </w:pPr>
          </w:p>
        </w:tc>
        <w:tc>
          <w:tcPr>
            <w:tcW w:w="1417" w:type="dxa"/>
            <w:shd w:val="clear" w:color="auto" w:fill="auto"/>
          </w:tcPr>
          <w:p w:rsidR="00183665" w:rsidRPr="00CC5E0B" w:rsidRDefault="00183665" w:rsidP="00EE2830">
            <w:pPr>
              <w:autoSpaceDE w:val="0"/>
              <w:autoSpaceDN w:val="0"/>
              <w:adjustRightInd w:val="0"/>
              <w:jc w:val="right"/>
              <w:rPr>
                <w:b/>
                <w:bCs/>
                <w:szCs w:val="22"/>
              </w:rPr>
            </w:pPr>
            <w:r w:rsidRPr="00CC5E0B">
              <w:rPr>
                <w:b/>
                <w:bCs/>
                <w:szCs w:val="22"/>
              </w:rPr>
              <w:t>‘000 лв.</w:t>
            </w:r>
          </w:p>
        </w:tc>
        <w:tc>
          <w:tcPr>
            <w:tcW w:w="1418" w:type="dxa"/>
          </w:tcPr>
          <w:p w:rsidR="00183665" w:rsidRPr="00CC5E0B" w:rsidRDefault="00183665" w:rsidP="00EE2830">
            <w:pPr>
              <w:autoSpaceDE w:val="0"/>
              <w:autoSpaceDN w:val="0"/>
              <w:adjustRightInd w:val="0"/>
              <w:jc w:val="right"/>
              <w:rPr>
                <w:b/>
                <w:bCs/>
                <w:szCs w:val="22"/>
              </w:rPr>
            </w:pPr>
          </w:p>
        </w:tc>
        <w:tc>
          <w:tcPr>
            <w:tcW w:w="1559" w:type="dxa"/>
            <w:shd w:val="clear" w:color="auto" w:fill="auto"/>
          </w:tcPr>
          <w:p w:rsidR="00183665" w:rsidRPr="00CC5E0B" w:rsidRDefault="00183665" w:rsidP="00EE2830">
            <w:pPr>
              <w:autoSpaceDE w:val="0"/>
              <w:autoSpaceDN w:val="0"/>
              <w:adjustRightInd w:val="0"/>
              <w:jc w:val="right"/>
              <w:rPr>
                <w:b/>
                <w:bCs/>
                <w:szCs w:val="22"/>
              </w:rPr>
            </w:pPr>
            <w:r w:rsidRPr="00CC5E0B">
              <w:rPr>
                <w:b/>
                <w:bCs/>
                <w:szCs w:val="22"/>
              </w:rPr>
              <w:t>‘000 лв.</w:t>
            </w:r>
          </w:p>
        </w:tc>
        <w:tc>
          <w:tcPr>
            <w:tcW w:w="1100" w:type="dxa"/>
            <w:shd w:val="clear" w:color="auto" w:fill="auto"/>
          </w:tcPr>
          <w:p w:rsidR="00183665" w:rsidRPr="00CC5E0B" w:rsidRDefault="00183665" w:rsidP="00EE2830">
            <w:pPr>
              <w:autoSpaceDE w:val="0"/>
              <w:autoSpaceDN w:val="0"/>
              <w:adjustRightInd w:val="0"/>
              <w:jc w:val="right"/>
              <w:rPr>
                <w:b/>
                <w:bCs/>
                <w:szCs w:val="22"/>
              </w:rPr>
            </w:pPr>
            <w:r w:rsidRPr="00CC5E0B">
              <w:rPr>
                <w:b/>
                <w:bCs/>
                <w:szCs w:val="22"/>
              </w:rPr>
              <w:t>‘000 лв.</w:t>
            </w:r>
          </w:p>
        </w:tc>
      </w:tr>
      <w:tr w:rsidR="00183665" w:rsidRPr="00796446" w:rsidTr="00CC5E0B">
        <w:trPr>
          <w:trHeight w:val="20"/>
        </w:trPr>
        <w:tc>
          <w:tcPr>
            <w:tcW w:w="3686" w:type="dxa"/>
            <w:shd w:val="clear" w:color="auto" w:fill="auto"/>
          </w:tcPr>
          <w:p w:rsidR="00183665" w:rsidRPr="00CC5E0B" w:rsidRDefault="00183665" w:rsidP="00817FBA">
            <w:pPr>
              <w:rPr>
                <w:rFonts w:cs="Times New Roman"/>
                <w:szCs w:val="22"/>
                <w:lang w:eastAsia="bg-BG"/>
              </w:rPr>
            </w:pPr>
            <w:r w:rsidRPr="00CC5E0B">
              <w:rPr>
                <w:rFonts w:cs="Times New Roman"/>
                <w:b/>
                <w:bCs/>
                <w:szCs w:val="22"/>
                <w:lang w:eastAsia="bg-BG"/>
              </w:rPr>
              <w:t>Брутна балансова стойност</w:t>
            </w:r>
          </w:p>
        </w:tc>
        <w:tc>
          <w:tcPr>
            <w:tcW w:w="1417" w:type="dxa"/>
            <w:shd w:val="clear" w:color="auto" w:fill="auto"/>
          </w:tcPr>
          <w:p w:rsidR="00183665" w:rsidRPr="00CC5E0B" w:rsidRDefault="00183665" w:rsidP="00EE2830">
            <w:pPr>
              <w:jc w:val="right"/>
              <w:rPr>
                <w:rFonts w:cs="Times New Roman"/>
                <w:szCs w:val="22"/>
                <w:lang w:eastAsia="bg-BG"/>
              </w:rPr>
            </w:pPr>
          </w:p>
        </w:tc>
        <w:tc>
          <w:tcPr>
            <w:tcW w:w="1418" w:type="dxa"/>
          </w:tcPr>
          <w:p w:rsidR="00183665" w:rsidRPr="00CC5E0B" w:rsidRDefault="00183665" w:rsidP="00EE2830">
            <w:pPr>
              <w:jc w:val="right"/>
              <w:rPr>
                <w:rFonts w:cs="Times New Roman"/>
                <w:szCs w:val="22"/>
                <w:lang w:eastAsia="bg-BG"/>
              </w:rPr>
            </w:pPr>
          </w:p>
        </w:tc>
        <w:tc>
          <w:tcPr>
            <w:tcW w:w="1559" w:type="dxa"/>
            <w:shd w:val="clear" w:color="auto" w:fill="auto"/>
          </w:tcPr>
          <w:p w:rsidR="00183665" w:rsidRPr="00CC5E0B" w:rsidRDefault="00183665" w:rsidP="00EE2830">
            <w:pPr>
              <w:jc w:val="right"/>
              <w:rPr>
                <w:rFonts w:cs="Times New Roman"/>
                <w:szCs w:val="22"/>
                <w:lang w:eastAsia="bg-BG"/>
              </w:rPr>
            </w:pPr>
          </w:p>
        </w:tc>
        <w:tc>
          <w:tcPr>
            <w:tcW w:w="1100" w:type="dxa"/>
            <w:shd w:val="clear" w:color="auto" w:fill="auto"/>
          </w:tcPr>
          <w:p w:rsidR="00183665" w:rsidRPr="00CC5E0B" w:rsidRDefault="00183665" w:rsidP="00EE2830">
            <w:pPr>
              <w:jc w:val="right"/>
              <w:rPr>
                <w:rFonts w:cs="Times New Roman"/>
                <w:b/>
                <w:szCs w:val="22"/>
                <w:lang w:eastAsia="bg-BG"/>
              </w:rPr>
            </w:pPr>
          </w:p>
        </w:tc>
      </w:tr>
      <w:tr w:rsidR="00183665" w:rsidRPr="00796446" w:rsidTr="00CC5E0B">
        <w:trPr>
          <w:trHeight w:val="20"/>
        </w:trPr>
        <w:tc>
          <w:tcPr>
            <w:tcW w:w="3686" w:type="dxa"/>
            <w:shd w:val="clear" w:color="auto" w:fill="auto"/>
          </w:tcPr>
          <w:p w:rsidR="00183665" w:rsidRPr="00CC5E0B" w:rsidRDefault="00183665" w:rsidP="00817FBA">
            <w:pPr>
              <w:rPr>
                <w:rFonts w:cs="Times New Roman"/>
                <w:szCs w:val="22"/>
                <w:lang w:val="en-US" w:eastAsia="bg-BG"/>
              </w:rPr>
            </w:pPr>
            <w:r w:rsidRPr="00CC5E0B">
              <w:rPr>
                <w:rFonts w:cs="Times New Roman"/>
                <w:szCs w:val="22"/>
                <w:lang w:eastAsia="bg-BG"/>
              </w:rPr>
              <w:t>Салдо към 1 януари 2018 г.</w:t>
            </w:r>
          </w:p>
        </w:tc>
        <w:tc>
          <w:tcPr>
            <w:tcW w:w="1417" w:type="dxa"/>
            <w:tcBorders>
              <w:bottom w:val="single" w:sz="4" w:space="0" w:color="auto"/>
            </w:tcBorders>
            <w:shd w:val="clear" w:color="auto" w:fill="auto"/>
          </w:tcPr>
          <w:p w:rsidR="00183665" w:rsidRPr="00CC5E0B" w:rsidRDefault="00183665" w:rsidP="00EE2830">
            <w:pPr>
              <w:jc w:val="right"/>
              <w:rPr>
                <w:rFonts w:cs="Times New Roman"/>
                <w:szCs w:val="22"/>
                <w:lang w:eastAsia="bg-BG"/>
              </w:rPr>
            </w:pPr>
            <w:r w:rsidRPr="00CC5E0B">
              <w:rPr>
                <w:rFonts w:cs="Times New Roman"/>
                <w:szCs w:val="22"/>
                <w:lang w:eastAsia="bg-BG"/>
              </w:rPr>
              <w:t>5</w:t>
            </w:r>
          </w:p>
        </w:tc>
        <w:tc>
          <w:tcPr>
            <w:tcW w:w="1418" w:type="dxa"/>
            <w:tcBorders>
              <w:bottom w:val="single" w:sz="4" w:space="0" w:color="auto"/>
            </w:tcBorders>
          </w:tcPr>
          <w:p w:rsidR="00183665" w:rsidRPr="00CC5E0B" w:rsidRDefault="00C60C3A" w:rsidP="00EE2830">
            <w:pPr>
              <w:jc w:val="right"/>
              <w:rPr>
                <w:rFonts w:cs="Times New Roman"/>
                <w:szCs w:val="22"/>
                <w:lang w:eastAsia="bg-BG"/>
              </w:rPr>
            </w:pPr>
            <w:r w:rsidRPr="00CC5E0B">
              <w:rPr>
                <w:rFonts w:cs="Times New Roman"/>
                <w:szCs w:val="22"/>
                <w:lang w:eastAsia="bg-BG"/>
              </w:rPr>
              <w:t>-</w:t>
            </w:r>
          </w:p>
        </w:tc>
        <w:tc>
          <w:tcPr>
            <w:tcW w:w="1559" w:type="dxa"/>
            <w:tcBorders>
              <w:bottom w:val="single" w:sz="4" w:space="0" w:color="auto"/>
            </w:tcBorders>
            <w:shd w:val="clear" w:color="auto" w:fill="auto"/>
          </w:tcPr>
          <w:p w:rsidR="00183665" w:rsidRPr="00CC5E0B" w:rsidRDefault="00183665" w:rsidP="00EE2830">
            <w:pPr>
              <w:jc w:val="right"/>
              <w:rPr>
                <w:rFonts w:cs="Times New Roman"/>
                <w:szCs w:val="22"/>
                <w:lang w:eastAsia="bg-BG"/>
              </w:rPr>
            </w:pPr>
            <w:r w:rsidRPr="00CC5E0B">
              <w:rPr>
                <w:rFonts w:cs="Times New Roman"/>
                <w:szCs w:val="22"/>
                <w:lang w:eastAsia="bg-BG"/>
              </w:rPr>
              <w:t>6</w:t>
            </w:r>
          </w:p>
        </w:tc>
        <w:tc>
          <w:tcPr>
            <w:tcW w:w="1100" w:type="dxa"/>
            <w:tcBorders>
              <w:bottom w:val="single" w:sz="4" w:space="0" w:color="auto"/>
            </w:tcBorders>
            <w:shd w:val="clear" w:color="auto" w:fill="auto"/>
          </w:tcPr>
          <w:p w:rsidR="00183665" w:rsidRPr="00CC5E0B" w:rsidRDefault="00183665" w:rsidP="00EE2830">
            <w:pPr>
              <w:jc w:val="right"/>
              <w:rPr>
                <w:rFonts w:cs="Times New Roman"/>
                <w:b/>
                <w:szCs w:val="22"/>
                <w:lang w:eastAsia="bg-BG"/>
              </w:rPr>
            </w:pPr>
            <w:r w:rsidRPr="00CC5E0B">
              <w:rPr>
                <w:rFonts w:cs="Times New Roman"/>
                <w:b/>
                <w:szCs w:val="22"/>
                <w:lang w:eastAsia="bg-BG"/>
              </w:rPr>
              <w:t>11</w:t>
            </w:r>
          </w:p>
        </w:tc>
      </w:tr>
      <w:tr w:rsidR="00183665" w:rsidRPr="00796446" w:rsidTr="00CC5E0B">
        <w:trPr>
          <w:trHeight w:val="20"/>
        </w:trPr>
        <w:tc>
          <w:tcPr>
            <w:tcW w:w="3686" w:type="dxa"/>
            <w:shd w:val="clear" w:color="auto" w:fill="auto"/>
          </w:tcPr>
          <w:p w:rsidR="00183665" w:rsidRPr="00CC5E0B" w:rsidRDefault="00C60C3A" w:rsidP="00817FBA">
            <w:pPr>
              <w:rPr>
                <w:rFonts w:cs="Times New Roman"/>
                <w:szCs w:val="22"/>
                <w:lang w:eastAsia="bg-BG"/>
              </w:rPr>
            </w:pPr>
            <w:r w:rsidRPr="00CC5E0B">
              <w:rPr>
                <w:rFonts w:cs="Times New Roman"/>
                <w:szCs w:val="22"/>
                <w:lang w:eastAsia="bg-BG"/>
              </w:rPr>
              <w:t>Новопридобити активи</w:t>
            </w:r>
          </w:p>
        </w:tc>
        <w:tc>
          <w:tcPr>
            <w:tcW w:w="1417" w:type="dxa"/>
            <w:tcBorders>
              <w:top w:val="single" w:sz="4" w:space="0" w:color="auto"/>
              <w:bottom w:val="single" w:sz="4" w:space="0" w:color="auto"/>
            </w:tcBorders>
            <w:shd w:val="clear" w:color="auto" w:fill="auto"/>
          </w:tcPr>
          <w:p w:rsidR="00183665" w:rsidRPr="00CC5E0B" w:rsidRDefault="00C60C3A" w:rsidP="00EE2830">
            <w:pPr>
              <w:jc w:val="right"/>
              <w:rPr>
                <w:rFonts w:cs="Times New Roman"/>
                <w:szCs w:val="22"/>
                <w:lang w:eastAsia="bg-BG"/>
              </w:rPr>
            </w:pPr>
            <w:r w:rsidRPr="00CC5E0B">
              <w:rPr>
                <w:rFonts w:cs="Times New Roman"/>
                <w:szCs w:val="22"/>
                <w:lang w:eastAsia="bg-BG"/>
              </w:rPr>
              <w:t>-</w:t>
            </w:r>
          </w:p>
        </w:tc>
        <w:tc>
          <w:tcPr>
            <w:tcW w:w="1418" w:type="dxa"/>
            <w:tcBorders>
              <w:top w:val="single" w:sz="4" w:space="0" w:color="auto"/>
              <w:bottom w:val="single" w:sz="4" w:space="0" w:color="auto"/>
            </w:tcBorders>
          </w:tcPr>
          <w:p w:rsidR="00183665" w:rsidRPr="00CC5E0B" w:rsidRDefault="00C60C3A" w:rsidP="00EE2830">
            <w:pPr>
              <w:jc w:val="right"/>
              <w:rPr>
                <w:rFonts w:cs="Times New Roman"/>
                <w:szCs w:val="22"/>
                <w:lang w:eastAsia="bg-BG"/>
              </w:rPr>
            </w:pPr>
            <w:r w:rsidRPr="00CC5E0B">
              <w:rPr>
                <w:rFonts w:cs="Times New Roman"/>
                <w:szCs w:val="22"/>
                <w:lang w:eastAsia="bg-BG"/>
              </w:rPr>
              <w:t>1</w:t>
            </w:r>
          </w:p>
        </w:tc>
        <w:tc>
          <w:tcPr>
            <w:tcW w:w="1559" w:type="dxa"/>
            <w:tcBorders>
              <w:top w:val="single" w:sz="4" w:space="0" w:color="auto"/>
              <w:bottom w:val="single" w:sz="4" w:space="0" w:color="auto"/>
            </w:tcBorders>
            <w:shd w:val="clear" w:color="auto" w:fill="auto"/>
          </w:tcPr>
          <w:p w:rsidR="00183665" w:rsidRPr="00CC5E0B" w:rsidRDefault="00C60C3A" w:rsidP="00EE2830">
            <w:pPr>
              <w:jc w:val="right"/>
              <w:rPr>
                <w:rFonts w:cs="Times New Roman"/>
                <w:szCs w:val="22"/>
                <w:lang w:eastAsia="bg-BG"/>
              </w:rPr>
            </w:pPr>
            <w:r w:rsidRPr="00CC5E0B">
              <w:rPr>
                <w:rFonts w:cs="Times New Roman"/>
                <w:szCs w:val="22"/>
                <w:lang w:eastAsia="bg-BG"/>
              </w:rPr>
              <w:t>-</w:t>
            </w:r>
          </w:p>
        </w:tc>
        <w:tc>
          <w:tcPr>
            <w:tcW w:w="1100" w:type="dxa"/>
            <w:tcBorders>
              <w:top w:val="single" w:sz="4" w:space="0" w:color="auto"/>
              <w:bottom w:val="single" w:sz="4" w:space="0" w:color="auto"/>
            </w:tcBorders>
            <w:shd w:val="clear" w:color="auto" w:fill="auto"/>
          </w:tcPr>
          <w:p w:rsidR="00183665" w:rsidRPr="00CC5E0B" w:rsidRDefault="00C60C3A" w:rsidP="00EE2830">
            <w:pPr>
              <w:jc w:val="right"/>
              <w:rPr>
                <w:rFonts w:cs="Times New Roman"/>
                <w:szCs w:val="22"/>
                <w:lang w:eastAsia="bg-BG"/>
              </w:rPr>
            </w:pPr>
            <w:r w:rsidRPr="00CC5E0B">
              <w:rPr>
                <w:rFonts w:cs="Times New Roman"/>
                <w:szCs w:val="22"/>
                <w:lang w:eastAsia="bg-BG"/>
              </w:rPr>
              <w:t>1</w:t>
            </w:r>
          </w:p>
        </w:tc>
      </w:tr>
      <w:tr w:rsidR="00183665" w:rsidRPr="00796446" w:rsidTr="00CC5E0B">
        <w:trPr>
          <w:trHeight w:val="20"/>
        </w:trPr>
        <w:tc>
          <w:tcPr>
            <w:tcW w:w="3686" w:type="dxa"/>
            <w:shd w:val="clear" w:color="auto" w:fill="auto"/>
          </w:tcPr>
          <w:p w:rsidR="00183665" w:rsidRPr="00CC5E0B" w:rsidRDefault="00183665" w:rsidP="00817FBA">
            <w:pPr>
              <w:rPr>
                <w:rFonts w:cs="Times New Roman"/>
                <w:b/>
                <w:szCs w:val="22"/>
                <w:lang w:eastAsia="bg-BG"/>
              </w:rPr>
            </w:pPr>
            <w:r w:rsidRPr="00CC5E0B">
              <w:rPr>
                <w:rFonts w:cs="Times New Roman"/>
                <w:b/>
                <w:szCs w:val="22"/>
                <w:lang w:eastAsia="bg-BG"/>
              </w:rPr>
              <w:t>Салдо към  31 декември 2018 г.</w:t>
            </w:r>
          </w:p>
        </w:tc>
        <w:tc>
          <w:tcPr>
            <w:tcW w:w="1417" w:type="dxa"/>
            <w:tcBorders>
              <w:top w:val="single" w:sz="4" w:space="0" w:color="auto"/>
              <w:bottom w:val="single" w:sz="4" w:space="0" w:color="auto"/>
            </w:tcBorders>
            <w:shd w:val="clear" w:color="auto" w:fill="auto"/>
          </w:tcPr>
          <w:p w:rsidR="00183665" w:rsidRPr="00CC5E0B" w:rsidRDefault="00183665" w:rsidP="00EE2830">
            <w:pPr>
              <w:jc w:val="right"/>
              <w:rPr>
                <w:rFonts w:cs="Times New Roman"/>
                <w:b/>
                <w:szCs w:val="22"/>
                <w:lang w:eastAsia="bg-BG"/>
              </w:rPr>
            </w:pPr>
            <w:r w:rsidRPr="00CC5E0B">
              <w:rPr>
                <w:rFonts w:cs="Times New Roman"/>
                <w:b/>
                <w:szCs w:val="22"/>
                <w:lang w:eastAsia="bg-BG"/>
              </w:rPr>
              <w:t>5</w:t>
            </w:r>
          </w:p>
        </w:tc>
        <w:tc>
          <w:tcPr>
            <w:tcW w:w="1418" w:type="dxa"/>
            <w:tcBorders>
              <w:top w:val="single" w:sz="4" w:space="0" w:color="auto"/>
              <w:bottom w:val="single" w:sz="4" w:space="0" w:color="auto"/>
            </w:tcBorders>
          </w:tcPr>
          <w:p w:rsidR="00183665" w:rsidRPr="00CC5E0B" w:rsidRDefault="00C60C3A" w:rsidP="00EE2830">
            <w:pPr>
              <w:jc w:val="right"/>
              <w:rPr>
                <w:rFonts w:cs="Times New Roman"/>
                <w:b/>
                <w:szCs w:val="22"/>
                <w:lang w:eastAsia="bg-BG"/>
              </w:rPr>
            </w:pPr>
            <w:r w:rsidRPr="00CC5E0B">
              <w:rPr>
                <w:rFonts w:cs="Times New Roman"/>
                <w:b/>
                <w:szCs w:val="22"/>
                <w:lang w:eastAsia="bg-BG"/>
              </w:rPr>
              <w:t>1</w:t>
            </w:r>
          </w:p>
        </w:tc>
        <w:tc>
          <w:tcPr>
            <w:tcW w:w="1559" w:type="dxa"/>
            <w:tcBorders>
              <w:top w:val="single" w:sz="4" w:space="0" w:color="auto"/>
              <w:bottom w:val="single" w:sz="4" w:space="0" w:color="auto"/>
            </w:tcBorders>
            <w:shd w:val="clear" w:color="auto" w:fill="auto"/>
          </w:tcPr>
          <w:p w:rsidR="00183665" w:rsidRPr="00CC5E0B" w:rsidRDefault="00183665" w:rsidP="00EE2830">
            <w:pPr>
              <w:jc w:val="right"/>
              <w:rPr>
                <w:rFonts w:cs="Times New Roman"/>
                <w:b/>
                <w:szCs w:val="22"/>
                <w:lang w:eastAsia="bg-BG"/>
              </w:rPr>
            </w:pPr>
            <w:r w:rsidRPr="00CC5E0B">
              <w:rPr>
                <w:rFonts w:cs="Times New Roman"/>
                <w:b/>
                <w:szCs w:val="22"/>
                <w:lang w:eastAsia="bg-BG"/>
              </w:rPr>
              <w:t>6</w:t>
            </w:r>
          </w:p>
        </w:tc>
        <w:tc>
          <w:tcPr>
            <w:tcW w:w="1100" w:type="dxa"/>
            <w:tcBorders>
              <w:top w:val="single" w:sz="4" w:space="0" w:color="auto"/>
              <w:bottom w:val="single" w:sz="4" w:space="0" w:color="auto"/>
            </w:tcBorders>
            <w:shd w:val="clear" w:color="auto" w:fill="auto"/>
          </w:tcPr>
          <w:p w:rsidR="00183665" w:rsidRPr="00CC5E0B" w:rsidRDefault="00183665" w:rsidP="00EE2830">
            <w:pPr>
              <w:jc w:val="right"/>
              <w:rPr>
                <w:rFonts w:cs="Times New Roman"/>
                <w:b/>
                <w:szCs w:val="22"/>
                <w:lang w:eastAsia="bg-BG"/>
              </w:rPr>
            </w:pPr>
            <w:r w:rsidRPr="00CC5E0B">
              <w:rPr>
                <w:rFonts w:cs="Times New Roman"/>
                <w:b/>
                <w:szCs w:val="22"/>
                <w:lang w:eastAsia="bg-BG"/>
              </w:rPr>
              <w:t>1</w:t>
            </w:r>
            <w:r w:rsidR="00C60C3A" w:rsidRPr="00CC5E0B">
              <w:rPr>
                <w:rFonts w:cs="Times New Roman"/>
                <w:b/>
                <w:szCs w:val="22"/>
                <w:lang w:eastAsia="bg-BG"/>
              </w:rPr>
              <w:t>2</w:t>
            </w:r>
          </w:p>
        </w:tc>
      </w:tr>
      <w:tr w:rsidR="00183665" w:rsidRPr="00796446" w:rsidTr="00CC5E0B">
        <w:trPr>
          <w:trHeight w:val="20"/>
        </w:trPr>
        <w:tc>
          <w:tcPr>
            <w:tcW w:w="3686" w:type="dxa"/>
            <w:shd w:val="clear" w:color="auto" w:fill="auto"/>
          </w:tcPr>
          <w:p w:rsidR="00183665" w:rsidRPr="00CC5E0B" w:rsidRDefault="00183665" w:rsidP="00817FBA">
            <w:pPr>
              <w:rPr>
                <w:rFonts w:cs="Times New Roman"/>
                <w:szCs w:val="22"/>
                <w:lang w:eastAsia="bg-BG"/>
              </w:rPr>
            </w:pPr>
          </w:p>
        </w:tc>
        <w:tc>
          <w:tcPr>
            <w:tcW w:w="1417" w:type="dxa"/>
            <w:tcBorders>
              <w:top w:val="single" w:sz="4" w:space="0" w:color="auto"/>
            </w:tcBorders>
            <w:shd w:val="clear" w:color="auto" w:fill="auto"/>
          </w:tcPr>
          <w:p w:rsidR="00183665" w:rsidRPr="00CC5E0B" w:rsidRDefault="00183665" w:rsidP="00EE2830">
            <w:pPr>
              <w:jc w:val="right"/>
              <w:rPr>
                <w:rFonts w:cs="Times New Roman"/>
                <w:szCs w:val="22"/>
                <w:lang w:eastAsia="bg-BG"/>
              </w:rPr>
            </w:pPr>
          </w:p>
        </w:tc>
        <w:tc>
          <w:tcPr>
            <w:tcW w:w="1418" w:type="dxa"/>
            <w:tcBorders>
              <w:top w:val="single" w:sz="4" w:space="0" w:color="auto"/>
            </w:tcBorders>
          </w:tcPr>
          <w:p w:rsidR="00183665" w:rsidRPr="00CC5E0B" w:rsidRDefault="00183665" w:rsidP="00EE2830">
            <w:pPr>
              <w:jc w:val="right"/>
              <w:rPr>
                <w:rFonts w:cs="Times New Roman"/>
                <w:szCs w:val="22"/>
                <w:lang w:eastAsia="bg-BG"/>
              </w:rPr>
            </w:pPr>
          </w:p>
        </w:tc>
        <w:tc>
          <w:tcPr>
            <w:tcW w:w="1559" w:type="dxa"/>
            <w:tcBorders>
              <w:top w:val="single" w:sz="4" w:space="0" w:color="auto"/>
            </w:tcBorders>
            <w:shd w:val="clear" w:color="auto" w:fill="auto"/>
          </w:tcPr>
          <w:p w:rsidR="00183665" w:rsidRPr="00CC5E0B" w:rsidRDefault="00183665" w:rsidP="00EE2830">
            <w:pPr>
              <w:jc w:val="right"/>
              <w:rPr>
                <w:rFonts w:cs="Times New Roman"/>
                <w:szCs w:val="22"/>
                <w:lang w:eastAsia="bg-BG"/>
              </w:rPr>
            </w:pPr>
          </w:p>
        </w:tc>
        <w:tc>
          <w:tcPr>
            <w:tcW w:w="1100" w:type="dxa"/>
            <w:tcBorders>
              <w:top w:val="single" w:sz="4" w:space="0" w:color="auto"/>
            </w:tcBorders>
            <w:shd w:val="clear" w:color="auto" w:fill="auto"/>
          </w:tcPr>
          <w:p w:rsidR="00183665" w:rsidRPr="00CC5E0B" w:rsidRDefault="00183665" w:rsidP="00EE2830">
            <w:pPr>
              <w:jc w:val="right"/>
              <w:rPr>
                <w:rFonts w:cs="Times New Roman"/>
                <w:b/>
                <w:szCs w:val="22"/>
                <w:lang w:eastAsia="bg-BG"/>
              </w:rPr>
            </w:pPr>
          </w:p>
        </w:tc>
      </w:tr>
      <w:tr w:rsidR="00183665" w:rsidRPr="00796446" w:rsidTr="00CC5E0B">
        <w:trPr>
          <w:trHeight w:val="20"/>
        </w:trPr>
        <w:tc>
          <w:tcPr>
            <w:tcW w:w="3686" w:type="dxa"/>
            <w:shd w:val="clear" w:color="auto" w:fill="auto"/>
          </w:tcPr>
          <w:p w:rsidR="00183665" w:rsidRPr="00CC5E0B" w:rsidRDefault="00183665" w:rsidP="00817FBA">
            <w:pPr>
              <w:rPr>
                <w:rFonts w:cs="Times New Roman"/>
                <w:b/>
                <w:szCs w:val="22"/>
                <w:lang w:eastAsia="bg-BG"/>
              </w:rPr>
            </w:pPr>
            <w:r w:rsidRPr="00CC5E0B">
              <w:rPr>
                <w:rFonts w:cs="Times New Roman"/>
                <w:b/>
                <w:szCs w:val="22"/>
                <w:lang w:eastAsia="bg-BG"/>
              </w:rPr>
              <w:t>Амортизация</w:t>
            </w:r>
          </w:p>
        </w:tc>
        <w:tc>
          <w:tcPr>
            <w:tcW w:w="1417" w:type="dxa"/>
            <w:shd w:val="clear" w:color="auto" w:fill="auto"/>
            <w:noWrap/>
          </w:tcPr>
          <w:p w:rsidR="00183665" w:rsidRPr="00CC5E0B" w:rsidRDefault="00183665" w:rsidP="00EE2830">
            <w:pPr>
              <w:jc w:val="right"/>
              <w:rPr>
                <w:rFonts w:cs="Times New Roman"/>
                <w:b/>
                <w:szCs w:val="22"/>
                <w:lang w:eastAsia="bg-BG"/>
              </w:rPr>
            </w:pPr>
          </w:p>
        </w:tc>
        <w:tc>
          <w:tcPr>
            <w:tcW w:w="1418" w:type="dxa"/>
          </w:tcPr>
          <w:p w:rsidR="00183665" w:rsidRPr="00CC5E0B" w:rsidRDefault="00183665" w:rsidP="00EE2830">
            <w:pPr>
              <w:jc w:val="right"/>
              <w:rPr>
                <w:rFonts w:cs="Times New Roman"/>
                <w:b/>
                <w:szCs w:val="22"/>
                <w:lang w:eastAsia="bg-BG"/>
              </w:rPr>
            </w:pPr>
          </w:p>
        </w:tc>
        <w:tc>
          <w:tcPr>
            <w:tcW w:w="1559" w:type="dxa"/>
            <w:shd w:val="clear" w:color="auto" w:fill="auto"/>
          </w:tcPr>
          <w:p w:rsidR="00183665" w:rsidRPr="00CC5E0B" w:rsidRDefault="00183665" w:rsidP="00EE2830">
            <w:pPr>
              <w:jc w:val="right"/>
              <w:rPr>
                <w:rFonts w:cs="Times New Roman"/>
                <w:b/>
                <w:szCs w:val="22"/>
                <w:lang w:eastAsia="bg-BG"/>
              </w:rPr>
            </w:pPr>
          </w:p>
        </w:tc>
        <w:tc>
          <w:tcPr>
            <w:tcW w:w="1100" w:type="dxa"/>
            <w:shd w:val="clear" w:color="auto" w:fill="auto"/>
          </w:tcPr>
          <w:p w:rsidR="00183665" w:rsidRPr="00CC5E0B" w:rsidRDefault="00183665" w:rsidP="00EE2830">
            <w:pPr>
              <w:jc w:val="right"/>
              <w:rPr>
                <w:rFonts w:cs="Times New Roman"/>
                <w:b/>
                <w:szCs w:val="22"/>
                <w:lang w:eastAsia="bg-BG"/>
              </w:rPr>
            </w:pPr>
          </w:p>
        </w:tc>
      </w:tr>
      <w:tr w:rsidR="00183665" w:rsidRPr="00796446" w:rsidTr="00CC5E0B">
        <w:trPr>
          <w:trHeight w:val="20"/>
        </w:trPr>
        <w:tc>
          <w:tcPr>
            <w:tcW w:w="3686" w:type="dxa"/>
            <w:shd w:val="clear" w:color="auto" w:fill="auto"/>
          </w:tcPr>
          <w:p w:rsidR="00183665" w:rsidRPr="00CC5E0B" w:rsidRDefault="00183665" w:rsidP="00817FBA">
            <w:pPr>
              <w:rPr>
                <w:rFonts w:cs="Times New Roman"/>
                <w:szCs w:val="22"/>
                <w:lang w:eastAsia="bg-BG"/>
              </w:rPr>
            </w:pPr>
            <w:r w:rsidRPr="00CC5E0B">
              <w:rPr>
                <w:rFonts w:cs="Times New Roman"/>
                <w:szCs w:val="22"/>
                <w:lang w:eastAsia="bg-BG"/>
              </w:rPr>
              <w:t>Салдо към 1 януари 2018 г.</w:t>
            </w:r>
          </w:p>
        </w:tc>
        <w:tc>
          <w:tcPr>
            <w:tcW w:w="1417" w:type="dxa"/>
            <w:shd w:val="clear" w:color="auto" w:fill="auto"/>
            <w:noWrap/>
          </w:tcPr>
          <w:p w:rsidR="00183665" w:rsidRPr="00CC5E0B" w:rsidRDefault="00183665" w:rsidP="00EE2830">
            <w:pPr>
              <w:jc w:val="right"/>
              <w:rPr>
                <w:rFonts w:cs="Times New Roman"/>
                <w:szCs w:val="22"/>
                <w:lang w:eastAsia="bg-BG"/>
              </w:rPr>
            </w:pPr>
            <w:r w:rsidRPr="00CC5E0B">
              <w:rPr>
                <w:rFonts w:cs="Times New Roman"/>
                <w:szCs w:val="22"/>
                <w:lang w:eastAsia="bg-BG"/>
              </w:rPr>
              <w:t>(</w:t>
            </w:r>
            <w:r w:rsidR="00C60C3A" w:rsidRPr="00CC5E0B">
              <w:rPr>
                <w:rFonts w:cs="Times New Roman"/>
                <w:szCs w:val="22"/>
                <w:lang w:eastAsia="bg-BG"/>
              </w:rPr>
              <w:t>4</w:t>
            </w:r>
            <w:r w:rsidRPr="00CC5E0B">
              <w:rPr>
                <w:rFonts w:cs="Times New Roman"/>
                <w:szCs w:val="22"/>
                <w:lang w:eastAsia="bg-BG"/>
              </w:rPr>
              <w:t>)</w:t>
            </w:r>
          </w:p>
        </w:tc>
        <w:tc>
          <w:tcPr>
            <w:tcW w:w="1418" w:type="dxa"/>
          </w:tcPr>
          <w:p w:rsidR="00183665" w:rsidRPr="00CC5E0B" w:rsidRDefault="00C60C3A" w:rsidP="00EE2830">
            <w:pPr>
              <w:jc w:val="right"/>
              <w:rPr>
                <w:rFonts w:cs="Times New Roman"/>
                <w:szCs w:val="22"/>
                <w:lang w:eastAsia="bg-BG"/>
              </w:rPr>
            </w:pPr>
            <w:r w:rsidRPr="00CC5E0B">
              <w:rPr>
                <w:rFonts w:cs="Times New Roman"/>
                <w:szCs w:val="22"/>
                <w:lang w:eastAsia="bg-BG"/>
              </w:rPr>
              <w:t>-</w:t>
            </w:r>
          </w:p>
        </w:tc>
        <w:tc>
          <w:tcPr>
            <w:tcW w:w="1559" w:type="dxa"/>
            <w:shd w:val="clear" w:color="auto" w:fill="auto"/>
          </w:tcPr>
          <w:p w:rsidR="00183665" w:rsidRPr="00CC5E0B" w:rsidRDefault="00183665" w:rsidP="00EE2830">
            <w:pPr>
              <w:jc w:val="right"/>
              <w:rPr>
                <w:rFonts w:cs="Times New Roman"/>
                <w:szCs w:val="22"/>
                <w:lang w:eastAsia="bg-BG"/>
              </w:rPr>
            </w:pPr>
            <w:r w:rsidRPr="00CC5E0B">
              <w:rPr>
                <w:rFonts w:cs="Times New Roman"/>
                <w:szCs w:val="22"/>
                <w:lang w:eastAsia="bg-BG"/>
              </w:rPr>
              <w:t>(1)</w:t>
            </w:r>
          </w:p>
        </w:tc>
        <w:tc>
          <w:tcPr>
            <w:tcW w:w="1100" w:type="dxa"/>
            <w:shd w:val="clear" w:color="auto" w:fill="auto"/>
          </w:tcPr>
          <w:p w:rsidR="00183665" w:rsidRPr="00CC5E0B" w:rsidRDefault="00183665" w:rsidP="00EE2830">
            <w:pPr>
              <w:jc w:val="right"/>
              <w:rPr>
                <w:rFonts w:cs="Times New Roman"/>
                <w:szCs w:val="22"/>
                <w:lang w:eastAsia="bg-BG"/>
              </w:rPr>
            </w:pPr>
            <w:r w:rsidRPr="00CC5E0B">
              <w:rPr>
                <w:rFonts w:cs="Times New Roman"/>
                <w:szCs w:val="22"/>
                <w:lang w:eastAsia="bg-BG"/>
              </w:rPr>
              <w:t>(</w:t>
            </w:r>
            <w:r w:rsidR="00C60C3A" w:rsidRPr="00CC5E0B">
              <w:rPr>
                <w:rFonts w:cs="Times New Roman"/>
                <w:szCs w:val="22"/>
                <w:lang w:eastAsia="bg-BG"/>
              </w:rPr>
              <w:t>5</w:t>
            </w:r>
            <w:r w:rsidRPr="00CC5E0B">
              <w:rPr>
                <w:rFonts w:cs="Times New Roman"/>
                <w:szCs w:val="22"/>
                <w:lang w:eastAsia="bg-BG"/>
              </w:rPr>
              <w:t>)</w:t>
            </w:r>
          </w:p>
        </w:tc>
      </w:tr>
      <w:tr w:rsidR="00183665" w:rsidRPr="00796446" w:rsidTr="00CC5E0B">
        <w:trPr>
          <w:trHeight w:val="20"/>
        </w:trPr>
        <w:tc>
          <w:tcPr>
            <w:tcW w:w="3686" w:type="dxa"/>
            <w:shd w:val="clear" w:color="auto" w:fill="auto"/>
          </w:tcPr>
          <w:p w:rsidR="00183665" w:rsidRPr="00CC5E0B" w:rsidRDefault="00183665" w:rsidP="00817FBA">
            <w:pPr>
              <w:rPr>
                <w:rFonts w:cs="Times New Roman"/>
                <w:szCs w:val="22"/>
                <w:lang w:eastAsia="bg-BG"/>
              </w:rPr>
            </w:pPr>
            <w:r w:rsidRPr="00CC5E0B">
              <w:rPr>
                <w:rFonts w:cs="Times New Roman"/>
                <w:szCs w:val="22"/>
                <w:lang w:eastAsia="bg-BG"/>
              </w:rPr>
              <w:t>Амортизация за периода</w:t>
            </w:r>
          </w:p>
        </w:tc>
        <w:tc>
          <w:tcPr>
            <w:tcW w:w="1417" w:type="dxa"/>
            <w:tcBorders>
              <w:bottom w:val="single" w:sz="4" w:space="0" w:color="auto"/>
            </w:tcBorders>
            <w:shd w:val="clear" w:color="auto" w:fill="auto"/>
            <w:noWrap/>
          </w:tcPr>
          <w:p w:rsidR="00183665" w:rsidRPr="00CC5E0B" w:rsidRDefault="00183665" w:rsidP="00EE2830">
            <w:pPr>
              <w:jc w:val="right"/>
              <w:rPr>
                <w:rFonts w:cs="Times New Roman"/>
                <w:szCs w:val="22"/>
                <w:lang w:eastAsia="bg-BG"/>
              </w:rPr>
            </w:pPr>
            <w:r w:rsidRPr="00CC5E0B">
              <w:rPr>
                <w:rFonts w:cs="Times New Roman"/>
                <w:szCs w:val="22"/>
                <w:lang w:eastAsia="bg-BG"/>
              </w:rPr>
              <w:t>(1)</w:t>
            </w:r>
          </w:p>
        </w:tc>
        <w:tc>
          <w:tcPr>
            <w:tcW w:w="1418" w:type="dxa"/>
            <w:tcBorders>
              <w:bottom w:val="single" w:sz="4" w:space="0" w:color="auto"/>
            </w:tcBorders>
          </w:tcPr>
          <w:p w:rsidR="00183665" w:rsidRPr="00CC5E0B" w:rsidRDefault="00C60C3A" w:rsidP="00EE2830">
            <w:pPr>
              <w:jc w:val="right"/>
              <w:rPr>
                <w:rFonts w:cs="Times New Roman"/>
                <w:szCs w:val="22"/>
                <w:lang w:eastAsia="bg-BG"/>
              </w:rPr>
            </w:pPr>
            <w:r w:rsidRPr="00CC5E0B">
              <w:rPr>
                <w:rFonts w:cs="Times New Roman"/>
                <w:szCs w:val="22"/>
                <w:lang w:eastAsia="bg-BG"/>
              </w:rPr>
              <w:t>-</w:t>
            </w:r>
          </w:p>
        </w:tc>
        <w:tc>
          <w:tcPr>
            <w:tcW w:w="1559" w:type="dxa"/>
            <w:tcBorders>
              <w:bottom w:val="single" w:sz="4" w:space="0" w:color="auto"/>
            </w:tcBorders>
            <w:shd w:val="clear" w:color="auto" w:fill="auto"/>
          </w:tcPr>
          <w:p w:rsidR="00183665" w:rsidRPr="00CC5E0B" w:rsidRDefault="00183665" w:rsidP="00EE2830">
            <w:pPr>
              <w:jc w:val="right"/>
              <w:rPr>
                <w:rFonts w:cs="Times New Roman"/>
                <w:szCs w:val="22"/>
                <w:lang w:eastAsia="bg-BG"/>
              </w:rPr>
            </w:pPr>
            <w:r w:rsidRPr="00CC5E0B">
              <w:rPr>
                <w:rFonts w:cs="Times New Roman"/>
                <w:szCs w:val="22"/>
                <w:lang w:eastAsia="bg-BG"/>
              </w:rPr>
              <w:t>-</w:t>
            </w:r>
          </w:p>
        </w:tc>
        <w:tc>
          <w:tcPr>
            <w:tcW w:w="1100" w:type="dxa"/>
            <w:tcBorders>
              <w:bottom w:val="single" w:sz="4" w:space="0" w:color="auto"/>
            </w:tcBorders>
            <w:shd w:val="clear" w:color="auto" w:fill="auto"/>
          </w:tcPr>
          <w:p w:rsidR="00183665" w:rsidRPr="00CC5E0B" w:rsidRDefault="00183665" w:rsidP="00EE2830">
            <w:pPr>
              <w:jc w:val="right"/>
              <w:rPr>
                <w:rFonts w:cs="Times New Roman"/>
                <w:szCs w:val="22"/>
                <w:lang w:eastAsia="bg-BG"/>
              </w:rPr>
            </w:pPr>
            <w:r w:rsidRPr="00CC5E0B">
              <w:rPr>
                <w:rFonts w:cs="Times New Roman"/>
                <w:szCs w:val="22"/>
                <w:lang w:eastAsia="bg-BG"/>
              </w:rPr>
              <w:t>(1)</w:t>
            </w:r>
          </w:p>
        </w:tc>
      </w:tr>
      <w:tr w:rsidR="00183665" w:rsidRPr="00796446" w:rsidTr="00CC5E0B">
        <w:trPr>
          <w:trHeight w:val="20"/>
        </w:trPr>
        <w:tc>
          <w:tcPr>
            <w:tcW w:w="3686" w:type="dxa"/>
            <w:shd w:val="clear" w:color="auto" w:fill="auto"/>
          </w:tcPr>
          <w:p w:rsidR="00183665" w:rsidRPr="00CC5E0B" w:rsidRDefault="00183665" w:rsidP="00817FBA">
            <w:pPr>
              <w:rPr>
                <w:rFonts w:cs="Times New Roman"/>
                <w:b/>
                <w:szCs w:val="22"/>
                <w:lang w:eastAsia="bg-BG"/>
              </w:rPr>
            </w:pPr>
            <w:r w:rsidRPr="00CC5E0B">
              <w:rPr>
                <w:rFonts w:cs="Times New Roman"/>
                <w:b/>
                <w:szCs w:val="22"/>
                <w:lang w:eastAsia="bg-BG"/>
              </w:rPr>
              <w:t>Салдо към 31 декември 2018 г.</w:t>
            </w:r>
          </w:p>
        </w:tc>
        <w:tc>
          <w:tcPr>
            <w:tcW w:w="1417" w:type="dxa"/>
            <w:tcBorders>
              <w:top w:val="single" w:sz="4" w:space="0" w:color="auto"/>
              <w:bottom w:val="single" w:sz="4" w:space="0" w:color="auto"/>
            </w:tcBorders>
            <w:shd w:val="clear" w:color="auto" w:fill="auto"/>
            <w:noWrap/>
          </w:tcPr>
          <w:p w:rsidR="00183665" w:rsidRPr="00CC5E0B" w:rsidRDefault="00183665" w:rsidP="00EE2830">
            <w:pPr>
              <w:jc w:val="right"/>
              <w:rPr>
                <w:rFonts w:cs="Times New Roman"/>
                <w:b/>
                <w:szCs w:val="22"/>
                <w:lang w:eastAsia="bg-BG"/>
              </w:rPr>
            </w:pPr>
            <w:r w:rsidRPr="00CC5E0B">
              <w:rPr>
                <w:rFonts w:cs="Times New Roman"/>
                <w:b/>
                <w:szCs w:val="22"/>
                <w:lang w:eastAsia="bg-BG"/>
              </w:rPr>
              <w:t>(</w:t>
            </w:r>
            <w:r w:rsidR="00C60C3A" w:rsidRPr="00CC5E0B">
              <w:rPr>
                <w:rFonts w:cs="Times New Roman"/>
                <w:b/>
                <w:szCs w:val="22"/>
                <w:lang w:eastAsia="bg-BG"/>
              </w:rPr>
              <w:t>5</w:t>
            </w:r>
            <w:r w:rsidRPr="00CC5E0B">
              <w:rPr>
                <w:rFonts w:cs="Times New Roman"/>
                <w:b/>
                <w:szCs w:val="22"/>
                <w:lang w:eastAsia="bg-BG"/>
              </w:rPr>
              <w:t>)</w:t>
            </w:r>
          </w:p>
        </w:tc>
        <w:tc>
          <w:tcPr>
            <w:tcW w:w="1418" w:type="dxa"/>
            <w:tcBorders>
              <w:top w:val="single" w:sz="4" w:space="0" w:color="auto"/>
              <w:bottom w:val="single" w:sz="4" w:space="0" w:color="auto"/>
            </w:tcBorders>
          </w:tcPr>
          <w:p w:rsidR="00183665" w:rsidRPr="00CC5E0B" w:rsidRDefault="00C60C3A" w:rsidP="00EE2830">
            <w:pPr>
              <w:jc w:val="right"/>
              <w:rPr>
                <w:rFonts w:cs="Times New Roman"/>
                <w:b/>
                <w:szCs w:val="22"/>
                <w:lang w:eastAsia="bg-BG"/>
              </w:rPr>
            </w:pPr>
            <w:r w:rsidRPr="00CC5E0B">
              <w:rPr>
                <w:rFonts w:cs="Times New Roman"/>
                <w:b/>
                <w:szCs w:val="22"/>
                <w:lang w:eastAsia="bg-BG"/>
              </w:rPr>
              <w:t>-</w:t>
            </w:r>
          </w:p>
        </w:tc>
        <w:tc>
          <w:tcPr>
            <w:tcW w:w="1559" w:type="dxa"/>
            <w:tcBorders>
              <w:top w:val="single" w:sz="4" w:space="0" w:color="auto"/>
              <w:bottom w:val="single" w:sz="4" w:space="0" w:color="auto"/>
            </w:tcBorders>
            <w:shd w:val="clear" w:color="auto" w:fill="auto"/>
          </w:tcPr>
          <w:p w:rsidR="00183665" w:rsidRPr="00CC5E0B" w:rsidRDefault="00183665" w:rsidP="00EE2830">
            <w:pPr>
              <w:jc w:val="right"/>
              <w:rPr>
                <w:rFonts w:cs="Times New Roman"/>
                <w:b/>
                <w:szCs w:val="22"/>
                <w:lang w:eastAsia="bg-BG"/>
              </w:rPr>
            </w:pPr>
            <w:r w:rsidRPr="00CC5E0B">
              <w:rPr>
                <w:rFonts w:cs="Times New Roman"/>
                <w:b/>
                <w:szCs w:val="22"/>
                <w:lang w:eastAsia="bg-BG"/>
              </w:rPr>
              <w:t>(1)</w:t>
            </w:r>
          </w:p>
        </w:tc>
        <w:tc>
          <w:tcPr>
            <w:tcW w:w="1100" w:type="dxa"/>
            <w:tcBorders>
              <w:top w:val="single" w:sz="4" w:space="0" w:color="auto"/>
              <w:bottom w:val="single" w:sz="4" w:space="0" w:color="auto"/>
            </w:tcBorders>
            <w:shd w:val="clear" w:color="auto" w:fill="auto"/>
          </w:tcPr>
          <w:p w:rsidR="00183665" w:rsidRPr="00CC5E0B" w:rsidRDefault="00183665" w:rsidP="00EE2830">
            <w:pPr>
              <w:jc w:val="right"/>
              <w:rPr>
                <w:rFonts w:cs="Times New Roman"/>
                <w:b/>
                <w:szCs w:val="22"/>
                <w:lang w:eastAsia="bg-BG"/>
              </w:rPr>
            </w:pPr>
            <w:r w:rsidRPr="00CC5E0B">
              <w:rPr>
                <w:rFonts w:cs="Times New Roman"/>
                <w:b/>
                <w:szCs w:val="22"/>
                <w:lang w:eastAsia="bg-BG"/>
              </w:rPr>
              <w:t>(</w:t>
            </w:r>
            <w:r w:rsidR="00C60C3A" w:rsidRPr="00CC5E0B">
              <w:rPr>
                <w:rFonts w:cs="Times New Roman"/>
                <w:b/>
                <w:szCs w:val="22"/>
                <w:lang w:eastAsia="bg-BG"/>
              </w:rPr>
              <w:t>6</w:t>
            </w:r>
            <w:r w:rsidRPr="00CC5E0B">
              <w:rPr>
                <w:rFonts w:cs="Times New Roman"/>
                <w:b/>
                <w:szCs w:val="22"/>
                <w:lang w:eastAsia="bg-BG"/>
              </w:rPr>
              <w:t>)</w:t>
            </w:r>
          </w:p>
        </w:tc>
      </w:tr>
      <w:tr w:rsidR="00183665" w:rsidRPr="00796446" w:rsidTr="00CC5E0B">
        <w:trPr>
          <w:trHeight w:val="20"/>
        </w:trPr>
        <w:tc>
          <w:tcPr>
            <w:tcW w:w="3686" w:type="dxa"/>
            <w:shd w:val="clear" w:color="auto" w:fill="auto"/>
            <w:vAlign w:val="bottom"/>
          </w:tcPr>
          <w:p w:rsidR="000101DE" w:rsidRDefault="00183665" w:rsidP="00817FBA">
            <w:pPr>
              <w:rPr>
                <w:rFonts w:cs="Times New Roman"/>
                <w:b/>
                <w:szCs w:val="22"/>
                <w:lang w:eastAsia="bg-BG"/>
              </w:rPr>
            </w:pPr>
            <w:r w:rsidRPr="00CC5E0B">
              <w:rPr>
                <w:rFonts w:cs="Times New Roman"/>
                <w:b/>
                <w:szCs w:val="22"/>
                <w:lang w:eastAsia="bg-BG"/>
              </w:rPr>
              <w:t xml:space="preserve">Балансова стойност към           </w:t>
            </w:r>
          </w:p>
          <w:p w:rsidR="00183665" w:rsidRPr="00CC5E0B" w:rsidRDefault="00183665" w:rsidP="00817FBA">
            <w:pPr>
              <w:rPr>
                <w:rFonts w:cs="Times New Roman"/>
                <w:b/>
                <w:szCs w:val="22"/>
                <w:lang w:eastAsia="bg-BG"/>
              </w:rPr>
            </w:pPr>
            <w:r w:rsidRPr="00CC5E0B">
              <w:rPr>
                <w:rFonts w:cs="Times New Roman"/>
                <w:b/>
                <w:szCs w:val="22"/>
                <w:lang w:eastAsia="bg-BG"/>
              </w:rPr>
              <w:t>31 декември 2018 г.</w:t>
            </w:r>
          </w:p>
        </w:tc>
        <w:tc>
          <w:tcPr>
            <w:tcW w:w="1417" w:type="dxa"/>
            <w:tcBorders>
              <w:top w:val="single" w:sz="4" w:space="0" w:color="auto"/>
              <w:bottom w:val="double" w:sz="4" w:space="0" w:color="auto"/>
            </w:tcBorders>
            <w:shd w:val="clear" w:color="auto" w:fill="auto"/>
            <w:noWrap/>
            <w:vAlign w:val="bottom"/>
          </w:tcPr>
          <w:p w:rsidR="00183665" w:rsidRPr="00CC5E0B" w:rsidRDefault="00C60C3A" w:rsidP="00EE2830">
            <w:pPr>
              <w:jc w:val="right"/>
              <w:rPr>
                <w:rFonts w:cs="Times New Roman"/>
                <w:b/>
                <w:szCs w:val="22"/>
                <w:lang w:eastAsia="bg-BG"/>
              </w:rPr>
            </w:pPr>
            <w:r w:rsidRPr="00CC5E0B">
              <w:rPr>
                <w:rFonts w:cs="Times New Roman"/>
                <w:b/>
                <w:szCs w:val="22"/>
                <w:lang w:eastAsia="bg-BG"/>
              </w:rPr>
              <w:t>-</w:t>
            </w:r>
          </w:p>
        </w:tc>
        <w:tc>
          <w:tcPr>
            <w:tcW w:w="1418" w:type="dxa"/>
            <w:tcBorders>
              <w:top w:val="single" w:sz="4" w:space="0" w:color="auto"/>
              <w:bottom w:val="double" w:sz="4" w:space="0" w:color="auto"/>
            </w:tcBorders>
          </w:tcPr>
          <w:p w:rsidR="00C60C3A" w:rsidRPr="00CC5E0B" w:rsidRDefault="00C60C3A" w:rsidP="00EE2830">
            <w:pPr>
              <w:jc w:val="right"/>
              <w:rPr>
                <w:rFonts w:cs="Times New Roman"/>
                <w:b/>
                <w:szCs w:val="22"/>
                <w:lang w:eastAsia="bg-BG"/>
              </w:rPr>
            </w:pPr>
          </w:p>
          <w:p w:rsidR="00183665" w:rsidRPr="00CC5E0B" w:rsidRDefault="00C60C3A" w:rsidP="00EE2830">
            <w:pPr>
              <w:jc w:val="right"/>
              <w:rPr>
                <w:rFonts w:cs="Times New Roman"/>
                <w:b/>
                <w:szCs w:val="22"/>
                <w:lang w:eastAsia="bg-BG"/>
              </w:rPr>
            </w:pPr>
            <w:r w:rsidRPr="00CC5E0B">
              <w:rPr>
                <w:rFonts w:cs="Times New Roman"/>
                <w:b/>
                <w:szCs w:val="22"/>
                <w:lang w:eastAsia="bg-BG"/>
              </w:rPr>
              <w:t>1</w:t>
            </w:r>
          </w:p>
        </w:tc>
        <w:tc>
          <w:tcPr>
            <w:tcW w:w="1559" w:type="dxa"/>
            <w:tcBorders>
              <w:top w:val="single" w:sz="4" w:space="0" w:color="auto"/>
              <w:bottom w:val="double" w:sz="4" w:space="0" w:color="auto"/>
            </w:tcBorders>
            <w:shd w:val="clear" w:color="auto" w:fill="auto"/>
            <w:vAlign w:val="bottom"/>
          </w:tcPr>
          <w:p w:rsidR="00183665" w:rsidRPr="00CC5E0B" w:rsidRDefault="00183665" w:rsidP="00EE2830">
            <w:pPr>
              <w:jc w:val="right"/>
              <w:rPr>
                <w:rFonts w:cs="Times New Roman"/>
                <w:b/>
                <w:szCs w:val="22"/>
                <w:lang w:eastAsia="bg-BG"/>
              </w:rPr>
            </w:pPr>
            <w:r w:rsidRPr="00CC5E0B">
              <w:rPr>
                <w:rFonts w:cs="Times New Roman"/>
                <w:b/>
                <w:szCs w:val="22"/>
                <w:lang w:eastAsia="bg-BG"/>
              </w:rPr>
              <w:t>5</w:t>
            </w:r>
          </w:p>
        </w:tc>
        <w:tc>
          <w:tcPr>
            <w:tcW w:w="1100" w:type="dxa"/>
            <w:tcBorders>
              <w:top w:val="single" w:sz="4" w:space="0" w:color="auto"/>
              <w:bottom w:val="double" w:sz="4" w:space="0" w:color="auto"/>
            </w:tcBorders>
            <w:shd w:val="clear" w:color="auto" w:fill="auto"/>
            <w:vAlign w:val="bottom"/>
          </w:tcPr>
          <w:p w:rsidR="00183665" w:rsidRPr="00CC5E0B" w:rsidRDefault="00183665" w:rsidP="00EE2830">
            <w:pPr>
              <w:jc w:val="right"/>
              <w:rPr>
                <w:rFonts w:cs="Times New Roman"/>
                <w:b/>
                <w:szCs w:val="22"/>
                <w:lang w:eastAsia="bg-BG"/>
              </w:rPr>
            </w:pPr>
            <w:r w:rsidRPr="00CC5E0B">
              <w:rPr>
                <w:rFonts w:cs="Times New Roman"/>
                <w:b/>
                <w:szCs w:val="22"/>
                <w:lang w:eastAsia="bg-BG"/>
              </w:rPr>
              <w:t>6</w:t>
            </w:r>
          </w:p>
        </w:tc>
      </w:tr>
    </w:tbl>
    <w:p w:rsidR="00F62D0A" w:rsidRPr="00796446" w:rsidRDefault="00F62D0A" w:rsidP="00F62D0A">
      <w:pPr>
        <w:jc w:val="both"/>
        <w:rPr>
          <w:szCs w:val="22"/>
        </w:rPr>
      </w:pPr>
    </w:p>
    <w:p w:rsidR="00652CAE" w:rsidRDefault="00CA1759" w:rsidP="00D224DA">
      <w:pPr>
        <w:spacing w:after="120"/>
        <w:jc w:val="both"/>
        <w:rPr>
          <w:szCs w:val="22"/>
        </w:rPr>
      </w:pPr>
      <w:r w:rsidRPr="00CC5E0B">
        <w:rPr>
          <w:szCs w:val="22"/>
        </w:rPr>
        <w:t xml:space="preserve">Всички разходи за амортизация </w:t>
      </w:r>
      <w:r w:rsidR="00E44E7C" w:rsidRPr="00CC5E0B">
        <w:rPr>
          <w:szCs w:val="22"/>
        </w:rPr>
        <w:t>са</w:t>
      </w:r>
      <w:r w:rsidRPr="00CC5E0B">
        <w:rPr>
          <w:szCs w:val="22"/>
        </w:rPr>
        <w:t xml:space="preserve"> включени в</w:t>
      </w:r>
      <w:r w:rsidR="004639B3" w:rsidRPr="00CC5E0B">
        <w:rPr>
          <w:szCs w:val="22"/>
        </w:rPr>
        <w:t xml:space="preserve"> </w:t>
      </w:r>
      <w:r w:rsidR="000D210A" w:rsidRPr="00CC5E0B">
        <w:rPr>
          <w:szCs w:val="22"/>
        </w:rPr>
        <w:t>отчет</w:t>
      </w:r>
      <w:r w:rsidR="00817FBA" w:rsidRPr="00CC5E0B">
        <w:rPr>
          <w:szCs w:val="22"/>
        </w:rPr>
        <w:t>а</w:t>
      </w:r>
      <w:r w:rsidR="002F013A" w:rsidRPr="00CC5E0B">
        <w:rPr>
          <w:szCs w:val="22"/>
        </w:rPr>
        <w:t xml:space="preserve"> за </w:t>
      </w:r>
      <w:r w:rsidR="0091647E" w:rsidRPr="00CC5E0B">
        <w:rPr>
          <w:szCs w:val="22"/>
        </w:rPr>
        <w:t xml:space="preserve">печалбата или загубата и другия </w:t>
      </w:r>
      <w:r w:rsidR="00817FBA" w:rsidRPr="00CC5E0B">
        <w:rPr>
          <w:szCs w:val="22"/>
        </w:rPr>
        <w:t>всеобхватен</w:t>
      </w:r>
      <w:r w:rsidR="002F013A" w:rsidRPr="00CC5E0B">
        <w:rPr>
          <w:szCs w:val="22"/>
        </w:rPr>
        <w:t xml:space="preserve"> доход</w:t>
      </w:r>
      <w:r w:rsidR="00AE4BB2" w:rsidRPr="00CC5E0B">
        <w:rPr>
          <w:szCs w:val="22"/>
        </w:rPr>
        <w:t xml:space="preserve"> на ред „Р</w:t>
      </w:r>
      <w:r w:rsidRPr="00CC5E0B">
        <w:rPr>
          <w:szCs w:val="22"/>
        </w:rPr>
        <w:t>азходи за амортизация на нефинансови активи”.</w:t>
      </w:r>
    </w:p>
    <w:p w:rsidR="00D6280B" w:rsidRPr="00CC5E0B" w:rsidRDefault="00D6280B" w:rsidP="00CC5E0B">
      <w:pPr>
        <w:spacing w:before="120" w:after="120"/>
        <w:jc w:val="both"/>
        <w:rPr>
          <w:rFonts w:cs="Times New Roman"/>
          <w:szCs w:val="22"/>
        </w:rPr>
      </w:pPr>
      <w:r w:rsidRPr="006478CC">
        <w:rPr>
          <w:rFonts w:cs="Times New Roman"/>
          <w:szCs w:val="22"/>
        </w:rPr>
        <w:t>Дружеството не е заложило нематериални активи като обезпечениe по свои задължения.</w:t>
      </w:r>
    </w:p>
    <w:p w:rsidR="00CA1759" w:rsidRDefault="00CA1759" w:rsidP="006B245C">
      <w:pPr>
        <w:pStyle w:val="Heading1"/>
        <w:numPr>
          <w:ilvl w:val="0"/>
          <w:numId w:val="45"/>
        </w:numPr>
        <w:spacing w:before="360" w:after="0" w:line="259" w:lineRule="auto"/>
        <w:ind w:left="567" w:hanging="567"/>
        <w:rPr>
          <w:color w:val="auto"/>
          <w:sz w:val="22"/>
          <w:szCs w:val="22"/>
        </w:rPr>
      </w:pPr>
      <w:bookmarkStart w:id="10" w:name="_Ref248328975"/>
      <w:r w:rsidRPr="00CC5E0B">
        <w:rPr>
          <w:color w:val="auto"/>
          <w:sz w:val="22"/>
          <w:szCs w:val="22"/>
        </w:rPr>
        <w:t>Имоти, машини и съоръжения</w:t>
      </w:r>
      <w:bookmarkEnd w:id="10"/>
    </w:p>
    <w:p w:rsidR="00D07606" w:rsidRPr="003D4233" w:rsidRDefault="00D07606" w:rsidP="00CC5E0B">
      <w:pPr>
        <w:pStyle w:val="BodyText"/>
        <w:spacing w:after="0"/>
      </w:pPr>
    </w:p>
    <w:p w:rsidR="00C60C3A" w:rsidRPr="00CC5E0B" w:rsidRDefault="00CA1759" w:rsidP="00CC5E0B">
      <w:pPr>
        <w:spacing w:line="259" w:lineRule="auto"/>
        <w:jc w:val="both"/>
        <w:rPr>
          <w:szCs w:val="22"/>
        </w:rPr>
      </w:pPr>
      <w:r w:rsidRPr="00CC5E0B">
        <w:rPr>
          <w:szCs w:val="22"/>
        </w:rPr>
        <w:t xml:space="preserve">Имотите, машините и съоръженията на </w:t>
      </w:r>
      <w:r w:rsidR="003E0AD8" w:rsidRPr="00CC5E0B">
        <w:rPr>
          <w:szCs w:val="22"/>
        </w:rPr>
        <w:t>Дружеството</w:t>
      </w:r>
      <w:r w:rsidR="00A75F40" w:rsidRPr="00CC5E0B">
        <w:rPr>
          <w:szCs w:val="22"/>
        </w:rPr>
        <w:t xml:space="preserve"> </w:t>
      </w:r>
      <w:r w:rsidRPr="00CC5E0B">
        <w:rPr>
          <w:szCs w:val="22"/>
        </w:rPr>
        <w:t>включват</w:t>
      </w:r>
      <w:r w:rsidR="00A75F40" w:rsidRPr="00CC5E0B">
        <w:rPr>
          <w:szCs w:val="22"/>
        </w:rPr>
        <w:t xml:space="preserve"> </w:t>
      </w:r>
      <w:r w:rsidR="0047609A" w:rsidRPr="00CC5E0B">
        <w:rPr>
          <w:szCs w:val="22"/>
        </w:rPr>
        <w:t xml:space="preserve">сгради, машини, съоръжения и оборудване, </w:t>
      </w:r>
      <w:r w:rsidR="00DE5645" w:rsidRPr="00CC5E0B">
        <w:rPr>
          <w:szCs w:val="22"/>
        </w:rPr>
        <w:t xml:space="preserve">транспортни средства, </w:t>
      </w:r>
      <w:r w:rsidR="001A38EF" w:rsidRPr="00CC5E0B">
        <w:rPr>
          <w:szCs w:val="22"/>
        </w:rPr>
        <w:t xml:space="preserve">компютърна техника и </w:t>
      </w:r>
      <w:r w:rsidR="0047609A" w:rsidRPr="00CC5E0B">
        <w:rPr>
          <w:szCs w:val="22"/>
        </w:rPr>
        <w:t>други</w:t>
      </w:r>
      <w:r w:rsidRPr="00CC5E0B">
        <w:rPr>
          <w:szCs w:val="22"/>
        </w:rPr>
        <w:t>. Балансовата стойност може да бъде анализирана</w:t>
      </w:r>
      <w:r w:rsidR="00A71CA4" w:rsidRPr="00CC5E0B">
        <w:rPr>
          <w:szCs w:val="22"/>
        </w:rPr>
        <w:t>,</w:t>
      </w:r>
      <w:r w:rsidRPr="00CC5E0B">
        <w:rPr>
          <w:szCs w:val="22"/>
        </w:rPr>
        <w:t xml:space="preserve"> както следва:</w:t>
      </w:r>
    </w:p>
    <w:tbl>
      <w:tblPr>
        <w:tblW w:w="4988" w:type="pct"/>
        <w:tblInd w:w="-34" w:type="dxa"/>
        <w:tblLayout w:type="fixed"/>
        <w:tblLook w:val="0000"/>
      </w:tblPr>
      <w:tblGrid>
        <w:gridCol w:w="2411"/>
        <w:gridCol w:w="1020"/>
        <w:gridCol w:w="1250"/>
        <w:gridCol w:w="1130"/>
        <w:gridCol w:w="1276"/>
        <w:gridCol w:w="1160"/>
        <w:gridCol w:w="974"/>
      </w:tblGrid>
      <w:tr w:rsidR="00D07606" w:rsidRPr="00796446" w:rsidTr="00D07606">
        <w:trPr>
          <w:trHeight w:val="20"/>
        </w:trPr>
        <w:tc>
          <w:tcPr>
            <w:tcW w:w="1307" w:type="pct"/>
            <w:shd w:val="clear" w:color="auto" w:fill="auto"/>
          </w:tcPr>
          <w:p w:rsidR="008E2FB8" w:rsidRPr="00796446" w:rsidRDefault="008E2FB8" w:rsidP="003C00A7">
            <w:pPr>
              <w:rPr>
                <w:szCs w:val="22"/>
              </w:rPr>
            </w:pPr>
          </w:p>
          <w:p w:rsidR="00EF63CC" w:rsidRPr="00796446" w:rsidRDefault="00EF63CC" w:rsidP="003C00A7">
            <w:pPr>
              <w:rPr>
                <w:szCs w:val="22"/>
              </w:rPr>
            </w:pPr>
          </w:p>
          <w:p w:rsidR="00EF63CC" w:rsidRPr="00796446" w:rsidRDefault="00C60C3A" w:rsidP="003C00A7">
            <w:pPr>
              <w:rPr>
                <w:b/>
                <w:szCs w:val="22"/>
              </w:rPr>
            </w:pPr>
            <w:r w:rsidRPr="00796446">
              <w:rPr>
                <w:b/>
                <w:szCs w:val="22"/>
              </w:rPr>
              <w:t>К</w:t>
            </w:r>
            <w:r w:rsidR="00F62D0A" w:rsidRPr="00796446">
              <w:rPr>
                <w:b/>
                <w:szCs w:val="22"/>
              </w:rPr>
              <w:t>ъм 3</w:t>
            </w:r>
            <w:r w:rsidR="00485BAE" w:rsidRPr="00796446">
              <w:rPr>
                <w:b/>
                <w:szCs w:val="22"/>
              </w:rPr>
              <w:t>0</w:t>
            </w:r>
            <w:r w:rsidR="00F62D0A" w:rsidRPr="00796446">
              <w:rPr>
                <w:b/>
                <w:szCs w:val="22"/>
              </w:rPr>
              <w:t>.</w:t>
            </w:r>
            <w:r w:rsidRPr="00796446">
              <w:rPr>
                <w:b/>
                <w:szCs w:val="22"/>
              </w:rPr>
              <w:t>0</w:t>
            </w:r>
            <w:r w:rsidR="00485BAE" w:rsidRPr="00796446">
              <w:rPr>
                <w:b/>
                <w:szCs w:val="22"/>
              </w:rPr>
              <w:t>6</w:t>
            </w:r>
            <w:r w:rsidR="00F62D0A" w:rsidRPr="00796446">
              <w:rPr>
                <w:b/>
                <w:szCs w:val="22"/>
              </w:rPr>
              <w:t>.201</w:t>
            </w:r>
            <w:r w:rsidRPr="00796446">
              <w:rPr>
                <w:b/>
                <w:szCs w:val="22"/>
              </w:rPr>
              <w:t>9</w:t>
            </w:r>
            <w:r w:rsidR="00F62D0A" w:rsidRPr="00796446">
              <w:rPr>
                <w:b/>
                <w:szCs w:val="22"/>
              </w:rPr>
              <w:t xml:space="preserve"> г.</w:t>
            </w:r>
          </w:p>
          <w:p w:rsidR="00EF63CC" w:rsidRPr="00796446" w:rsidRDefault="00EF63CC" w:rsidP="003C00A7">
            <w:pPr>
              <w:rPr>
                <w:szCs w:val="22"/>
              </w:rPr>
            </w:pPr>
          </w:p>
        </w:tc>
        <w:tc>
          <w:tcPr>
            <w:tcW w:w="553" w:type="pct"/>
            <w:shd w:val="clear" w:color="auto" w:fill="auto"/>
          </w:tcPr>
          <w:p w:rsidR="008E2FB8" w:rsidRPr="00796446" w:rsidRDefault="008E2FB8" w:rsidP="00EE2830">
            <w:pPr>
              <w:jc w:val="right"/>
              <w:rPr>
                <w:b/>
                <w:szCs w:val="22"/>
              </w:rPr>
            </w:pPr>
          </w:p>
          <w:p w:rsidR="008E2FB8" w:rsidRPr="00796446" w:rsidRDefault="008E2FB8" w:rsidP="00EE2830">
            <w:pPr>
              <w:jc w:val="right"/>
              <w:rPr>
                <w:b/>
                <w:szCs w:val="22"/>
              </w:rPr>
            </w:pPr>
            <w:r w:rsidRPr="00796446">
              <w:rPr>
                <w:b/>
                <w:szCs w:val="22"/>
              </w:rPr>
              <w:t>Сгради</w:t>
            </w:r>
          </w:p>
        </w:tc>
        <w:tc>
          <w:tcPr>
            <w:tcW w:w="678" w:type="pct"/>
            <w:shd w:val="clear" w:color="auto" w:fill="auto"/>
          </w:tcPr>
          <w:p w:rsidR="008E2FB8" w:rsidRPr="00796446" w:rsidRDefault="008E2FB8" w:rsidP="00F62D0A">
            <w:pPr>
              <w:rPr>
                <w:b/>
                <w:szCs w:val="22"/>
              </w:rPr>
            </w:pPr>
          </w:p>
          <w:p w:rsidR="008E2FB8" w:rsidRPr="00796446" w:rsidRDefault="008E2FB8" w:rsidP="00EE2830">
            <w:pPr>
              <w:jc w:val="right"/>
              <w:rPr>
                <w:b/>
                <w:szCs w:val="22"/>
              </w:rPr>
            </w:pPr>
            <w:r w:rsidRPr="00796446">
              <w:rPr>
                <w:b/>
                <w:szCs w:val="22"/>
              </w:rPr>
              <w:t>Машини, съоръжения и оборудване</w:t>
            </w:r>
          </w:p>
        </w:tc>
        <w:tc>
          <w:tcPr>
            <w:tcW w:w="613" w:type="pct"/>
            <w:shd w:val="clear" w:color="auto" w:fill="auto"/>
          </w:tcPr>
          <w:p w:rsidR="008E2FB8" w:rsidRPr="00796446" w:rsidRDefault="008E2FB8" w:rsidP="00EE2830">
            <w:pPr>
              <w:jc w:val="right"/>
              <w:rPr>
                <w:b/>
                <w:szCs w:val="22"/>
              </w:rPr>
            </w:pPr>
          </w:p>
          <w:p w:rsidR="008E2FB8" w:rsidRPr="00796446" w:rsidRDefault="008E2FB8" w:rsidP="00EE2830">
            <w:pPr>
              <w:jc w:val="right"/>
              <w:rPr>
                <w:b/>
                <w:szCs w:val="22"/>
              </w:rPr>
            </w:pPr>
            <w:r w:rsidRPr="00796446">
              <w:rPr>
                <w:b/>
                <w:szCs w:val="22"/>
              </w:rPr>
              <w:t>Транспортни средства</w:t>
            </w:r>
          </w:p>
        </w:tc>
        <w:tc>
          <w:tcPr>
            <w:tcW w:w="692" w:type="pct"/>
            <w:shd w:val="clear" w:color="auto" w:fill="auto"/>
          </w:tcPr>
          <w:p w:rsidR="008E2FB8" w:rsidRPr="00796446" w:rsidRDefault="008E2FB8" w:rsidP="00EE2830">
            <w:pPr>
              <w:jc w:val="right"/>
              <w:rPr>
                <w:b/>
                <w:szCs w:val="22"/>
              </w:rPr>
            </w:pPr>
          </w:p>
          <w:p w:rsidR="008E2FB8" w:rsidRPr="00796446" w:rsidRDefault="008E2FB8" w:rsidP="00EE2830">
            <w:pPr>
              <w:jc w:val="right"/>
              <w:rPr>
                <w:b/>
                <w:szCs w:val="22"/>
              </w:rPr>
            </w:pPr>
            <w:r w:rsidRPr="00796446">
              <w:rPr>
                <w:b/>
                <w:szCs w:val="22"/>
              </w:rPr>
              <w:t>Компютърна техника</w:t>
            </w:r>
          </w:p>
        </w:tc>
        <w:tc>
          <w:tcPr>
            <w:tcW w:w="629" w:type="pct"/>
            <w:shd w:val="clear" w:color="auto" w:fill="auto"/>
          </w:tcPr>
          <w:p w:rsidR="008E2FB8" w:rsidRPr="00796446" w:rsidRDefault="008E2FB8" w:rsidP="00EE2830">
            <w:pPr>
              <w:jc w:val="right"/>
              <w:rPr>
                <w:b/>
                <w:szCs w:val="22"/>
              </w:rPr>
            </w:pPr>
          </w:p>
          <w:p w:rsidR="008E2FB8" w:rsidRPr="00796446" w:rsidRDefault="008E2FB8" w:rsidP="00EE2830">
            <w:pPr>
              <w:jc w:val="right"/>
              <w:rPr>
                <w:b/>
                <w:szCs w:val="22"/>
              </w:rPr>
            </w:pPr>
            <w:r w:rsidRPr="00796446">
              <w:rPr>
                <w:b/>
                <w:szCs w:val="22"/>
              </w:rPr>
              <w:t>Разходи за придо</w:t>
            </w:r>
            <w:r w:rsidR="003C00A7" w:rsidRPr="00796446">
              <w:rPr>
                <w:b/>
                <w:szCs w:val="22"/>
              </w:rPr>
              <w:t>-</w:t>
            </w:r>
          </w:p>
          <w:p w:rsidR="008E2FB8" w:rsidRPr="00796446" w:rsidRDefault="008E2FB8" w:rsidP="00EE2830">
            <w:pPr>
              <w:jc w:val="right"/>
              <w:rPr>
                <w:b/>
                <w:szCs w:val="22"/>
              </w:rPr>
            </w:pPr>
            <w:r w:rsidRPr="00796446">
              <w:rPr>
                <w:b/>
                <w:szCs w:val="22"/>
              </w:rPr>
              <w:t>биване</w:t>
            </w:r>
          </w:p>
        </w:tc>
        <w:tc>
          <w:tcPr>
            <w:tcW w:w="528" w:type="pct"/>
            <w:shd w:val="clear" w:color="auto" w:fill="auto"/>
          </w:tcPr>
          <w:p w:rsidR="008E2FB8" w:rsidRPr="00796446" w:rsidRDefault="008E2FB8" w:rsidP="00EE2830">
            <w:pPr>
              <w:jc w:val="right"/>
              <w:rPr>
                <w:b/>
                <w:szCs w:val="22"/>
              </w:rPr>
            </w:pPr>
          </w:p>
          <w:p w:rsidR="008E2FB8" w:rsidRPr="00796446" w:rsidRDefault="008E2FB8" w:rsidP="00EE2830">
            <w:pPr>
              <w:jc w:val="right"/>
              <w:rPr>
                <w:b/>
                <w:szCs w:val="22"/>
              </w:rPr>
            </w:pPr>
            <w:r w:rsidRPr="00796446">
              <w:rPr>
                <w:b/>
                <w:szCs w:val="22"/>
              </w:rPr>
              <w:t>Общо</w:t>
            </w:r>
          </w:p>
        </w:tc>
      </w:tr>
      <w:tr w:rsidR="00D07606" w:rsidRPr="00796446" w:rsidTr="00D07606">
        <w:trPr>
          <w:trHeight w:val="20"/>
        </w:trPr>
        <w:tc>
          <w:tcPr>
            <w:tcW w:w="1307" w:type="pct"/>
            <w:shd w:val="clear" w:color="auto" w:fill="auto"/>
          </w:tcPr>
          <w:p w:rsidR="008E2FB8" w:rsidRPr="00796446" w:rsidRDefault="008E2FB8" w:rsidP="00817FBA">
            <w:pPr>
              <w:rPr>
                <w:szCs w:val="22"/>
              </w:rPr>
            </w:pPr>
          </w:p>
        </w:tc>
        <w:tc>
          <w:tcPr>
            <w:tcW w:w="553" w:type="pct"/>
            <w:shd w:val="clear" w:color="auto" w:fill="auto"/>
          </w:tcPr>
          <w:p w:rsidR="008E2FB8" w:rsidRPr="00796446" w:rsidRDefault="008E2FB8" w:rsidP="00EE2830">
            <w:pPr>
              <w:autoSpaceDE w:val="0"/>
              <w:autoSpaceDN w:val="0"/>
              <w:adjustRightInd w:val="0"/>
              <w:jc w:val="right"/>
              <w:rPr>
                <w:b/>
                <w:bCs/>
                <w:szCs w:val="22"/>
              </w:rPr>
            </w:pPr>
            <w:r w:rsidRPr="00796446">
              <w:rPr>
                <w:b/>
                <w:bCs/>
                <w:szCs w:val="22"/>
              </w:rPr>
              <w:t>‘000 лв.</w:t>
            </w:r>
          </w:p>
        </w:tc>
        <w:tc>
          <w:tcPr>
            <w:tcW w:w="678" w:type="pct"/>
            <w:shd w:val="clear" w:color="auto" w:fill="auto"/>
          </w:tcPr>
          <w:p w:rsidR="008E2FB8" w:rsidRPr="00796446" w:rsidRDefault="008E2FB8" w:rsidP="00EE2830">
            <w:pPr>
              <w:autoSpaceDE w:val="0"/>
              <w:autoSpaceDN w:val="0"/>
              <w:adjustRightInd w:val="0"/>
              <w:jc w:val="right"/>
              <w:rPr>
                <w:b/>
                <w:bCs/>
                <w:szCs w:val="22"/>
              </w:rPr>
            </w:pPr>
            <w:bookmarkStart w:id="11" w:name="OLE_LINK3"/>
            <w:bookmarkStart w:id="12" w:name="OLE_LINK4"/>
            <w:r w:rsidRPr="00796446">
              <w:rPr>
                <w:b/>
                <w:bCs/>
                <w:szCs w:val="22"/>
              </w:rPr>
              <w:t>‘000 лв.</w:t>
            </w:r>
            <w:bookmarkEnd w:id="11"/>
            <w:bookmarkEnd w:id="12"/>
          </w:p>
        </w:tc>
        <w:tc>
          <w:tcPr>
            <w:tcW w:w="613" w:type="pct"/>
            <w:shd w:val="clear" w:color="auto" w:fill="auto"/>
          </w:tcPr>
          <w:p w:rsidR="008E2FB8" w:rsidRPr="00796446" w:rsidRDefault="008E2FB8" w:rsidP="00EE2830">
            <w:pPr>
              <w:autoSpaceDE w:val="0"/>
              <w:autoSpaceDN w:val="0"/>
              <w:adjustRightInd w:val="0"/>
              <w:jc w:val="right"/>
              <w:rPr>
                <w:b/>
                <w:bCs/>
                <w:szCs w:val="22"/>
              </w:rPr>
            </w:pPr>
            <w:r w:rsidRPr="00796446">
              <w:rPr>
                <w:b/>
                <w:bCs/>
                <w:szCs w:val="22"/>
              </w:rPr>
              <w:t>‘000 лв.</w:t>
            </w:r>
          </w:p>
        </w:tc>
        <w:tc>
          <w:tcPr>
            <w:tcW w:w="692" w:type="pct"/>
            <w:shd w:val="clear" w:color="auto" w:fill="auto"/>
          </w:tcPr>
          <w:p w:rsidR="008E2FB8" w:rsidRPr="00796446" w:rsidRDefault="008E2FB8" w:rsidP="00EE2830">
            <w:pPr>
              <w:autoSpaceDE w:val="0"/>
              <w:autoSpaceDN w:val="0"/>
              <w:adjustRightInd w:val="0"/>
              <w:jc w:val="right"/>
              <w:rPr>
                <w:b/>
                <w:bCs/>
                <w:szCs w:val="22"/>
              </w:rPr>
            </w:pPr>
            <w:r w:rsidRPr="00796446">
              <w:rPr>
                <w:b/>
                <w:bCs/>
                <w:szCs w:val="22"/>
              </w:rPr>
              <w:t>‘000 лв.</w:t>
            </w:r>
          </w:p>
        </w:tc>
        <w:tc>
          <w:tcPr>
            <w:tcW w:w="629" w:type="pct"/>
            <w:shd w:val="clear" w:color="auto" w:fill="auto"/>
          </w:tcPr>
          <w:p w:rsidR="008E2FB8" w:rsidRPr="00796446" w:rsidRDefault="008E2FB8" w:rsidP="00EE2830">
            <w:pPr>
              <w:autoSpaceDE w:val="0"/>
              <w:autoSpaceDN w:val="0"/>
              <w:adjustRightInd w:val="0"/>
              <w:jc w:val="right"/>
              <w:rPr>
                <w:b/>
                <w:bCs/>
                <w:szCs w:val="22"/>
              </w:rPr>
            </w:pPr>
            <w:r w:rsidRPr="00796446">
              <w:rPr>
                <w:b/>
                <w:bCs/>
                <w:szCs w:val="22"/>
              </w:rPr>
              <w:t>‘000 лв.</w:t>
            </w:r>
          </w:p>
        </w:tc>
        <w:tc>
          <w:tcPr>
            <w:tcW w:w="528" w:type="pct"/>
            <w:shd w:val="clear" w:color="auto" w:fill="auto"/>
          </w:tcPr>
          <w:p w:rsidR="008E2FB8" w:rsidRPr="00796446" w:rsidRDefault="008E2FB8" w:rsidP="00EE2830">
            <w:pPr>
              <w:autoSpaceDE w:val="0"/>
              <w:autoSpaceDN w:val="0"/>
              <w:adjustRightInd w:val="0"/>
              <w:jc w:val="right"/>
              <w:rPr>
                <w:b/>
                <w:bCs/>
                <w:szCs w:val="22"/>
              </w:rPr>
            </w:pPr>
            <w:r w:rsidRPr="00796446">
              <w:rPr>
                <w:b/>
                <w:bCs/>
                <w:szCs w:val="22"/>
              </w:rPr>
              <w:t>‘000 лв.</w:t>
            </w:r>
          </w:p>
        </w:tc>
      </w:tr>
      <w:tr w:rsidR="00D07606" w:rsidRPr="00796446" w:rsidTr="00D07606">
        <w:trPr>
          <w:trHeight w:val="20"/>
        </w:trPr>
        <w:tc>
          <w:tcPr>
            <w:tcW w:w="1307" w:type="pct"/>
            <w:shd w:val="clear" w:color="auto" w:fill="auto"/>
          </w:tcPr>
          <w:p w:rsidR="008E2FB8" w:rsidRPr="00796446" w:rsidRDefault="008E2FB8" w:rsidP="00817FBA">
            <w:pPr>
              <w:rPr>
                <w:b/>
                <w:szCs w:val="22"/>
              </w:rPr>
            </w:pPr>
            <w:r w:rsidRPr="00796446">
              <w:rPr>
                <w:rFonts w:cs="Times New Roman"/>
                <w:b/>
                <w:bCs/>
                <w:szCs w:val="22"/>
                <w:lang w:eastAsia="bg-BG"/>
              </w:rPr>
              <w:t>Брутна балансова стойност</w:t>
            </w:r>
          </w:p>
        </w:tc>
        <w:tc>
          <w:tcPr>
            <w:tcW w:w="553" w:type="pct"/>
            <w:shd w:val="clear" w:color="auto" w:fill="auto"/>
          </w:tcPr>
          <w:p w:rsidR="008E2FB8" w:rsidRPr="00796446" w:rsidRDefault="008E2FB8" w:rsidP="00EE2830">
            <w:pPr>
              <w:jc w:val="right"/>
              <w:rPr>
                <w:szCs w:val="22"/>
              </w:rPr>
            </w:pPr>
          </w:p>
        </w:tc>
        <w:tc>
          <w:tcPr>
            <w:tcW w:w="678" w:type="pct"/>
            <w:shd w:val="clear" w:color="auto" w:fill="auto"/>
          </w:tcPr>
          <w:p w:rsidR="008E2FB8" w:rsidRPr="00796446" w:rsidRDefault="008E2FB8" w:rsidP="00EE2830">
            <w:pPr>
              <w:jc w:val="right"/>
              <w:rPr>
                <w:szCs w:val="22"/>
              </w:rPr>
            </w:pPr>
          </w:p>
        </w:tc>
        <w:tc>
          <w:tcPr>
            <w:tcW w:w="613" w:type="pct"/>
            <w:shd w:val="clear" w:color="auto" w:fill="auto"/>
          </w:tcPr>
          <w:p w:rsidR="008E2FB8" w:rsidRPr="00796446" w:rsidRDefault="008E2FB8" w:rsidP="00EE2830">
            <w:pPr>
              <w:jc w:val="right"/>
              <w:rPr>
                <w:szCs w:val="22"/>
              </w:rPr>
            </w:pPr>
          </w:p>
        </w:tc>
        <w:tc>
          <w:tcPr>
            <w:tcW w:w="692" w:type="pct"/>
            <w:shd w:val="clear" w:color="auto" w:fill="auto"/>
          </w:tcPr>
          <w:p w:rsidR="008E2FB8" w:rsidRPr="00796446" w:rsidRDefault="008E2FB8" w:rsidP="00EE2830">
            <w:pPr>
              <w:jc w:val="right"/>
              <w:rPr>
                <w:szCs w:val="22"/>
              </w:rPr>
            </w:pPr>
          </w:p>
        </w:tc>
        <w:tc>
          <w:tcPr>
            <w:tcW w:w="629" w:type="pct"/>
            <w:shd w:val="clear" w:color="auto" w:fill="auto"/>
          </w:tcPr>
          <w:p w:rsidR="008E2FB8" w:rsidRPr="00796446" w:rsidRDefault="008E2FB8" w:rsidP="00EE2830">
            <w:pPr>
              <w:jc w:val="right"/>
              <w:rPr>
                <w:szCs w:val="22"/>
              </w:rPr>
            </w:pPr>
          </w:p>
        </w:tc>
        <w:tc>
          <w:tcPr>
            <w:tcW w:w="528" w:type="pct"/>
            <w:shd w:val="clear" w:color="auto" w:fill="auto"/>
          </w:tcPr>
          <w:p w:rsidR="008E2FB8" w:rsidRPr="00796446" w:rsidRDefault="008E2FB8" w:rsidP="00EE2830">
            <w:pPr>
              <w:jc w:val="right"/>
              <w:rPr>
                <w:szCs w:val="22"/>
              </w:rPr>
            </w:pPr>
          </w:p>
        </w:tc>
      </w:tr>
      <w:tr w:rsidR="00D07606" w:rsidRPr="00796446" w:rsidTr="00D07606">
        <w:trPr>
          <w:trHeight w:val="20"/>
        </w:trPr>
        <w:tc>
          <w:tcPr>
            <w:tcW w:w="1307" w:type="pct"/>
            <w:shd w:val="clear" w:color="auto" w:fill="auto"/>
          </w:tcPr>
          <w:p w:rsidR="008E2FB8" w:rsidRPr="00796446" w:rsidRDefault="008E2FB8" w:rsidP="00817FBA">
            <w:pPr>
              <w:rPr>
                <w:szCs w:val="22"/>
              </w:rPr>
            </w:pPr>
            <w:r w:rsidRPr="00796446">
              <w:rPr>
                <w:szCs w:val="22"/>
              </w:rPr>
              <w:t>Салдо към 1 януари 201</w:t>
            </w:r>
            <w:r w:rsidR="00C60C3A" w:rsidRPr="00796446">
              <w:rPr>
                <w:szCs w:val="22"/>
              </w:rPr>
              <w:t>9</w:t>
            </w:r>
            <w:r w:rsidRPr="00796446">
              <w:rPr>
                <w:szCs w:val="22"/>
              </w:rPr>
              <w:t xml:space="preserve"> г.</w:t>
            </w:r>
          </w:p>
        </w:tc>
        <w:tc>
          <w:tcPr>
            <w:tcW w:w="553" w:type="pct"/>
            <w:shd w:val="clear" w:color="auto" w:fill="auto"/>
          </w:tcPr>
          <w:p w:rsidR="008E2FB8" w:rsidRPr="00796446" w:rsidRDefault="00C60C3A" w:rsidP="00EE2830">
            <w:pPr>
              <w:jc w:val="right"/>
              <w:rPr>
                <w:szCs w:val="22"/>
              </w:rPr>
            </w:pPr>
            <w:r w:rsidRPr="00796446">
              <w:rPr>
                <w:szCs w:val="22"/>
              </w:rPr>
              <w:t>10,935</w:t>
            </w:r>
          </w:p>
        </w:tc>
        <w:tc>
          <w:tcPr>
            <w:tcW w:w="678" w:type="pct"/>
            <w:shd w:val="clear" w:color="auto" w:fill="auto"/>
          </w:tcPr>
          <w:p w:rsidR="008E2FB8" w:rsidRPr="00796446" w:rsidRDefault="00C60C3A" w:rsidP="00EE2830">
            <w:pPr>
              <w:jc w:val="right"/>
              <w:rPr>
                <w:szCs w:val="22"/>
              </w:rPr>
            </w:pPr>
            <w:r w:rsidRPr="00796446">
              <w:rPr>
                <w:szCs w:val="22"/>
              </w:rPr>
              <w:t>8,422</w:t>
            </w:r>
          </w:p>
        </w:tc>
        <w:tc>
          <w:tcPr>
            <w:tcW w:w="613" w:type="pct"/>
            <w:shd w:val="clear" w:color="auto" w:fill="auto"/>
          </w:tcPr>
          <w:p w:rsidR="008E2FB8" w:rsidRPr="00796446" w:rsidRDefault="0014211D" w:rsidP="00EE2830">
            <w:pPr>
              <w:jc w:val="right"/>
              <w:rPr>
                <w:szCs w:val="22"/>
              </w:rPr>
            </w:pPr>
            <w:r w:rsidRPr="00796446">
              <w:rPr>
                <w:szCs w:val="22"/>
              </w:rPr>
              <w:t>34</w:t>
            </w:r>
          </w:p>
        </w:tc>
        <w:tc>
          <w:tcPr>
            <w:tcW w:w="692" w:type="pct"/>
            <w:shd w:val="clear" w:color="auto" w:fill="auto"/>
          </w:tcPr>
          <w:p w:rsidR="008E2FB8" w:rsidRPr="00796446" w:rsidRDefault="0014211D" w:rsidP="00EE2830">
            <w:pPr>
              <w:jc w:val="right"/>
              <w:rPr>
                <w:szCs w:val="22"/>
              </w:rPr>
            </w:pPr>
            <w:r w:rsidRPr="00796446">
              <w:rPr>
                <w:szCs w:val="22"/>
              </w:rPr>
              <w:t>2</w:t>
            </w:r>
            <w:r w:rsidR="00C60C3A" w:rsidRPr="00796446">
              <w:rPr>
                <w:szCs w:val="22"/>
              </w:rPr>
              <w:t>7</w:t>
            </w:r>
          </w:p>
        </w:tc>
        <w:tc>
          <w:tcPr>
            <w:tcW w:w="629" w:type="pct"/>
            <w:shd w:val="clear" w:color="auto" w:fill="auto"/>
          </w:tcPr>
          <w:p w:rsidR="008E2FB8" w:rsidRPr="00796446" w:rsidRDefault="008E2FB8" w:rsidP="00EE2830">
            <w:pPr>
              <w:jc w:val="right"/>
              <w:rPr>
                <w:rFonts w:eastAsia="Arial Unicode MS"/>
                <w:szCs w:val="22"/>
              </w:rPr>
            </w:pPr>
            <w:r w:rsidRPr="00796446">
              <w:rPr>
                <w:rFonts w:eastAsia="Arial Unicode MS"/>
                <w:szCs w:val="22"/>
              </w:rPr>
              <w:t>1</w:t>
            </w:r>
            <w:r w:rsidR="00C60C3A" w:rsidRPr="00796446">
              <w:rPr>
                <w:rFonts w:eastAsia="Arial Unicode MS"/>
                <w:szCs w:val="22"/>
              </w:rPr>
              <w:t>7</w:t>
            </w:r>
          </w:p>
        </w:tc>
        <w:tc>
          <w:tcPr>
            <w:tcW w:w="528" w:type="pct"/>
            <w:shd w:val="clear" w:color="auto" w:fill="auto"/>
          </w:tcPr>
          <w:p w:rsidR="008E2FB8" w:rsidRPr="00796446" w:rsidRDefault="00C60C3A" w:rsidP="00EE2830">
            <w:pPr>
              <w:jc w:val="right"/>
              <w:rPr>
                <w:b/>
                <w:szCs w:val="22"/>
              </w:rPr>
            </w:pPr>
            <w:r w:rsidRPr="00796446">
              <w:rPr>
                <w:b/>
                <w:szCs w:val="22"/>
              </w:rPr>
              <w:t>19,435</w:t>
            </w:r>
          </w:p>
        </w:tc>
      </w:tr>
      <w:tr w:rsidR="00D07606" w:rsidRPr="00796446" w:rsidTr="00D07606">
        <w:trPr>
          <w:trHeight w:val="20"/>
        </w:trPr>
        <w:tc>
          <w:tcPr>
            <w:tcW w:w="1307" w:type="pct"/>
            <w:shd w:val="clear" w:color="auto" w:fill="auto"/>
          </w:tcPr>
          <w:p w:rsidR="00485BAE" w:rsidRPr="00796446" w:rsidRDefault="00485BAE" w:rsidP="00817FBA">
            <w:pPr>
              <w:rPr>
                <w:bCs/>
                <w:szCs w:val="22"/>
              </w:rPr>
            </w:pPr>
            <w:r w:rsidRPr="00796446">
              <w:rPr>
                <w:bCs/>
                <w:szCs w:val="22"/>
              </w:rPr>
              <w:t>Новопридобити активи</w:t>
            </w:r>
          </w:p>
        </w:tc>
        <w:tc>
          <w:tcPr>
            <w:tcW w:w="553" w:type="pct"/>
            <w:tcBorders>
              <w:top w:val="single" w:sz="4" w:space="0" w:color="auto"/>
              <w:bottom w:val="single" w:sz="4" w:space="0" w:color="auto"/>
            </w:tcBorders>
            <w:shd w:val="clear" w:color="auto" w:fill="auto"/>
          </w:tcPr>
          <w:p w:rsidR="00485BAE" w:rsidRPr="00796446" w:rsidRDefault="00C73D62" w:rsidP="00EE2830">
            <w:pPr>
              <w:jc w:val="right"/>
              <w:rPr>
                <w:b/>
                <w:szCs w:val="22"/>
              </w:rPr>
            </w:pPr>
            <w:r w:rsidRPr="00796446">
              <w:rPr>
                <w:b/>
                <w:szCs w:val="22"/>
              </w:rPr>
              <w:t>-</w:t>
            </w:r>
          </w:p>
        </w:tc>
        <w:tc>
          <w:tcPr>
            <w:tcW w:w="678" w:type="pct"/>
            <w:tcBorders>
              <w:top w:val="single" w:sz="4" w:space="0" w:color="auto"/>
              <w:bottom w:val="single" w:sz="4" w:space="0" w:color="auto"/>
            </w:tcBorders>
            <w:shd w:val="clear" w:color="auto" w:fill="auto"/>
          </w:tcPr>
          <w:p w:rsidR="00485BAE" w:rsidRPr="00796446" w:rsidRDefault="00C73D62" w:rsidP="00EE2830">
            <w:pPr>
              <w:jc w:val="right"/>
              <w:rPr>
                <w:bCs/>
                <w:szCs w:val="22"/>
              </w:rPr>
            </w:pPr>
            <w:r w:rsidRPr="00796446">
              <w:rPr>
                <w:bCs/>
                <w:szCs w:val="22"/>
              </w:rPr>
              <w:t>19</w:t>
            </w:r>
          </w:p>
        </w:tc>
        <w:tc>
          <w:tcPr>
            <w:tcW w:w="613" w:type="pct"/>
            <w:tcBorders>
              <w:top w:val="single" w:sz="4" w:space="0" w:color="auto"/>
              <w:bottom w:val="single" w:sz="4" w:space="0" w:color="auto"/>
            </w:tcBorders>
            <w:shd w:val="clear" w:color="auto" w:fill="auto"/>
          </w:tcPr>
          <w:p w:rsidR="00485BAE" w:rsidRPr="00796446" w:rsidRDefault="00C73D62" w:rsidP="00EE2830">
            <w:pPr>
              <w:jc w:val="right"/>
              <w:rPr>
                <w:b/>
                <w:szCs w:val="22"/>
              </w:rPr>
            </w:pPr>
            <w:r w:rsidRPr="00796446">
              <w:rPr>
                <w:b/>
                <w:szCs w:val="22"/>
              </w:rPr>
              <w:t>-</w:t>
            </w:r>
          </w:p>
        </w:tc>
        <w:tc>
          <w:tcPr>
            <w:tcW w:w="692" w:type="pct"/>
            <w:tcBorders>
              <w:top w:val="single" w:sz="4" w:space="0" w:color="auto"/>
              <w:bottom w:val="single" w:sz="4" w:space="0" w:color="auto"/>
            </w:tcBorders>
            <w:shd w:val="clear" w:color="auto" w:fill="auto"/>
          </w:tcPr>
          <w:p w:rsidR="00485BAE" w:rsidRPr="00796446" w:rsidRDefault="00C73D62" w:rsidP="00EE2830">
            <w:pPr>
              <w:jc w:val="right"/>
              <w:rPr>
                <w:b/>
                <w:szCs w:val="22"/>
              </w:rPr>
            </w:pPr>
            <w:r w:rsidRPr="00796446">
              <w:rPr>
                <w:b/>
                <w:szCs w:val="22"/>
              </w:rPr>
              <w:t>-</w:t>
            </w:r>
          </w:p>
        </w:tc>
        <w:tc>
          <w:tcPr>
            <w:tcW w:w="629" w:type="pct"/>
            <w:tcBorders>
              <w:top w:val="single" w:sz="4" w:space="0" w:color="auto"/>
              <w:bottom w:val="single" w:sz="4" w:space="0" w:color="auto"/>
            </w:tcBorders>
            <w:shd w:val="clear" w:color="auto" w:fill="auto"/>
          </w:tcPr>
          <w:p w:rsidR="00485BAE" w:rsidRPr="00796446" w:rsidRDefault="00C73D62" w:rsidP="00EE2830">
            <w:pPr>
              <w:jc w:val="right"/>
              <w:rPr>
                <w:b/>
                <w:szCs w:val="22"/>
              </w:rPr>
            </w:pPr>
            <w:r w:rsidRPr="00796446">
              <w:rPr>
                <w:b/>
                <w:szCs w:val="22"/>
              </w:rPr>
              <w:t>-</w:t>
            </w:r>
          </w:p>
        </w:tc>
        <w:tc>
          <w:tcPr>
            <w:tcW w:w="528" w:type="pct"/>
            <w:tcBorders>
              <w:top w:val="single" w:sz="4" w:space="0" w:color="auto"/>
              <w:bottom w:val="single" w:sz="4" w:space="0" w:color="auto"/>
            </w:tcBorders>
            <w:shd w:val="clear" w:color="auto" w:fill="auto"/>
          </w:tcPr>
          <w:p w:rsidR="00485BAE" w:rsidRPr="00796446" w:rsidRDefault="00C73D62" w:rsidP="00EE2830">
            <w:pPr>
              <w:jc w:val="right"/>
              <w:rPr>
                <w:b/>
                <w:szCs w:val="22"/>
              </w:rPr>
            </w:pPr>
            <w:r w:rsidRPr="00796446">
              <w:rPr>
                <w:b/>
                <w:szCs w:val="22"/>
              </w:rPr>
              <w:t>19</w:t>
            </w:r>
          </w:p>
        </w:tc>
      </w:tr>
      <w:tr w:rsidR="00D07606" w:rsidRPr="00796446" w:rsidTr="00D07606">
        <w:trPr>
          <w:trHeight w:val="20"/>
        </w:trPr>
        <w:tc>
          <w:tcPr>
            <w:tcW w:w="1307" w:type="pct"/>
            <w:shd w:val="clear" w:color="auto" w:fill="auto"/>
          </w:tcPr>
          <w:p w:rsidR="008E2FB8" w:rsidRPr="00796446" w:rsidRDefault="008E2FB8" w:rsidP="00817FBA">
            <w:pPr>
              <w:rPr>
                <w:b/>
                <w:szCs w:val="22"/>
              </w:rPr>
            </w:pPr>
            <w:r w:rsidRPr="00796446">
              <w:rPr>
                <w:b/>
                <w:szCs w:val="22"/>
              </w:rPr>
              <w:t>Салдо към 3</w:t>
            </w:r>
            <w:r w:rsidR="00485BAE" w:rsidRPr="00796446">
              <w:rPr>
                <w:b/>
                <w:szCs w:val="22"/>
              </w:rPr>
              <w:t>0</w:t>
            </w:r>
            <w:r w:rsidRPr="00796446">
              <w:rPr>
                <w:b/>
                <w:szCs w:val="22"/>
              </w:rPr>
              <w:t xml:space="preserve"> </w:t>
            </w:r>
            <w:r w:rsidR="00485BAE" w:rsidRPr="00796446">
              <w:rPr>
                <w:b/>
                <w:szCs w:val="22"/>
              </w:rPr>
              <w:t>юни</w:t>
            </w:r>
            <w:r w:rsidRPr="00796446">
              <w:rPr>
                <w:b/>
                <w:szCs w:val="22"/>
              </w:rPr>
              <w:t xml:space="preserve"> 201</w:t>
            </w:r>
            <w:r w:rsidR="00C60C3A" w:rsidRPr="00796446">
              <w:rPr>
                <w:b/>
                <w:szCs w:val="22"/>
              </w:rPr>
              <w:t>9</w:t>
            </w:r>
            <w:r w:rsidRPr="00796446">
              <w:rPr>
                <w:b/>
                <w:szCs w:val="22"/>
              </w:rPr>
              <w:t xml:space="preserve"> г.</w:t>
            </w:r>
          </w:p>
        </w:tc>
        <w:tc>
          <w:tcPr>
            <w:tcW w:w="553" w:type="pct"/>
            <w:tcBorders>
              <w:top w:val="single" w:sz="4" w:space="0" w:color="auto"/>
              <w:bottom w:val="single" w:sz="4" w:space="0" w:color="auto"/>
            </w:tcBorders>
            <w:shd w:val="clear" w:color="auto" w:fill="auto"/>
          </w:tcPr>
          <w:p w:rsidR="008727C5" w:rsidRPr="00796446" w:rsidRDefault="008727C5" w:rsidP="00EE2830">
            <w:pPr>
              <w:jc w:val="right"/>
              <w:rPr>
                <w:b/>
                <w:szCs w:val="22"/>
              </w:rPr>
            </w:pPr>
          </w:p>
          <w:p w:rsidR="008E2FB8" w:rsidRPr="00796446" w:rsidRDefault="00564436" w:rsidP="00EE2830">
            <w:pPr>
              <w:jc w:val="right"/>
              <w:rPr>
                <w:b/>
                <w:szCs w:val="22"/>
              </w:rPr>
            </w:pPr>
            <w:r w:rsidRPr="00796446">
              <w:rPr>
                <w:b/>
                <w:szCs w:val="22"/>
              </w:rPr>
              <w:t>1</w:t>
            </w:r>
            <w:r w:rsidR="0001284F" w:rsidRPr="00796446">
              <w:rPr>
                <w:b/>
                <w:szCs w:val="22"/>
              </w:rPr>
              <w:t>0</w:t>
            </w:r>
            <w:r w:rsidRPr="00796446">
              <w:rPr>
                <w:b/>
                <w:szCs w:val="22"/>
              </w:rPr>
              <w:t>,</w:t>
            </w:r>
            <w:r w:rsidR="0001284F" w:rsidRPr="00796446">
              <w:rPr>
                <w:b/>
                <w:szCs w:val="22"/>
              </w:rPr>
              <w:t>935</w:t>
            </w:r>
          </w:p>
        </w:tc>
        <w:tc>
          <w:tcPr>
            <w:tcW w:w="678" w:type="pct"/>
            <w:tcBorders>
              <w:top w:val="single" w:sz="4" w:space="0" w:color="auto"/>
              <w:bottom w:val="single" w:sz="4" w:space="0" w:color="auto"/>
            </w:tcBorders>
            <w:shd w:val="clear" w:color="auto" w:fill="auto"/>
          </w:tcPr>
          <w:p w:rsidR="008727C5" w:rsidRPr="00796446" w:rsidRDefault="008727C5" w:rsidP="00EE2830">
            <w:pPr>
              <w:jc w:val="right"/>
              <w:rPr>
                <w:b/>
                <w:szCs w:val="22"/>
              </w:rPr>
            </w:pPr>
          </w:p>
          <w:p w:rsidR="008E2FB8" w:rsidRPr="00796446" w:rsidRDefault="00E065AC" w:rsidP="00EE2830">
            <w:pPr>
              <w:jc w:val="right"/>
              <w:rPr>
                <w:b/>
                <w:szCs w:val="22"/>
              </w:rPr>
            </w:pPr>
            <w:r w:rsidRPr="00796446">
              <w:rPr>
                <w:b/>
                <w:szCs w:val="22"/>
              </w:rPr>
              <w:t>8,4</w:t>
            </w:r>
            <w:r w:rsidR="00C73D62" w:rsidRPr="00796446">
              <w:rPr>
                <w:b/>
                <w:szCs w:val="22"/>
              </w:rPr>
              <w:t>41</w:t>
            </w:r>
          </w:p>
        </w:tc>
        <w:tc>
          <w:tcPr>
            <w:tcW w:w="613" w:type="pct"/>
            <w:tcBorders>
              <w:top w:val="single" w:sz="4" w:space="0" w:color="auto"/>
              <w:bottom w:val="single" w:sz="4" w:space="0" w:color="auto"/>
            </w:tcBorders>
            <w:shd w:val="clear" w:color="auto" w:fill="auto"/>
          </w:tcPr>
          <w:p w:rsidR="008727C5" w:rsidRPr="00796446" w:rsidRDefault="008727C5" w:rsidP="00EE2830">
            <w:pPr>
              <w:jc w:val="right"/>
              <w:rPr>
                <w:b/>
                <w:szCs w:val="22"/>
              </w:rPr>
            </w:pPr>
          </w:p>
          <w:p w:rsidR="008E2FB8" w:rsidRPr="00796446" w:rsidRDefault="008E2FB8" w:rsidP="00EE2830">
            <w:pPr>
              <w:jc w:val="right"/>
              <w:rPr>
                <w:b/>
                <w:szCs w:val="22"/>
              </w:rPr>
            </w:pPr>
            <w:r w:rsidRPr="00796446">
              <w:rPr>
                <w:b/>
                <w:szCs w:val="22"/>
              </w:rPr>
              <w:t>34</w:t>
            </w:r>
          </w:p>
        </w:tc>
        <w:tc>
          <w:tcPr>
            <w:tcW w:w="692" w:type="pct"/>
            <w:tcBorders>
              <w:top w:val="single" w:sz="4" w:space="0" w:color="auto"/>
              <w:bottom w:val="single" w:sz="4" w:space="0" w:color="auto"/>
            </w:tcBorders>
            <w:shd w:val="clear" w:color="auto" w:fill="auto"/>
          </w:tcPr>
          <w:p w:rsidR="008727C5" w:rsidRPr="00796446" w:rsidRDefault="008727C5" w:rsidP="00EE2830">
            <w:pPr>
              <w:jc w:val="right"/>
              <w:rPr>
                <w:b/>
                <w:szCs w:val="22"/>
              </w:rPr>
            </w:pPr>
          </w:p>
          <w:p w:rsidR="008E2FB8" w:rsidRPr="00796446" w:rsidRDefault="008E2FB8" w:rsidP="00EE2830">
            <w:pPr>
              <w:jc w:val="right"/>
              <w:rPr>
                <w:b/>
                <w:szCs w:val="22"/>
              </w:rPr>
            </w:pPr>
            <w:r w:rsidRPr="00796446">
              <w:rPr>
                <w:b/>
                <w:szCs w:val="22"/>
              </w:rPr>
              <w:t>2</w:t>
            </w:r>
            <w:r w:rsidR="00E065AC" w:rsidRPr="00796446">
              <w:rPr>
                <w:b/>
                <w:szCs w:val="22"/>
              </w:rPr>
              <w:t>7</w:t>
            </w:r>
          </w:p>
        </w:tc>
        <w:tc>
          <w:tcPr>
            <w:tcW w:w="629" w:type="pct"/>
            <w:tcBorders>
              <w:top w:val="single" w:sz="4" w:space="0" w:color="auto"/>
              <w:bottom w:val="single" w:sz="4" w:space="0" w:color="auto"/>
            </w:tcBorders>
            <w:shd w:val="clear" w:color="auto" w:fill="auto"/>
          </w:tcPr>
          <w:p w:rsidR="008727C5" w:rsidRPr="00796446" w:rsidRDefault="008727C5" w:rsidP="00EE2830">
            <w:pPr>
              <w:jc w:val="right"/>
              <w:rPr>
                <w:b/>
                <w:szCs w:val="22"/>
              </w:rPr>
            </w:pPr>
          </w:p>
          <w:p w:rsidR="008E2FB8" w:rsidRPr="00796446" w:rsidRDefault="008E2FB8" w:rsidP="00EE2830">
            <w:pPr>
              <w:jc w:val="right"/>
              <w:rPr>
                <w:b/>
                <w:szCs w:val="22"/>
              </w:rPr>
            </w:pPr>
            <w:r w:rsidRPr="00796446">
              <w:rPr>
                <w:b/>
                <w:szCs w:val="22"/>
              </w:rPr>
              <w:t>1</w:t>
            </w:r>
            <w:r w:rsidR="00E065AC" w:rsidRPr="00796446">
              <w:rPr>
                <w:b/>
                <w:szCs w:val="22"/>
              </w:rPr>
              <w:t>7</w:t>
            </w:r>
          </w:p>
        </w:tc>
        <w:tc>
          <w:tcPr>
            <w:tcW w:w="528" w:type="pct"/>
            <w:tcBorders>
              <w:top w:val="single" w:sz="4" w:space="0" w:color="auto"/>
              <w:bottom w:val="single" w:sz="4" w:space="0" w:color="auto"/>
            </w:tcBorders>
            <w:shd w:val="clear" w:color="auto" w:fill="auto"/>
          </w:tcPr>
          <w:p w:rsidR="008727C5" w:rsidRPr="00796446" w:rsidRDefault="008727C5" w:rsidP="00EE2830">
            <w:pPr>
              <w:jc w:val="right"/>
              <w:rPr>
                <w:b/>
                <w:szCs w:val="22"/>
              </w:rPr>
            </w:pPr>
          </w:p>
          <w:p w:rsidR="008E2FB8" w:rsidRPr="00796446" w:rsidRDefault="00E065AC" w:rsidP="00EE2830">
            <w:pPr>
              <w:jc w:val="right"/>
              <w:rPr>
                <w:b/>
                <w:szCs w:val="22"/>
              </w:rPr>
            </w:pPr>
            <w:r w:rsidRPr="00796446">
              <w:rPr>
                <w:b/>
                <w:szCs w:val="22"/>
              </w:rPr>
              <w:t>19,4</w:t>
            </w:r>
            <w:r w:rsidR="00C73D62" w:rsidRPr="00796446">
              <w:rPr>
                <w:b/>
                <w:szCs w:val="22"/>
              </w:rPr>
              <w:t>54</w:t>
            </w:r>
          </w:p>
        </w:tc>
      </w:tr>
      <w:tr w:rsidR="00D07606" w:rsidRPr="00796446" w:rsidTr="00D07606">
        <w:trPr>
          <w:trHeight w:val="20"/>
        </w:trPr>
        <w:tc>
          <w:tcPr>
            <w:tcW w:w="1307" w:type="pct"/>
            <w:shd w:val="clear" w:color="auto" w:fill="auto"/>
          </w:tcPr>
          <w:p w:rsidR="008E2FB8" w:rsidRPr="00796446" w:rsidRDefault="008E2FB8" w:rsidP="00817FBA">
            <w:pPr>
              <w:rPr>
                <w:szCs w:val="22"/>
              </w:rPr>
            </w:pPr>
          </w:p>
        </w:tc>
        <w:tc>
          <w:tcPr>
            <w:tcW w:w="553" w:type="pct"/>
            <w:tcBorders>
              <w:top w:val="single" w:sz="4" w:space="0" w:color="auto"/>
            </w:tcBorders>
            <w:shd w:val="clear" w:color="auto" w:fill="auto"/>
          </w:tcPr>
          <w:p w:rsidR="008E2FB8" w:rsidRPr="00796446" w:rsidRDefault="008E2FB8" w:rsidP="00EE2830">
            <w:pPr>
              <w:jc w:val="right"/>
              <w:rPr>
                <w:szCs w:val="22"/>
              </w:rPr>
            </w:pPr>
          </w:p>
        </w:tc>
        <w:tc>
          <w:tcPr>
            <w:tcW w:w="678" w:type="pct"/>
            <w:tcBorders>
              <w:top w:val="single" w:sz="4" w:space="0" w:color="auto"/>
            </w:tcBorders>
            <w:shd w:val="clear" w:color="auto" w:fill="auto"/>
          </w:tcPr>
          <w:p w:rsidR="008E2FB8" w:rsidRPr="00796446" w:rsidRDefault="008E2FB8" w:rsidP="00EE2830">
            <w:pPr>
              <w:jc w:val="right"/>
              <w:rPr>
                <w:szCs w:val="22"/>
              </w:rPr>
            </w:pPr>
          </w:p>
        </w:tc>
        <w:tc>
          <w:tcPr>
            <w:tcW w:w="613" w:type="pct"/>
            <w:tcBorders>
              <w:top w:val="single" w:sz="4" w:space="0" w:color="auto"/>
            </w:tcBorders>
            <w:shd w:val="clear" w:color="auto" w:fill="auto"/>
          </w:tcPr>
          <w:p w:rsidR="008E2FB8" w:rsidRPr="00796446" w:rsidRDefault="008E2FB8" w:rsidP="00EE2830">
            <w:pPr>
              <w:jc w:val="right"/>
              <w:rPr>
                <w:szCs w:val="22"/>
              </w:rPr>
            </w:pPr>
          </w:p>
        </w:tc>
        <w:tc>
          <w:tcPr>
            <w:tcW w:w="692" w:type="pct"/>
            <w:tcBorders>
              <w:top w:val="single" w:sz="4" w:space="0" w:color="auto"/>
            </w:tcBorders>
            <w:shd w:val="clear" w:color="auto" w:fill="auto"/>
          </w:tcPr>
          <w:p w:rsidR="008E2FB8" w:rsidRPr="00796446" w:rsidRDefault="008E2FB8" w:rsidP="00EE2830">
            <w:pPr>
              <w:jc w:val="right"/>
              <w:rPr>
                <w:szCs w:val="22"/>
              </w:rPr>
            </w:pPr>
          </w:p>
        </w:tc>
        <w:tc>
          <w:tcPr>
            <w:tcW w:w="629" w:type="pct"/>
            <w:tcBorders>
              <w:top w:val="single" w:sz="4" w:space="0" w:color="auto"/>
            </w:tcBorders>
            <w:shd w:val="clear" w:color="auto" w:fill="auto"/>
          </w:tcPr>
          <w:p w:rsidR="008E2FB8" w:rsidRPr="00796446" w:rsidRDefault="008E2FB8" w:rsidP="00EE2830">
            <w:pPr>
              <w:jc w:val="right"/>
              <w:rPr>
                <w:szCs w:val="22"/>
              </w:rPr>
            </w:pPr>
          </w:p>
        </w:tc>
        <w:tc>
          <w:tcPr>
            <w:tcW w:w="528" w:type="pct"/>
            <w:tcBorders>
              <w:top w:val="single" w:sz="4" w:space="0" w:color="auto"/>
            </w:tcBorders>
            <w:shd w:val="clear" w:color="auto" w:fill="auto"/>
          </w:tcPr>
          <w:p w:rsidR="008E2FB8" w:rsidRPr="00796446" w:rsidRDefault="008E2FB8" w:rsidP="00EE2830">
            <w:pPr>
              <w:jc w:val="right"/>
              <w:rPr>
                <w:szCs w:val="22"/>
              </w:rPr>
            </w:pPr>
          </w:p>
        </w:tc>
      </w:tr>
      <w:tr w:rsidR="00D07606" w:rsidRPr="00796446" w:rsidTr="00D07606">
        <w:trPr>
          <w:trHeight w:val="20"/>
        </w:trPr>
        <w:tc>
          <w:tcPr>
            <w:tcW w:w="1307" w:type="pct"/>
            <w:shd w:val="clear" w:color="auto" w:fill="auto"/>
          </w:tcPr>
          <w:p w:rsidR="008E2FB8" w:rsidRPr="00796446" w:rsidRDefault="008E2FB8" w:rsidP="00817FBA">
            <w:pPr>
              <w:rPr>
                <w:b/>
                <w:szCs w:val="22"/>
              </w:rPr>
            </w:pPr>
            <w:r w:rsidRPr="00796446">
              <w:rPr>
                <w:b/>
                <w:szCs w:val="22"/>
              </w:rPr>
              <w:t xml:space="preserve">Амортизация </w:t>
            </w:r>
          </w:p>
        </w:tc>
        <w:tc>
          <w:tcPr>
            <w:tcW w:w="553" w:type="pct"/>
            <w:shd w:val="clear" w:color="auto" w:fill="auto"/>
          </w:tcPr>
          <w:p w:rsidR="008E2FB8" w:rsidRPr="00796446" w:rsidRDefault="008E2FB8" w:rsidP="00EE2830">
            <w:pPr>
              <w:jc w:val="right"/>
              <w:rPr>
                <w:b/>
                <w:szCs w:val="22"/>
              </w:rPr>
            </w:pPr>
          </w:p>
        </w:tc>
        <w:tc>
          <w:tcPr>
            <w:tcW w:w="678" w:type="pct"/>
            <w:shd w:val="clear" w:color="auto" w:fill="auto"/>
          </w:tcPr>
          <w:p w:rsidR="008E2FB8" w:rsidRPr="00796446" w:rsidRDefault="008E2FB8" w:rsidP="00EE2830">
            <w:pPr>
              <w:jc w:val="right"/>
              <w:rPr>
                <w:b/>
                <w:szCs w:val="22"/>
              </w:rPr>
            </w:pPr>
          </w:p>
        </w:tc>
        <w:tc>
          <w:tcPr>
            <w:tcW w:w="613" w:type="pct"/>
            <w:shd w:val="clear" w:color="auto" w:fill="auto"/>
          </w:tcPr>
          <w:p w:rsidR="008E2FB8" w:rsidRPr="00796446" w:rsidRDefault="008E2FB8" w:rsidP="00EE2830">
            <w:pPr>
              <w:jc w:val="right"/>
              <w:rPr>
                <w:b/>
                <w:szCs w:val="22"/>
              </w:rPr>
            </w:pPr>
          </w:p>
        </w:tc>
        <w:tc>
          <w:tcPr>
            <w:tcW w:w="692" w:type="pct"/>
            <w:shd w:val="clear" w:color="auto" w:fill="auto"/>
          </w:tcPr>
          <w:p w:rsidR="008E2FB8" w:rsidRPr="00796446" w:rsidRDefault="008E2FB8" w:rsidP="00EE2830">
            <w:pPr>
              <w:jc w:val="right"/>
              <w:rPr>
                <w:b/>
                <w:szCs w:val="22"/>
              </w:rPr>
            </w:pPr>
          </w:p>
        </w:tc>
        <w:tc>
          <w:tcPr>
            <w:tcW w:w="629" w:type="pct"/>
            <w:shd w:val="clear" w:color="auto" w:fill="auto"/>
          </w:tcPr>
          <w:p w:rsidR="008E2FB8" w:rsidRPr="00796446" w:rsidRDefault="008E2FB8" w:rsidP="00EE2830">
            <w:pPr>
              <w:jc w:val="right"/>
              <w:rPr>
                <w:b/>
                <w:szCs w:val="22"/>
              </w:rPr>
            </w:pPr>
          </w:p>
        </w:tc>
        <w:tc>
          <w:tcPr>
            <w:tcW w:w="528" w:type="pct"/>
            <w:shd w:val="clear" w:color="auto" w:fill="auto"/>
          </w:tcPr>
          <w:p w:rsidR="008E2FB8" w:rsidRPr="00796446" w:rsidRDefault="008E2FB8" w:rsidP="00EE2830">
            <w:pPr>
              <w:jc w:val="right"/>
              <w:rPr>
                <w:b/>
                <w:szCs w:val="22"/>
              </w:rPr>
            </w:pPr>
          </w:p>
        </w:tc>
      </w:tr>
      <w:tr w:rsidR="00D07606" w:rsidRPr="00796446" w:rsidTr="00D07606">
        <w:trPr>
          <w:trHeight w:val="20"/>
        </w:trPr>
        <w:tc>
          <w:tcPr>
            <w:tcW w:w="1307" w:type="pct"/>
            <w:shd w:val="clear" w:color="auto" w:fill="auto"/>
          </w:tcPr>
          <w:p w:rsidR="008E2FB8" w:rsidRPr="00796446" w:rsidRDefault="008E2FB8" w:rsidP="00817FBA">
            <w:pPr>
              <w:rPr>
                <w:szCs w:val="22"/>
              </w:rPr>
            </w:pPr>
            <w:r w:rsidRPr="00796446">
              <w:rPr>
                <w:szCs w:val="22"/>
              </w:rPr>
              <w:t>Салдо към 1 януари 201</w:t>
            </w:r>
            <w:r w:rsidR="00C60C3A" w:rsidRPr="00796446">
              <w:rPr>
                <w:szCs w:val="22"/>
              </w:rPr>
              <w:t>9</w:t>
            </w:r>
            <w:r w:rsidRPr="00796446">
              <w:rPr>
                <w:szCs w:val="22"/>
              </w:rPr>
              <w:t xml:space="preserve"> г.</w:t>
            </w:r>
          </w:p>
        </w:tc>
        <w:tc>
          <w:tcPr>
            <w:tcW w:w="553" w:type="pct"/>
            <w:shd w:val="clear" w:color="auto" w:fill="auto"/>
          </w:tcPr>
          <w:p w:rsidR="008E2FB8" w:rsidRPr="00796446" w:rsidRDefault="00564436" w:rsidP="00EE2830">
            <w:pPr>
              <w:jc w:val="right"/>
              <w:rPr>
                <w:szCs w:val="22"/>
              </w:rPr>
            </w:pPr>
            <w:r w:rsidRPr="00796446">
              <w:rPr>
                <w:szCs w:val="22"/>
              </w:rPr>
              <w:t>(</w:t>
            </w:r>
            <w:r w:rsidR="00C60C3A" w:rsidRPr="00796446">
              <w:rPr>
                <w:szCs w:val="22"/>
              </w:rPr>
              <w:t>612</w:t>
            </w:r>
            <w:r w:rsidR="008E2FB8" w:rsidRPr="00796446">
              <w:rPr>
                <w:szCs w:val="22"/>
              </w:rPr>
              <w:t>)</w:t>
            </w:r>
          </w:p>
        </w:tc>
        <w:tc>
          <w:tcPr>
            <w:tcW w:w="678" w:type="pct"/>
            <w:shd w:val="clear" w:color="auto" w:fill="auto"/>
          </w:tcPr>
          <w:p w:rsidR="008E2FB8" w:rsidRPr="00796446" w:rsidRDefault="00564436" w:rsidP="00EE2830">
            <w:pPr>
              <w:jc w:val="right"/>
              <w:rPr>
                <w:szCs w:val="22"/>
              </w:rPr>
            </w:pPr>
            <w:r w:rsidRPr="00796446">
              <w:rPr>
                <w:szCs w:val="22"/>
              </w:rPr>
              <w:t>(</w:t>
            </w:r>
            <w:r w:rsidR="00C60C3A" w:rsidRPr="00796446">
              <w:rPr>
                <w:szCs w:val="22"/>
              </w:rPr>
              <w:t>186</w:t>
            </w:r>
            <w:r w:rsidR="008E2FB8" w:rsidRPr="00796446">
              <w:rPr>
                <w:szCs w:val="22"/>
              </w:rPr>
              <w:t>)</w:t>
            </w:r>
          </w:p>
        </w:tc>
        <w:tc>
          <w:tcPr>
            <w:tcW w:w="613" w:type="pct"/>
            <w:shd w:val="clear" w:color="auto" w:fill="auto"/>
          </w:tcPr>
          <w:p w:rsidR="008E2FB8" w:rsidRPr="00796446" w:rsidRDefault="00C60C3A" w:rsidP="00EE2830">
            <w:pPr>
              <w:jc w:val="right"/>
              <w:rPr>
                <w:szCs w:val="22"/>
              </w:rPr>
            </w:pPr>
            <w:r w:rsidRPr="00796446">
              <w:rPr>
                <w:szCs w:val="22"/>
              </w:rPr>
              <w:t>(2)</w:t>
            </w:r>
          </w:p>
        </w:tc>
        <w:tc>
          <w:tcPr>
            <w:tcW w:w="692" w:type="pct"/>
            <w:shd w:val="clear" w:color="auto" w:fill="auto"/>
          </w:tcPr>
          <w:p w:rsidR="008E2FB8" w:rsidRPr="00796446" w:rsidRDefault="001E007A" w:rsidP="00EE2830">
            <w:pPr>
              <w:jc w:val="right"/>
              <w:rPr>
                <w:szCs w:val="22"/>
              </w:rPr>
            </w:pPr>
            <w:r w:rsidRPr="00796446">
              <w:rPr>
                <w:szCs w:val="22"/>
              </w:rPr>
              <w:t>(</w:t>
            </w:r>
            <w:r w:rsidR="00C60C3A" w:rsidRPr="00796446">
              <w:rPr>
                <w:szCs w:val="22"/>
              </w:rPr>
              <w:t>21</w:t>
            </w:r>
            <w:r w:rsidR="008E2FB8" w:rsidRPr="00796446">
              <w:rPr>
                <w:szCs w:val="22"/>
              </w:rPr>
              <w:t>)</w:t>
            </w:r>
          </w:p>
        </w:tc>
        <w:tc>
          <w:tcPr>
            <w:tcW w:w="629" w:type="pct"/>
            <w:shd w:val="clear" w:color="auto" w:fill="auto"/>
          </w:tcPr>
          <w:p w:rsidR="008E2FB8" w:rsidRPr="00796446" w:rsidRDefault="008E2FB8" w:rsidP="00EE2830">
            <w:pPr>
              <w:jc w:val="right"/>
              <w:rPr>
                <w:szCs w:val="22"/>
              </w:rPr>
            </w:pPr>
            <w:r w:rsidRPr="00796446">
              <w:rPr>
                <w:szCs w:val="22"/>
              </w:rPr>
              <w:t>-</w:t>
            </w:r>
          </w:p>
        </w:tc>
        <w:tc>
          <w:tcPr>
            <w:tcW w:w="528" w:type="pct"/>
            <w:shd w:val="clear" w:color="auto" w:fill="auto"/>
          </w:tcPr>
          <w:p w:rsidR="008E2FB8" w:rsidRPr="00796446" w:rsidRDefault="00564436" w:rsidP="00EE2830">
            <w:pPr>
              <w:jc w:val="right"/>
              <w:rPr>
                <w:szCs w:val="22"/>
              </w:rPr>
            </w:pPr>
            <w:r w:rsidRPr="00796446">
              <w:rPr>
                <w:szCs w:val="22"/>
              </w:rPr>
              <w:t>(</w:t>
            </w:r>
            <w:r w:rsidR="00C60C3A" w:rsidRPr="00796446">
              <w:rPr>
                <w:szCs w:val="22"/>
              </w:rPr>
              <w:t>821</w:t>
            </w:r>
            <w:r w:rsidR="008E2FB8" w:rsidRPr="00796446">
              <w:rPr>
                <w:szCs w:val="22"/>
              </w:rPr>
              <w:t>)</w:t>
            </w:r>
          </w:p>
        </w:tc>
      </w:tr>
      <w:tr w:rsidR="00D07606" w:rsidRPr="00796446" w:rsidTr="00D07606">
        <w:trPr>
          <w:trHeight w:val="20"/>
        </w:trPr>
        <w:tc>
          <w:tcPr>
            <w:tcW w:w="1307" w:type="pct"/>
            <w:shd w:val="clear" w:color="auto" w:fill="auto"/>
          </w:tcPr>
          <w:p w:rsidR="008E2FB8" w:rsidRPr="00796446" w:rsidRDefault="008E2FB8" w:rsidP="00817FBA">
            <w:pPr>
              <w:rPr>
                <w:szCs w:val="22"/>
              </w:rPr>
            </w:pPr>
            <w:r w:rsidRPr="00796446">
              <w:rPr>
                <w:szCs w:val="22"/>
              </w:rPr>
              <w:t>Амортизация за периода</w:t>
            </w:r>
          </w:p>
        </w:tc>
        <w:tc>
          <w:tcPr>
            <w:tcW w:w="553" w:type="pct"/>
            <w:shd w:val="clear" w:color="auto" w:fill="auto"/>
          </w:tcPr>
          <w:p w:rsidR="008E2FB8" w:rsidRPr="00796446" w:rsidRDefault="008E2FB8" w:rsidP="00EE2830">
            <w:pPr>
              <w:jc w:val="right"/>
              <w:rPr>
                <w:szCs w:val="22"/>
              </w:rPr>
            </w:pPr>
            <w:r w:rsidRPr="00796446">
              <w:rPr>
                <w:szCs w:val="22"/>
              </w:rPr>
              <w:t>(</w:t>
            </w:r>
            <w:r w:rsidR="00C73D62" w:rsidRPr="00796446">
              <w:rPr>
                <w:szCs w:val="22"/>
              </w:rPr>
              <w:t>263</w:t>
            </w:r>
            <w:r w:rsidRPr="00796446">
              <w:rPr>
                <w:szCs w:val="22"/>
              </w:rPr>
              <w:t>)</w:t>
            </w:r>
          </w:p>
        </w:tc>
        <w:tc>
          <w:tcPr>
            <w:tcW w:w="678" w:type="pct"/>
            <w:shd w:val="clear" w:color="auto" w:fill="auto"/>
          </w:tcPr>
          <w:p w:rsidR="008E2FB8" w:rsidRPr="00796446" w:rsidRDefault="001E007A" w:rsidP="00EE2830">
            <w:pPr>
              <w:jc w:val="right"/>
              <w:rPr>
                <w:szCs w:val="22"/>
              </w:rPr>
            </w:pPr>
            <w:r w:rsidRPr="00796446">
              <w:rPr>
                <w:szCs w:val="22"/>
              </w:rPr>
              <w:t>(</w:t>
            </w:r>
            <w:r w:rsidR="00C73D62" w:rsidRPr="00796446">
              <w:rPr>
                <w:szCs w:val="22"/>
              </w:rPr>
              <w:t>218</w:t>
            </w:r>
            <w:r w:rsidR="008E2FB8" w:rsidRPr="00796446">
              <w:rPr>
                <w:szCs w:val="22"/>
              </w:rPr>
              <w:t>)</w:t>
            </w:r>
          </w:p>
        </w:tc>
        <w:tc>
          <w:tcPr>
            <w:tcW w:w="613" w:type="pct"/>
            <w:shd w:val="clear" w:color="auto" w:fill="auto"/>
          </w:tcPr>
          <w:p w:rsidR="008E2FB8" w:rsidRPr="00796446" w:rsidRDefault="00E8493D" w:rsidP="00EE2830">
            <w:pPr>
              <w:jc w:val="right"/>
              <w:rPr>
                <w:szCs w:val="22"/>
              </w:rPr>
            </w:pPr>
            <w:r w:rsidRPr="00796446">
              <w:rPr>
                <w:szCs w:val="22"/>
              </w:rPr>
              <w:t>(</w:t>
            </w:r>
            <w:r w:rsidR="00C60C3A" w:rsidRPr="00796446">
              <w:rPr>
                <w:szCs w:val="22"/>
              </w:rPr>
              <w:t>1</w:t>
            </w:r>
            <w:r w:rsidRPr="00796446">
              <w:rPr>
                <w:szCs w:val="22"/>
              </w:rPr>
              <w:t>)</w:t>
            </w:r>
          </w:p>
        </w:tc>
        <w:tc>
          <w:tcPr>
            <w:tcW w:w="692" w:type="pct"/>
            <w:shd w:val="clear" w:color="auto" w:fill="auto"/>
          </w:tcPr>
          <w:p w:rsidR="008E2FB8" w:rsidRPr="00796446" w:rsidRDefault="001E007A" w:rsidP="00EE2830">
            <w:pPr>
              <w:jc w:val="right"/>
              <w:rPr>
                <w:szCs w:val="22"/>
              </w:rPr>
            </w:pPr>
            <w:r w:rsidRPr="00796446">
              <w:rPr>
                <w:szCs w:val="22"/>
              </w:rPr>
              <w:t>(</w:t>
            </w:r>
            <w:r w:rsidR="00C73D62" w:rsidRPr="00796446">
              <w:rPr>
                <w:szCs w:val="22"/>
              </w:rPr>
              <w:t>2</w:t>
            </w:r>
            <w:r w:rsidR="008E2FB8" w:rsidRPr="00796446">
              <w:rPr>
                <w:szCs w:val="22"/>
              </w:rPr>
              <w:t>)</w:t>
            </w:r>
          </w:p>
        </w:tc>
        <w:tc>
          <w:tcPr>
            <w:tcW w:w="629" w:type="pct"/>
            <w:shd w:val="clear" w:color="auto" w:fill="auto"/>
          </w:tcPr>
          <w:p w:rsidR="008E2FB8" w:rsidRPr="00796446" w:rsidRDefault="008E2FB8" w:rsidP="00EE2830">
            <w:pPr>
              <w:jc w:val="right"/>
              <w:rPr>
                <w:szCs w:val="22"/>
              </w:rPr>
            </w:pPr>
            <w:r w:rsidRPr="00796446">
              <w:rPr>
                <w:szCs w:val="22"/>
              </w:rPr>
              <w:t>-</w:t>
            </w:r>
          </w:p>
        </w:tc>
        <w:tc>
          <w:tcPr>
            <w:tcW w:w="528" w:type="pct"/>
            <w:shd w:val="clear" w:color="auto" w:fill="auto"/>
          </w:tcPr>
          <w:p w:rsidR="008E2FB8" w:rsidRPr="00796446" w:rsidRDefault="00D15A08" w:rsidP="00EE2830">
            <w:pPr>
              <w:jc w:val="right"/>
              <w:rPr>
                <w:szCs w:val="22"/>
              </w:rPr>
            </w:pPr>
            <w:r w:rsidRPr="00796446">
              <w:rPr>
                <w:szCs w:val="22"/>
              </w:rPr>
              <w:t>(</w:t>
            </w:r>
            <w:r w:rsidR="00C73D62" w:rsidRPr="00796446">
              <w:rPr>
                <w:szCs w:val="22"/>
              </w:rPr>
              <w:t>484</w:t>
            </w:r>
            <w:r w:rsidR="008E2FB8" w:rsidRPr="00796446">
              <w:rPr>
                <w:szCs w:val="22"/>
              </w:rPr>
              <w:t>)</w:t>
            </w:r>
          </w:p>
        </w:tc>
      </w:tr>
      <w:tr w:rsidR="00D07606" w:rsidRPr="00796446" w:rsidTr="00D07606">
        <w:trPr>
          <w:trHeight w:val="20"/>
        </w:trPr>
        <w:tc>
          <w:tcPr>
            <w:tcW w:w="1307" w:type="pct"/>
            <w:shd w:val="clear" w:color="auto" w:fill="auto"/>
          </w:tcPr>
          <w:p w:rsidR="008E2FB8" w:rsidRPr="00796446" w:rsidRDefault="008E2FB8" w:rsidP="00817FBA">
            <w:pPr>
              <w:rPr>
                <w:b/>
                <w:szCs w:val="22"/>
              </w:rPr>
            </w:pPr>
            <w:r w:rsidRPr="00796446">
              <w:rPr>
                <w:b/>
                <w:szCs w:val="22"/>
              </w:rPr>
              <w:t>Салдо към 3</w:t>
            </w:r>
            <w:r w:rsidR="00485BAE" w:rsidRPr="00796446">
              <w:rPr>
                <w:b/>
                <w:szCs w:val="22"/>
              </w:rPr>
              <w:t>0</w:t>
            </w:r>
            <w:r w:rsidRPr="00796446">
              <w:rPr>
                <w:b/>
                <w:szCs w:val="22"/>
              </w:rPr>
              <w:t xml:space="preserve"> </w:t>
            </w:r>
            <w:r w:rsidR="00485BAE" w:rsidRPr="00796446">
              <w:rPr>
                <w:b/>
                <w:szCs w:val="22"/>
              </w:rPr>
              <w:t>юни</w:t>
            </w:r>
            <w:r w:rsidRPr="00796446">
              <w:rPr>
                <w:b/>
                <w:szCs w:val="22"/>
              </w:rPr>
              <w:t xml:space="preserve"> 201</w:t>
            </w:r>
            <w:r w:rsidR="00C60C3A" w:rsidRPr="00796446">
              <w:rPr>
                <w:b/>
                <w:szCs w:val="22"/>
              </w:rPr>
              <w:t>9</w:t>
            </w:r>
            <w:r w:rsidRPr="00796446">
              <w:rPr>
                <w:b/>
                <w:szCs w:val="22"/>
              </w:rPr>
              <w:t xml:space="preserve"> г.</w:t>
            </w:r>
          </w:p>
        </w:tc>
        <w:tc>
          <w:tcPr>
            <w:tcW w:w="553" w:type="pct"/>
            <w:tcBorders>
              <w:top w:val="single" w:sz="4" w:space="0" w:color="auto"/>
              <w:bottom w:val="single" w:sz="4" w:space="0" w:color="auto"/>
            </w:tcBorders>
            <w:shd w:val="clear" w:color="auto" w:fill="auto"/>
          </w:tcPr>
          <w:p w:rsidR="00682877" w:rsidRPr="00796446" w:rsidRDefault="00682877" w:rsidP="00EE2830">
            <w:pPr>
              <w:jc w:val="right"/>
              <w:rPr>
                <w:b/>
                <w:szCs w:val="22"/>
              </w:rPr>
            </w:pPr>
          </w:p>
          <w:p w:rsidR="008E2FB8" w:rsidRPr="00796446" w:rsidRDefault="00564436" w:rsidP="00EE2830">
            <w:pPr>
              <w:jc w:val="right"/>
              <w:rPr>
                <w:b/>
                <w:szCs w:val="22"/>
              </w:rPr>
            </w:pPr>
            <w:r w:rsidRPr="00796446">
              <w:rPr>
                <w:b/>
                <w:szCs w:val="22"/>
              </w:rPr>
              <w:t>(</w:t>
            </w:r>
            <w:r w:rsidR="00C73D62" w:rsidRPr="00796446">
              <w:rPr>
                <w:b/>
                <w:szCs w:val="22"/>
              </w:rPr>
              <w:t>875</w:t>
            </w:r>
            <w:r w:rsidR="008E2FB8" w:rsidRPr="00796446">
              <w:rPr>
                <w:b/>
                <w:szCs w:val="22"/>
              </w:rPr>
              <w:t>)</w:t>
            </w:r>
          </w:p>
        </w:tc>
        <w:tc>
          <w:tcPr>
            <w:tcW w:w="678" w:type="pct"/>
            <w:tcBorders>
              <w:top w:val="single" w:sz="4" w:space="0" w:color="auto"/>
              <w:bottom w:val="single" w:sz="4" w:space="0" w:color="auto"/>
            </w:tcBorders>
            <w:shd w:val="clear" w:color="auto" w:fill="auto"/>
          </w:tcPr>
          <w:p w:rsidR="00682877" w:rsidRPr="00796446" w:rsidRDefault="00682877" w:rsidP="00EE2830">
            <w:pPr>
              <w:jc w:val="right"/>
              <w:rPr>
                <w:b/>
                <w:szCs w:val="22"/>
              </w:rPr>
            </w:pPr>
          </w:p>
          <w:p w:rsidR="008E2FB8" w:rsidRPr="00796446" w:rsidRDefault="00564436" w:rsidP="00EE2830">
            <w:pPr>
              <w:jc w:val="right"/>
              <w:rPr>
                <w:b/>
                <w:szCs w:val="22"/>
              </w:rPr>
            </w:pPr>
            <w:r w:rsidRPr="00796446">
              <w:rPr>
                <w:b/>
                <w:szCs w:val="22"/>
              </w:rPr>
              <w:t>(</w:t>
            </w:r>
            <w:r w:rsidR="00C73D62" w:rsidRPr="00796446">
              <w:rPr>
                <w:b/>
                <w:szCs w:val="22"/>
              </w:rPr>
              <w:t>404</w:t>
            </w:r>
            <w:r w:rsidR="008E2FB8" w:rsidRPr="00796446">
              <w:rPr>
                <w:b/>
                <w:szCs w:val="22"/>
              </w:rPr>
              <w:t>)</w:t>
            </w:r>
          </w:p>
        </w:tc>
        <w:tc>
          <w:tcPr>
            <w:tcW w:w="613" w:type="pct"/>
            <w:tcBorders>
              <w:top w:val="single" w:sz="4" w:space="0" w:color="auto"/>
              <w:bottom w:val="single" w:sz="4" w:space="0" w:color="auto"/>
            </w:tcBorders>
            <w:shd w:val="clear" w:color="auto" w:fill="auto"/>
          </w:tcPr>
          <w:p w:rsidR="00682877" w:rsidRPr="00796446" w:rsidRDefault="00682877" w:rsidP="00EE2830">
            <w:pPr>
              <w:jc w:val="right"/>
              <w:rPr>
                <w:b/>
                <w:szCs w:val="22"/>
              </w:rPr>
            </w:pPr>
          </w:p>
          <w:p w:rsidR="008E2FB8" w:rsidRPr="00796446" w:rsidRDefault="00645602" w:rsidP="00EE2830">
            <w:pPr>
              <w:jc w:val="right"/>
              <w:rPr>
                <w:b/>
                <w:szCs w:val="22"/>
              </w:rPr>
            </w:pPr>
            <w:r w:rsidRPr="00796446">
              <w:rPr>
                <w:b/>
                <w:szCs w:val="22"/>
              </w:rPr>
              <w:t>(</w:t>
            </w:r>
            <w:r w:rsidR="00C60C3A" w:rsidRPr="00796446">
              <w:rPr>
                <w:b/>
                <w:szCs w:val="22"/>
              </w:rPr>
              <w:t>3</w:t>
            </w:r>
            <w:r w:rsidRPr="00796446">
              <w:rPr>
                <w:b/>
                <w:szCs w:val="22"/>
              </w:rPr>
              <w:t>)</w:t>
            </w:r>
          </w:p>
        </w:tc>
        <w:tc>
          <w:tcPr>
            <w:tcW w:w="692" w:type="pct"/>
            <w:tcBorders>
              <w:top w:val="single" w:sz="4" w:space="0" w:color="auto"/>
              <w:bottom w:val="single" w:sz="4" w:space="0" w:color="auto"/>
            </w:tcBorders>
            <w:shd w:val="clear" w:color="auto" w:fill="auto"/>
          </w:tcPr>
          <w:p w:rsidR="00682877" w:rsidRPr="00796446" w:rsidRDefault="00682877" w:rsidP="00EE2830">
            <w:pPr>
              <w:jc w:val="right"/>
              <w:rPr>
                <w:b/>
                <w:szCs w:val="22"/>
              </w:rPr>
            </w:pPr>
          </w:p>
          <w:p w:rsidR="008E2FB8" w:rsidRPr="00796446" w:rsidRDefault="00D15A08" w:rsidP="00EE2830">
            <w:pPr>
              <w:jc w:val="right"/>
              <w:rPr>
                <w:b/>
                <w:szCs w:val="22"/>
              </w:rPr>
            </w:pPr>
            <w:r w:rsidRPr="00796446">
              <w:rPr>
                <w:b/>
                <w:szCs w:val="22"/>
              </w:rPr>
              <w:t>(</w:t>
            </w:r>
            <w:r w:rsidR="00645602" w:rsidRPr="00796446">
              <w:rPr>
                <w:b/>
                <w:szCs w:val="22"/>
              </w:rPr>
              <w:t>2</w:t>
            </w:r>
            <w:r w:rsidR="00C73D62" w:rsidRPr="00796446">
              <w:rPr>
                <w:b/>
                <w:szCs w:val="22"/>
              </w:rPr>
              <w:t>3</w:t>
            </w:r>
            <w:r w:rsidR="008E2FB8" w:rsidRPr="00796446">
              <w:rPr>
                <w:b/>
                <w:szCs w:val="22"/>
              </w:rPr>
              <w:t>)</w:t>
            </w:r>
          </w:p>
        </w:tc>
        <w:tc>
          <w:tcPr>
            <w:tcW w:w="629" w:type="pct"/>
            <w:tcBorders>
              <w:top w:val="single" w:sz="4" w:space="0" w:color="auto"/>
              <w:bottom w:val="single" w:sz="4" w:space="0" w:color="auto"/>
            </w:tcBorders>
            <w:shd w:val="clear" w:color="auto" w:fill="auto"/>
          </w:tcPr>
          <w:p w:rsidR="00682877" w:rsidRPr="00796446" w:rsidRDefault="00682877" w:rsidP="00EE2830">
            <w:pPr>
              <w:jc w:val="right"/>
              <w:rPr>
                <w:szCs w:val="22"/>
              </w:rPr>
            </w:pPr>
          </w:p>
          <w:p w:rsidR="008E2FB8" w:rsidRPr="00796446" w:rsidRDefault="008E2FB8" w:rsidP="00EE2830">
            <w:pPr>
              <w:jc w:val="right"/>
              <w:rPr>
                <w:szCs w:val="22"/>
              </w:rPr>
            </w:pPr>
            <w:r w:rsidRPr="00796446">
              <w:rPr>
                <w:szCs w:val="22"/>
              </w:rPr>
              <w:t>-</w:t>
            </w:r>
          </w:p>
        </w:tc>
        <w:tc>
          <w:tcPr>
            <w:tcW w:w="528" w:type="pct"/>
            <w:tcBorders>
              <w:top w:val="single" w:sz="4" w:space="0" w:color="auto"/>
              <w:bottom w:val="single" w:sz="4" w:space="0" w:color="auto"/>
            </w:tcBorders>
            <w:shd w:val="clear" w:color="auto" w:fill="auto"/>
          </w:tcPr>
          <w:p w:rsidR="00682877" w:rsidRPr="00796446" w:rsidRDefault="00682877" w:rsidP="00EE2830">
            <w:pPr>
              <w:jc w:val="right"/>
              <w:rPr>
                <w:b/>
                <w:szCs w:val="22"/>
              </w:rPr>
            </w:pPr>
          </w:p>
          <w:p w:rsidR="008E2FB8" w:rsidRPr="00796446" w:rsidRDefault="00564436" w:rsidP="00EE2830">
            <w:pPr>
              <w:jc w:val="right"/>
              <w:rPr>
                <w:b/>
                <w:szCs w:val="22"/>
              </w:rPr>
            </w:pPr>
            <w:r w:rsidRPr="00796446">
              <w:rPr>
                <w:b/>
                <w:szCs w:val="22"/>
              </w:rPr>
              <w:t>(</w:t>
            </w:r>
            <w:r w:rsidR="00C60C3A" w:rsidRPr="00796446">
              <w:rPr>
                <w:b/>
                <w:szCs w:val="22"/>
              </w:rPr>
              <w:t>1,</w:t>
            </w:r>
            <w:r w:rsidR="00C73D62" w:rsidRPr="00796446">
              <w:rPr>
                <w:b/>
                <w:szCs w:val="22"/>
              </w:rPr>
              <w:t>305</w:t>
            </w:r>
            <w:r w:rsidR="008E2FB8" w:rsidRPr="00796446">
              <w:rPr>
                <w:b/>
                <w:szCs w:val="22"/>
              </w:rPr>
              <w:t>)</w:t>
            </w:r>
          </w:p>
        </w:tc>
      </w:tr>
      <w:tr w:rsidR="00D07606" w:rsidRPr="00796446" w:rsidTr="00D07606">
        <w:trPr>
          <w:trHeight w:val="20"/>
        </w:trPr>
        <w:tc>
          <w:tcPr>
            <w:tcW w:w="1307" w:type="pct"/>
            <w:shd w:val="clear" w:color="auto" w:fill="auto"/>
          </w:tcPr>
          <w:p w:rsidR="008E2FB8" w:rsidRPr="00796446" w:rsidRDefault="008E2FB8" w:rsidP="00817FBA">
            <w:pPr>
              <w:rPr>
                <w:szCs w:val="22"/>
              </w:rPr>
            </w:pPr>
            <w:r w:rsidRPr="00796446">
              <w:rPr>
                <w:b/>
                <w:szCs w:val="22"/>
              </w:rPr>
              <w:t>Балансов</w:t>
            </w:r>
            <w:r w:rsidR="00494365" w:rsidRPr="00796446">
              <w:rPr>
                <w:b/>
                <w:szCs w:val="22"/>
              </w:rPr>
              <w:t>а стойност към 3</w:t>
            </w:r>
            <w:r w:rsidR="00485BAE" w:rsidRPr="00796446">
              <w:rPr>
                <w:b/>
                <w:szCs w:val="22"/>
              </w:rPr>
              <w:t>0</w:t>
            </w:r>
            <w:r w:rsidR="00494365" w:rsidRPr="00796446">
              <w:rPr>
                <w:b/>
                <w:szCs w:val="22"/>
              </w:rPr>
              <w:t xml:space="preserve"> </w:t>
            </w:r>
            <w:r w:rsidR="00485BAE" w:rsidRPr="00796446">
              <w:rPr>
                <w:b/>
                <w:szCs w:val="22"/>
              </w:rPr>
              <w:t>юни</w:t>
            </w:r>
            <w:r w:rsidR="00C60C3A" w:rsidRPr="00796446">
              <w:rPr>
                <w:b/>
                <w:szCs w:val="22"/>
              </w:rPr>
              <w:t xml:space="preserve"> </w:t>
            </w:r>
            <w:r w:rsidR="00494365" w:rsidRPr="00796446">
              <w:rPr>
                <w:b/>
                <w:szCs w:val="22"/>
              </w:rPr>
              <w:t>201</w:t>
            </w:r>
            <w:r w:rsidR="00C60C3A" w:rsidRPr="00796446">
              <w:rPr>
                <w:b/>
                <w:szCs w:val="22"/>
              </w:rPr>
              <w:t>9</w:t>
            </w:r>
            <w:r w:rsidRPr="00796446">
              <w:rPr>
                <w:b/>
                <w:szCs w:val="22"/>
              </w:rPr>
              <w:t>г.</w:t>
            </w:r>
          </w:p>
        </w:tc>
        <w:tc>
          <w:tcPr>
            <w:tcW w:w="553" w:type="pct"/>
            <w:tcBorders>
              <w:top w:val="single" w:sz="4" w:space="0" w:color="auto"/>
              <w:bottom w:val="double" w:sz="4" w:space="0" w:color="auto"/>
            </w:tcBorders>
            <w:shd w:val="clear" w:color="auto" w:fill="auto"/>
          </w:tcPr>
          <w:p w:rsidR="008E2FB8" w:rsidRPr="00796446" w:rsidRDefault="008E2FB8" w:rsidP="00EE2830">
            <w:pPr>
              <w:jc w:val="right"/>
              <w:rPr>
                <w:b/>
                <w:szCs w:val="22"/>
              </w:rPr>
            </w:pPr>
          </w:p>
          <w:p w:rsidR="008E2FB8" w:rsidRPr="00796446" w:rsidRDefault="00564436" w:rsidP="00EE2830">
            <w:pPr>
              <w:jc w:val="right"/>
              <w:rPr>
                <w:b/>
                <w:szCs w:val="22"/>
              </w:rPr>
            </w:pPr>
            <w:r w:rsidRPr="00796446">
              <w:rPr>
                <w:b/>
                <w:szCs w:val="22"/>
              </w:rPr>
              <w:t>10,</w:t>
            </w:r>
            <w:r w:rsidR="00C73D62" w:rsidRPr="00796446">
              <w:rPr>
                <w:b/>
                <w:szCs w:val="22"/>
              </w:rPr>
              <w:t>060</w:t>
            </w:r>
          </w:p>
        </w:tc>
        <w:tc>
          <w:tcPr>
            <w:tcW w:w="678" w:type="pct"/>
            <w:tcBorders>
              <w:top w:val="single" w:sz="4" w:space="0" w:color="auto"/>
              <w:bottom w:val="double" w:sz="4" w:space="0" w:color="auto"/>
            </w:tcBorders>
            <w:shd w:val="clear" w:color="auto" w:fill="auto"/>
          </w:tcPr>
          <w:p w:rsidR="008E2FB8" w:rsidRPr="00796446" w:rsidRDefault="008E2FB8" w:rsidP="00EE2830">
            <w:pPr>
              <w:jc w:val="right"/>
              <w:rPr>
                <w:b/>
                <w:szCs w:val="22"/>
              </w:rPr>
            </w:pPr>
          </w:p>
          <w:p w:rsidR="008E2FB8" w:rsidRPr="00796446" w:rsidRDefault="00564436" w:rsidP="00EE2830">
            <w:pPr>
              <w:jc w:val="right"/>
              <w:rPr>
                <w:b/>
                <w:szCs w:val="22"/>
              </w:rPr>
            </w:pPr>
            <w:r w:rsidRPr="00796446">
              <w:rPr>
                <w:b/>
                <w:szCs w:val="22"/>
              </w:rPr>
              <w:t xml:space="preserve"> 8,</w:t>
            </w:r>
            <w:r w:rsidR="00C73D62" w:rsidRPr="00796446">
              <w:rPr>
                <w:b/>
                <w:szCs w:val="22"/>
              </w:rPr>
              <w:t>037</w:t>
            </w:r>
          </w:p>
        </w:tc>
        <w:tc>
          <w:tcPr>
            <w:tcW w:w="613" w:type="pct"/>
            <w:tcBorders>
              <w:top w:val="single" w:sz="4" w:space="0" w:color="auto"/>
              <w:bottom w:val="double" w:sz="4" w:space="0" w:color="auto"/>
            </w:tcBorders>
            <w:shd w:val="clear" w:color="auto" w:fill="auto"/>
          </w:tcPr>
          <w:p w:rsidR="00D15A08" w:rsidRPr="00796446" w:rsidRDefault="00D15A08" w:rsidP="00EE2830">
            <w:pPr>
              <w:jc w:val="right"/>
              <w:rPr>
                <w:b/>
                <w:szCs w:val="22"/>
              </w:rPr>
            </w:pPr>
          </w:p>
          <w:p w:rsidR="008E2FB8" w:rsidRPr="00796446" w:rsidRDefault="00D15A08" w:rsidP="00EE2830">
            <w:pPr>
              <w:jc w:val="right"/>
              <w:rPr>
                <w:b/>
                <w:szCs w:val="22"/>
              </w:rPr>
            </w:pPr>
            <w:r w:rsidRPr="00796446">
              <w:rPr>
                <w:b/>
                <w:szCs w:val="22"/>
              </w:rPr>
              <w:t>3</w:t>
            </w:r>
            <w:r w:rsidR="00C60C3A" w:rsidRPr="00796446">
              <w:rPr>
                <w:b/>
                <w:szCs w:val="22"/>
              </w:rPr>
              <w:t>1</w:t>
            </w:r>
          </w:p>
        </w:tc>
        <w:tc>
          <w:tcPr>
            <w:tcW w:w="692" w:type="pct"/>
            <w:tcBorders>
              <w:top w:val="single" w:sz="4" w:space="0" w:color="auto"/>
              <w:bottom w:val="double" w:sz="4" w:space="0" w:color="auto"/>
            </w:tcBorders>
            <w:shd w:val="clear" w:color="auto" w:fill="auto"/>
          </w:tcPr>
          <w:p w:rsidR="00D15A08" w:rsidRPr="00796446" w:rsidRDefault="00D15A08" w:rsidP="00EE2830">
            <w:pPr>
              <w:jc w:val="right"/>
              <w:rPr>
                <w:b/>
                <w:szCs w:val="22"/>
              </w:rPr>
            </w:pPr>
          </w:p>
          <w:p w:rsidR="008E2FB8" w:rsidRPr="00796446" w:rsidRDefault="00C73D62" w:rsidP="00EE2830">
            <w:pPr>
              <w:jc w:val="right"/>
              <w:rPr>
                <w:b/>
                <w:szCs w:val="22"/>
              </w:rPr>
            </w:pPr>
            <w:r w:rsidRPr="00796446">
              <w:rPr>
                <w:b/>
                <w:szCs w:val="22"/>
              </w:rPr>
              <w:t>4</w:t>
            </w:r>
          </w:p>
        </w:tc>
        <w:tc>
          <w:tcPr>
            <w:tcW w:w="629" w:type="pct"/>
            <w:tcBorders>
              <w:top w:val="single" w:sz="4" w:space="0" w:color="auto"/>
              <w:bottom w:val="double" w:sz="4" w:space="0" w:color="auto"/>
            </w:tcBorders>
            <w:shd w:val="clear" w:color="auto" w:fill="auto"/>
          </w:tcPr>
          <w:p w:rsidR="008E2FB8" w:rsidRPr="00796446" w:rsidRDefault="008E2FB8" w:rsidP="00EE2830">
            <w:pPr>
              <w:jc w:val="right"/>
              <w:rPr>
                <w:b/>
                <w:szCs w:val="22"/>
              </w:rPr>
            </w:pPr>
          </w:p>
          <w:p w:rsidR="008E2FB8" w:rsidRPr="00796446" w:rsidRDefault="008E2FB8" w:rsidP="00EE2830">
            <w:pPr>
              <w:jc w:val="right"/>
              <w:rPr>
                <w:b/>
                <w:szCs w:val="22"/>
              </w:rPr>
            </w:pPr>
            <w:r w:rsidRPr="00796446">
              <w:rPr>
                <w:b/>
                <w:szCs w:val="22"/>
              </w:rPr>
              <w:t>1</w:t>
            </w:r>
            <w:r w:rsidR="009A2DDA" w:rsidRPr="00796446">
              <w:rPr>
                <w:b/>
                <w:szCs w:val="22"/>
              </w:rPr>
              <w:t>7</w:t>
            </w:r>
          </w:p>
        </w:tc>
        <w:tc>
          <w:tcPr>
            <w:tcW w:w="528" w:type="pct"/>
            <w:tcBorders>
              <w:top w:val="single" w:sz="4" w:space="0" w:color="auto"/>
              <w:bottom w:val="double" w:sz="4" w:space="0" w:color="auto"/>
            </w:tcBorders>
            <w:shd w:val="clear" w:color="auto" w:fill="auto"/>
          </w:tcPr>
          <w:p w:rsidR="008E2FB8" w:rsidRPr="00796446" w:rsidRDefault="008E2FB8" w:rsidP="00EE2830">
            <w:pPr>
              <w:jc w:val="right"/>
              <w:rPr>
                <w:b/>
                <w:szCs w:val="22"/>
              </w:rPr>
            </w:pPr>
          </w:p>
          <w:p w:rsidR="008E2FB8" w:rsidRPr="00796446" w:rsidRDefault="008E2FB8" w:rsidP="00EE2830">
            <w:pPr>
              <w:jc w:val="right"/>
              <w:rPr>
                <w:b/>
                <w:szCs w:val="22"/>
              </w:rPr>
            </w:pPr>
            <w:r w:rsidRPr="00796446">
              <w:rPr>
                <w:b/>
                <w:szCs w:val="22"/>
              </w:rPr>
              <w:t>1</w:t>
            </w:r>
            <w:r w:rsidR="00564436" w:rsidRPr="00796446">
              <w:rPr>
                <w:b/>
                <w:szCs w:val="22"/>
              </w:rPr>
              <w:t>8,</w:t>
            </w:r>
            <w:r w:rsidR="00C73D62" w:rsidRPr="00796446">
              <w:rPr>
                <w:b/>
                <w:szCs w:val="22"/>
              </w:rPr>
              <w:t>149</w:t>
            </w:r>
          </w:p>
        </w:tc>
      </w:tr>
    </w:tbl>
    <w:p w:rsidR="00D07606" w:rsidRDefault="00D07606" w:rsidP="00817FBA">
      <w:pPr>
        <w:spacing w:after="120" w:line="259" w:lineRule="auto"/>
        <w:rPr>
          <w:szCs w:val="22"/>
        </w:rPr>
      </w:pPr>
    </w:p>
    <w:p w:rsidR="00D07606" w:rsidRPr="00796446" w:rsidRDefault="00D07606" w:rsidP="00817FBA">
      <w:pPr>
        <w:spacing w:after="120" w:line="259" w:lineRule="auto"/>
        <w:rPr>
          <w:szCs w:val="22"/>
        </w:rPr>
      </w:pPr>
    </w:p>
    <w:p w:rsidR="00C60C3A" w:rsidRPr="00796446" w:rsidRDefault="00C60C3A" w:rsidP="00817FBA">
      <w:pPr>
        <w:spacing w:after="120" w:line="259" w:lineRule="auto"/>
        <w:rPr>
          <w:szCs w:val="22"/>
        </w:rPr>
      </w:pPr>
    </w:p>
    <w:tbl>
      <w:tblPr>
        <w:tblStyle w:val="TableGrid"/>
        <w:tblW w:w="6682"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10902"/>
        <w:gridCol w:w="242"/>
        <w:gridCol w:w="242"/>
        <w:gridCol w:w="242"/>
        <w:gridCol w:w="242"/>
        <w:gridCol w:w="242"/>
        <w:gridCol w:w="240"/>
      </w:tblGrid>
      <w:tr w:rsidR="00D02870" w:rsidRPr="00796446" w:rsidTr="007426DA">
        <w:trPr>
          <w:trHeight w:val="822"/>
        </w:trPr>
        <w:tc>
          <w:tcPr>
            <w:tcW w:w="4413" w:type="pct"/>
          </w:tcPr>
          <w:tbl>
            <w:tblPr>
              <w:tblW w:w="9380" w:type="dxa"/>
              <w:tblInd w:w="708" w:type="dxa"/>
              <w:tblLayout w:type="fixed"/>
              <w:tblLook w:val="0000"/>
            </w:tblPr>
            <w:tblGrid>
              <w:gridCol w:w="2410"/>
              <w:gridCol w:w="993"/>
              <w:gridCol w:w="1418"/>
              <w:gridCol w:w="1276"/>
              <w:gridCol w:w="1133"/>
              <w:gridCol w:w="1204"/>
              <w:gridCol w:w="946"/>
            </w:tblGrid>
            <w:tr w:rsidR="00C60C3A" w:rsidRPr="00796446" w:rsidTr="00CC5E0B">
              <w:trPr>
                <w:trHeight w:val="20"/>
              </w:trPr>
              <w:tc>
                <w:tcPr>
                  <w:tcW w:w="1284" w:type="pct"/>
                  <w:shd w:val="clear" w:color="auto" w:fill="auto"/>
                </w:tcPr>
                <w:p w:rsidR="00C60C3A" w:rsidRPr="00796446" w:rsidRDefault="00C60C3A" w:rsidP="00C60C3A">
                  <w:pPr>
                    <w:rPr>
                      <w:szCs w:val="22"/>
                    </w:rPr>
                  </w:pPr>
                </w:p>
                <w:p w:rsidR="00C60C3A" w:rsidRPr="00796446" w:rsidRDefault="00C60C3A" w:rsidP="00C60C3A">
                  <w:pPr>
                    <w:rPr>
                      <w:szCs w:val="22"/>
                    </w:rPr>
                  </w:pPr>
                </w:p>
                <w:p w:rsidR="00C60C3A" w:rsidRPr="00796446" w:rsidRDefault="00C60C3A" w:rsidP="00C60C3A">
                  <w:pPr>
                    <w:rPr>
                      <w:b/>
                      <w:szCs w:val="22"/>
                    </w:rPr>
                  </w:pPr>
                  <w:r w:rsidRPr="00796446">
                    <w:rPr>
                      <w:b/>
                      <w:szCs w:val="22"/>
                    </w:rPr>
                    <w:t>Към 31.12.2018 г.</w:t>
                  </w:r>
                </w:p>
                <w:p w:rsidR="00C60C3A" w:rsidRPr="00796446" w:rsidRDefault="00C60C3A" w:rsidP="00C60C3A">
                  <w:pPr>
                    <w:rPr>
                      <w:szCs w:val="22"/>
                    </w:rPr>
                  </w:pPr>
                </w:p>
              </w:tc>
              <w:tc>
                <w:tcPr>
                  <w:tcW w:w="529" w:type="pct"/>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Сгради</w:t>
                  </w:r>
                </w:p>
              </w:tc>
              <w:tc>
                <w:tcPr>
                  <w:tcW w:w="756" w:type="pct"/>
                  <w:shd w:val="clear" w:color="auto" w:fill="auto"/>
                </w:tcPr>
                <w:p w:rsidR="00C60C3A" w:rsidRPr="00796446" w:rsidRDefault="00C60C3A" w:rsidP="00C60C3A">
                  <w:pPr>
                    <w:rPr>
                      <w:b/>
                      <w:szCs w:val="22"/>
                    </w:rPr>
                  </w:pPr>
                </w:p>
                <w:p w:rsidR="00C60C3A" w:rsidRPr="00796446" w:rsidRDefault="00C60C3A" w:rsidP="00C60C3A">
                  <w:pPr>
                    <w:jc w:val="right"/>
                    <w:rPr>
                      <w:b/>
                      <w:szCs w:val="22"/>
                    </w:rPr>
                  </w:pPr>
                  <w:r w:rsidRPr="00796446">
                    <w:rPr>
                      <w:b/>
                      <w:szCs w:val="22"/>
                    </w:rPr>
                    <w:t>Машини, съоръжения и оборудване</w:t>
                  </w:r>
                </w:p>
              </w:tc>
              <w:tc>
                <w:tcPr>
                  <w:tcW w:w="680" w:type="pct"/>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Транспортни средства</w:t>
                  </w:r>
                </w:p>
              </w:tc>
              <w:tc>
                <w:tcPr>
                  <w:tcW w:w="604" w:type="pct"/>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Компютърна техника</w:t>
                  </w:r>
                </w:p>
              </w:tc>
              <w:tc>
                <w:tcPr>
                  <w:tcW w:w="642" w:type="pct"/>
                  <w:shd w:val="clear" w:color="auto" w:fill="auto"/>
                </w:tcPr>
                <w:p w:rsidR="00C60C3A" w:rsidRPr="00796446" w:rsidRDefault="00C60C3A" w:rsidP="00BB7E6B">
                  <w:pPr>
                    <w:ind w:right="-104"/>
                    <w:jc w:val="right"/>
                    <w:rPr>
                      <w:b/>
                      <w:szCs w:val="22"/>
                    </w:rPr>
                  </w:pPr>
                </w:p>
                <w:p w:rsidR="00C60C3A" w:rsidRPr="00796446" w:rsidRDefault="00C60C3A" w:rsidP="00BB7E6B">
                  <w:pPr>
                    <w:ind w:right="-104"/>
                    <w:jc w:val="right"/>
                    <w:rPr>
                      <w:b/>
                      <w:szCs w:val="22"/>
                    </w:rPr>
                  </w:pPr>
                  <w:r w:rsidRPr="00796446">
                    <w:rPr>
                      <w:b/>
                      <w:szCs w:val="22"/>
                    </w:rPr>
                    <w:t>Разходи за придо-</w:t>
                  </w:r>
                </w:p>
                <w:p w:rsidR="00C60C3A" w:rsidRPr="00796446" w:rsidRDefault="00C60C3A" w:rsidP="00BB7E6B">
                  <w:pPr>
                    <w:ind w:right="-104"/>
                    <w:jc w:val="right"/>
                    <w:rPr>
                      <w:b/>
                      <w:szCs w:val="22"/>
                    </w:rPr>
                  </w:pPr>
                  <w:r w:rsidRPr="00796446">
                    <w:rPr>
                      <w:b/>
                      <w:szCs w:val="22"/>
                    </w:rPr>
                    <w:t>биване</w:t>
                  </w:r>
                </w:p>
              </w:tc>
              <w:tc>
                <w:tcPr>
                  <w:tcW w:w="504" w:type="pct"/>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Общо</w:t>
                  </w:r>
                </w:p>
              </w:tc>
            </w:tr>
            <w:tr w:rsidR="00C60C3A" w:rsidRPr="00796446" w:rsidTr="00CC5E0B">
              <w:trPr>
                <w:trHeight w:val="20"/>
              </w:trPr>
              <w:tc>
                <w:tcPr>
                  <w:tcW w:w="1284" w:type="pct"/>
                  <w:shd w:val="clear" w:color="auto" w:fill="auto"/>
                </w:tcPr>
                <w:p w:rsidR="00C60C3A" w:rsidRPr="00796446" w:rsidRDefault="00C60C3A" w:rsidP="00C60C3A">
                  <w:pPr>
                    <w:rPr>
                      <w:szCs w:val="22"/>
                    </w:rPr>
                  </w:pPr>
                </w:p>
              </w:tc>
              <w:tc>
                <w:tcPr>
                  <w:tcW w:w="529" w:type="pct"/>
                  <w:shd w:val="clear" w:color="auto" w:fill="auto"/>
                </w:tcPr>
                <w:p w:rsidR="00C60C3A" w:rsidRPr="00796446" w:rsidRDefault="00C60C3A" w:rsidP="00C60C3A">
                  <w:pPr>
                    <w:autoSpaceDE w:val="0"/>
                    <w:autoSpaceDN w:val="0"/>
                    <w:adjustRightInd w:val="0"/>
                    <w:jc w:val="right"/>
                    <w:rPr>
                      <w:b/>
                      <w:bCs/>
                      <w:szCs w:val="22"/>
                    </w:rPr>
                  </w:pPr>
                  <w:r w:rsidRPr="00796446">
                    <w:rPr>
                      <w:b/>
                      <w:bCs/>
                      <w:szCs w:val="22"/>
                    </w:rPr>
                    <w:t>‘000 лв.</w:t>
                  </w:r>
                </w:p>
              </w:tc>
              <w:tc>
                <w:tcPr>
                  <w:tcW w:w="756" w:type="pct"/>
                  <w:shd w:val="clear" w:color="auto" w:fill="auto"/>
                </w:tcPr>
                <w:p w:rsidR="00C60C3A" w:rsidRPr="00796446" w:rsidRDefault="00C60C3A" w:rsidP="00C60C3A">
                  <w:pPr>
                    <w:autoSpaceDE w:val="0"/>
                    <w:autoSpaceDN w:val="0"/>
                    <w:adjustRightInd w:val="0"/>
                    <w:jc w:val="right"/>
                    <w:rPr>
                      <w:b/>
                      <w:bCs/>
                      <w:szCs w:val="22"/>
                    </w:rPr>
                  </w:pPr>
                  <w:r w:rsidRPr="00796446">
                    <w:rPr>
                      <w:b/>
                      <w:bCs/>
                      <w:szCs w:val="22"/>
                    </w:rPr>
                    <w:t>‘000 лв.</w:t>
                  </w:r>
                </w:p>
              </w:tc>
              <w:tc>
                <w:tcPr>
                  <w:tcW w:w="680" w:type="pct"/>
                  <w:shd w:val="clear" w:color="auto" w:fill="auto"/>
                </w:tcPr>
                <w:p w:rsidR="00C60C3A" w:rsidRPr="00796446" w:rsidRDefault="00C60C3A" w:rsidP="00C60C3A">
                  <w:pPr>
                    <w:autoSpaceDE w:val="0"/>
                    <w:autoSpaceDN w:val="0"/>
                    <w:adjustRightInd w:val="0"/>
                    <w:jc w:val="right"/>
                    <w:rPr>
                      <w:b/>
                      <w:bCs/>
                      <w:szCs w:val="22"/>
                    </w:rPr>
                  </w:pPr>
                  <w:r w:rsidRPr="00796446">
                    <w:rPr>
                      <w:b/>
                      <w:bCs/>
                      <w:szCs w:val="22"/>
                    </w:rPr>
                    <w:t>‘000 лв.</w:t>
                  </w:r>
                </w:p>
              </w:tc>
              <w:tc>
                <w:tcPr>
                  <w:tcW w:w="604" w:type="pct"/>
                  <w:shd w:val="clear" w:color="auto" w:fill="auto"/>
                </w:tcPr>
                <w:p w:rsidR="00C60C3A" w:rsidRPr="00796446" w:rsidRDefault="00C60C3A" w:rsidP="00C60C3A">
                  <w:pPr>
                    <w:autoSpaceDE w:val="0"/>
                    <w:autoSpaceDN w:val="0"/>
                    <w:adjustRightInd w:val="0"/>
                    <w:jc w:val="right"/>
                    <w:rPr>
                      <w:b/>
                      <w:bCs/>
                      <w:szCs w:val="22"/>
                    </w:rPr>
                  </w:pPr>
                  <w:r w:rsidRPr="00796446">
                    <w:rPr>
                      <w:b/>
                      <w:bCs/>
                      <w:szCs w:val="22"/>
                    </w:rPr>
                    <w:t>‘000 лв.</w:t>
                  </w:r>
                </w:p>
              </w:tc>
              <w:tc>
                <w:tcPr>
                  <w:tcW w:w="642" w:type="pct"/>
                  <w:shd w:val="clear" w:color="auto" w:fill="auto"/>
                </w:tcPr>
                <w:p w:rsidR="00C60C3A" w:rsidRPr="00796446" w:rsidRDefault="00C60C3A" w:rsidP="00C60C3A">
                  <w:pPr>
                    <w:autoSpaceDE w:val="0"/>
                    <w:autoSpaceDN w:val="0"/>
                    <w:adjustRightInd w:val="0"/>
                    <w:jc w:val="right"/>
                    <w:rPr>
                      <w:b/>
                      <w:bCs/>
                      <w:szCs w:val="22"/>
                    </w:rPr>
                  </w:pPr>
                  <w:r w:rsidRPr="00796446">
                    <w:rPr>
                      <w:b/>
                      <w:bCs/>
                      <w:szCs w:val="22"/>
                    </w:rPr>
                    <w:t>‘000 лв.</w:t>
                  </w:r>
                </w:p>
              </w:tc>
              <w:tc>
                <w:tcPr>
                  <w:tcW w:w="504" w:type="pct"/>
                  <w:shd w:val="clear" w:color="auto" w:fill="auto"/>
                </w:tcPr>
                <w:p w:rsidR="00C60C3A" w:rsidRPr="00796446" w:rsidRDefault="00C60C3A" w:rsidP="00C60C3A">
                  <w:pPr>
                    <w:autoSpaceDE w:val="0"/>
                    <w:autoSpaceDN w:val="0"/>
                    <w:adjustRightInd w:val="0"/>
                    <w:jc w:val="right"/>
                    <w:rPr>
                      <w:b/>
                      <w:bCs/>
                      <w:szCs w:val="22"/>
                    </w:rPr>
                  </w:pPr>
                  <w:r w:rsidRPr="00796446">
                    <w:rPr>
                      <w:b/>
                      <w:bCs/>
                      <w:szCs w:val="22"/>
                    </w:rPr>
                    <w:t>‘000 лв.</w:t>
                  </w:r>
                </w:p>
              </w:tc>
            </w:tr>
            <w:tr w:rsidR="00C60C3A" w:rsidRPr="00796446" w:rsidTr="00CC5E0B">
              <w:trPr>
                <w:trHeight w:val="20"/>
              </w:trPr>
              <w:tc>
                <w:tcPr>
                  <w:tcW w:w="1284" w:type="pct"/>
                  <w:shd w:val="clear" w:color="auto" w:fill="auto"/>
                </w:tcPr>
                <w:p w:rsidR="00C60C3A" w:rsidRPr="00796446" w:rsidRDefault="00C60C3A" w:rsidP="00C60C3A">
                  <w:pPr>
                    <w:rPr>
                      <w:b/>
                      <w:szCs w:val="22"/>
                    </w:rPr>
                  </w:pPr>
                  <w:r w:rsidRPr="00796446">
                    <w:rPr>
                      <w:rFonts w:cs="Times New Roman"/>
                      <w:b/>
                      <w:bCs/>
                      <w:szCs w:val="22"/>
                      <w:lang w:eastAsia="bg-BG"/>
                    </w:rPr>
                    <w:t>Брутна балансова стойност</w:t>
                  </w:r>
                </w:p>
              </w:tc>
              <w:tc>
                <w:tcPr>
                  <w:tcW w:w="529" w:type="pct"/>
                  <w:shd w:val="clear" w:color="auto" w:fill="auto"/>
                </w:tcPr>
                <w:p w:rsidR="00C60C3A" w:rsidRPr="00796446" w:rsidRDefault="00C60C3A" w:rsidP="00C60C3A">
                  <w:pPr>
                    <w:jc w:val="right"/>
                    <w:rPr>
                      <w:szCs w:val="22"/>
                    </w:rPr>
                  </w:pPr>
                </w:p>
              </w:tc>
              <w:tc>
                <w:tcPr>
                  <w:tcW w:w="756" w:type="pct"/>
                  <w:shd w:val="clear" w:color="auto" w:fill="auto"/>
                </w:tcPr>
                <w:p w:rsidR="00C60C3A" w:rsidRPr="00796446" w:rsidRDefault="00C60C3A" w:rsidP="00C60C3A">
                  <w:pPr>
                    <w:jc w:val="right"/>
                    <w:rPr>
                      <w:szCs w:val="22"/>
                    </w:rPr>
                  </w:pPr>
                </w:p>
              </w:tc>
              <w:tc>
                <w:tcPr>
                  <w:tcW w:w="680" w:type="pct"/>
                  <w:shd w:val="clear" w:color="auto" w:fill="auto"/>
                </w:tcPr>
                <w:p w:rsidR="00C60C3A" w:rsidRPr="00796446" w:rsidRDefault="00C60C3A" w:rsidP="00C60C3A">
                  <w:pPr>
                    <w:jc w:val="right"/>
                    <w:rPr>
                      <w:szCs w:val="22"/>
                    </w:rPr>
                  </w:pPr>
                </w:p>
              </w:tc>
              <w:tc>
                <w:tcPr>
                  <w:tcW w:w="604" w:type="pct"/>
                  <w:shd w:val="clear" w:color="auto" w:fill="auto"/>
                </w:tcPr>
                <w:p w:rsidR="00C60C3A" w:rsidRPr="00796446" w:rsidRDefault="00C60C3A" w:rsidP="00C60C3A">
                  <w:pPr>
                    <w:jc w:val="right"/>
                    <w:rPr>
                      <w:szCs w:val="22"/>
                    </w:rPr>
                  </w:pPr>
                </w:p>
              </w:tc>
              <w:tc>
                <w:tcPr>
                  <w:tcW w:w="642" w:type="pct"/>
                  <w:shd w:val="clear" w:color="auto" w:fill="auto"/>
                </w:tcPr>
                <w:p w:rsidR="00C60C3A" w:rsidRPr="00796446" w:rsidRDefault="00C60C3A" w:rsidP="009270BB">
                  <w:pPr>
                    <w:tabs>
                      <w:tab w:val="left" w:pos="660"/>
                    </w:tabs>
                    <w:jc w:val="right"/>
                    <w:rPr>
                      <w:szCs w:val="22"/>
                    </w:rPr>
                  </w:pPr>
                </w:p>
              </w:tc>
              <w:tc>
                <w:tcPr>
                  <w:tcW w:w="504" w:type="pct"/>
                  <w:shd w:val="clear" w:color="auto" w:fill="auto"/>
                </w:tcPr>
                <w:p w:rsidR="00C60C3A" w:rsidRPr="00796446" w:rsidRDefault="00C60C3A" w:rsidP="00C60C3A">
                  <w:pPr>
                    <w:jc w:val="right"/>
                    <w:rPr>
                      <w:szCs w:val="22"/>
                    </w:rPr>
                  </w:pP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Салдо към 1 януари 2018 г.</w:t>
                  </w:r>
                </w:p>
              </w:tc>
              <w:tc>
                <w:tcPr>
                  <w:tcW w:w="529" w:type="pct"/>
                  <w:shd w:val="clear" w:color="auto" w:fill="auto"/>
                </w:tcPr>
                <w:p w:rsidR="00C60C3A" w:rsidRPr="00796446" w:rsidRDefault="00C60C3A" w:rsidP="00C60C3A">
                  <w:pPr>
                    <w:jc w:val="right"/>
                    <w:rPr>
                      <w:szCs w:val="22"/>
                    </w:rPr>
                  </w:pPr>
                  <w:r w:rsidRPr="00796446">
                    <w:rPr>
                      <w:szCs w:val="22"/>
                    </w:rPr>
                    <w:t>12,302</w:t>
                  </w:r>
                </w:p>
              </w:tc>
              <w:tc>
                <w:tcPr>
                  <w:tcW w:w="756" w:type="pct"/>
                  <w:shd w:val="clear" w:color="auto" w:fill="auto"/>
                </w:tcPr>
                <w:p w:rsidR="00C60C3A" w:rsidRPr="00796446" w:rsidRDefault="00C60C3A" w:rsidP="00C60C3A">
                  <w:pPr>
                    <w:jc w:val="right"/>
                    <w:rPr>
                      <w:szCs w:val="22"/>
                    </w:rPr>
                  </w:pPr>
                  <w:r w:rsidRPr="00796446">
                    <w:rPr>
                      <w:szCs w:val="22"/>
                    </w:rPr>
                    <w:t>10,217</w:t>
                  </w:r>
                </w:p>
              </w:tc>
              <w:tc>
                <w:tcPr>
                  <w:tcW w:w="680" w:type="pct"/>
                  <w:shd w:val="clear" w:color="auto" w:fill="auto"/>
                </w:tcPr>
                <w:p w:rsidR="00C60C3A" w:rsidRPr="00796446" w:rsidRDefault="00C60C3A" w:rsidP="00C60C3A">
                  <w:pPr>
                    <w:jc w:val="right"/>
                    <w:rPr>
                      <w:szCs w:val="22"/>
                    </w:rPr>
                  </w:pPr>
                  <w:r w:rsidRPr="00796446">
                    <w:rPr>
                      <w:szCs w:val="22"/>
                    </w:rPr>
                    <w:t>34</w:t>
                  </w:r>
                </w:p>
              </w:tc>
              <w:tc>
                <w:tcPr>
                  <w:tcW w:w="604" w:type="pct"/>
                  <w:shd w:val="clear" w:color="auto" w:fill="auto"/>
                </w:tcPr>
                <w:p w:rsidR="00C60C3A" w:rsidRPr="00796446" w:rsidRDefault="00C60C3A" w:rsidP="00C60C3A">
                  <w:pPr>
                    <w:jc w:val="right"/>
                    <w:rPr>
                      <w:szCs w:val="22"/>
                    </w:rPr>
                  </w:pPr>
                  <w:r w:rsidRPr="00796446">
                    <w:rPr>
                      <w:szCs w:val="22"/>
                    </w:rPr>
                    <w:t>26</w:t>
                  </w:r>
                </w:p>
              </w:tc>
              <w:tc>
                <w:tcPr>
                  <w:tcW w:w="642" w:type="pct"/>
                  <w:shd w:val="clear" w:color="auto" w:fill="auto"/>
                </w:tcPr>
                <w:p w:rsidR="00C60C3A" w:rsidRPr="00796446" w:rsidRDefault="00C60C3A" w:rsidP="00C60C3A">
                  <w:pPr>
                    <w:jc w:val="right"/>
                    <w:rPr>
                      <w:rFonts w:eastAsia="Arial Unicode MS"/>
                      <w:szCs w:val="22"/>
                    </w:rPr>
                  </w:pPr>
                  <w:r w:rsidRPr="00796446">
                    <w:rPr>
                      <w:rFonts w:eastAsia="Arial Unicode MS"/>
                      <w:szCs w:val="22"/>
                    </w:rPr>
                    <w:t>15</w:t>
                  </w:r>
                </w:p>
              </w:tc>
              <w:tc>
                <w:tcPr>
                  <w:tcW w:w="504" w:type="pct"/>
                  <w:shd w:val="clear" w:color="auto" w:fill="auto"/>
                </w:tcPr>
                <w:p w:rsidR="00C60C3A" w:rsidRPr="00796446" w:rsidRDefault="00C60C3A" w:rsidP="00C60C3A">
                  <w:pPr>
                    <w:jc w:val="right"/>
                    <w:rPr>
                      <w:b/>
                      <w:szCs w:val="22"/>
                    </w:rPr>
                  </w:pPr>
                  <w:r w:rsidRPr="00796446">
                    <w:rPr>
                      <w:rFonts w:eastAsia="Arial Unicode MS"/>
                      <w:b/>
                      <w:szCs w:val="22"/>
                    </w:rPr>
                    <w:t>22,594</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Новопридобити активи</w:t>
                  </w:r>
                </w:p>
              </w:tc>
              <w:tc>
                <w:tcPr>
                  <w:tcW w:w="529" w:type="pct"/>
                  <w:shd w:val="clear" w:color="auto" w:fill="auto"/>
                </w:tcPr>
                <w:p w:rsidR="00C60C3A" w:rsidRPr="00796446" w:rsidRDefault="00C60C3A" w:rsidP="00C60C3A">
                  <w:pPr>
                    <w:jc w:val="right"/>
                    <w:rPr>
                      <w:szCs w:val="22"/>
                    </w:rPr>
                  </w:pPr>
                  <w:r w:rsidRPr="00796446">
                    <w:rPr>
                      <w:szCs w:val="22"/>
                    </w:rPr>
                    <w:t>-</w:t>
                  </w:r>
                </w:p>
              </w:tc>
              <w:tc>
                <w:tcPr>
                  <w:tcW w:w="756" w:type="pct"/>
                  <w:shd w:val="clear" w:color="auto" w:fill="auto"/>
                </w:tcPr>
                <w:p w:rsidR="00C60C3A" w:rsidRPr="00796446" w:rsidRDefault="00C60C3A" w:rsidP="00C60C3A">
                  <w:pPr>
                    <w:jc w:val="right"/>
                    <w:rPr>
                      <w:szCs w:val="22"/>
                    </w:rPr>
                  </w:pPr>
                  <w:r w:rsidRPr="00796446">
                    <w:rPr>
                      <w:szCs w:val="22"/>
                    </w:rPr>
                    <w:t>81</w:t>
                  </w:r>
                </w:p>
              </w:tc>
              <w:tc>
                <w:tcPr>
                  <w:tcW w:w="680" w:type="pct"/>
                  <w:shd w:val="clear" w:color="auto" w:fill="auto"/>
                </w:tcPr>
                <w:p w:rsidR="00C60C3A" w:rsidRPr="00796446" w:rsidRDefault="00C60C3A" w:rsidP="00C60C3A">
                  <w:pPr>
                    <w:jc w:val="right"/>
                    <w:rPr>
                      <w:szCs w:val="22"/>
                    </w:rPr>
                  </w:pPr>
                  <w:r w:rsidRPr="00796446">
                    <w:rPr>
                      <w:szCs w:val="22"/>
                    </w:rPr>
                    <w:t>-</w:t>
                  </w:r>
                </w:p>
              </w:tc>
              <w:tc>
                <w:tcPr>
                  <w:tcW w:w="604" w:type="pct"/>
                  <w:shd w:val="clear" w:color="auto" w:fill="auto"/>
                </w:tcPr>
                <w:p w:rsidR="00C60C3A" w:rsidRPr="00796446" w:rsidRDefault="00C60C3A" w:rsidP="00C60C3A">
                  <w:pPr>
                    <w:jc w:val="right"/>
                    <w:rPr>
                      <w:szCs w:val="22"/>
                    </w:rPr>
                  </w:pPr>
                  <w:r w:rsidRPr="00796446">
                    <w:rPr>
                      <w:szCs w:val="22"/>
                    </w:rPr>
                    <w:t>1</w:t>
                  </w:r>
                </w:p>
              </w:tc>
              <w:tc>
                <w:tcPr>
                  <w:tcW w:w="642" w:type="pct"/>
                  <w:shd w:val="clear" w:color="auto" w:fill="auto"/>
                </w:tcPr>
                <w:p w:rsidR="00C60C3A" w:rsidRPr="00796446" w:rsidRDefault="00C60C3A" w:rsidP="00C60C3A">
                  <w:pPr>
                    <w:jc w:val="right"/>
                    <w:rPr>
                      <w:szCs w:val="22"/>
                    </w:rPr>
                  </w:pPr>
                  <w:r w:rsidRPr="00796446">
                    <w:rPr>
                      <w:szCs w:val="22"/>
                    </w:rPr>
                    <w:t>2</w:t>
                  </w:r>
                </w:p>
              </w:tc>
              <w:tc>
                <w:tcPr>
                  <w:tcW w:w="504" w:type="pct"/>
                  <w:shd w:val="clear" w:color="auto" w:fill="auto"/>
                </w:tcPr>
                <w:p w:rsidR="00C60C3A" w:rsidRPr="00796446" w:rsidRDefault="00C60C3A" w:rsidP="00C60C3A">
                  <w:pPr>
                    <w:jc w:val="right"/>
                    <w:rPr>
                      <w:b/>
                      <w:szCs w:val="22"/>
                    </w:rPr>
                  </w:pPr>
                  <w:r w:rsidRPr="00796446">
                    <w:rPr>
                      <w:b/>
                      <w:szCs w:val="22"/>
                    </w:rPr>
                    <w:t>84</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Отписани</w:t>
                  </w:r>
                </w:p>
              </w:tc>
              <w:tc>
                <w:tcPr>
                  <w:tcW w:w="529" w:type="pct"/>
                  <w:shd w:val="clear" w:color="auto" w:fill="auto"/>
                </w:tcPr>
                <w:p w:rsidR="00C60C3A" w:rsidRPr="00796446" w:rsidRDefault="00C60C3A" w:rsidP="00C60C3A">
                  <w:pPr>
                    <w:jc w:val="right"/>
                    <w:rPr>
                      <w:szCs w:val="22"/>
                    </w:rPr>
                  </w:pPr>
                  <w:r w:rsidRPr="00796446">
                    <w:rPr>
                      <w:szCs w:val="22"/>
                    </w:rPr>
                    <w:t>-</w:t>
                  </w:r>
                </w:p>
              </w:tc>
              <w:tc>
                <w:tcPr>
                  <w:tcW w:w="756" w:type="pct"/>
                  <w:shd w:val="clear" w:color="auto" w:fill="auto"/>
                </w:tcPr>
                <w:p w:rsidR="00C60C3A" w:rsidRPr="00796446" w:rsidRDefault="00C60C3A" w:rsidP="00C60C3A">
                  <w:pPr>
                    <w:jc w:val="right"/>
                    <w:rPr>
                      <w:szCs w:val="22"/>
                    </w:rPr>
                  </w:pPr>
                  <w:r w:rsidRPr="00796446">
                    <w:rPr>
                      <w:szCs w:val="22"/>
                    </w:rPr>
                    <w:t>(4)</w:t>
                  </w:r>
                </w:p>
              </w:tc>
              <w:tc>
                <w:tcPr>
                  <w:tcW w:w="680" w:type="pct"/>
                  <w:shd w:val="clear" w:color="auto" w:fill="auto"/>
                </w:tcPr>
                <w:p w:rsidR="00C60C3A" w:rsidRPr="00796446" w:rsidRDefault="00C60C3A" w:rsidP="00C60C3A">
                  <w:pPr>
                    <w:jc w:val="right"/>
                    <w:rPr>
                      <w:szCs w:val="22"/>
                    </w:rPr>
                  </w:pPr>
                  <w:r w:rsidRPr="00796446">
                    <w:rPr>
                      <w:szCs w:val="22"/>
                    </w:rPr>
                    <w:t>-</w:t>
                  </w:r>
                </w:p>
              </w:tc>
              <w:tc>
                <w:tcPr>
                  <w:tcW w:w="604" w:type="pct"/>
                  <w:shd w:val="clear" w:color="auto" w:fill="auto"/>
                </w:tcPr>
                <w:p w:rsidR="00C60C3A" w:rsidRPr="00796446" w:rsidRDefault="00C60C3A" w:rsidP="00C60C3A">
                  <w:pPr>
                    <w:jc w:val="right"/>
                    <w:rPr>
                      <w:szCs w:val="22"/>
                    </w:rPr>
                  </w:pPr>
                  <w:r w:rsidRPr="00796446">
                    <w:rPr>
                      <w:szCs w:val="22"/>
                    </w:rPr>
                    <w:t>-</w:t>
                  </w:r>
                </w:p>
              </w:tc>
              <w:tc>
                <w:tcPr>
                  <w:tcW w:w="642" w:type="pct"/>
                  <w:shd w:val="clear" w:color="auto" w:fill="auto"/>
                </w:tcPr>
                <w:p w:rsidR="00C60C3A" w:rsidRPr="00796446" w:rsidRDefault="00C60C3A" w:rsidP="00C60C3A">
                  <w:pPr>
                    <w:jc w:val="right"/>
                    <w:rPr>
                      <w:szCs w:val="22"/>
                    </w:rPr>
                  </w:pPr>
                  <w:r w:rsidRPr="00796446">
                    <w:rPr>
                      <w:szCs w:val="22"/>
                    </w:rPr>
                    <w:t>-</w:t>
                  </w:r>
                </w:p>
              </w:tc>
              <w:tc>
                <w:tcPr>
                  <w:tcW w:w="504" w:type="pct"/>
                  <w:shd w:val="clear" w:color="auto" w:fill="auto"/>
                </w:tcPr>
                <w:p w:rsidR="00C60C3A" w:rsidRPr="00796446" w:rsidRDefault="00C60C3A" w:rsidP="00C60C3A">
                  <w:pPr>
                    <w:jc w:val="right"/>
                    <w:rPr>
                      <w:b/>
                      <w:szCs w:val="22"/>
                      <w:lang w:val="en-US"/>
                    </w:rPr>
                  </w:pPr>
                  <w:r w:rsidRPr="00796446">
                    <w:rPr>
                      <w:b/>
                      <w:szCs w:val="22"/>
                    </w:rPr>
                    <w:t>(4)</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Преоценка призната в капитала</w:t>
                  </w:r>
                </w:p>
              </w:tc>
              <w:tc>
                <w:tcPr>
                  <w:tcW w:w="529" w:type="pct"/>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640</w:t>
                  </w:r>
                </w:p>
              </w:tc>
              <w:tc>
                <w:tcPr>
                  <w:tcW w:w="756" w:type="pct"/>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141</w:t>
                  </w:r>
                </w:p>
              </w:tc>
              <w:tc>
                <w:tcPr>
                  <w:tcW w:w="680" w:type="pct"/>
                  <w:shd w:val="clear" w:color="auto" w:fill="auto"/>
                </w:tcPr>
                <w:p w:rsidR="006901A3" w:rsidRPr="00796446" w:rsidRDefault="006901A3" w:rsidP="00C60C3A">
                  <w:pPr>
                    <w:jc w:val="right"/>
                    <w:rPr>
                      <w:szCs w:val="22"/>
                      <w:lang w:val="en-US"/>
                    </w:rPr>
                  </w:pPr>
                </w:p>
                <w:p w:rsidR="00C60C3A" w:rsidRPr="00796446" w:rsidRDefault="006901A3" w:rsidP="00C60C3A">
                  <w:pPr>
                    <w:jc w:val="right"/>
                    <w:rPr>
                      <w:szCs w:val="22"/>
                      <w:lang w:val="en-US"/>
                    </w:rPr>
                  </w:pPr>
                  <w:r w:rsidRPr="00796446">
                    <w:rPr>
                      <w:szCs w:val="22"/>
                      <w:lang w:val="en-US"/>
                    </w:rPr>
                    <w:t>-</w:t>
                  </w:r>
                </w:p>
              </w:tc>
              <w:tc>
                <w:tcPr>
                  <w:tcW w:w="604" w:type="pct"/>
                  <w:shd w:val="clear" w:color="auto" w:fill="auto"/>
                </w:tcPr>
                <w:p w:rsidR="006901A3" w:rsidRPr="00796446" w:rsidRDefault="006901A3" w:rsidP="00C60C3A">
                  <w:pPr>
                    <w:jc w:val="right"/>
                    <w:rPr>
                      <w:szCs w:val="22"/>
                      <w:lang w:val="en-US"/>
                    </w:rPr>
                  </w:pPr>
                </w:p>
                <w:p w:rsidR="00C60C3A" w:rsidRPr="00796446" w:rsidRDefault="006901A3" w:rsidP="00C60C3A">
                  <w:pPr>
                    <w:jc w:val="right"/>
                    <w:rPr>
                      <w:szCs w:val="22"/>
                      <w:lang w:val="en-US"/>
                    </w:rPr>
                  </w:pPr>
                  <w:r w:rsidRPr="00796446">
                    <w:rPr>
                      <w:szCs w:val="22"/>
                      <w:lang w:val="en-US"/>
                    </w:rPr>
                    <w:t>-</w:t>
                  </w:r>
                </w:p>
              </w:tc>
              <w:tc>
                <w:tcPr>
                  <w:tcW w:w="642" w:type="pct"/>
                  <w:shd w:val="clear" w:color="auto" w:fill="auto"/>
                </w:tcPr>
                <w:p w:rsidR="006901A3" w:rsidRPr="00796446" w:rsidRDefault="006901A3" w:rsidP="00C60C3A">
                  <w:pPr>
                    <w:jc w:val="right"/>
                    <w:rPr>
                      <w:szCs w:val="22"/>
                      <w:lang w:val="en-US"/>
                    </w:rPr>
                  </w:pPr>
                </w:p>
                <w:p w:rsidR="00C60C3A" w:rsidRPr="00796446" w:rsidRDefault="006901A3" w:rsidP="00C60C3A">
                  <w:pPr>
                    <w:jc w:val="right"/>
                    <w:rPr>
                      <w:szCs w:val="22"/>
                      <w:lang w:val="en-US"/>
                    </w:rPr>
                  </w:pPr>
                  <w:r w:rsidRPr="00796446">
                    <w:rPr>
                      <w:szCs w:val="22"/>
                      <w:lang w:val="en-US"/>
                    </w:rPr>
                    <w:t>-</w:t>
                  </w:r>
                </w:p>
              </w:tc>
              <w:tc>
                <w:tcPr>
                  <w:tcW w:w="504" w:type="pct"/>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781</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Обезценка призната в печалби и загуби</w:t>
                  </w:r>
                </w:p>
              </w:tc>
              <w:tc>
                <w:tcPr>
                  <w:tcW w:w="529" w:type="pct"/>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(4)</w:t>
                  </w:r>
                </w:p>
              </w:tc>
              <w:tc>
                <w:tcPr>
                  <w:tcW w:w="756" w:type="pct"/>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w:t>
                  </w:r>
                </w:p>
              </w:tc>
              <w:tc>
                <w:tcPr>
                  <w:tcW w:w="680" w:type="pct"/>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w:t>
                  </w:r>
                </w:p>
              </w:tc>
              <w:tc>
                <w:tcPr>
                  <w:tcW w:w="604" w:type="pct"/>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w:t>
                  </w:r>
                </w:p>
              </w:tc>
              <w:tc>
                <w:tcPr>
                  <w:tcW w:w="642" w:type="pct"/>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w:t>
                  </w:r>
                </w:p>
              </w:tc>
              <w:tc>
                <w:tcPr>
                  <w:tcW w:w="504" w:type="pct"/>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(4)</w:t>
                  </w:r>
                </w:p>
              </w:tc>
            </w:tr>
            <w:tr w:rsidR="00C60C3A" w:rsidRPr="00796446" w:rsidTr="00CC5E0B">
              <w:trPr>
                <w:trHeight w:val="508"/>
              </w:trPr>
              <w:tc>
                <w:tcPr>
                  <w:tcW w:w="1284" w:type="pct"/>
                  <w:shd w:val="clear" w:color="auto" w:fill="auto"/>
                </w:tcPr>
                <w:p w:rsidR="00C60C3A" w:rsidRPr="00796446" w:rsidRDefault="00C60C3A" w:rsidP="00C60C3A">
                  <w:pPr>
                    <w:rPr>
                      <w:szCs w:val="22"/>
                    </w:rPr>
                  </w:pPr>
                  <w:r w:rsidRPr="00796446">
                    <w:rPr>
                      <w:szCs w:val="22"/>
                    </w:rPr>
                    <w:t>Преоценка за сметка на натрупана амортизация</w:t>
                  </w:r>
                </w:p>
              </w:tc>
              <w:tc>
                <w:tcPr>
                  <w:tcW w:w="529"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B44EA3">
                  <w:pPr>
                    <w:jc w:val="right"/>
                    <w:rPr>
                      <w:szCs w:val="22"/>
                    </w:rPr>
                  </w:pPr>
                  <w:r w:rsidRPr="00796446">
                    <w:rPr>
                      <w:szCs w:val="22"/>
                    </w:rPr>
                    <w:t>(2,003)</w:t>
                  </w:r>
                </w:p>
              </w:tc>
              <w:tc>
                <w:tcPr>
                  <w:tcW w:w="756"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(2,013)</w:t>
                  </w:r>
                </w:p>
              </w:tc>
              <w:tc>
                <w:tcPr>
                  <w:tcW w:w="680" w:type="pct"/>
                  <w:tcBorders>
                    <w:bottom w:val="single" w:sz="4" w:space="0" w:color="auto"/>
                  </w:tcBorders>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w:t>
                  </w:r>
                </w:p>
              </w:tc>
              <w:tc>
                <w:tcPr>
                  <w:tcW w:w="604" w:type="pct"/>
                  <w:tcBorders>
                    <w:bottom w:val="single" w:sz="4" w:space="0" w:color="auto"/>
                  </w:tcBorders>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w:t>
                  </w:r>
                </w:p>
              </w:tc>
              <w:tc>
                <w:tcPr>
                  <w:tcW w:w="642" w:type="pct"/>
                  <w:tcBorders>
                    <w:bottom w:val="single" w:sz="4" w:space="0" w:color="auto"/>
                  </w:tcBorders>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w:t>
                  </w:r>
                </w:p>
              </w:tc>
              <w:tc>
                <w:tcPr>
                  <w:tcW w:w="504" w:type="pct"/>
                  <w:tcBorders>
                    <w:bottom w:val="single" w:sz="4" w:space="0" w:color="auto"/>
                  </w:tcBorders>
                  <w:shd w:val="clear" w:color="auto" w:fill="auto"/>
                </w:tcPr>
                <w:p w:rsidR="006901A3" w:rsidRPr="00796446" w:rsidRDefault="006901A3" w:rsidP="00C60C3A">
                  <w:pPr>
                    <w:jc w:val="right"/>
                    <w:rPr>
                      <w:b/>
                      <w:szCs w:val="22"/>
                    </w:rPr>
                  </w:pPr>
                </w:p>
                <w:p w:rsidR="00C60C3A" w:rsidRPr="00796446" w:rsidRDefault="00C60C3A" w:rsidP="00C60C3A">
                  <w:pPr>
                    <w:jc w:val="right"/>
                    <w:rPr>
                      <w:b/>
                      <w:szCs w:val="22"/>
                    </w:rPr>
                  </w:pPr>
                  <w:r w:rsidRPr="00796446">
                    <w:rPr>
                      <w:b/>
                      <w:szCs w:val="22"/>
                    </w:rPr>
                    <w:t>(4,016)</w:t>
                  </w:r>
                </w:p>
              </w:tc>
            </w:tr>
            <w:tr w:rsidR="00C60C3A" w:rsidRPr="00796446" w:rsidTr="00CC5E0B">
              <w:trPr>
                <w:trHeight w:val="20"/>
              </w:trPr>
              <w:tc>
                <w:tcPr>
                  <w:tcW w:w="1284" w:type="pct"/>
                  <w:shd w:val="clear" w:color="auto" w:fill="auto"/>
                </w:tcPr>
                <w:p w:rsidR="00C60C3A" w:rsidRPr="00796446" w:rsidRDefault="00C60C3A" w:rsidP="00C60C3A">
                  <w:pPr>
                    <w:rPr>
                      <w:b/>
                      <w:szCs w:val="22"/>
                    </w:rPr>
                  </w:pPr>
                  <w:r w:rsidRPr="00796446">
                    <w:rPr>
                      <w:b/>
                      <w:szCs w:val="22"/>
                    </w:rPr>
                    <w:t>Салдо към 31 декември 2018 г.</w:t>
                  </w:r>
                </w:p>
              </w:tc>
              <w:tc>
                <w:tcPr>
                  <w:tcW w:w="529"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10,935</w:t>
                  </w:r>
                </w:p>
              </w:tc>
              <w:tc>
                <w:tcPr>
                  <w:tcW w:w="756"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8,422</w:t>
                  </w:r>
                </w:p>
              </w:tc>
              <w:tc>
                <w:tcPr>
                  <w:tcW w:w="680"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34</w:t>
                  </w:r>
                </w:p>
              </w:tc>
              <w:tc>
                <w:tcPr>
                  <w:tcW w:w="604"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27</w:t>
                  </w:r>
                </w:p>
              </w:tc>
              <w:tc>
                <w:tcPr>
                  <w:tcW w:w="642"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17</w:t>
                  </w:r>
                </w:p>
              </w:tc>
              <w:tc>
                <w:tcPr>
                  <w:tcW w:w="504"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19,435</w:t>
                  </w:r>
                </w:p>
              </w:tc>
            </w:tr>
            <w:tr w:rsidR="00C60C3A" w:rsidRPr="00796446" w:rsidTr="00CC5E0B">
              <w:trPr>
                <w:trHeight w:val="20"/>
              </w:trPr>
              <w:tc>
                <w:tcPr>
                  <w:tcW w:w="1284" w:type="pct"/>
                  <w:shd w:val="clear" w:color="auto" w:fill="auto"/>
                </w:tcPr>
                <w:p w:rsidR="00C60C3A" w:rsidRPr="00796446" w:rsidRDefault="00C60C3A" w:rsidP="00C60C3A">
                  <w:pPr>
                    <w:rPr>
                      <w:szCs w:val="22"/>
                    </w:rPr>
                  </w:pPr>
                </w:p>
              </w:tc>
              <w:tc>
                <w:tcPr>
                  <w:tcW w:w="529" w:type="pct"/>
                  <w:tcBorders>
                    <w:top w:val="single" w:sz="4" w:space="0" w:color="auto"/>
                  </w:tcBorders>
                  <w:shd w:val="clear" w:color="auto" w:fill="auto"/>
                </w:tcPr>
                <w:p w:rsidR="00C60C3A" w:rsidRPr="00796446" w:rsidRDefault="00C60C3A" w:rsidP="00C60C3A">
                  <w:pPr>
                    <w:jc w:val="right"/>
                    <w:rPr>
                      <w:szCs w:val="22"/>
                    </w:rPr>
                  </w:pPr>
                </w:p>
              </w:tc>
              <w:tc>
                <w:tcPr>
                  <w:tcW w:w="756" w:type="pct"/>
                  <w:tcBorders>
                    <w:top w:val="single" w:sz="4" w:space="0" w:color="auto"/>
                  </w:tcBorders>
                  <w:shd w:val="clear" w:color="auto" w:fill="auto"/>
                </w:tcPr>
                <w:p w:rsidR="00C60C3A" w:rsidRPr="00796446" w:rsidRDefault="00C60C3A" w:rsidP="00C60C3A">
                  <w:pPr>
                    <w:jc w:val="right"/>
                    <w:rPr>
                      <w:szCs w:val="22"/>
                    </w:rPr>
                  </w:pPr>
                </w:p>
              </w:tc>
              <w:tc>
                <w:tcPr>
                  <w:tcW w:w="680" w:type="pct"/>
                  <w:tcBorders>
                    <w:top w:val="single" w:sz="4" w:space="0" w:color="auto"/>
                  </w:tcBorders>
                  <w:shd w:val="clear" w:color="auto" w:fill="auto"/>
                </w:tcPr>
                <w:p w:rsidR="00C60C3A" w:rsidRPr="00796446" w:rsidRDefault="00C60C3A" w:rsidP="00C60C3A">
                  <w:pPr>
                    <w:jc w:val="right"/>
                    <w:rPr>
                      <w:szCs w:val="22"/>
                    </w:rPr>
                  </w:pPr>
                </w:p>
              </w:tc>
              <w:tc>
                <w:tcPr>
                  <w:tcW w:w="604" w:type="pct"/>
                  <w:tcBorders>
                    <w:top w:val="single" w:sz="4" w:space="0" w:color="auto"/>
                  </w:tcBorders>
                  <w:shd w:val="clear" w:color="auto" w:fill="auto"/>
                </w:tcPr>
                <w:p w:rsidR="00C60C3A" w:rsidRPr="00796446" w:rsidRDefault="00C60C3A" w:rsidP="00C60C3A">
                  <w:pPr>
                    <w:jc w:val="right"/>
                    <w:rPr>
                      <w:szCs w:val="22"/>
                    </w:rPr>
                  </w:pPr>
                </w:p>
              </w:tc>
              <w:tc>
                <w:tcPr>
                  <w:tcW w:w="642" w:type="pct"/>
                  <w:tcBorders>
                    <w:top w:val="single" w:sz="4" w:space="0" w:color="auto"/>
                  </w:tcBorders>
                  <w:shd w:val="clear" w:color="auto" w:fill="auto"/>
                </w:tcPr>
                <w:p w:rsidR="00C60C3A" w:rsidRPr="00796446" w:rsidRDefault="00C60C3A" w:rsidP="00C60C3A">
                  <w:pPr>
                    <w:jc w:val="right"/>
                    <w:rPr>
                      <w:szCs w:val="22"/>
                    </w:rPr>
                  </w:pPr>
                </w:p>
              </w:tc>
              <w:tc>
                <w:tcPr>
                  <w:tcW w:w="504" w:type="pct"/>
                  <w:tcBorders>
                    <w:top w:val="single" w:sz="4" w:space="0" w:color="auto"/>
                  </w:tcBorders>
                  <w:shd w:val="clear" w:color="auto" w:fill="auto"/>
                </w:tcPr>
                <w:p w:rsidR="00C60C3A" w:rsidRPr="00796446" w:rsidRDefault="00C60C3A" w:rsidP="00C60C3A">
                  <w:pPr>
                    <w:jc w:val="right"/>
                    <w:rPr>
                      <w:szCs w:val="22"/>
                    </w:rPr>
                  </w:pPr>
                </w:p>
              </w:tc>
            </w:tr>
            <w:tr w:rsidR="00C60C3A" w:rsidRPr="00796446" w:rsidTr="00CC5E0B">
              <w:trPr>
                <w:trHeight w:val="20"/>
              </w:trPr>
              <w:tc>
                <w:tcPr>
                  <w:tcW w:w="1284" w:type="pct"/>
                  <w:shd w:val="clear" w:color="auto" w:fill="auto"/>
                </w:tcPr>
                <w:p w:rsidR="00C60C3A" w:rsidRPr="00796446" w:rsidRDefault="00C60C3A" w:rsidP="00C60C3A">
                  <w:pPr>
                    <w:rPr>
                      <w:b/>
                      <w:szCs w:val="22"/>
                    </w:rPr>
                  </w:pPr>
                  <w:r w:rsidRPr="00796446">
                    <w:rPr>
                      <w:b/>
                      <w:szCs w:val="22"/>
                    </w:rPr>
                    <w:t xml:space="preserve">Амортизация </w:t>
                  </w:r>
                </w:p>
              </w:tc>
              <w:tc>
                <w:tcPr>
                  <w:tcW w:w="529" w:type="pct"/>
                  <w:shd w:val="clear" w:color="auto" w:fill="auto"/>
                </w:tcPr>
                <w:p w:rsidR="00C60C3A" w:rsidRPr="00796446" w:rsidRDefault="00C60C3A" w:rsidP="00C60C3A">
                  <w:pPr>
                    <w:jc w:val="right"/>
                    <w:rPr>
                      <w:b/>
                      <w:szCs w:val="22"/>
                    </w:rPr>
                  </w:pPr>
                </w:p>
              </w:tc>
              <w:tc>
                <w:tcPr>
                  <w:tcW w:w="756" w:type="pct"/>
                  <w:shd w:val="clear" w:color="auto" w:fill="auto"/>
                </w:tcPr>
                <w:p w:rsidR="00C60C3A" w:rsidRPr="00796446" w:rsidRDefault="00C60C3A" w:rsidP="00C60C3A">
                  <w:pPr>
                    <w:jc w:val="right"/>
                    <w:rPr>
                      <w:b/>
                      <w:szCs w:val="22"/>
                    </w:rPr>
                  </w:pPr>
                </w:p>
              </w:tc>
              <w:tc>
                <w:tcPr>
                  <w:tcW w:w="680" w:type="pct"/>
                  <w:shd w:val="clear" w:color="auto" w:fill="auto"/>
                </w:tcPr>
                <w:p w:rsidR="00C60C3A" w:rsidRPr="00796446" w:rsidRDefault="00C60C3A" w:rsidP="00C60C3A">
                  <w:pPr>
                    <w:jc w:val="right"/>
                    <w:rPr>
                      <w:b/>
                      <w:szCs w:val="22"/>
                    </w:rPr>
                  </w:pPr>
                </w:p>
              </w:tc>
              <w:tc>
                <w:tcPr>
                  <w:tcW w:w="604" w:type="pct"/>
                  <w:shd w:val="clear" w:color="auto" w:fill="auto"/>
                </w:tcPr>
                <w:p w:rsidR="00C60C3A" w:rsidRPr="00796446" w:rsidRDefault="00C60C3A" w:rsidP="00C60C3A">
                  <w:pPr>
                    <w:jc w:val="right"/>
                    <w:rPr>
                      <w:b/>
                      <w:szCs w:val="22"/>
                    </w:rPr>
                  </w:pPr>
                </w:p>
              </w:tc>
              <w:tc>
                <w:tcPr>
                  <w:tcW w:w="642" w:type="pct"/>
                  <w:shd w:val="clear" w:color="auto" w:fill="auto"/>
                </w:tcPr>
                <w:p w:rsidR="00C60C3A" w:rsidRPr="00796446" w:rsidRDefault="00C60C3A" w:rsidP="00C60C3A">
                  <w:pPr>
                    <w:jc w:val="right"/>
                    <w:rPr>
                      <w:b/>
                      <w:szCs w:val="22"/>
                    </w:rPr>
                  </w:pPr>
                </w:p>
              </w:tc>
              <w:tc>
                <w:tcPr>
                  <w:tcW w:w="504" w:type="pct"/>
                  <w:shd w:val="clear" w:color="auto" w:fill="auto"/>
                </w:tcPr>
                <w:p w:rsidR="00C60C3A" w:rsidRPr="00796446" w:rsidRDefault="00C60C3A" w:rsidP="00C60C3A">
                  <w:pPr>
                    <w:jc w:val="right"/>
                    <w:rPr>
                      <w:b/>
                      <w:szCs w:val="22"/>
                    </w:rPr>
                  </w:pP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Салдо към 1 януари 2018 г.</w:t>
                  </w:r>
                </w:p>
              </w:tc>
              <w:tc>
                <w:tcPr>
                  <w:tcW w:w="529" w:type="pct"/>
                  <w:shd w:val="clear" w:color="auto" w:fill="auto"/>
                </w:tcPr>
                <w:p w:rsidR="00C60C3A" w:rsidRPr="00796446" w:rsidRDefault="00C60C3A" w:rsidP="00C60C3A">
                  <w:pPr>
                    <w:jc w:val="right"/>
                    <w:rPr>
                      <w:szCs w:val="22"/>
                    </w:rPr>
                  </w:pPr>
                  <w:r w:rsidRPr="00796446">
                    <w:rPr>
                      <w:szCs w:val="22"/>
                    </w:rPr>
                    <w:t>(2,122)</w:t>
                  </w:r>
                </w:p>
              </w:tc>
              <w:tc>
                <w:tcPr>
                  <w:tcW w:w="756" w:type="pct"/>
                  <w:shd w:val="clear" w:color="auto" w:fill="auto"/>
                </w:tcPr>
                <w:p w:rsidR="00C60C3A" w:rsidRPr="00796446" w:rsidRDefault="00C60C3A" w:rsidP="00C60C3A">
                  <w:pPr>
                    <w:jc w:val="right"/>
                    <w:rPr>
                      <w:szCs w:val="22"/>
                    </w:rPr>
                  </w:pPr>
                  <w:r w:rsidRPr="00796446">
                    <w:rPr>
                      <w:szCs w:val="22"/>
                    </w:rPr>
                    <w:t>(1,778)</w:t>
                  </w:r>
                </w:p>
              </w:tc>
              <w:tc>
                <w:tcPr>
                  <w:tcW w:w="680" w:type="pct"/>
                  <w:shd w:val="clear" w:color="auto" w:fill="auto"/>
                </w:tcPr>
                <w:p w:rsidR="00C60C3A" w:rsidRPr="00796446" w:rsidRDefault="00C60C3A" w:rsidP="00C60C3A">
                  <w:pPr>
                    <w:jc w:val="right"/>
                    <w:rPr>
                      <w:szCs w:val="22"/>
                    </w:rPr>
                  </w:pPr>
                  <w:r w:rsidRPr="00796446">
                    <w:rPr>
                      <w:szCs w:val="22"/>
                    </w:rPr>
                    <w:t>-</w:t>
                  </w:r>
                </w:p>
              </w:tc>
              <w:tc>
                <w:tcPr>
                  <w:tcW w:w="604" w:type="pct"/>
                  <w:shd w:val="clear" w:color="auto" w:fill="auto"/>
                </w:tcPr>
                <w:p w:rsidR="00C60C3A" w:rsidRPr="00796446" w:rsidRDefault="00C60C3A" w:rsidP="00C60C3A">
                  <w:pPr>
                    <w:jc w:val="right"/>
                    <w:rPr>
                      <w:szCs w:val="22"/>
                    </w:rPr>
                  </w:pPr>
                  <w:r w:rsidRPr="00796446">
                    <w:rPr>
                      <w:szCs w:val="22"/>
                    </w:rPr>
                    <w:t>(14)</w:t>
                  </w:r>
                </w:p>
              </w:tc>
              <w:tc>
                <w:tcPr>
                  <w:tcW w:w="642" w:type="pct"/>
                  <w:shd w:val="clear" w:color="auto" w:fill="auto"/>
                </w:tcPr>
                <w:p w:rsidR="00C60C3A" w:rsidRPr="00796446" w:rsidRDefault="00C60C3A" w:rsidP="00C60C3A">
                  <w:pPr>
                    <w:jc w:val="right"/>
                    <w:rPr>
                      <w:szCs w:val="22"/>
                    </w:rPr>
                  </w:pPr>
                  <w:r w:rsidRPr="00796446">
                    <w:rPr>
                      <w:szCs w:val="22"/>
                    </w:rPr>
                    <w:t>-</w:t>
                  </w:r>
                </w:p>
              </w:tc>
              <w:tc>
                <w:tcPr>
                  <w:tcW w:w="504" w:type="pct"/>
                  <w:shd w:val="clear" w:color="auto" w:fill="auto"/>
                </w:tcPr>
                <w:p w:rsidR="00C60C3A" w:rsidRPr="00796446" w:rsidRDefault="00C60C3A" w:rsidP="00C60C3A">
                  <w:pPr>
                    <w:jc w:val="right"/>
                    <w:rPr>
                      <w:szCs w:val="22"/>
                    </w:rPr>
                  </w:pPr>
                  <w:r w:rsidRPr="00796446">
                    <w:rPr>
                      <w:szCs w:val="22"/>
                    </w:rPr>
                    <w:t>(3,914)</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Амортизация за периода</w:t>
                  </w:r>
                </w:p>
              </w:tc>
              <w:tc>
                <w:tcPr>
                  <w:tcW w:w="529" w:type="pct"/>
                  <w:shd w:val="clear" w:color="auto" w:fill="auto"/>
                </w:tcPr>
                <w:p w:rsidR="00C60C3A" w:rsidRPr="00796446" w:rsidRDefault="00C60C3A" w:rsidP="00C60C3A">
                  <w:pPr>
                    <w:jc w:val="right"/>
                    <w:rPr>
                      <w:szCs w:val="22"/>
                    </w:rPr>
                  </w:pPr>
                  <w:r w:rsidRPr="00796446">
                    <w:rPr>
                      <w:szCs w:val="22"/>
                    </w:rPr>
                    <w:t>(493)</w:t>
                  </w:r>
                </w:p>
              </w:tc>
              <w:tc>
                <w:tcPr>
                  <w:tcW w:w="756" w:type="pct"/>
                  <w:shd w:val="clear" w:color="auto" w:fill="auto"/>
                </w:tcPr>
                <w:p w:rsidR="00C60C3A" w:rsidRPr="00796446" w:rsidRDefault="00C60C3A" w:rsidP="00C60C3A">
                  <w:pPr>
                    <w:jc w:val="right"/>
                    <w:rPr>
                      <w:szCs w:val="22"/>
                    </w:rPr>
                  </w:pPr>
                  <w:r w:rsidRPr="00796446">
                    <w:rPr>
                      <w:szCs w:val="22"/>
                    </w:rPr>
                    <w:t>(425)</w:t>
                  </w:r>
                </w:p>
              </w:tc>
              <w:tc>
                <w:tcPr>
                  <w:tcW w:w="680" w:type="pct"/>
                  <w:shd w:val="clear" w:color="auto" w:fill="auto"/>
                </w:tcPr>
                <w:p w:rsidR="00C60C3A" w:rsidRPr="00796446" w:rsidRDefault="00C60C3A" w:rsidP="00C60C3A">
                  <w:pPr>
                    <w:jc w:val="right"/>
                    <w:rPr>
                      <w:szCs w:val="22"/>
                    </w:rPr>
                  </w:pPr>
                  <w:r w:rsidRPr="00796446">
                    <w:rPr>
                      <w:szCs w:val="22"/>
                    </w:rPr>
                    <w:t>(2)</w:t>
                  </w:r>
                </w:p>
              </w:tc>
              <w:tc>
                <w:tcPr>
                  <w:tcW w:w="604" w:type="pct"/>
                  <w:shd w:val="clear" w:color="auto" w:fill="auto"/>
                </w:tcPr>
                <w:p w:rsidR="00C60C3A" w:rsidRPr="00796446" w:rsidRDefault="00C60C3A" w:rsidP="00C60C3A">
                  <w:pPr>
                    <w:jc w:val="right"/>
                    <w:rPr>
                      <w:szCs w:val="22"/>
                    </w:rPr>
                  </w:pPr>
                  <w:r w:rsidRPr="00796446">
                    <w:rPr>
                      <w:szCs w:val="22"/>
                    </w:rPr>
                    <w:t>(7)</w:t>
                  </w:r>
                </w:p>
              </w:tc>
              <w:tc>
                <w:tcPr>
                  <w:tcW w:w="642" w:type="pct"/>
                  <w:shd w:val="clear" w:color="auto" w:fill="auto"/>
                </w:tcPr>
                <w:p w:rsidR="00C60C3A" w:rsidRPr="00796446" w:rsidRDefault="00C60C3A" w:rsidP="00C60C3A">
                  <w:pPr>
                    <w:jc w:val="right"/>
                    <w:rPr>
                      <w:szCs w:val="22"/>
                    </w:rPr>
                  </w:pPr>
                  <w:r w:rsidRPr="00796446">
                    <w:rPr>
                      <w:szCs w:val="22"/>
                    </w:rPr>
                    <w:t>-</w:t>
                  </w:r>
                </w:p>
              </w:tc>
              <w:tc>
                <w:tcPr>
                  <w:tcW w:w="504" w:type="pct"/>
                  <w:shd w:val="clear" w:color="auto" w:fill="auto"/>
                </w:tcPr>
                <w:p w:rsidR="00C60C3A" w:rsidRPr="00796446" w:rsidRDefault="00C60C3A" w:rsidP="00C60C3A">
                  <w:pPr>
                    <w:jc w:val="right"/>
                    <w:rPr>
                      <w:szCs w:val="22"/>
                    </w:rPr>
                  </w:pPr>
                  <w:r w:rsidRPr="00796446">
                    <w:rPr>
                      <w:szCs w:val="22"/>
                    </w:rPr>
                    <w:t>(927)</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Отписана</w:t>
                  </w:r>
                </w:p>
              </w:tc>
              <w:tc>
                <w:tcPr>
                  <w:tcW w:w="529" w:type="pct"/>
                  <w:shd w:val="clear" w:color="auto" w:fill="auto"/>
                </w:tcPr>
                <w:p w:rsidR="00C60C3A" w:rsidRPr="00796446" w:rsidRDefault="00C60C3A" w:rsidP="00C60C3A">
                  <w:pPr>
                    <w:jc w:val="right"/>
                    <w:rPr>
                      <w:szCs w:val="22"/>
                    </w:rPr>
                  </w:pPr>
                  <w:r w:rsidRPr="00796446">
                    <w:rPr>
                      <w:szCs w:val="22"/>
                    </w:rPr>
                    <w:t>-</w:t>
                  </w:r>
                </w:p>
              </w:tc>
              <w:tc>
                <w:tcPr>
                  <w:tcW w:w="756" w:type="pct"/>
                  <w:shd w:val="clear" w:color="auto" w:fill="auto"/>
                </w:tcPr>
                <w:p w:rsidR="00C60C3A" w:rsidRPr="00796446" w:rsidRDefault="00C60C3A" w:rsidP="00C60C3A">
                  <w:pPr>
                    <w:jc w:val="right"/>
                    <w:rPr>
                      <w:szCs w:val="22"/>
                    </w:rPr>
                  </w:pPr>
                  <w:r w:rsidRPr="00796446">
                    <w:rPr>
                      <w:szCs w:val="22"/>
                    </w:rPr>
                    <w:t>4</w:t>
                  </w:r>
                </w:p>
              </w:tc>
              <w:tc>
                <w:tcPr>
                  <w:tcW w:w="680" w:type="pct"/>
                  <w:shd w:val="clear" w:color="auto" w:fill="auto"/>
                </w:tcPr>
                <w:p w:rsidR="00C60C3A" w:rsidRPr="00796446" w:rsidRDefault="00C60C3A" w:rsidP="00C60C3A">
                  <w:pPr>
                    <w:jc w:val="right"/>
                    <w:rPr>
                      <w:szCs w:val="22"/>
                    </w:rPr>
                  </w:pPr>
                  <w:r w:rsidRPr="00796446">
                    <w:rPr>
                      <w:szCs w:val="22"/>
                    </w:rPr>
                    <w:t>-</w:t>
                  </w:r>
                </w:p>
              </w:tc>
              <w:tc>
                <w:tcPr>
                  <w:tcW w:w="604" w:type="pct"/>
                  <w:shd w:val="clear" w:color="auto" w:fill="auto"/>
                </w:tcPr>
                <w:p w:rsidR="00C60C3A" w:rsidRPr="00796446" w:rsidRDefault="00C60C3A" w:rsidP="00C60C3A">
                  <w:pPr>
                    <w:jc w:val="right"/>
                    <w:rPr>
                      <w:szCs w:val="22"/>
                    </w:rPr>
                  </w:pPr>
                  <w:r w:rsidRPr="00796446">
                    <w:rPr>
                      <w:szCs w:val="22"/>
                    </w:rPr>
                    <w:t>-</w:t>
                  </w:r>
                </w:p>
              </w:tc>
              <w:tc>
                <w:tcPr>
                  <w:tcW w:w="642" w:type="pct"/>
                  <w:shd w:val="clear" w:color="auto" w:fill="auto"/>
                </w:tcPr>
                <w:p w:rsidR="00C60C3A" w:rsidRPr="00796446" w:rsidRDefault="00C60C3A" w:rsidP="00C60C3A">
                  <w:pPr>
                    <w:jc w:val="right"/>
                    <w:rPr>
                      <w:szCs w:val="22"/>
                    </w:rPr>
                  </w:pPr>
                  <w:r w:rsidRPr="00796446">
                    <w:rPr>
                      <w:szCs w:val="22"/>
                    </w:rPr>
                    <w:t>-</w:t>
                  </w:r>
                </w:p>
              </w:tc>
              <w:tc>
                <w:tcPr>
                  <w:tcW w:w="504" w:type="pct"/>
                  <w:shd w:val="clear" w:color="auto" w:fill="auto"/>
                </w:tcPr>
                <w:p w:rsidR="00C60C3A" w:rsidRPr="00796446" w:rsidRDefault="00C60C3A" w:rsidP="00C60C3A">
                  <w:pPr>
                    <w:jc w:val="right"/>
                    <w:rPr>
                      <w:szCs w:val="22"/>
                    </w:rPr>
                  </w:pPr>
                  <w:r w:rsidRPr="00796446">
                    <w:rPr>
                      <w:szCs w:val="22"/>
                    </w:rPr>
                    <w:t>4</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szCs w:val="22"/>
                    </w:rPr>
                    <w:t>Преоценка за сметка на натрупана амортизация</w:t>
                  </w:r>
                </w:p>
              </w:tc>
              <w:tc>
                <w:tcPr>
                  <w:tcW w:w="529"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2,003</w:t>
                  </w:r>
                </w:p>
              </w:tc>
              <w:tc>
                <w:tcPr>
                  <w:tcW w:w="756"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2,013</w:t>
                  </w:r>
                </w:p>
              </w:tc>
              <w:tc>
                <w:tcPr>
                  <w:tcW w:w="680"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w:t>
                  </w:r>
                </w:p>
              </w:tc>
              <w:tc>
                <w:tcPr>
                  <w:tcW w:w="604"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w:t>
                  </w:r>
                </w:p>
              </w:tc>
              <w:tc>
                <w:tcPr>
                  <w:tcW w:w="642"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w:t>
                  </w:r>
                </w:p>
              </w:tc>
              <w:tc>
                <w:tcPr>
                  <w:tcW w:w="504" w:type="pct"/>
                  <w:tcBorders>
                    <w:bottom w:val="single" w:sz="4" w:space="0" w:color="auto"/>
                  </w:tcBorders>
                  <w:shd w:val="clear" w:color="auto" w:fill="auto"/>
                </w:tcPr>
                <w:p w:rsidR="006901A3" w:rsidRPr="00796446" w:rsidRDefault="006901A3" w:rsidP="00C60C3A">
                  <w:pPr>
                    <w:jc w:val="right"/>
                    <w:rPr>
                      <w:szCs w:val="22"/>
                    </w:rPr>
                  </w:pPr>
                </w:p>
                <w:p w:rsidR="00C60C3A" w:rsidRPr="00796446" w:rsidRDefault="00C60C3A" w:rsidP="00C60C3A">
                  <w:pPr>
                    <w:jc w:val="right"/>
                    <w:rPr>
                      <w:szCs w:val="22"/>
                    </w:rPr>
                  </w:pPr>
                  <w:r w:rsidRPr="00796446">
                    <w:rPr>
                      <w:szCs w:val="22"/>
                    </w:rPr>
                    <w:t>4,016</w:t>
                  </w:r>
                </w:p>
              </w:tc>
            </w:tr>
            <w:tr w:rsidR="00C60C3A" w:rsidRPr="00796446" w:rsidTr="00CC5E0B">
              <w:trPr>
                <w:trHeight w:val="20"/>
              </w:trPr>
              <w:tc>
                <w:tcPr>
                  <w:tcW w:w="1284" w:type="pct"/>
                  <w:shd w:val="clear" w:color="auto" w:fill="auto"/>
                </w:tcPr>
                <w:p w:rsidR="00C60C3A" w:rsidRPr="00796446" w:rsidRDefault="00C60C3A" w:rsidP="00C60C3A">
                  <w:pPr>
                    <w:rPr>
                      <w:b/>
                      <w:szCs w:val="22"/>
                    </w:rPr>
                  </w:pPr>
                  <w:r w:rsidRPr="00796446">
                    <w:rPr>
                      <w:b/>
                      <w:szCs w:val="22"/>
                    </w:rPr>
                    <w:t>Салдо към 31 декември 2018 г.</w:t>
                  </w:r>
                </w:p>
              </w:tc>
              <w:tc>
                <w:tcPr>
                  <w:tcW w:w="529"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(612)</w:t>
                  </w:r>
                </w:p>
              </w:tc>
              <w:tc>
                <w:tcPr>
                  <w:tcW w:w="756"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(186)</w:t>
                  </w:r>
                </w:p>
              </w:tc>
              <w:tc>
                <w:tcPr>
                  <w:tcW w:w="680"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(2)</w:t>
                  </w:r>
                </w:p>
              </w:tc>
              <w:tc>
                <w:tcPr>
                  <w:tcW w:w="604"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(21)</w:t>
                  </w:r>
                </w:p>
              </w:tc>
              <w:tc>
                <w:tcPr>
                  <w:tcW w:w="642" w:type="pct"/>
                  <w:tcBorders>
                    <w:top w:val="single" w:sz="4" w:space="0" w:color="auto"/>
                    <w:bottom w:val="single" w:sz="4" w:space="0" w:color="auto"/>
                  </w:tcBorders>
                  <w:shd w:val="clear" w:color="auto" w:fill="auto"/>
                </w:tcPr>
                <w:p w:rsidR="00C60C3A" w:rsidRPr="00796446" w:rsidRDefault="00C60C3A" w:rsidP="00C60C3A">
                  <w:pPr>
                    <w:jc w:val="right"/>
                    <w:rPr>
                      <w:szCs w:val="22"/>
                    </w:rPr>
                  </w:pPr>
                </w:p>
                <w:p w:rsidR="00C60C3A" w:rsidRPr="00796446" w:rsidRDefault="00C60C3A" w:rsidP="00C60C3A">
                  <w:pPr>
                    <w:jc w:val="right"/>
                    <w:rPr>
                      <w:szCs w:val="22"/>
                    </w:rPr>
                  </w:pPr>
                  <w:r w:rsidRPr="00796446">
                    <w:rPr>
                      <w:szCs w:val="22"/>
                    </w:rPr>
                    <w:t>-</w:t>
                  </w:r>
                </w:p>
              </w:tc>
              <w:tc>
                <w:tcPr>
                  <w:tcW w:w="504" w:type="pct"/>
                  <w:tcBorders>
                    <w:top w:val="single" w:sz="4" w:space="0" w:color="auto"/>
                    <w:bottom w:val="sing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(821)</w:t>
                  </w:r>
                </w:p>
              </w:tc>
            </w:tr>
            <w:tr w:rsidR="00C60C3A" w:rsidRPr="00796446" w:rsidTr="00CC5E0B">
              <w:trPr>
                <w:trHeight w:val="20"/>
              </w:trPr>
              <w:tc>
                <w:tcPr>
                  <w:tcW w:w="1284" w:type="pct"/>
                  <w:shd w:val="clear" w:color="auto" w:fill="auto"/>
                </w:tcPr>
                <w:p w:rsidR="00C60C3A" w:rsidRPr="00796446" w:rsidRDefault="00C60C3A" w:rsidP="00C60C3A">
                  <w:pPr>
                    <w:rPr>
                      <w:szCs w:val="22"/>
                    </w:rPr>
                  </w:pPr>
                  <w:r w:rsidRPr="00796446">
                    <w:rPr>
                      <w:b/>
                      <w:szCs w:val="22"/>
                    </w:rPr>
                    <w:t>Балансова стойност към 31 декември 2018 г.</w:t>
                  </w:r>
                </w:p>
              </w:tc>
              <w:tc>
                <w:tcPr>
                  <w:tcW w:w="529" w:type="pct"/>
                  <w:tcBorders>
                    <w:top w:val="single" w:sz="4" w:space="0" w:color="auto"/>
                    <w:bottom w:val="doub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10,323</w:t>
                  </w:r>
                </w:p>
              </w:tc>
              <w:tc>
                <w:tcPr>
                  <w:tcW w:w="756" w:type="pct"/>
                  <w:tcBorders>
                    <w:top w:val="single" w:sz="4" w:space="0" w:color="auto"/>
                    <w:bottom w:val="doub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 xml:space="preserve"> 8,236</w:t>
                  </w:r>
                </w:p>
              </w:tc>
              <w:tc>
                <w:tcPr>
                  <w:tcW w:w="680" w:type="pct"/>
                  <w:tcBorders>
                    <w:top w:val="single" w:sz="4" w:space="0" w:color="auto"/>
                    <w:bottom w:val="doub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32</w:t>
                  </w:r>
                </w:p>
              </w:tc>
              <w:tc>
                <w:tcPr>
                  <w:tcW w:w="604" w:type="pct"/>
                  <w:tcBorders>
                    <w:top w:val="single" w:sz="4" w:space="0" w:color="auto"/>
                    <w:bottom w:val="doub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6</w:t>
                  </w:r>
                </w:p>
              </w:tc>
              <w:tc>
                <w:tcPr>
                  <w:tcW w:w="642" w:type="pct"/>
                  <w:tcBorders>
                    <w:top w:val="single" w:sz="4" w:space="0" w:color="auto"/>
                    <w:bottom w:val="doub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17</w:t>
                  </w:r>
                </w:p>
              </w:tc>
              <w:tc>
                <w:tcPr>
                  <w:tcW w:w="504" w:type="pct"/>
                  <w:tcBorders>
                    <w:top w:val="single" w:sz="4" w:space="0" w:color="auto"/>
                    <w:bottom w:val="double" w:sz="4" w:space="0" w:color="auto"/>
                  </w:tcBorders>
                  <w:shd w:val="clear" w:color="auto" w:fill="auto"/>
                </w:tcPr>
                <w:p w:rsidR="00C60C3A" w:rsidRPr="00796446" w:rsidRDefault="00C60C3A" w:rsidP="00C60C3A">
                  <w:pPr>
                    <w:jc w:val="right"/>
                    <w:rPr>
                      <w:b/>
                      <w:szCs w:val="22"/>
                    </w:rPr>
                  </w:pPr>
                </w:p>
                <w:p w:rsidR="00C60C3A" w:rsidRPr="00796446" w:rsidRDefault="00C60C3A" w:rsidP="00C60C3A">
                  <w:pPr>
                    <w:jc w:val="right"/>
                    <w:rPr>
                      <w:b/>
                      <w:szCs w:val="22"/>
                    </w:rPr>
                  </w:pPr>
                  <w:r w:rsidRPr="00796446">
                    <w:rPr>
                      <w:b/>
                      <w:szCs w:val="22"/>
                    </w:rPr>
                    <w:t>18,614</w:t>
                  </w:r>
                </w:p>
              </w:tc>
            </w:tr>
          </w:tbl>
          <w:p w:rsidR="009A2DDA" w:rsidRPr="00796446" w:rsidRDefault="009A2DDA" w:rsidP="003C00A7">
            <w:pPr>
              <w:rPr>
                <w:b/>
                <w:szCs w:val="22"/>
              </w:rPr>
            </w:pPr>
          </w:p>
        </w:tc>
        <w:tc>
          <w:tcPr>
            <w:tcW w:w="98" w:type="pct"/>
          </w:tcPr>
          <w:p w:rsidR="009A2DDA" w:rsidRPr="00796446" w:rsidRDefault="009A2DDA" w:rsidP="00EE2830">
            <w:pPr>
              <w:jc w:val="right"/>
              <w:rPr>
                <w:b/>
                <w:szCs w:val="22"/>
              </w:rPr>
            </w:pPr>
          </w:p>
        </w:tc>
        <w:tc>
          <w:tcPr>
            <w:tcW w:w="98" w:type="pct"/>
          </w:tcPr>
          <w:p w:rsidR="009A2DDA" w:rsidRPr="00796446" w:rsidRDefault="009A2DDA" w:rsidP="00EE2830">
            <w:pPr>
              <w:jc w:val="right"/>
              <w:rPr>
                <w:b/>
                <w:szCs w:val="22"/>
              </w:rPr>
            </w:pPr>
          </w:p>
        </w:tc>
        <w:tc>
          <w:tcPr>
            <w:tcW w:w="98" w:type="pct"/>
          </w:tcPr>
          <w:p w:rsidR="007210AB" w:rsidRPr="00796446" w:rsidRDefault="007210AB" w:rsidP="00EE2830">
            <w:pPr>
              <w:jc w:val="right"/>
              <w:rPr>
                <w:b/>
                <w:szCs w:val="22"/>
              </w:rPr>
            </w:pPr>
          </w:p>
        </w:tc>
        <w:tc>
          <w:tcPr>
            <w:tcW w:w="98" w:type="pct"/>
          </w:tcPr>
          <w:p w:rsidR="009A2DDA" w:rsidRPr="00796446" w:rsidRDefault="009A2DDA" w:rsidP="00EE2830">
            <w:pPr>
              <w:jc w:val="right"/>
              <w:rPr>
                <w:b/>
                <w:szCs w:val="22"/>
              </w:rPr>
            </w:pPr>
          </w:p>
        </w:tc>
        <w:tc>
          <w:tcPr>
            <w:tcW w:w="98" w:type="pct"/>
          </w:tcPr>
          <w:p w:rsidR="009A2DDA" w:rsidRPr="00796446" w:rsidRDefault="009A2DDA" w:rsidP="00EE2830">
            <w:pPr>
              <w:jc w:val="right"/>
              <w:rPr>
                <w:b/>
                <w:szCs w:val="22"/>
              </w:rPr>
            </w:pPr>
          </w:p>
        </w:tc>
        <w:tc>
          <w:tcPr>
            <w:tcW w:w="98" w:type="pct"/>
          </w:tcPr>
          <w:p w:rsidR="009A2DDA" w:rsidRPr="00796446" w:rsidRDefault="009A2DDA" w:rsidP="00EE2830">
            <w:pPr>
              <w:jc w:val="right"/>
              <w:rPr>
                <w:b/>
                <w:szCs w:val="22"/>
              </w:rPr>
            </w:pPr>
          </w:p>
        </w:tc>
      </w:tr>
      <w:tr w:rsidR="00D02870" w:rsidRPr="00796446" w:rsidTr="007426DA">
        <w:trPr>
          <w:trHeight w:val="163"/>
        </w:trPr>
        <w:tc>
          <w:tcPr>
            <w:tcW w:w="4413" w:type="pct"/>
          </w:tcPr>
          <w:p w:rsidR="009A2DDA" w:rsidRPr="00796446" w:rsidRDefault="009A2DDA" w:rsidP="003C00A7">
            <w:pPr>
              <w:rPr>
                <w:szCs w:val="22"/>
              </w:rPr>
            </w:pPr>
          </w:p>
        </w:tc>
        <w:tc>
          <w:tcPr>
            <w:tcW w:w="98" w:type="pct"/>
          </w:tcPr>
          <w:p w:rsidR="009A2DDA" w:rsidRPr="00796446" w:rsidRDefault="009A2DDA" w:rsidP="00EE2830">
            <w:pPr>
              <w:autoSpaceDE w:val="0"/>
              <w:autoSpaceDN w:val="0"/>
              <w:adjustRightInd w:val="0"/>
              <w:jc w:val="right"/>
              <w:rPr>
                <w:b/>
                <w:bCs/>
                <w:szCs w:val="22"/>
              </w:rPr>
            </w:pPr>
          </w:p>
        </w:tc>
        <w:tc>
          <w:tcPr>
            <w:tcW w:w="98" w:type="pct"/>
          </w:tcPr>
          <w:p w:rsidR="009A2DDA" w:rsidRPr="00796446" w:rsidRDefault="009A2DDA" w:rsidP="00EE2830">
            <w:pPr>
              <w:autoSpaceDE w:val="0"/>
              <w:autoSpaceDN w:val="0"/>
              <w:adjustRightInd w:val="0"/>
              <w:jc w:val="right"/>
              <w:rPr>
                <w:b/>
                <w:bCs/>
                <w:szCs w:val="22"/>
              </w:rPr>
            </w:pPr>
          </w:p>
        </w:tc>
        <w:tc>
          <w:tcPr>
            <w:tcW w:w="98" w:type="pct"/>
          </w:tcPr>
          <w:p w:rsidR="009A2DDA" w:rsidRPr="00796446" w:rsidRDefault="009A2DDA" w:rsidP="00EE2830">
            <w:pPr>
              <w:autoSpaceDE w:val="0"/>
              <w:autoSpaceDN w:val="0"/>
              <w:adjustRightInd w:val="0"/>
              <w:jc w:val="right"/>
              <w:rPr>
                <w:b/>
                <w:bCs/>
                <w:szCs w:val="22"/>
              </w:rPr>
            </w:pPr>
          </w:p>
        </w:tc>
        <w:tc>
          <w:tcPr>
            <w:tcW w:w="98" w:type="pct"/>
          </w:tcPr>
          <w:p w:rsidR="009A2DDA" w:rsidRPr="00796446" w:rsidRDefault="009A2DDA" w:rsidP="00EE2830">
            <w:pPr>
              <w:autoSpaceDE w:val="0"/>
              <w:autoSpaceDN w:val="0"/>
              <w:adjustRightInd w:val="0"/>
              <w:jc w:val="right"/>
              <w:rPr>
                <w:b/>
                <w:bCs/>
                <w:szCs w:val="22"/>
              </w:rPr>
            </w:pPr>
          </w:p>
        </w:tc>
        <w:tc>
          <w:tcPr>
            <w:tcW w:w="98" w:type="pct"/>
          </w:tcPr>
          <w:p w:rsidR="009A2DDA" w:rsidRPr="00796446" w:rsidRDefault="009A2DDA" w:rsidP="00EE2830">
            <w:pPr>
              <w:autoSpaceDE w:val="0"/>
              <w:autoSpaceDN w:val="0"/>
              <w:adjustRightInd w:val="0"/>
              <w:jc w:val="right"/>
              <w:rPr>
                <w:b/>
                <w:bCs/>
                <w:szCs w:val="22"/>
              </w:rPr>
            </w:pPr>
          </w:p>
        </w:tc>
        <w:tc>
          <w:tcPr>
            <w:tcW w:w="98" w:type="pct"/>
          </w:tcPr>
          <w:p w:rsidR="009A2DDA" w:rsidRPr="00796446" w:rsidRDefault="009A2DDA" w:rsidP="00EE2830">
            <w:pPr>
              <w:autoSpaceDE w:val="0"/>
              <w:autoSpaceDN w:val="0"/>
              <w:adjustRightInd w:val="0"/>
              <w:jc w:val="right"/>
              <w:rPr>
                <w:b/>
                <w:bCs/>
                <w:szCs w:val="22"/>
              </w:rPr>
            </w:pPr>
          </w:p>
        </w:tc>
      </w:tr>
      <w:tr w:rsidR="00D02870" w:rsidRPr="00796446" w:rsidTr="007426DA">
        <w:trPr>
          <w:trHeight w:val="163"/>
        </w:trPr>
        <w:tc>
          <w:tcPr>
            <w:tcW w:w="4413" w:type="pct"/>
          </w:tcPr>
          <w:p w:rsidR="0067008C" w:rsidRPr="00CC5E0B" w:rsidRDefault="00DB6476" w:rsidP="000632BA">
            <w:pPr>
              <w:spacing w:after="120"/>
              <w:ind w:left="737" w:right="567"/>
              <w:jc w:val="both"/>
              <w:rPr>
                <w:szCs w:val="22"/>
              </w:rPr>
            </w:pPr>
            <w:r w:rsidRPr="00CC5E0B">
              <w:rPr>
                <w:szCs w:val="22"/>
              </w:rPr>
              <w:t>Всички разходи за амортизация са включени в междинния съкратен отчет за печалбата или загубата на ред „</w:t>
            </w:r>
            <w:r w:rsidR="0051101C" w:rsidRPr="00CC5E0B">
              <w:rPr>
                <w:szCs w:val="22"/>
              </w:rPr>
              <w:t>Амортизация и обезценка</w:t>
            </w:r>
            <w:r w:rsidRPr="00CC5E0B">
              <w:rPr>
                <w:szCs w:val="22"/>
              </w:rPr>
              <w:t xml:space="preserve"> на нефинансови активи“.</w:t>
            </w:r>
          </w:p>
          <w:p w:rsidR="00DB6476" w:rsidRDefault="00DB6476" w:rsidP="000632BA">
            <w:pPr>
              <w:spacing w:after="120"/>
              <w:ind w:left="737" w:right="567"/>
              <w:jc w:val="both"/>
              <w:rPr>
                <w:szCs w:val="22"/>
              </w:rPr>
            </w:pPr>
            <w:r w:rsidRPr="00CC5E0B">
              <w:rPr>
                <w:szCs w:val="22"/>
              </w:rPr>
              <w:t>Дружеството не е заложило имоти, машини и съоръжения като обезпечение по свои задължения.</w:t>
            </w:r>
          </w:p>
          <w:p w:rsidR="00D07606" w:rsidRPr="00CC5E0B" w:rsidRDefault="00D07606" w:rsidP="00D07606">
            <w:pPr>
              <w:spacing w:after="120"/>
              <w:ind w:left="737" w:right="567"/>
              <w:jc w:val="both"/>
              <w:rPr>
                <w:b/>
                <w:bCs/>
                <w:szCs w:val="22"/>
              </w:rPr>
            </w:pPr>
            <w:r w:rsidRPr="00CC5E0B">
              <w:rPr>
                <w:b/>
                <w:bCs/>
                <w:szCs w:val="22"/>
              </w:rPr>
              <w:t xml:space="preserve">Преглед за преоценка </w:t>
            </w:r>
          </w:p>
          <w:p w:rsidR="00D07606" w:rsidRDefault="00D07606" w:rsidP="00D07606">
            <w:pPr>
              <w:spacing w:after="120"/>
              <w:ind w:left="737" w:right="567"/>
              <w:jc w:val="both"/>
              <w:rPr>
                <w:szCs w:val="22"/>
              </w:rPr>
            </w:pPr>
            <w:r w:rsidRPr="00D07606">
              <w:rPr>
                <w:szCs w:val="22"/>
              </w:rPr>
              <w:t>Съгласно счетоводната политика на Дружеството имотите, машините и съоръженията се преоценяват на 3 години или на по-кратки срокове. Към 31 декември 2018 г. е извършена оценка на справедливата стойност съгласно изискванията на МСС 16 и МСФО 13. Преоценката е извършена на база на оценка на техните справедливи стойности от независим лицензиран оценител „Консорциум „ГТФРП“.</w:t>
            </w:r>
          </w:p>
          <w:p w:rsidR="00D6280B" w:rsidRDefault="00D6280B" w:rsidP="00D07606">
            <w:pPr>
              <w:spacing w:after="120"/>
              <w:ind w:left="737" w:right="567"/>
              <w:jc w:val="both"/>
              <w:rPr>
                <w:szCs w:val="22"/>
              </w:rPr>
            </w:pPr>
          </w:p>
          <w:p w:rsidR="00D6280B" w:rsidRDefault="00D6280B" w:rsidP="00D07606">
            <w:pPr>
              <w:spacing w:after="120"/>
              <w:ind w:left="737" w:right="567"/>
              <w:jc w:val="both"/>
              <w:rPr>
                <w:szCs w:val="22"/>
              </w:rPr>
            </w:pPr>
          </w:p>
          <w:p w:rsidR="00D6280B" w:rsidRDefault="00D6280B" w:rsidP="00D07606">
            <w:pPr>
              <w:spacing w:after="120"/>
              <w:ind w:left="737" w:right="567"/>
              <w:jc w:val="both"/>
              <w:rPr>
                <w:szCs w:val="22"/>
              </w:rPr>
            </w:pPr>
          </w:p>
          <w:p w:rsidR="00D6280B" w:rsidRDefault="00D6280B" w:rsidP="00D07606">
            <w:pPr>
              <w:spacing w:after="120"/>
              <w:ind w:left="737" w:right="567"/>
              <w:jc w:val="both"/>
              <w:rPr>
                <w:szCs w:val="22"/>
              </w:rPr>
            </w:pPr>
          </w:p>
          <w:p w:rsidR="00D6280B" w:rsidRDefault="00D6280B" w:rsidP="00D07606">
            <w:pPr>
              <w:spacing w:after="120"/>
              <w:ind w:left="737" w:right="567"/>
              <w:jc w:val="both"/>
              <w:rPr>
                <w:szCs w:val="22"/>
              </w:rPr>
            </w:pPr>
          </w:p>
          <w:p w:rsidR="00D6280B" w:rsidRPr="00CC5E0B" w:rsidRDefault="00D6280B" w:rsidP="00D07606">
            <w:pPr>
              <w:spacing w:after="120"/>
              <w:ind w:left="737" w:right="567"/>
              <w:jc w:val="both"/>
              <w:rPr>
                <w:szCs w:val="22"/>
              </w:rPr>
            </w:pPr>
          </w:p>
          <w:p w:rsidR="0067008C" w:rsidRPr="00796446" w:rsidRDefault="0067008C" w:rsidP="003C00A7">
            <w:pPr>
              <w:rPr>
                <w:szCs w:val="22"/>
              </w:rPr>
            </w:pPr>
          </w:p>
          <w:p w:rsidR="0067008C" w:rsidRPr="00CC5E0B" w:rsidRDefault="0067008C" w:rsidP="003C00A7">
            <w:pPr>
              <w:pStyle w:val="Heading1"/>
              <w:numPr>
                <w:ilvl w:val="0"/>
                <w:numId w:val="45"/>
              </w:numPr>
              <w:spacing w:before="0" w:line="259" w:lineRule="auto"/>
              <w:ind w:firstLine="390"/>
              <w:rPr>
                <w:color w:val="000000" w:themeColor="text1"/>
                <w:sz w:val="22"/>
                <w:szCs w:val="22"/>
              </w:rPr>
            </w:pPr>
            <w:bookmarkStart w:id="13" w:name="_Ref248329094"/>
            <w:bookmarkStart w:id="14" w:name="_Ref248968177"/>
            <w:bookmarkStart w:id="15" w:name="_Ref250321582"/>
            <w:bookmarkStart w:id="16" w:name="_Ref353982303"/>
            <w:r w:rsidRPr="00CC5E0B">
              <w:rPr>
                <w:color w:val="000000" w:themeColor="text1"/>
                <w:sz w:val="22"/>
                <w:szCs w:val="22"/>
              </w:rPr>
              <w:t xml:space="preserve">Търговски </w:t>
            </w:r>
            <w:bookmarkEnd w:id="13"/>
            <w:bookmarkEnd w:id="14"/>
            <w:bookmarkEnd w:id="15"/>
            <w:r w:rsidRPr="00CC5E0B">
              <w:rPr>
                <w:color w:val="000000" w:themeColor="text1"/>
                <w:sz w:val="22"/>
                <w:szCs w:val="22"/>
              </w:rPr>
              <w:t>и други вземания</w:t>
            </w:r>
            <w:bookmarkEnd w:id="16"/>
          </w:p>
          <w:tbl>
            <w:tblPr>
              <w:tblStyle w:val="TableGrid"/>
              <w:tblW w:w="4293" w:type="pct"/>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6059"/>
              <w:gridCol w:w="1569"/>
              <w:gridCol w:w="1547"/>
            </w:tblGrid>
            <w:tr w:rsidR="008F4103" w:rsidRPr="00796446" w:rsidTr="00CC5E0B">
              <w:trPr>
                <w:trHeight w:val="255"/>
              </w:trPr>
              <w:tc>
                <w:tcPr>
                  <w:tcW w:w="3302" w:type="pct"/>
                  <w:noWrap/>
                </w:tcPr>
                <w:p w:rsidR="008F4103" w:rsidRPr="00CC5E0B" w:rsidRDefault="008F4103" w:rsidP="0067008C">
                  <w:pPr>
                    <w:rPr>
                      <w:rFonts w:eastAsia="Arial Unicode MS"/>
                      <w:szCs w:val="22"/>
                    </w:rPr>
                  </w:pPr>
                </w:p>
              </w:tc>
              <w:tc>
                <w:tcPr>
                  <w:tcW w:w="855" w:type="pct"/>
                  <w:noWrap/>
                </w:tcPr>
                <w:p w:rsidR="00231888" w:rsidRDefault="008F4103">
                  <w:pPr>
                    <w:ind w:right="123"/>
                    <w:jc w:val="right"/>
                    <w:rPr>
                      <w:b/>
                      <w:szCs w:val="22"/>
                    </w:rPr>
                  </w:pPr>
                  <w:r w:rsidRPr="00CC5E0B">
                    <w:rPr>
                      <w:b/>
                      <w:szCs w:val="22"/>
                    </w:rPr>
                    <w:t>3</w:t>
                  </w:r>
                  <w:r w:rsidR="002120EA" w:rsidRPr="00CC5E0B">
                    <w:rPr>
                      <w:b/>
                      <w:szCs w:val="22"/>
                    </w:rPr>
                    <w:t>0</w:t>
                  </w:r>
                  <w:r w:rsidRPr="00CC5E0B">
                    <w:rPr>
                      <w:b/>
                      <w:szCs w:val="22"/>
                    </w:rPr>
                    <w:t xml:space="preserve"> </w:t>
                  </w:r>
                  <w:r w:rsidR="002120EA" w:rsidRPr="00CC5E0B">
                    <w:rPr>
                      <w:b/>
                      <w:szCs w:val="22"/>
                    </w:rPr>
                    <w:t>юни</w:t>
                  </w:r>
                  <w:r w:rsidR="005B4CE9">
                    <w:rPr>
                      <w:b/>
                      <w:szCs w:val="22"/>
                    </w:rPr>
                    <w:t xml:space="preserve"> </w:t>
                  </w:r>
                </w:p>
                <w:p w:rsidR="008F4103" w:rsidRPr="00CC5E0B" w:rsidRDefault="008F4103">
                  <w:pPr>
                    <w:ind w:right="123"/>
                    <w:jc w:val="right"/>
                    <w:rPr>
                      <w:b/>
                      <w:szCs w:val="22"/>
                    </w:rPr>
                  </w:pPr>
                  <w:r w:rsidRPr="00CC5E0B">
                    <w:rPr>
                      <w:b/>
                      <w:szCs w:val="22"/>
                    </w:rPr>
                    <w:t>2019</w:t>
                  </w:r>
                </w:p>
              </w:tc>
              <w:tc>
                <w:tcPr>
                  <w:tcW w:w="843" w:type="pct"/>
                  <w:noWrap/>
                </w:tcPr>
                <w:p w:rsidR="008F4103" w:rsidRPr="00CC5E0B" w:rsidRDefault="008F4103" w:rsidP="00231888">
                  <w:pPr>
                    <w:ind w:right="142"/>
                    <w:rPr>
                      <w:b/>
                      <w:szCs w:val="22"/>
                    </w:rPr>
                  </w:pPr>
                  <w:r w:rsidRPr="00CC5E0B">
                    <w:rPr>
                      <w:b/>
                      <w:szCs w:val="22"/>
                    </w:rPr>
                    <w:t>31декември</w:t>
                  </w:r>
                </w:p>
                <w:p w:rsidR="008F4103" w:rsidRPr="00CC5E0B" w:rsidRDefault="008F4103" w:rsidP="0067008C">
                  <w:pPr>
                    <w:ind w:right="142"/>
                    <w:jc w:val="right"/>
                    <w:rPr>
                      <w:b/>
                      <w:szCs w:val="22"/>
                    </w:rPr>
                  </w:pPr>
                  <w:r w:rsidRPr="00CC5E0B">
                    <w:rPr>
                      <w:b/>
                      <w:szCs w:val="22"/>
                    </w:rPr>
                    <w:t>2018</w:t>
                  </w:r>
                </w:p>
              </w:tc>
            </w:tr>
            <w:tr w:rsidR="008F4103" w:rsidRPr="00796446" w:rsidTr="00CC5E0B">
              <w:trPr>
                <w:trHeight w:hRule="exact" w:val="284"/>
              </w:trPr>
              <w:tc>
                <w:tcPr>
                  <w:tcW w:w="3302" w:type="pct"/>
                  <w:noWrap/>
                </w:tcPr>
                <w:p w:rsidR="008F4103" w:rsidRPr="00CC5E0B" w:rsidRDefault="008F4103" w:rsidP="0067008C">
                  <w:pPr>
                    <w:rPr>
                      <w:szCs w:val="22"/>
                    </w:rPr>
                  </w:pPr>
                </w:p>
              </w:tc>
              <w:tc>
                <w:tcPr>
                  <w:tcW w:w="855" w:type="pct"/>
                  <w:noWrap/>
                </w:tcPr>
                <w:p w:rsidR="008F4103" w:rsidRPr="00CC5E0B" w:rsidRDefault="008F4103" w:rsidP="0067008C">
                  <w:pPr>
                    <w:ind w:right="123"/>
                    <w:jc w:val="right"/>
                    <w:rPr>
                      <w:rFonts w:eastAsia="Arial Unicode MS"/>
                      <w:b/>
                      <w:szCs w:val="22"/>
                    </w:rPr>
                  </w:pPr>
                  <w:r w:rsidRPr="00CC5E0B">
                    <w:rPr>
                      <w:rFonts w:cs="Times New Roman"/>
                      <w:b/>
                      <w:bCs/>
                      <w:szCs w:val="22"/>
                      <w:lang w:eastAsia="bg-BG"/>
                    </w:rPr>
                    <w:t>‘000 лв.</w:t>
                  </w:r>
                </w:p>
              </w:tc>
              <w:tc>
                <w:tcPr>
                  <w:tcW w:w="843" w:type="pct"/>
                  <w:noWrap/>
                </w:tcPr>
                <w:p w:rsidR="008F4103" w:rsidRPr="00CC5E0B" w:rsidRDefault="008F4103" w:rsidP="0067008C">
                  <w:pPr>
                    <w:ind w:right="142"/>
                    <w:jc w:val="right"/>
                    <w:rPr>
                      <w:rFonts w:eastAsia="Arial Unicode MS"/>
                      <w:b/>
                      <w:szCs w:val="22"/>
                    </w:rPr>
                  </w:pPr>
                  <w:r w:rsidRPr="00CC5E0B">
                    <w:rPr>
                      <w:rFonts w:cs="Times New Roman"/>
                      <w:b/>
                      <w:bCs/>
                      <w:szCs w:val="22"/>
                      <w:lang w:eastAsia="bg-BG"/>
                    </w:rPr>
                    <w:t>‘000 лв.</w:t>
                  </w:r>
                </w:p>
              </w:tc>
            </w:tr>
            <w:tr w:rsidR="008F4103" w:rsidRPr="00796446" w:rsidTr="00CC5E0B">
              <w:trPr>
                <w:trHeight w:hRule="exact" w:val="284"/>
              </w:trPr>
              <w:tc>
                <w:tcPr>
                  <w:tcW w:w="3302" w:type="pct"/>
                  <w:noWrap/>
                </w:tcPr>
                <w:p w:rsidR="008F4103" w:rsidRPr="00CC5E0B" w:rsidRDefault="008F4103" w:rsidP="0067008C">
                  <w:pPr>
                    <w:rPr>
                      <w:szCs w:val="22"/>
                    </w:rPr>
                  </w:pPr>
                </w:p>
              </w:tc>
              <w:tc>
                <w:tcPr>
                  <w:tcW w:w="855" w:type="pct"/>
                  <w:noWrap/>
                </w:tcPr>
                <w:p w:rsidR="008F4103" w:rsidRPr="00CC5E0B" w:rsidRDefault="008F4103" w:rsidP="0067008C">
                  <w:pPr>
                    <w:ind w:right="141"/>
                    <w:jc w:val="right"/>
                    <w:rPr>
                      <w:rFonts w:eastAsia="Arial Unicode MS"/>
                      <w:szCs w:val="22"/>
                    </w:rPr>
                  </w:pPr>
                </w:p>
              </w:tc>
              <w:tc>
                <w:tcPr>
                  <w:tcW w:w="843" w:type="pct"/>
                  <w:noWrap/>
                </w:tcPr>
                <w:p w:rsidR="008F4103" w:rsidRPr="00CC5E0B" w:rsidRDefault="008F4103" w:rsidP="0067008C">
                  <w:pPr>
                    <w:ind w:right="141"/>
                    <w:jc w:val="right"/>
                    <w:rPr>
                      <w:rFonts w:eastAsia="Arial Unicode MS"/>
                      <w:szCs w:val="22"/>
                    </w:rPr>
                  </w:pPr>
                </w:p>
              </w:tc>
            </w:tr>
            <w:tr w:rsidR="008F4103" w:rsidRPr="00796446" w:rsidTr="00231888">
              <w:trPr>
                <w:trHeight w:val="23"/>
              </w:trPr>
              <w:tc>
                <w:tcPr>
                  <w:tcW w:w="3302" w:type="pct"/>
                  <w:noWrap/>
                </w:tcPr>
                <w:p w:rsidR="008F4103" w:rsidRPr="00CC5E0B" w:rsidRDefault="008F4103" w:rsidP="00231888">
                  <w:r w:rsidRPr="00CC5E0B">
                    <w:t>Търговски вземания</w:t>
                  </w:r>
                </w:p>
              </w:tc>
              <w:tc>
                <w:tcPr>
                  <w:tcW w:w="855" w:type="pct"/>
                  <w:noWrap/>
                </w:tcPr>
                <w:p w:rsidR="008F4103" w:rsidRPr="00CC5E0B" w:rsidRDefault="00397C9E" w:rsidP="0067008C">
                  <w:pPr>
                    <w:ind w:right="141"/>
                    <w:jc w:val="right"/>
                    <w:rPr>
                      <w:rFonts w:eastAsia="Arial Unicode MS"/>
                      <w:szCs w:val="22"/>
                    </w:rPr>
                  </w:pPr>
                  <w:r>
                    <w:rPr>
                      <w:rFonts w:eastAsia="Arial Unicode MS"/>
                      <w:szCs w:val="22"/>
                    </w:rPr>
                    <w:t>7</w:t>
                  </w:r>
                  <w:r w:rsidR="007308AF">
                    <w:rPr>
                      <w:rFonts w:eastAsia="Arial Unicode MS"/>
                      <w:szCs w:val="22"/>
                    </w:rPr>
                    <w:t>4</w:t>
                  </w:r>
                </w:p>
              </w:tc>
              <w:tc>
                <w:tcPr>
                  <w:tcW w:w="843" w:type="pct"/>
                  <w:noWrap/>
                </w:tcPr>
                <w:p w:rsidR="008F4103" w:rsidRPr="00CC5E0B" w:rsidRDefault="008F4103" w:rsidP="0067008C">
                  <w:pPr>
                    <w:ind w:right="141"/>
                    <w:jc w:val="right"/>
                    <w:rPr>
                      <w:rFonts w:eastAsia="Arial Unicode MS"/>
                      <w:szCs w:val="22"/>
                    </w:rPr>
                  </w:pPr>
                  <w:r w:rsidRPr="00CC5E0B">
                    <w:rPr>
                      <w:rFonts w:eastAsia="Arial Unicode MS"/>
                      <w:szCs w:val="22"/>
                    </w:rPr>
                    <w:t>327</w:t>
                  </w:r>
                </w:p>
              </w:tc>
            </w:tr>
            <w:tr w:rsidR="008F4103" w:rsidRPr="00796446" w:rsidTr="00231888">
              <w:trPr>
                <w:trHeight w:val="23"/>
              </w:trPr>
              <w:tc>
                <w:tcPr>
                  <w:tcW w:w="3302" w:type="pct"/>
                  <w:noWrap/>
                </w:tcPr>
                <w:p w:rsidR="008F4103" w:rsidRPr="00CC5E0B" w:rsidRDefault="008F4103" w:rsidP="00231888">
                  <w:r w:rsidRPr="00CC5E0B">
                    <w:t>Вземания от ФСЕС</w:t>
                  </w:r>
                </w:p>
              </w:tc>
              <w:tc>
                <w:tcPr>
                  <w:tcW w:w="855" w:type="pct"/>
                  <w:noWrap/>
                </w:tcPr>
                <w:p w:rsidR="008F4103" w:rsidRPr="00CC5E0B" w:rsidRDefault="000B7C60" w:rsidP="0067008C">
                  <w:pPr>
                    <w:ind w:right="141"/>
                    <w:jc w:val="right"/>
                    <w:rPr>
                      <w:rFonts w:eastAsia="Arial Unicode MS"/>
                      <w:szCs w:val="22"/>
                    </w:rPr>
                  </w:pPr>
                  <w:r w:rsidRPr="00CC5E0B">
                    <w:rPr>
                      <w:rFonts w:eastAsia="Arial Unicode MS"/>
                      <w:szCs w:val="22"/>
                    </w:rPr>
                    <w:t>111</w:t>
                  </w:r>
                </w:p>
              </w:tc>
              <w:tc>
                <w:tcPr>
                  <w:tcW w:w="843" w:type="pct"/>
                  <w:noWrap/>
                </w:tcPr>
                <w:p w:rsidR="008F4103" w:rsidRPr="00CC5E0B" w:rsidRDefault="008F4103" w:rsidP="0067008C">
                  <w:pPr>
                    <w:ind w:right="141"/>
                    <w:jc w:val="right"/>
                    <w:rPr>
                      <w:rFonts w:eastAsia="Arial Unicode MS"/>
                      <w:szCs w:val="22"/>
                    </w:rPr>
                  </w:pPr>
                  <w:r w:rsidRPr="00CC5E0B">
                    <w:rPr>
                      <w:rFonts w:eastAsia="Arial Unicode MS"/>
                      <w:szCs w:val="22"/>
                    </w:rPr>
                    <w:t>-</w:t>
                  </w:r>
                </w:p>
              </w:tc>
            </w:tr>
            <w:tr w:rsidR="008F4103" w:rsidRPr="00796446" w:rsidTr="00231888">
              <w:trPr>
                <w:trHeight w:val="23"/>
              </w:trPr>
              <w:tc>
                <w:tcPr>
                  <w:tcW w:w="3302" w:type="pct"/>
                  <w:noWrap/>
                </w:tcPr>
                <w:p w:rsidR="008F4103" w:rsidRPr="00CC5E0B" w:rsidRDefault="008F4103" w:rsidP="00231888">
                  <w:r w:rsidRPr="00CC5E0B">
                    <w:t>Други вземания</w:t>
                  </w:r>
                </w:p>
              </w:tc>
              <w:tc>
                <w:tcPr>
                  <w:tcW w:w="855" w:type="pct"/>
                  <w:tcBorders>
                    <w:bottom w:val="single" w:sz="4" w:space="0" w:color="auto"/>
                  </w:tcBorders>
                  <w:noWrap/>
                </w:tcPr>
                <w:p w:rsidR="008F4103" w:rsidRPr="00CC5E0B" w:rsidRDefault="008F4103" w:rsidP="0067008C">
                  <w:pPr>
                    <w:ind w:right="141"/>
                    <w:jc w:val="right"/>
                    <w:rPr>
                      <w:rFonts w:eastAsia="Arial Unicode MS"/>
                      <w:szCs w:val="22"/>
                    </w:rPr>
                  </w:pPr>
                  <w:r w:rsidRPr="00CC5E0B">
                    <w:rPr>
                      <w:rFonts w:eastAsia="Arial Unicode MS"/>
                      <w:szCs w:val="22"/>
                    </w:rPr>
                    <w:t>-</w:t>
                  </w:r>
                </w:p>
                <w:p w:rsidR="008F4103" w:rsidRPr="00CC5E0B" w:rsidRDefault="008F4103" w:rsidP="0067008C">
                  <w:pPr>
                    <w:ind w:right="141"/>
                    <w:jc w:val="right"/>
                    <w:rPr>
                      <w:rFonts w:eastAsia="Arial Unicode MS"/>
                      <w:szCs w:val="22"/>
                      <w:lang w:val="en-US"/>
                    </w:rPr>
                  </w:pPr>
                </w:p>
              </w:tc>
              <w:tc>
                <w:tcPr>
                  <w:tcW w:w="843" w:type="pct"/>
                  <w:tcBorders>
                    <w:bottom w:val="single" w:sz="4" w:space="0" w:color="auto"/>
                  </w:tcBorders>
                  <w:noWrap/>
                </w:tcPr>
                <w:p w:rsidR="008F4103" w:rsidRPr="00CC5E0B" w:rsidRDefault="008F4103" w:rsidP="0067008C">
                  <w:pPr>
                    <w:ind w:right="141"/>
                    <w:jc w:val="right"/>
                    <w:rPr>
                      <w:rFonts w:eastAsia="Arial Unicode MS"/>
                      <w:szCs w:val="22"/>
                    </w:rPr>
                  </w:pPr>
                  <w:r w:rsidRPr="00CC5E0B">
                    <w:rPr>
                      <w:rFonts w:eastAsia="Arial Unicode MS"/>
                      <w:szCs w:val="22"/>
                    </w:rPr>
                    <w:t>1</w:t>
                  </w:r>
                </w:p>
                <w:p w:rsidR="008F4103" w:rsidRPr="00CC5E0B" w:rsidRDefault="008F4103" w:rsidP="0067008C">
                  <w:pPr>
                    <w:ind w:right="141"/>
                    <w:jc w:val="right"/>
                    <w:rPr>
                      <w:rFonts w:eastAsia="Arial Unicode MS"/>
                      <w:szCs w:val="22"/>
                      <w:lang w:val="en-US"/>
                    </w:rPr>
                  </w:pPr>
                </w:p>
              </w:tc>
            </w:tr>
            <w:tr w:rsidR="008F4103" w:rsidRPr="00796446" w:rsidTr="00231888">
              <w:trPr>
                <w:trHeight w:val="23"/>
              </w:trPr>
              <w:tc>
                <w:tcPr>
                  <w:tcW w:w="3302" w:type="pct"/>
                  <w:noWrap/>
                </w:tcPr>
                <w:p w:rsidR="008F4103" w:rsidRPr="00CC5E0B" w:rsidRDefault="008F4103" w:rsidP="0067008C">
                  <w:pPr>
                    <w:rPr>
                      <w:b/>
                      <w:szCs w:val="22"/>
                    </w:rPr>
                  </w:pPr>
                  <w:r w:rsidRPr="00CC5E0B">
                    <w:rPr>
                      <w:b/>
                      <w:szCs w:val="22"/>
                    </w:rPr>
                    <w:t>Финансови активи</w:t>
                  </w:r>
                </w:p>
              </w:tc>
              <w:tc>
                <w:tcPr>
                  <w:tcW w:w="855" w:type="pct"/>
                  <w:tcBorders>
                    <w:top w:val="single" w:sz="4" w:space="0" w:color="auto"/>
                    <w:bottom w:val="single" w:sz="4" w:space="0" w:color="auto"/>
                  </w:tcBorders>
                  <w:noWrap/>
                </w:tcPr>
                <w:p w:rsidR="008F4103" w:rsidRPr="00CC5E0B" w:rsidRDefault="00397C9E" w:rsidP="0067008C">
                  <w:pPr>
                    <w:ind w:right="141"/>
                    <w:jc w:val="right"/>
                    <w:rPr>
                      <w:rFonts w:eastAsia="Arial Unicode MS"/>
                      <w:b/>
                      <w:szCs w:val="22"/>
                    </w:rPr>
                  </w:pPr>
                  <w:r>
                    <w:rPr>
                      <w:rFonts w:eastAsia="Arial Unicode MS"/>
                      <w:b/>
                      <w:szCs w:val="22"/>
                    </w:rPr>
                    <w:t>18</w:t>
                  </w:r>
                  <w:r w:rsidR="007308AF">
                    <w:rPr>
                      <w:rFonts w:eastAsia="Arial Unicode MS"/>
                      <w:b/>
                      <w:szCs w:val="22"/>
                    </w:rPr>
                    <w:t>5</w:t>
                  </w:r>
                </w:p>
              </w:tc>
              <w:tc>
                <w:tcPr>
                  <w:tcW w:w="843" w:type="pct"/>
                  <w:tcBorders>
                    <w:top w:val="single" w:sz="4" w:space="0" w:color="auto"/>
                    <w:bottom w:val="single" w:sz="4" w:space="0" w:color="auto"/>
                  </w:tcBorders>
                  <w:noWrap/>
                </w:tcPr>
                <w:p w:rsidR="008F4103" w:rsidRPr="00CC5E0B" w:rsidRDefault="008F4103" w:rsidP="0067008C">
                  <w:pPr>
                    <w:ind w:right="141"/>
                    <w:jc w:val="right"/>
                    <w:rPr>
                      <w:rFonts w:eastAsia="Arial Unicode MS"/>
                      <w:b/>
                      <w:szCs w:val="22"/>
                    </w:rPr>
                  </w:pPr>
                  <w:r w:rsidRPr="00CC5E0B">
                    <w:rPr>
                      <w:rFonts w:eastAsia="Arial Unicode MS"/>
                      <w:b/>
                      <w:szCs w:val="22"/>
                    </w:rPr>
                    <w:t>328</w:t>
                  </w:r>
                </w:p>
              </w:tc>
            </w:tr>
            <w:tr w:rsidR="008F4103" w:rsidRPr="00796446" w:rsidTr="00231888">
              <w:trPr>
                <w:trHeight w:val="23"/>
              </w:trPr>
              <w:tc>
                <w:tcPr>
                  <w:tcW w:w="3302" w:type="pct"/>
                  <w:noWrap/>
                </w:tcPr>
                <w:p w:rsidR="008F4103" w:rsidRPr="00CC5E0B" w:rsidRDefault="008F4103" w:rsidP="0067008C">
                  <w:pPr>
                    <w:rPr>
                      <w:szCs w:val="22"/>
                    </w:rPr>
                  </w:pPr>
                  <w:r w:rsidRPr="00CC5E0B">
                    <w:rPr>
                      <w:szCs w:val="22"/>
                    </w:rPr>
                    <w:t xml:space="preserve">Аванси </w:t>
                  </w:r>
                </w:p>
              </w:tc>
              <w:tc>
                <w:tcPr>
                  <w:tcW w:w="855" w:type="pct"/>
                  <w:tcBorders>
                    <w:top w:val="single" w:sz="4" w:space="0" w:color="auto"/>
                  </w:tcBorders>
                  <w:noWrap/>
                </w:tcPr>
                <w:p w:rsidR="008F4103" w:rsidRPr="00CC5E0B" w:rsidRDefault="000B7C60" w:rsidP="0067008C">
                  <w:pPr>
                    <w:ind w:right="141"/>
                    <w:jc w:val="right"/>
                    <w:rPr>
                      <w:rFonts w:eastAsia="Arial Unicode MS"/>
                      <w:szCs w:val="22"/>
                    </w:rPr>
                  </w:pPr>
                  <w:r w:rsidRPr="00CC5E0B">
                    <w:rPr>
                      <w:rFonts w:eastAsia="Arial Unicode MS"/>
                      <w:szCs w:val="22"/>
                    </w:rPr>
                    <w:t>-</w:t>
                  </w:r>
                </w:p>
              </w:tc>
              <w:tc>
                <w:tcPr>
                  <w:tcW w:w="843" w:type="pct"/>
                  <w:tcBorders>
                    <w:top w:val="single" w:sz="4" w:space="0" w:color="auto"/>
                  </w:tcBorders>
                  <w:noWrap/>
                </w:tcPr>
                <w:p w:rsidR="008F4103" w:rsidRPr="00CC5E0B" w:rsidRDefault="008F4103" w:rsidP="0067008C">
                  <w:pPr>
                    <w:ind w:right="141"/>
                    <w:jc w:val="right"/>
                    <w:rPr>
                      <w:rFonts w:eastAsia="Arial Unicode MS"/>
                      <w:szCs w:val="22"/>
                    </w:rPr>
                  </w:pPr>
                  <w:r w:rsidRPr="00CC5E0B">
                    <w:rPr>
                      <w:rFonts w:eastAsia="Arial Unicode MS"/>
                      <w:szCs w:val="22"/>
                    </w:rPr>
                    <w:t>1</w:t>
                  </w:r>
                </w:p>
              </w:tc>
            </w:tr>
            <w:tr w:rsidR="008F4103" w:rsidRPr="00796446" w:rsidTr="00231888">
              <w:trPr>
                <w:trHeight w:val="23"/>
              </w:trPr>
              <w:tc>
                <w:tcPr>
                  <w:tcW w:w="3302" w:type="pct"/>
                  <w:noWrap/>
                </w:tcPr>
                <w:p w:rsidR="008F4103" w:rsidRPr="00CC5E0B" w:rsidRDefault="008F4103" w:rsidP="0067008C">
                  <w:pPr>
                    <w:rPr>
                      <w:szCs w:val="22"/>
                    </w:rPr>
                  </w:pPr>
                  <w:r w:rsidRPr="00CC5E0B">
                    <w:rPr>
                      <w:szCs w:val="22"/>
                    </w:rPr>
                    <w:t>Предплатени разходи</w:t>
                  </w:r>
                </w:p>
              </w:tc>
              <w:tc>
                <w:tcPr>
                  <w:tcW w:w="855" w:type="pct"/>
                  <w:noWrap/>
                </w:tcPr>
                <w:p w:rsidR="008F4103" w:rsidRPr="00CC5E0B" w:rsidRDefault="000215E4" w:rsidP="0067008C">
                  <w:pPr>
                    <w:ind w:right="141"/>
                    <w:jc w:val="right"/>
                    <w:rPr>
                      <w:rFonts w:eastAsia="Arial Unicode MS"/>
                      <w:szCs w:val="22"/>
                    </w:rPr>
                  </w:pPr>
                  <w:r w:rsidRPr="00CC5E0B">
                    <w:rPr>
                      <w:rFonts w:eastAsia="Arial Unicode MS"/>
                      <w:szCs w:val="22"/>
                    </w:rPr>
                    <w:t>9</w:t>
                  </w:r>
                </w:p>
              </w:tc>
              <w:tc>
                <w:tcPr>
                  <w:tcW w:w="843" w:type="pct"/>
                  <w:noWrap/>
                </w:tcPr>
                <w:p w:rsidR="008F4103" w:rsidRPr="00CC5E0B" w:rsidRDefault="008F4103" w:rsidP="0067008C">
                  <w:pPr>
                    <w:ind w:right="141"/>
                    <w:jc w:val="right"/>
                    <w:rPr>
                      <w:rFonts w:eastAsia="Arial Unicode MS"/>
                      <w:szCs w:val="22"/>
                    </w:rPr>
                  </w:pPr>
                  <w:r w:rsidRPr="00CC5E0B">
                    <w:rPr>
                      <w:rFonts w:eastAsia="Arial Unicode MS"/>
                      <w:szCs w:val="22"/>
                    </w:rPr>
                    <w:t>17</w:t>
                  </w:r>
                </w:p>
              </w:tc>
            </w:tr>
            <w:tr w:rsidR="008F4103" w:rsidRPr="00796446" w:rsidTr="00231888">
              <w:trPr>
                <w:trHeight w:val="23"/>
              </w:trPr>
              <w:tc>
                <w:tcPr>
                  <w:tcW w:w="3302" w:type="pct"/>
                  <w:noWrap/>
                </w:tcPr>
                <w:p w:rsidR="008F4103" w:rsidRPr="00CC5E0B" w:rsidRDefault="008F4103" w:rsidP="0067008C">
                  <w:pPr>
                    <w:rPr>
                      <w:szCs w:val="22"/>
                    </w:rPr>
                  </w:pPr>
                  <w:r w:rsidRPr="00CC5E0B">
                    <w:rPr>
                      <w:szCs w:val="22"/>
                    </w:rPr>
                    <w:t>Данъци за възстановяване</w:t>
                  </w:r>
                </w:p>
              </w:tc>
              <w:tc>
                <w:tcPr>
                  <w:tcW w:w="855" w:type="pct"/>
                  <w:tcBorders>
                    <w:bottom w:val="single" w:sz="4" w:space="0" w:color="auto"/>
                  </w:tcBorders>
                  <w:noWrap/>
                </w:tcPr>
                <w:p w:rsidR="008F4103" w:rsidRPr="00CC5E0B" w:rsidRDefault="003D4233" w:rsidP="0067008C">
                  <w:pPr>
                    <w:ind w:right="141"/>
                    <w:jc w:val="right"/>
                    <w:rPr>
                      <w:rFonts w:eastAsia="Arial Unicode MS"/>
                      <w:szCs w:val="22"/>
                      <w:lang w:val="en-US"/>
                    </w:rPr>
                  </w:pPr>
                  <w:r>
                    <w:rPr>
                      <w:rFonts w:eastAsia="Arial Unicode MS"/>
                      <w:szCs w:val="22"/>
                      <w:lang w:val="en-US"/>
                    </w:rPr>
                    <w:t xml:space="preserve"> 19</w:t>
                  </w:r>
                </w:p>
              </w:tc>
              <w:tc>
                <w:tcPr>
                  <w:tcW w:w="843" w:type="pct"/>
                  <w:tcBorders>
                    <w:bottom w:val="single" w:sz="4" w:space="0" w:color="auto"/>
                  </w:tcBorders>
                  <w:noWrap/>
                </w:tcPr>
                <w:p w:rsidR="008F4103" w:rsidRPr="00CC5E0B" w:rsidRDefault="008F4103" w:rsidP="0067008C">
                  <w:pPr>
                    <w:ind w:right="141"/>
                    <w:jc w:val="right"/>
                    <w:rPr>
                      <w:rFonts w:eastAsia="Arial Unicode MS"/>
                      <w:szCs w:val="22"/>
                    </w:rPr>
                  </w:pPr>
                  <w:r w:rsidRPr="00CC5E0B">
                    <w:rPr>
                      <w:rFonts w:eastAsia="Arial Unicode MS"/>
                      <w:szCs w:val="22"/>
                    </w:rPr>
                    <w:t>-</w:t>
                  </w:r>
                </w:p>
              </w:tc>
            </w:tr>
            <w:tr w:rsidR="008F4103" w:rsidRPr="00796446" w:rsidTr="00231888">
              <w:trPr>
                <w:trHeight w:val="23"/>
              </w:trPr>
              <w:tc>
                <w:tcPr>
                  <w:tcW w:w="3302" w:type="pct"/>
                  <w:noWrap/>
                </w:tcPr>
                <w:p w:rsidR="008F4103" w:rsidRPr="00CC5E0B" w:rsidRDefault="008F4103" w:rsidP="0067008C">
                  <w:pPr>
                    <w:rPr>
                      <w:b/>
                      <w:szCs w:val="22"/>
                    </w:rPr>
                  </w:pPr>
                  <w:r w:rsidRPr="00CC5E0B">
                    <w:rPr>
                      <w:b/>
                      <w:szCs w:val="22"/>
                    </w:rPr>
                    <w:t>Нефинансови активи</w:t>
                  </w:r>
                </w:p>
              </w:tc>
              <w:tc>
                <w:tcPr>
                  <w:tcW w:w="855" w:type="pct"/>
                  <w:tcBorders>
                    <w:top w:val="single" w:sz="4" w:space="0" w:color="auto"/>
                    <w:bottom w:val="single" w:sz="4" w:space="0" w:color="auto"/>
                  </w:tcBorders>
                  <w:noWrap/>
                </w:tcPr>
                <w:p w:rsidR="008F4103" w:rsidRPr="00CC5E0B" w:rsidRDefault="00397C9E" w:rsidP="0067008C">
                  <w:pPr>
                    <w:ind w:right="141"/>
                    <w:jc w:val="right"/>
                    <w:rPr>
                      <w:rFonts w:eastAsia="Arial Unicode MS"/>
                      <w:b/>
                      <w:szCs w:val="22"/>
                    </w:rPr>
                  </w:pPr>
                  <w:r>
                    <w:rPr>
                      <w:rFonts w:eastAsia="Arial Unicode MS"/>
                      <w:b/>
                      <w:szCs w:val="22"/>
                    </w:rPr>
                    <w:t>2</w:t>
                  </w:r>
                  <w:r w:rsidR="007308AF">
                    <w:rPr>
                      <w:rFonts w:eastAsia="Arial Unicode MS"/>
                      <w:b/>
                      <w:szCs w:val="22"/>
                    </w:rPr>
                    <w:t>8</w:t>
                  </w:r>
                </w:p>
              </w:tc>
              <w:tc>
                <w:tcPr>
                  <w:tcW w:w="843" w:type="pct"/>
                  <w:tcBorders>
                    <w:top w:val="single" w:sz="4" w:space="0" w:color="auto"/>
                    <w:bottom w:val="single" w:sz="4" w:space="0" w:color="auto"/>
                  </w:tcBorders>
                  <w:noWrap/>
                </w:tcPr>
                <w:p w:rsidR="008F4103" w:rsidRPr="00CC5E0B" w:rsidRDefault="008F4103" w:rsidP="0067008C">
                  <w:pPr>
                    <w:ind w:right="141"/>
                    <w:jc w:val="right"/>
                    <w:rPr>
                      <w:rFonts w:eastAsia="Arial Unicode MS"/>
                      <w:b/>
                      <w:szCs w:val="22"/>
                    </w:rPr>
                  </w:pPr>
                  <w:r w:rsidRPr="00CC5E0B">
                    <w:rPr>
                      <w:rFonts w:eastAsia="Arial Unicode MS"/>
                      <w:b/>
                      <w:szCs w:val="22"/>
                    </w:rPr>
                    <w:t>18</w:t>
                  </w:r>
                </w:p>
              </w:tc>
            </w:tr>
            <w:tr w:rsidR="008F4103" w:rsidRPr="00796446" w:rsidTr="00231888">
              <w:trPr>
                <w:trHeight w:val="23"/>
              </w:trPr>
              <w:tc>
                <w:tcPr>
                  <w:tcW w:w="3302" w:type="pct"/>
                  <w:noWrap/>
                </w:tcPr>
                <w:p w:rsidR="008F4103" w:rsidRPr="00CC5E0B" w:rsidRDefault="008F4103" w:rsidP="0067008C">
                  <w:pPr>
                    <w:rPr>
                      <w:rFonts w:eastAsia="Arial Unicode MS"/>
                      <w:szCs w:val="22"/>
                    </w:rPr>
                  </w:pPr>
                  <w:r w:rsidRPr="00CC5E0B">
                    <w:rPr>
                      <w:b/>
                      <w:bCs/>
                      <w:szCs w:val="22"/>
                    </w:rPr>
                    <w:t>Търговски и други вземания</w:t>
                  </w:r>
                </w:p>
              </w:tc>
              <w:tc>
                <w:tcPr>
                  <w:tcW w:w="855" w:type="pct"/>
                  <w:tcBorders>
                    <w:top w:val="single" w:sz="4" w:space="0" w:color="auto"/>
                    <w:bottom w:val="double" w:sz="4" w:space="0" w:color="auto"/>
                  </w:tcBorders>
                  <w:noWrap/>
                </w:tcPr>
                <w:p w:rsidR="008F4103" w:rsidRPr="00CC5E0B" w:rsidRDefault="00397C9E" w:rsidP="0067008C">
                  <w:pPr>
                    <w:ind w:right="141"/>
                    <w:jc w:val="right"/>
                    <w:rPr>
                      <w:rFonts w:eastAsia="Arial Unicode MS"/>
                      <w:b/>
                      <w:szCs w:val="22"/>
                    </w:rPr>
                  </w:pPr>
                  <w:r>
                    <w:rPr>
                      <w:rFonts w:eastAsia="Arial Unicode MS"/>
                      <w:b/>
                      <w:szCs w:val="22"/>
                    </w:rPr>
                    <w:t>2</w:t>
                  </w:r>
                  <w:r w:rsidR="007308AF">
                    <w:rPr>
                      <w:rFonts w:eastAsia="Arial Unicode MS"/>
                      <w:b/>
                      <w:szCs w:val="22"/>
                    </w:rPr>
                    <w:t>13</w:t>
                  </w:r>
                </w:p>
              </w:tc>
              <w:tc>
                <w:tcPr>
                  <w:tcW w:w="843" w:type="pct"/>
                  <w:tcBorders>
                    <w:top w:val="single" w:sz="4" w:space="0" w:color="auto"/>
                    <w:bottom w:val="double" w:sz="4" w:space="0" w:color="auto"/>
                  </w:tcBorders>
                  <w:noWrap/>
                </w:tcPr>
                <w:p w:rsidR="008F4103" w:rsidRPr="00CC5E0B" w:rsidRDefault="008F4103" w:rsidP="0067008C">
                  <w:pPr>
                    <w:ind w:right="141"/>
                    <w:jc w:val="right"/>
                    <w:rPr>
                      <w:rFonts w:eastAsia="Arial Unicode MS"/>
                      <w:b/>
                      <w:szCs w:val="22"/>
                    </w:rPr>
                  </w:pPr>
                  <w:r w:rsidRPr="00CC5E0B">
                    <w:rPr>
                      <w:rFonts w:eastAsia="Arial Unicode MS"/>
                      <w:b/>
                      <w:szCs w:val="22"/>
                    </w:rPr>
                    <w:t>346</w:t>
                  </w:r>
                </w:p>
              </w:tc>
            </w:tr>
          </w:tbl>
          <w:p w:rsidR="006D6DBC" w:rsidRPr="00796446" w:rsidRDefault="006D6DBC" w:rsidP="003C00A7">
            <w:pPr>
              <w:rPr>
                <w:szCs w:val="22"/>
              </w:rPr>
            </w:pPr>
          </w:p>
          <w:p w:rsidR="000B0398" w:rsidRPr="000B0398" w:rsidRDefault="000B0398" w:rsidP="00CC5E0B">
            <w:pPr>
              <w:ind w:left="860"/>
              <w:jc w:val="both"/>
              <w:rPr>
                <w:szCs w:val="22"/>
              </w:rPr>
            </w:pPr>
            <w:r w:rsidRPr="000B0398">
              <w:rPr>
                <w:szCs w:val="22"/>
              </w:rPr>
              <w:t>Търговските вземания не са лихвоносни и обикновено са със срок на плащане от 1 до 30 дни.</w:t>
            </w:r>
          </w:p>
          <w:p w:rsidR="000B0398" w:rsidRDefault="000B0398" w:rsidP="000B0398">
            <w:pPr>
              <w:ind w:left="860"/>
              <w:jc w:val="both"/>
              <w:rPr>
                <w:szCs w:val="22"/>
              </w:rPr>
            </w:pPr>
            <w:r w:rsidRPr="000B0398">
              <w:rPr>
                <w:szCs w:val="22"/>
              </w:rPr>
              <w:t xml:space="preserve">Търговските и други вземания на Дружеството са прегледани относно индикации за обезценка. </w:t>
            </w:r>
          </w:p>
          <w:p w:rsidR="0067008C" w:rsidRPr="00CC5E0B" w:rsidRDefault="000B0398" w:rsidP="00CC5E0B">
            <w:pPr>
              <w:ind w:left="860"/>
              <w:jc w:val="both"/>
              <w:rPr>
                <w:szCs w:val="22"/>
              </w:rPr>
            </w:pPr>
            <w:r w:rsidRPr="000B0398">
              <w:rPr>
                <w:szCs w:val="22"/>
              </w:rPr>
              <w:t xml:space="preserve">Към </w:t>
            </w:r>
            <w:r>
              <w:rPr>
                <w:szCs w:val="22"/>
              </w:rPr>
              <w:t xml:space="preserve">30 юни </w:t>
            </w:r>
            <w:r w:rsidRPr="000B0398">
              <w:rPr>
                <w:szCs w:val="22"/>
              </w:rPr>
              <w:t>201</w:t>
            </w:r>
            <w:r>
              <w:rPr>
                <w:szCs w:val="22"/>
              </w:rPr>
              <w:t>9</w:t>
            </w:r>
            <w:r w:rsidRPr="000B0398">
              <w:rPr>
                <w:szCs w:val="22"/>
              </w:rPr>
              <w:t xml:space="preserve"> г. не са установени такива индикации. </w:t>
            </w:r>
          </w:p>
          <w:p w:rsidR="0067008C" w:rsidRPr="00CC5E0B" w:rsidRDefault="0067008C" w:rsidP="003C00A7">
            <w:pPr>
              <w:rPr>
                <w:szCs w:val="22"/>
                <w:lang w:val="en-US"/>
              </w:rPr>
            </w:pPr>
          </w:p>
        </w:tc>
        <w:tc>
          <w:tcPr>
            <w:tcW w:w="98" w:type="pct"/>
          </w:tcPr>
          <w:p w:rsidR="009A2DDA" w:rsidRPr="00796446" w:rsidRDefault="009A2DDA" w:rsidP="00EE2830">
            <w:pPr>
              <w:jc w:val="right"/>
              <w:rPr>
                <w:szCs w:val="22"/>
              </w:rPr>
            </w:pPr>
          </w:p>
        </w:tc>
        <w:tc>
          <w:tcPr>
            <w:tcW w:w="98" w:type="pct"/>
          </w:tcPr>
          <w:p w:rsidR="009A2DDA" w:rsidRPr="00796446" w:rsidRDefault="009A2DDA" w:rsidP="00EE2830">
            <w:pPr>
              <w:jc w:val="right"/>
              <w:rPr>
                <w:szCs w:val="22"/>
              </w:rPr>
            </w:pPr>
          </w:p>
        </w:tc>
        <w:tc>
          <w:tcPr>
            <w:tcW w:w="98" w:type="pct"/>
          </w:tcPr>
          <w:p w:rsidR="009A2DDA" w:rsidRPr="00796446" w:rsidRDefault="009A2DDA" w:rsidP="00EE2830">
            <w:pPr>
              <w:jc w:val="right"/>
              <w:rPr>
                <w:szCs w:val="22"/>
              </w:rPr>
            </w:pPr>
          </w:p>
        </w:tc>
        <w:tc>
          <w:tcPr>
            <w:tcW w:w="98" w:type="pct"/>
          </w:tcPr>
          <w:p w:rsidR="009A2DDA" w:rsidRPr="00796446" w:rsidRDefault="009A2DDA" w:rsidP="00EE2830">
            <w:pPr>
              <w:jc w:val="right"/>
              <w:rPr>
                <w:szCs w:val="22"/>
              </w:rPr>
            </w:pPr>
          </w:p>
        </w:tc>
        <w:tc>
          <w:tcPr>
            <w:tcW w:w="98" w:type="pct"/>
          </w:tcPr>
          <w:p w:rsidR="009A2DDA" w:rsidRPr="00796446" w:rsidRDefault="009A2DDA" w:rsidP="00EE2830">
            <w:pPr>
              <w:jc w:val="right"/>
              <w:rPr>
                <w:szCs w:val="22"/>
              </w:rPr>
            </w:pPr>
          </w:p>
        </w:tc>
        <w:tc>
          <w:tcPr>
            <w:tcW w:w="98" w:type="pct"/>
          </w:tcPr>
          <w:p w:rsidR="009A2DDA" w:rsidRPr="00796446" w:rsidRDefault="009A2DDA" w:rsidP="00EE2830">
            <w:pPr>
              <w:jc w:val="right"/>
              <w:rPr>
                <w:b/>
                <w:szCs w:val="22"/>
              </w:rPr>
            </w:pPr>
          </w:p>
        </w:tc>
      </w:tr>
    </w:tbl>
    <w:p w:rsidR="003B6E37" w:rsidRPr="00CC5E0B" w:rsidRDefault="003B6E37" w:rsidP="006B245C">
      <w:pPr>
        <w:pStyle w:val="Heading1"/>
        <w:numPr>
          <w:ilvl w:val="0"/>
          <w:numId w:val="45"/>
        </w:numPr>
        <w:spacing w:before="0" w:line="259" w:lineRule="auto"/>
        <w:ind w:left="567" w:hanging="567"/>
        <w:rPr>
          <w:color w:val="auto"/>
          <w:sz w:val="22"/>
          <w:szCs w:val="22"/>
        </w:rPr>
      </w:pPr>
      <w:bookmarkStart w:id="17" w:name="_Ref448851641"/>
      <w:r w:rsidRPr="00CC5E0B">
        <w:rPr>
          <w:color w:val="auto"/>
          <w:sz w:val="22"/>
          <w:szCs w:val="22"/>
        </w:rPr>
        <w:lastRenderedPageBreak/>
        <w:t>Пари и парични еквиваленти</w:t>
      </w:r>
      <w:bookmarkEnd w:id="17"/>
    </w:p>
    <w:p w:rsidR="003B6E37" w:rsidRPr="00CC5E0B" w:rsidRDefault="003B6E37" w:rsidP="00817FBA">
      <w:pPr>
        <w:spacing w:after="120" w:line="259" w:lineRule="auto"/>
        <w:rPr>
          <w:szCs w:val="22"/>
        </w:rPr>
      </w:pPr>
      <w:r w:rsidRPr="00CC5E0B">
        <w:rPr>
          <w:szCs w:val="22"/>
        </w:rPr>
        <w:t>Парите и паричните еквиваленти включват следните елементи:</w:t>
      </w:r>
    </w:p>
    <w:tbl>
      <w:tblPr>
        <w:tblW w:w="4815" w:type="pct"/>
        <w:tblCellMar>
          <w:left w:w="70" w:type="dxa"/>
          <w:right w:w="70" w:type="dxa"/>
        </w:tblCellMar>
        <w:tblLook w:val="04A0"/>
      </w:tblPr>
      <w:tblGrid>
        <w:gridCol w:w="6308"/>
        <w:gridCol w:w="1010"/>
        <w:gridCol w:w="1510"/>
      </w:tblGrid>
      <w:tr w:rsidR="008F094B" w:rsidRPr="00796446" w:rsidTr="00CC5E0B">
        <w:trPr>
          <w:trHeight w:val="20"/>
        </w:trPr>
        <w:tc>
          <w:tcPr>
            <w:tcW w:w="3573" w:type="pct"/>
            <w:tcBorders>
              <w:top w:val="nil"/>
              <w:left w:val="nil"/>
              <w:bottom w:val="nil"/>
              <w:right w:val="nil"/>
            </w:tcBorders>
            <w:shd w:val="clear" w:color="000000" w:fill="FFFFFF"/>
            <w:noWrap/>
          </w:tcPr>
          <w:p w:rsidR="003B6E37" w:rsidRPr="00CC5E0B" w:rsidRDefault="003B6E37" w:rsidP="00817FBA">
            <w:pPr>
              <w:rPr>
                <w:rFonts w:cs="Times New Roman"/>
                <w:szCs w:val="22"/>
                <w:lang w:eastAsia="bg-BG"/>
              </w:rPr>
            </w:pPr>
            <w:r w:rsidRPr="00CC5E0B">
              <w:rPr>
                <w:rFonts w:cs="Times New Roman"/>
                <w:szCs w:val="22"/>
                <w:lang w:eastAsia="bg-BG"/>
              </w:rPr>
              <w:t> </w:t>
            </w:r>
          </w:p>
        </w:tc>
        <w:tc>
          <w:tcPr>
            <w:tcW w:w="572" w:type="pct"/>
            <w:tcBorders>
              <w:top w:val="nil"/>
              <w:left w:val="nil"/>
              <w:bottom w:val="nil"/>
              <w:right w:val="nil"/>
            </w:tcBorders>
            <w:shd w:val="clear" w:color="000000" w:fill="FFFFFF"/>
            <w:noWrap/>
          </w:tcPr>
          <w:p w:rsidR="00231888" w:rsidRDefault="005301DA" w:rsidP="00231888">
            <w:pPr>
              <w:ind w:left="241" w:hanging="241"/>
              <w:jc w:val="right"/>
              <w:rPr>
                <w:rFonts w:cs="Times New Roman"/>
                <w:b/>
                <w:bCs/>
                <w:szCs w:val="22"/>
                <w:lang w:eastAsia="bg-BG"/>
              </w:rPr>
            </w:pPr>
            <w:r w:rsidRPr="00CC5E0B">
              <w:rPr>
                <w:rFonts w:cs="Times New Roman"/>
                <w:b/>
                <w:bCs/>
                <w:szCs w:val="22"/>
                <w:lang w:eastAsia="bg-BG"/>
              </w:rPr>
              <w:t>3</w:t>
            </w:r>
            <w:r w:rsidR="003453B0" w:rsidRPr="00CC5E0B">
              <w:rPr>
                <w:rFonts w:cs="Times New Roman"/>
                <w:b/>
                <w:bCs/>
                <w:szCs w:val="22"/>
                <w:lang w:eastAsia="bg-BG"/>
              </w:rPr>
              <w:t>0</w:t>
            </w:r>
            <w:r w:rsidR="00BB7E6B" w:rsidRPr="00CC5E0B">
              <w:rPr>
                <w:rFonts w:cs="Times New Roman"/>
                <w:b/>
                <w:bCs/>
                <w:szCs w:val="22"/>
                <w:lang w:eastAsia="bg-BG"/>
              </w:rPr>
              <w:t xml:space="preserve"> </w:t>
            </w:r>
            <w:r w:rsidR="003453B0" w:rsidRPr="00CC5E0B">
              <w:rPr>
                <w:rFonts w:cs="Times New Roman"/>
                <w:b/>
                <w:bCs/>
                <w:szCs w:val="22"/>
                <w:lang w:eastAsia="bg-BG"/>
              </w:rPr>
              <w:t>юни</w:t>
            </w:r>
            <w:r w:rsidR="00BB7E6B" w:rsidRPr="00CC5E0B">
              <w:rPr>
                <w:rFonts w:cs="Times New Roman"/>
                <w:b/>
                <w:bCs/>
                <w:szCs w:val="22"/>
                <w:lang w:eastAsia="bg-BG"/>
              </w:rPr>
              <w:t xml:space="preserve"> </w:t>
            </w:r>
          </w:p>
          <w:p w:rsidR="00BB7E6B" w:rsidRPr="00CC5E0B" w:rsidRDefault="00BB7E6B">
            <w:pPr>
              <w:ind w:left="241" w:hanging="241"/>
              <w:jc w:val="right"/>
              <w:rPr>
                <w:rFonts w:cs="Times New Roman"/>
                <w:b/>
                <w:bCs/>
                <w:szCs w:val="22"/>
                <w:lang w:eastAsia="bg-BG"/>
              </w:rPr>
            </w:pPr>
            <w:r w:rsidRPr="00CC5E0B">
              <w:rPr>
                <w:rFonts w:cs="Times New Roman"/>
                <w:b/>
                <w:bCs/>
                <w:szCs w:val="22"/>
                <w:lang w:eastAsia="bg-BG"/>
              </w:rPr>
              <w:t>2019</w:t>
            </w:r>
          </w:p>
        </w:tc>
        <w:tc>
          <w:tcPr>
            <w:tcW w:w="855" w:type="pct"/>
            <w:tcBorders>
              <w:top w:val="nil"/>
              <w:left w:val="nil"/>
              <w:bottom w:val="nil"/>
              <w:right w:val="nil"/>
            </w:tcBorders>
            <w:shd w:val="clear" w:color="000000" w:fill="FFFFFF"/>
          </w:tcPr>
          <w:p w:rsidR="003B6E37" w:rsidRPr="00CC5E0B" w:rsidRDefault="005301DA" w:rsidP="00BB7E6B">
            <w:pPr>
              <w:ind w:left="241" w:hanging="241"/>
              <w:jc w:val="right"/>
              <w:rPr>
                <w:rFonts w:cs="Times New Roman"/>
                <w:b/>
                <w:bCs/>
                <w:szCs w:val="22"/>
                <w:lang w:eastAsia="bg-BG"/>
              </w:rPr>
            </w:pPr>
            <w:r w:rsidRPr="00CC5E0B">
              <w:rPr>
                <w:rFonts w:cs="Times New Roman"/>
                <w:b/>
                <w:bCs/>
                <w:szCs w:val="22"/>
                <w:lang w:eastAsia="bg-BG"/>
              </w:rPr>
              <w:t>31</w:t>
            </w:r>
            <w:r w:rsidR="00BB7E6B" w:rsidRPr="00CC5E0B">
              <w:rPr>
                <w:rFonts w:cs="Times New Roman"/>
                <w:b/>
                <w:bCs/>
                <w:szCs w:val="22"/>
                <w:lang w:eastAsia="bg-BG"/>
              </w:rPr>
              <w:t xml:space="preserve"> декември 2018</w:t>
            </w:r>
          </w:p>
        </w:tc>
      </w:tr>
      <w:tr w:rsidR="008F094B" w:rsidRPr="00796446" w:rsidTr="00CC5E0B">
        <w:trPr>
          <w:trHeight w:val="20"/>
        </w:trPr>
        <w:tc>
          <w:tcPr>
            <w:tcW w:w="3573" w:type="pct"/>
            <w:tcBorders>
              <w:top w:val="nil"/>
              <w:left w:val="nil"/>
              <w:bottom w:val="nil"/>
              <w:right w:val="nil"/>
            </w:tcBorders>
            <w:shd w:val="clear" w:color="000000" w:fill="FFFFFF"/>
            <w:noWrap/>
          </w:tcPr>
          <w:p w:rsidR="003B6E37" w:rsidRPr="00CC5E0B" w:rsidRDefault="003B6E37" w:rsidP="00817FBA">
            <w:pPr>
              <w:rPr>
                <w:rFonts w:cs="Times New Roman"/>
                <w:szCs w:val="22"/>
                <w:lang w:eastAsia="bg-BG"/>
              </w:rPr>
            </w:pPr>
            <w:r w:rsidRPr="00CC5E0B">
              <w:rPr>
                <w:rFonts w:cs="Times New Roman"/>
                <w:szCs w:val="22"/>
                <w:lang w:eastAsia="bg-BG"/>
              </w:rPr>
              <w:t> </w:t>
            </w:r>
          </w:p>
        </w:tc>
        <w:tc>
          <w:tcPr>
            <w:tcW w:w="572" w:type="pct"/>
            <w:tcBorders>
              <w:top w:val="nil"/>
              <w:left w:val="nil"/>
              <w:right w:val="nil"/>
            </w:tcBorders>
            <w:shd w:val="clear" w:color="000000" w:fill="FFFFFF"/>
            <w:noWrap/>
            <w:vAlign w:val="bottom"/>
          </w:tcPr>
          <w:p w:rsidR="003B6E37" w:rsidRPr="00CC5E0B" w:rsidRDefault="003B6E37" w:rsidP="00817FBA">
            <w:pPr>
              <w:autoSpaceDE w:val="0"/>
              <w:autoSpaceDN w:val="0"/>
              <w:adjustRightInd w:val="0"/>
              <w:jc w:val="right"/>
              <w:rPr>
                <w:b/>
                <w:bCs/>
                <w:szCs w:val="22"/>
              </w:rPr>
            </w:pPr>
            <w:r w:rsidRPr="00CC5E0B">
              <w:rPr>
                <w:b/>
                <w:bCs/>
                <w:szCs w:val="22"/>
              </w:rPr>
              <w:t>‘000 лв.</w:t>
            </w:r>
          </w:p>
        </w:tc>
        <w:tc>
          <w:tcPr>
            <w:tcW w:w="855" w:type="pct"/>
            <w:tcBorders>
              <w:top w:val="nil"/>
              <w:left w:val="nil"/>
              <w:right w:val="nil"/>
            </w:tcBorders>
            <w:shd w:val="clear" w:color="000000" w:fill="FFFFFF"/>
            <w:vAlign w:val="bottom"/>
          </w:tcPr>
          <w:p w:rsidR="003B6E37" w:rsidRPr="00CC5E0B" w:rsidRDefault="003B6E37" w:rsidP="00817FBA">
            <w:pPr>
              <w:autoSpaceDE w:val="0"/>
              <w:autoSpaceDN w:val="0"/>
              <w:adjustRightInd w:val="0"/>
              <w:jc w:val="right"/>
              <w:rPr>
                <w:b/>
                <w:bCs/>
                <w:szCs w:val="22"/>
              </w:rPr>
            </w:pPr>
            <w:r w:rsidRPr="00CC5E0B">
              <w:rPr>
                <w:b/>
                <w:bCs/>
                <w:szCs w:val="22"/>
              </w:rPr>
              <w:t>‘000 лв.</w:t>
            </w:r>
          </w:p>
        </w:tc>
      </w:tr>
      <w:tr w:rsidR="008F094B" w:rsidRPr="00796446" w:rsidTr="00CC5E0B">
        <w:trPr>
          <w:trHeight w:val="20"/>
        </w:trPr>
        <w:tc>
          <w:tcPr>
            <w:tcW w:w="3573" w:type="pct"/>
            <w:tcBorders>
              <w:top w:val="nil"/>
              <w:left w:val="nil"/>
              <w:bottom w:val="nil"/>
              <w:right w:val="nil"/>
            </w:tcBorders>
            <w:shd w:val="clear" w:color="000000" w:fill="FFFFFF"/>
            <w:noWrap/>
          </w:tcPr>
          <w:p w:rsidR="003B6E37" w:rsidRPr="00CC5E0B" w:rsidRDefault="003B6E37" w:rsidP="00817FBA">
            <w:pPr>
              <w:rPr>
                <w:rFonts w:cs="Times New Roman"/>
                <w:szCs w:val="22"/>
                <w:lang w:eastAsia="bg-BG"/>
              </w:rPr>
            </w:pPr>
          </w:p>
        </w:tc>
        <w:tc>
          <w:tcPr>
            <w:tcW w:w="572" w:type="pct"/>
            <w:tcBorders>
              <w:top w:val="nil"/>
              <w:left w:val="nil"/>
              <w:right w:val="nil"/>
            </w:tcBorders>
            <w:shd w:val="clear" w:color="000000" w:fill="FFFFFF"/>
            <w:noWrap/>
          </w:tcPr>
          <w:p w:rsidR="003B6E37" w:rsidRPr="00CC5E0B" w:rsidRDefault="003B6E37" w:rsidP="00817FBA">
            <w:pPr>
              <w:jc w:val="right"/>
              <w:rPr>
                <w:rFonts w:cs="Times New Roman"/>
                <w:b/>
                <w:bCs/>
                <w:szCs w:val="22"/>
                <w:lang w:eastAsia="bg-BG"/>
              </w:rPr>
            </w:pPr>
          </w:p>
        </w:tc>
        <w:tc>
          <w:tcPr>
            <w:tcW w:w="855" w:type="pct"/>
            <w:tcBorders>
              <w:top w:val="nil"/>
              <w:left w:val="nil"/>
              <w:right w:val="nil"/>
            </w:tcBorders>
            <w:shd w:val="clear" w:color="000000" w:fill="FFFFFF"/>
          </w:tcPr>
          <w:p w:rsidR="003B6E37" w:rsidRPr="00CC5E0B" w:rsidRDefault="003B6E37" w:rsidP="00817FBA">
            <w:pPr>
              <w:jc w:val="right"/>
              <w:rPr>
                <w:rFonts w:cs="Times New Roman"/>
                <w:b/>
                <w:bCs/>
                <w:szCs w:val="22"/>
                <w:lang w:eastAsia="bg-BG"/>
              </w:rPr>
            </w:pPr>
          </w:p>
        </w:tc>
      </w:tr>
      <w:tr w:rsidR="00617B68" w:rsidRPr="00796446" w:rsidTr="00CC5E0B">
        <w:trPr>
          <w:trHeight w:val="20"/>
        </w:trPr>
        <w:tc>
          <w:tcPr>
            <w:tcW w:w="3573" w:type="pct"/>
            <w:tcBorders>
              <w:top w:val="nil"/>
              <w:left w:val="nil"/>
              <w:bottom w:val="nil"/>
              <w:right w:val="nil"/>
            </w:tcBorders>
            <w:shd w:val="clear" w:color="000000" w:fill="FFFFFF"/>
            <w:noWrap/>
          </w:tcPr>
          <w:p w:rsidR="00617B68" w:rsidRPr="00CC5E0B" w:rsidRDefault="00617B68" w:rsidP="00817FBA">
            <w:pPr>
              <w:rPr>
                <w:rFonts w:cs="Times New Roman"/>
                <w:szCs w:val="22"/>
                <w:lang w:eastAsia="bg-BG"/>
              </w:rPr>
            </w:pPr>
            <w:r w:rsidRPr="00CC5E0B">
              <w:rPr>
                <w:szCs w:val="22"/>
              </w:rPr>
              <w:t xml:space="preserve">Парични средства в брой </w:t>
            </w:r>
            <w:r w:rsidR="00950C0A" w:rsidRPr="00CC5E0B">
              <w:rPr>
                <w:szCs w:val="22"/>
              </w:rPr>
              <w:t>/л</w:t>
            </w:r>
            <w:r w:rsidRPr="00CC5E0B">
              <w:rPr>
                <w:szCs w:val="22"/>
              </w:rPr>
              <w:t>ева/</w:t>
            </w:r>
          </w:p>
        </w:tc>
        <w:tc>
          <w:tcPr>
            <w:tcW w:w="572" w:type="pct"/>
            <w:tcBorders>
              <w:top w:val="nil"/>
              <w:left w:val="nil"/>
              <w:right w:val="nil"/>
            </w:tcBorders>
            <w:shd w:val="clear" w:color="000000" w:fill="FFFFFF"/>
            <w:noWrap/>
          </w:tcPr>
          <w:p w:rsidR="00617B68" w:rsidRPr="00CC5E0B" w:rsidRDefault="009303F2" w:rsidP="00817FBA">
            <w:pPr>
              <w:jc w:val="right"/>
              <w:rPr>
                <w:rFonts w:cs="Times New Roman"/>
                <w:bCs/>
                <w:szCs w:val="22"/>
                <w:lang w:eastAsia="bg-BG"/>
              </w:rPr>
            </w:pPr>
            <w:r w:rsidRPr="00CC5E0B">
              <w:rPr>
                <w:rFonts w:cs="Times New Roman"/>
                <w:bCs/>
                <w:szCs w:val="22"/>
                <w:lang w:eastAsia="bg-BG"/>
              </w:rPr>
              <w:t>1</w:t>
            </w:r>
          </w:p>
        </w:tc>
        <w:tc>
          <w:tcPr>
            <w:tcW w:w="855" w:type="pct"/>
            <w:tcBorders>
              <w:top w:val="nil"/>
              <w:left w:val="nil"/>
              <w:right w:val="nil"/>
            </w:tcBorders>
            <w:shd w:val="clear" w:color="000000" w:fill="FFFFFF"/>
          </w:tcPr>
          <w:p w:rsidR="00617B68" w:rsidRPr="00CC5E0B" w:rsidRDefault="00BB7E6B" w:rsidP="00523E05">
            <w:pPr>
              <w:jc w:val="right"/>
              <w:rPr>
                <w:rFonts w:cs="Times New Roman"/>
                <w:bCs/>
                <w:szCs w:val="22"/>
                <w:lang w:eastAsia="bg-BG"/>
              </w:rPr>
            </w:pPr>
            <w:r w:rsidRPr="00CC5E0B">
              <w:rPr>
                <w:rFonts w:cs="Times New Roman"/>
                <w:bCs/>
                <w:szCs w:val="22"/>
                <w:lang w:eastAsia="bg-BG"/>
              </w:rPr>
              <w:t>1</w:t>
            </w:r>
          </w:p>
        </w:tc>
      </w:tr>
      <w:tr w:rsidR="00617B68" w:rsidRPr="00796446" w:rsidTr="00CC5E0B">
        <w:trPr>
          <w:trHeight w:val="20"/>
        </w:trPr>
        <w:tc>
          <w:tcPr>
            <w:tcW w:w="3573" w:type="pct"/>
            <w:tcBorders>
              <w:top w:val="nil"/>
              <w:left w:val="nil"/>
              <w:right w:val="nil"/>
            </w:tcBorders>
            <w:shd w:val="clear" w:color="000000" w:fill="FFFFFF"/>
            <w:noWrap/>
          </w:tcPr>
          <w:p w:rsidR="00617B68" w:rsidRPr="00CC5E0B" w:rsidRDefault="00617B68" w:rsidP="00817FBA">
            <w:pPr>
              <w:rPr>
                <w:rFonts w:cs="Times New Roman"/>
                <w:szCs w:val="22"/>
                <w:lang w:eastAsia="bg-BG"/>
              </w:rPr>
            </w:pPr>
            <w:r w:rsidRPr="00CC5E0B">
              <w:rPr>
                <w:szCs w:val="22"/>
              </w:rPr>
              <w:t>Парични средства в банкови сметки /лева/</w:t>
            </w:r>
          </w:p>
        </w:tc>
        <w:tc>
          <w:tcPr>
            <w:tcW w:w="572" w:type="pct"/>
            <w:tcBorders>
              <w:top w:val="nil"/>
              <w:left w:val="nil"/>
              <w:right w:val="nil"/>
            </w:tcBorders>
            <w:shd w:val="clear" w:color="000000" w:fill="FFFFFF"/>
            <w:noWrap/>
          </w:tcPr>
          <w:p w:rsidR="00617B68" w:rsidRPr="00CC5E0B" w:rsidRDefault="003453B0" w:rsidP="00817FBA">
            <w:pPr>
              <w:jc w:val="right"/>
              <w:rPr>
                <w:rFonts w:cs="Times New Roman"/>
                <w:bCs/>
                <w:szCs w:val="22"/>
                <w:lang w:eastAsia="bg-BG"/>
              </w:rPr>
            </w:pPr>
            <w:r w:rsidRPr="00CC5E0B">
              <w:rPr>
                <w:rFonts w:cs="Times New Roman"/>
                <w:bCs/>
                <w:szCs w:val="22"/>
                <w:lang w:eastAsia="bg-BG"/>
              </w:rPr>
              <w:t>1,264</w:t>
            </w:r>
          </w:p>
        </w:tc>
        <w:tc>
          <w:tcPr>
            <w:tcW w:w="855" w:type="pct"/>
            <w:tcBorders>
              <w:top w:val="nil"/>
              <w:left w:val="nil"/>
              <w:right w:val="nil"/>
            </w:tcBorders>
            <w:shd w:val="clear" w:color="000000" w:fill="FFFFFF"/>
          </w:tcPr>
          <w:p w:rsidR="00617B68" w:rsidRPr="00CC5E0B" w:rsidRDefault="00BB7E6B" w:rsidP="00523E05">
            <w:pPr>
              <w:jc w:val="right"/>
              <w:rPr>
                <w:rFonts w:cs="Times New Roman"/>
                <w:bCs/>
                <w:szCs w:val="22"/>
                <w:lang w:eastAsia="bg-BG"/>
              </w:rPr>
            </w:pPr>
            <w:r w:rsidRPr="00CC5E0B">
              <w:rPr>
                <w:rFonts w:cs="Times New Roman"/>
                <w:bCs/>
                <w:szCs w:val="22"/>
                <w:lang w:eastAsia="bg-BG"/>
              </w:rPr>
              <w:t>1,243</w:t>
            </w:r>
          </w:p>
        </w:tc>
      </w:tr>
      <w:tr w:rsidR="003453B0" w:rsidRPr="00796446" w:rsidTr="00CC5E0B">
        <w:trPr>
          <w:trHeight w:val="20"/>
        </w:trPr>
        <w:tc>
          <w:tcPr>
            <w:tcW w:w="3573" w:type="pct"/>
            <w:tcBorders>
              <w:left w:val="nil"/>
              <w:right w:val="nil"/>
            </w:tcBorders>
            <w:shd w:val="clear" w:color="000000" w:fill="FFFFFF"/>
            <w:noWrap/>
          </w:tcPr>
          <w:p w:rsidR="003453B0" w:rsidRPr="00CC5E0B" w:rsidRDefault="003453B0" w:rsidP="00817FBA">
            <w:pPr>
              <w:rPr>
                <w:bCs/>
                <w:szCs w:val="22"/>
              </w:rPr>
            </w:pPr>
            <w:r w:rsidRPr="00CC5E0B">
              <w:rPr>
                <w:bCs/>
                <w:szCs w:val="22"/>
              </w:rPr>
              <w:t>Парични средства в банкови сметки /евро/</w:t>
            </w:r>
          </w:p>
        </w:tc>
        <w:tc>
          <w:tcPr>
            <w:tcW w:w="572" w:type="pct"/>
            <w:tcBorders>
              <w:left w:val="nil"/>
              <w:bottom w:val="single" w:sz="4" w:space="0" w:color="auto"/>
              <w:right w:val="nil"/>
            </w:tcBorders>
            <w:shd w:val="clear" w:color="000000" w:fill="FFFFFF"/>
            <w:noWrap/>
          </w:tcPr>
          <w:p w:rsidR="003453B0" w:rsidRPr="00CC5E0B" w:rsidRDefault="003453B0" w:rsidP="00817FBA">
            <w:pPr>
              <w:jc w:val="right"/>
              <w:rPr>
                <w:rFonts w:cs="Times New Roman"/>
                <w:bCs/>
                <w:szCs w:val="22"/>
                <w:lang w:eastAsia="bg-BG"/>
              </w:rPr>
            </w:pPr>
            <w:r w:rsidRPr="00CC5E0B">
              <w:rPr>
                <w:rFonts w:cs="Times New Roman"/>
                <w:bCs/>
                <w:szCs w:val="22"/>
                <w:lang w:eastAsia="bg-BG"/>
              </w:rPr>
              <w:t>9</w:t>
            </w:r>
          </w:p>
        </w:tc>
        <w:tc>
          <w:tcPr>
            <w:tcW w:w="855" w:type="pct"/>
            <w:tcBorders>
              <w:left w:val="nil"/>
              <w:bottom w:val="single" w:sz="4" w:space="0" w:color="auto"/>
              <w:right w:val="nil"/>
            </w:tcBorders>
            <w:shd w:val="clear" w:color="000000" w:fill="FFFFFF"/>
          </w:tcPr>
          <w:p w:rsidR="003453B0" w:rsidRPr="00CC5E0B" w:rsidRDefault="00F807B8" w:rsidP="00523E05">
            <w:pPr>
              <w:jc w:val="right"/>
              <w:rPr>
                <w:rFonts w:cs="Times New Roman"/>
                <w:bCs/>
                <w:szCs w:val="22"/>
                <w:lang w:eastAsia="bg-BG"/>
              </w:rPr>
            </w:pPr>
            <w:r w:rsidRPr="00CC5E0B">
              <w:rPr>
                <w:rFonts w:cs="Times New Roman"/>
                <w:bCs/>
                <w:szCs w:val="22"/>
                <w:lang w:eastAsia="bg-BG"/>
              </w:rPr>
              <w:t>-</w:t>
            </w:r>
          </w:p>
        </w:tc>
      </w:tr>
      <w:tr w:rsidR="0009282F" w:rsidRPr="00796446" w:rsidTr="00CC5E0B">
        <w:trPr>
          <w:trHeight w:val="20"/>
        </w:trPr>
        <w:tc>
          <w:tcPr>
            <w:tcW w:w="3573" w:type="pct"/>
            <w:tcBorders>
              <w:left w:val="nil"/>
              <w:right w:val="nil"/>
            </w:tcBorders>
            <w:shd w:val="clear" w:color="000000" w:fill="FFFFFF"/>
            <w:noWrap/>
          </w:tcPr>
          <w:p w:rsidR="0009282F" w:rsidRPr="00CC5E0B" w:rsidRDefault="00617B68" w:rsidP="00817FBA">
            <w:pPr>
              <w:rPr>
                <w:b/>
                <w:szCs w:val="22"/>
              </w:rPr>
            </w:pPr>
            <w:r w:rsidRPr="00CC5E0B">
              <w:rPr>
                <w:b/>
                <w:szCs w:val="22"/>
              </w:rPr>
              <w:t>Пари и парични еквиваленти</w:t>
            </w:r>
            <w:r w:rsidR="0009282F" w:rsidRPr="00CC5E0B">
              <w:rPr>
                <w:b/>
                <w:szCs w:val="22"/>
              </w:rPr>
              <w:t xml:space="preserve"> в </w:t>
            </w:r>
          </w:p>
          <w:p w:rsidR="00617B68" w:rsidRPr="00CC5E0B" w:rsidRDefault="0009282F" w:rsidP="00817FBA">
            <w:pPr>
              <w:rPr>
                <w:rFonts w:cs="Times New Roman"/>
                <w:b/>
                <w:szCs w:val="22"/>
                <w:lang w:eastAsia="bg-BG"/>
              </w:rPr>
            </w:pPr>
            <w:r w:rsidRPr="00CC5E0B">
              <w:rPr>
                <w:b/>
                <w:szCs w:val="22"/>
              </w:rPr>
              <w:t>отчета за паричните потоци</w:t>
            </w:r>
          </w:p>
        </w:tc>
        <w:tc>
          <w:tcPr>
            <w:tcW w:w="572" w:type="pct"/>
            <w:tcBorders>
              <w:top w:val="single" w:sz="4" w:space="0" w:color="auto"/>
              <w:left w:val="nil"/>
              <w:bottom w:val="single" w:sz="4" w:space="0" w:color="auto"/>
              <w:right w:val="nil"/>
            </w:tcBorders>
            <w:shd w:val="clear" w:color="000000" w:fill="FFFFFF"/>
            <w:noWrap/>
          </w:tcPr>
          <w:p w:rsidR="00B95C12" w:rsidRPr="00CC5E0B" w:rsidRDefault="00B95C12" w:rsidP="00817FBA">
            <w:pPr>
              <w:jc w:val="right"/>
              <w:rPr>
                <w:rFonts w:cs="Times New Roman"/>
                <w:b/>
                <w:szCs w:val="22"/>
                <w:lang w:eastAsia="bg-BG"/>
              </w:rPr>
            </w:pPr>
          </w:p>
          <w:p w:rsidR="00617B68" w:rsidRPr="00CC5E0B" w:rsidRDefault="003453B0" w:rsidP="00817FBA">
            <w:pPr>
              <w:jc w:val="right"/>
              <w:rPr>
                <w:rFonts w:cs="Times New Roman"/>
                <w:b/>
                <w:szCs w:val="22"/>
                <w:lang w:eastAsia="bg-BG"/>
              </w:rPr>
            </w:pPr>
            <w:r w:rsidRPr="00CC5E0B">
              <w:rPr>
                <w:rFonts w:cs="Times New Roman"/>
                <w:b/>
                <w:szCs w:val="22"/>
                <w:lang w:eastAsia="bg-BG"/>
              </w:rPr>
              <w:t>1,274</w:t>
            </w:r>
          </w:p>
        </w:tc>
        <w:tc>
          <w:tcPr>
            <w:tcW w:w="855" w:type="pct"/>
            <w:tcBorders>
              <w:top w:val="single" w:sz="4" w:space="0" w:color="auto"/>
              <w:left w:val="nil"/>
              <w:bottom w:val="single" w:sz="4" w:space="0" w:color="auto"/>
              <w:right w:val="nil"/>
            </w:tcBorders>
            <w:shd w:val="clear" w:color="000000" w:fill="FFFFFF"/>
          </w:tcPr>
          <w:p w:rsidR="00B95C12" w:rsidRPr="00CC5E0B" w:rsidRDefault="00B95C12" w:rsidP="00523E05">
            <w:pPr>
              <w:jc w:val="right"/>
              <w:rPr>
                <w:rFonts w:cs="Times New Roman"/>
                <w:b/>
                <w:szCs w:val="22"/>
                <w:lang w:eastAsia="bg-BG"/>
              </w:rPr>
            </w:pPr>
          </w:p>
          <w:p w:rsidR="00617B68" w:rsidRPr="00CC5E0B" w:rsidRDefault="00BB7E6B" w:rsidP="00523E05">
            <w:pPr>
              <w:jc w:val="right"/>
              <w:rPr>
                <w:rFonts w:cs="Times New Roman"/>
                <w:b/>
                <w:szCs w:val="22"/>
                <w:lang w:eastAsia="bg-BG"/>
              </w:rPr>
            </w:pPr>
            <w:r w:rsidRPr="00CC5E0B">
              <w:rPr>
                <w:rFonts w:cs="Times New Roman"/>
                <w:b/>
                <w:szCs w:val="22"/>
                <w:lang w:eastAsia="bg-BG"/>
              </w:rPr>
              <w:t>1,244</w:t>
            </w:r>
          </w:p>
        </w:tc>
      </w:tr>
      <w:tr w:rsidR="0009282F" w:rsidRPr="00796446" w:rsidTr="00CC5E0B">
        <w:trPr>
          <w:trHeight w:val="20"/>
        </w:trPr>
        <w:tc>
          <w:tcPr>
            <w:tcW w:w="3573" w:type="pct"/>
            <w:tcBorders>
              <w:left w:val="nil"/>
              <w:right w:val="nil"/>
            </w:tcBorders>
            <w:shd w:val="clear" w:color="000000" w:fill="FFFFFF"/>
            <w:noWrap/>
          </w:tcPr>
          <w:p w:rsidR="0009282F" w:rsidRPr="00CC5E0B" w:rsidRDefault="0009282F" w:rsidP="00817FBA">
            <w:pPr>
              <w:rPr>
                <w:b/>
                <w:szCs w:val="22"/>
              </w:rPr>
            </w:pPr>
            <w:r w:rsidRPr="00CC5E0B">
              <w:rPr>
                <w:szCs w:val="22"/>
                <w:lang w:eastAsia="bg-BG"/>
              </w:rPr>
              <w:t>Обезценка на парични средства</w:t>
            </w:r>
          </w:p>
        </w:tc>
        <w:tc>
          <w:tcPr>
            <w:tcW w:w="572" w:type="pct"/>
            <w:tcBorders>
              <w:top w:val="single" w:sz="4" w:space="0" w:color="auto"/>
              <w:left w:val="nil"/>
              <w:bottom w:val="single" w:sz="4" w:space="0" w:color="auto"/>
              <w:right w:val="nil"/>
            </w:tcBorders>
            <w:shd w:val="clear" w:color="000000" w:fill="FFFFFF"/>
            <w:noWrap/>
          </w:tcPr>
          <w:p w:rsidR="0009282F" w:rsidRPr="00CC5E0B" w:rsidRDefault="00CB2111" w:rsidP="00817FBA">
            <w:pPr>
              <w:jc w:val="right"/>
              <w:rPr>
                <w:rFonts w:cs="Times New Roman"/>
                <w:szCs w:val="22"/>
                <w:lang w:val="en-US" w:eastAsia="bg-BG"/>
              </w:rPr>
            </w:pPr>
            <w:r>
              <w:rPr>
                <w:rFonts w:cs="Times New Roman"/>
                <w:szCs w:val="22"/>
                <w:lang w:val="en-US" w:eastAsia="bg-BG"/>
              </w:rPr>
              <w:t>(1)</w:t>
            </w:r>
          </w:p>
        </w:tc>
        <w:tc>
          <w:tcPr>
            <w:tcW w:w="855" w:type="pct"/>
            <w:tcBorders>
              <w:top w:val="single" w:sz="4" w:space="0" w:color="auto"/>
              <w:left w:val="nil"/>
              <w:bottom w:val="single" w:sz="4" w:space="0" w:color="auto"/>
              <w:right w:val="nil"/>
            </w:tcBorders>
            <w:shd w:val="clear" w:color="000000" w:fill="FFFFFF"/>
          </w:tcPr>
          <w:p w:rsidR="0009282F" w:rsidRPr="00CC5E0B" w:rsidRDefault="00BB7E6B" w:rsidP="00523E05">
            <w:pPr>
              <w:jc w:val="right"/>
              <w:rPr>
                <w:rFonts w:cs="Times New Roman"/>
                <w:szCs w:val="22"/>
                <w:lang w:eastAsia="bg-BG"/>
              </w:rPr>
            </w:pPr>
            <w:r w:rsidRPr="00CC5E0B">
              <w:rPr>
                <w:rFonts w:cs="Times New Roman"/>
                <w:szCs w:val="22"/>
                <w:lang w:eastAsia="bg-BG"/>
              </w:rPr>
              <w:t>(1)</w:t>
            </w:r>
          </w:p>
        </w:tc>
      </w:tr>
      <w:tr w:rsidR="00950C0A" w:rsidRPr="00796446" w:rsidTr="00CC5E0B">
        <w:trPr>
          <w:trHeight w:val="20"/>
        </w:trPr>
        <w:tc>
          <w:tcPr>
            <w:tcW w:w="3573" w:type="pct"/>
            <w:tcBorders>
              <w:left w:val="nil"/>
              <w:right w:val="nil"/>
            </w:tcBorders>
            <w:shd w:val="clear" w:color="000000" w:fill="FFFFFF"/>
            <w:noWrap/>
            <w:vAlign w:val="bottom"/>
          </w:tcPr>
          <w:p w:rsidR="0009282F" w:rsidRPr="00CC5E0B" w:rsidRDefault="0009282F" w:rsidP="0009282F">
            <w:pPr>
              <w:rPr>
                <w:b/>
                <w:szCs w:val="22"/>
              </w:rPr>
            </w:pPr>
            <w:r w:rsidRPr="00CC5E0B">
              <w:rPr>
                <w:b/>
                <w:szCs w:val="22"/>
              </w:rPr>
              <w:t xml:space="preserve">Пари и парични еквиваленти в </w:t>
            </w:r>
          </w:p>
          <w:p w:rsidR="0009282F" w:rsidRPr="00CC5E0B" w:rsidRDefault="0009282F" w:rsidP="0009282F">
            <w:pPr>
              <w:rPr>
                <w:b/>
                <w:szCs w:val="22"/>
              </w:rPr>
            </w:pPr>
            <w:r w:rsidRPr="00CC5E0B">
              <w:rPr>
                <w:b/>
                <w:szCs w:val="22"/>
              </w:rPr>
              <w:t>отчета за финансовото състояние</w:t>
            </w:r>
          </w:p>
        </w:tc>
        <w:tc>
          <w:tcPr>
            <w:tcW w:w="572" w:type="pct"/>
            <w:tcBorders>
              <w:top w:val="single" w:sz="4" w:space="0" w:color="auto"/>
              <w:left w:val="nil"/>
              <w:bottom w:val="double" w:sz="4" w:space="0" w:color="auto"/>
              <w:right w:val="nil"/>
            </w:tcBorders>
            <w:shd w:val="clear" w:color="000000" w:fill="FFFFFF"/>
            <w:noWrap/>
            <w:vAlign w:val="bottom"/>
          </w:tcPr>
          <w:p w:rsidR="0009282F" w:rsidRPr="00CC5E0B" w:rsidRDefault="003453B0" w:rsidP="00817FBA">
            <w:pPr>
              <w:jc w:val="right"/>
              <w:rPr>
                <w:rFonts w:cs="Times New Roman"/>
                <w:b/>
                <w:szCs w:val="22"/>
                <w:lang w:eastAsia="bg-BG"/>
              </w:rPr>
            </w:pPr>
            <w:r w:rsidRPr="00CC5E0B">
              <w:rPr>
                <w:rFonts w:cs="Times New Roman"/>
                <w:b/>
                <w:szCs w:val="22"/>
                <w:lang w:eastAsia="bg-BG"/>
              </w:rPr>
              <w:t>1,27</w:t>
            </w:r>
            <w:r w:rsidR="007308AF">
              <w:rPr>
                <w:rFonts w:cs="Times New Roman"/>
                <w:b/>
                <w:szCs w:val="22"/>
                <w:lang w:eastAsia="bg-BG"/>
              </w:rPr>
              <w:t>3</w:t>
            </w:r>
          </w:p>
        </w:tc>
        <w:tc>
          <w:tcPr>
            <w:tcW w:w="855" w:type="pct"/>
            <w:tcBorders>
              <w:top w:val="single" w:sz="4" w:space="0" w:color="auto"/>
              <w:left w:val="nil"/>
              <w:bottom w:val="double" w:sz="4" w:space="0" w:color="auto"/>
              <w:right w:val="nil"/>
            </w:tcBorders>
            <w:shd w:val="clear" w:color="000000" w:fill="FFFFFF"/>
            <w:vAlign w:val="bottom"/>
          </w:tcPr>
          <w:p w:rsidR="0009282F" w:rsidRPr="00CC5E0B" w:rsidRDefault="00BB7E6B" w:rsidP="00523E05">
            <w:pPr>
              <w:jc w:val="right"/>
              <w:rPr>
                <w:rFonts w:cs="Times New Roman"/>
                <w:b/>
                <w:szCs w:val="22"/>
                <w:lang w:eastAsia="bg-BG"/>
              </w:rPr>
            </w:pPr>
            <w:r w:rsidRPr="00CC5E0B">
              <w:rPr>
                <w:rFonts w:cs="Times New Roman"/>
                <w:b/>
                <w:szCs w:val="22"/>
                <w:lang w:eastAsia="bg-BG"/>
              </w:rPr>
              <w:t>1,243</w:t>
            </w:r>
          </w:p>
        </w:tc>
      </w:tr>
    </w:tbl>
    <w:p w:rsidR="005301DA" w:rsidRPr="00CC5E0B" w:rsidRDefault="005301DA" w:rsidP="00817FBA">
      <w:pPr>
        <w:spacing w:after="120" w:line="259" w:lineRule="auto"/>
        <w:jc w:val="both"/>
        <w:rPr>
          <w:szCs w:val="22"/>
        </w:rPr>
      </w:pPr>
    </w:p>
    <w:p w:rsidR="00A65275" w:rsidRPr="00CC5E0B" w:rsidRDefault="003B6E37" w:rsidP="0009282F">
      <w:pPr>
        <w:spacing w:after="120" w:line="259" w:lineRule="auto"/>
        <w:jc w:val="both"/>
        <w:rPr>
          <w:szCs w:val="22"/>
        </w:rPr>
      </w:pPr>
      <w:r w:rsidRPr="00CC5E0B">
        <w:rPr>
          <w:szCs w:val="22"/>
        </w:rPr>
        <w:t xml:space="preserve">Дружеството няма блокирани пари и парични еквиваленти. </w:t>
      </w:r>
    </w:p>
    <w:p w:rsidR="00A65275" w:rsidRPr="00CC5E0B" w:rsidRDefault="00A65275" w:rsidP="00A65275">
      <w:pPr>
        <w:tabs>
          <w:tab w:val="left" w:pos="369"/>
          <w:tab w:val="left" w:pos="720"/>
        </w:tabs>
        <w:jc w:val="both"/>
        <w:outlineLvl w:val="0"/>
        <w:rPr>
          <w:b/>
          <w:szCs w:val="22"/>
        </w:rPr>
      </w:pPr>
      <w:r w:rsidRPr="00CC5E0B">
        <w:rPr>
          <w:b/>
          <w:szCs w:val="22"/>
        </w:rPr>
        <w:t>Равнение между началните и крайните салда в отчета за финансовото състояние към 3</w:t>
      </w:r>
      <w:r w:rsidR="009112F8" w:rsidRPr="00CC5E0B">
        <w:rPr>
          <w:b/>
          <w:szCs w:val="22"/>
        </w:rPr>
        <w:t>0</w:t>
      </w:r>
      <w:r w:rsidRPr="00CC5E0B">
        <w:rPr>
          <w:b/>
          <w:szCs w:val="22"/>
        </w:rPr>
        <w:t>.</w:t>
      </w:r>
      <w:r w:rsidR="00BB7E6B" w:rsidRPr="00CC5E0B">
        <w:rPr>
          <w:b/>
          <w:szCs w:val="22"/>
        </w:rPr>
        <w:t>0</w:t>
      </w:r>
      <w:r w:rsidR="009112F8" w:rsidRPr="00CC5E0B">
        <w:rPr>
          <w:b/>
          <w:szCs w:val="22"/>
        </w:rPr>
        <w:t>6</w:t>
      </w:r>
      <w:r w:rsidRPr="00CC5E0B">
        <w:rPr>
          <w:b/>
          <w:szCs w:val="22"/>
        </w:rPr>
        <w:t>.201</w:t>
      </w:r>
      <w:r w:rsidR="00BB7E6B" w:rsidRPr="00CC5E0B">
        <w:rPr>
          <w:b/>
          <w:szCs w:val="22"/>
        </w:rPr>
        <w:t>9</w:t>
      </w:r>
      <w:r w:rsidRPr="00CC5E0B">
        <w:rPr>
          <w:b/>
          <w:szCs w:val="22"/>
        </w:rPr>
        <w:t xml:space="preserve"> г. на пасивите, възникващи от финансови дейности:</w:t>
      </w:r>
    </w:p>
    <w:p w:rsidR="00A65275" w:rsidRPr="00CC5E0B" w:rsidRDefault="00A65275" w:rsidP="00A65275">
      <w:pPr>
        <w:tabs>
          <w:tab w:val="left" w:pos="369"/>
          <w:tab w:val="left" w:pos="720"/>
        </w:tabs>
        <w:jc w:val="both"/>
        <w:outlineLvl w:val="0"/>
        <w:rPr>
          <w:b/>
          <w:szCs w:val="22"/>
        </w:rPr>
      </w:pPr>
    </w:p>
    <w:tbl>
      <w:tblPr>
        <w:tblW w:w="4986" w:type="pct"/>
        <w:tblInd w:w="70" w:type="dxa"/>
        <w:tblLayout w:type="fixed"/>
        <w:tblCellMar>
          <w:left w:w="70" w:type="dxa"/>
          <w:right w:w="70" w:type="dxa"/>
        </w:tblCellMar>
        <w:tblLook w:val="04A0"/>
      </w:tblPr>
      <w:tblGrid>
        <w:gridCol w:w="3743"/>
        <w:gridCol w:w="1219"/>
        <w:gridCol w:w="1296"/>
        <w:gridCol w:w="1587"/>
        <w:gridCol w:w="1296"/>
      </w:tblGrid>
      <w:tr w:rsidR="00711D38" w:rsidRPr="00796446" w:rsidTr="00CC5E0B">
        <w:trPr>
          <w:trHeight w:val="540"/>
        </w:trPr>
        <w:tc>
          <w:tcPr>
            <w:tcW w:w="20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275" w:rsidRPr="00796446" w:rsidRDefault="00A65275" w:rsidP="00CC5E0B">
            <w:pPr>
              <w:ind w:hanging="64"/>
              <w:jc w:val="both"/>
              <w:rPr>
                <w:rFonts w:cs="Times New Roman"/>
                <w:b/>
                <w:bCs/>
                <w:szCs w:val="22"/>
                <w:lang w:eastAsia="bg-BG"/>
              </w:rPr>
            </w:pPr>
            <w:r w:rsidRPr="00796446">
              <w:rPr>
                <w:rFonts w:cs="Times New Roman"/>
                <w:b/>
                <w:bCs/>
                <w:szCs w:val="22"/>
                <w:lang w:eastAsia="bg-BG"/>
              </w:rPr>
              <w:t>Пасиви, възникващи от финансови дейности</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275" w:rsidRPr="00796446" w:rsidRDefault="00A65275" w:rsidP="00CC5E0B">
            <w:pPr>
              <w:ind w:hanging="64"/>
              <w:jc w:val="center"/>
              <w:rPr>
                <w:rFonts w:cs="Times New Roman"/>
                <w:b/>
                <w:bCs/>
                <w:szCs w:val="22"/>
                <w:lang w:eastAsia="bg-BG"/>
              </w:rPr>
            </w:pPr>
            <w:r w:rsidRPr="00796446">
              <w:rPr>
                <w:rFonts w:cs="Times New Roman"/>
                <w:b/>
                <w:bCs/>
                <w:szCs w:val="22"/>
                <w:lang w:eastAsia="bg-BG"/>
              </w:rPr>
              <w:t>На 1 януари</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A65275" w:rsidRPr="00796446" w:rsidRDefault="00A65275" w:rsidP="00CC5E0B">
            <w:pPr>
              <w:ind w:hanging="64"/>
              <w:jc w:val="center"/>
              <w:rPr>
                <w:rFonts w:cs="Times New Roman"/>
                <w:b/>
                <w:bCs/>
                <w:szCs w:val="22"/>
                <w:lang w:eastAsia="bg-BG"/>
              </w:rPr>
            </w:pPr>
            <w:r w:rsidRPr="00796446">
              <w:rPr>
                <w:rFonts w:cs="Times New Roman"/>
                <w:b/>
                <w:bCs/>
                <w:szCs w:val="22"/>
                <w:lang w:eastAsia="bg-BG"/>
              </w:rPr>
              <w:t>Парични потоци от финансова дейност</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A65275" w:rsidRPr="00796446" w:rsidRDefault="00A65275" w:rsidP="00CC5E0B">
            <w:pPr>
              <w:ind w:hanging="64"/>
              <w:jc w:val="center"/>
              <w:rPr>
                <w:rFonts w:cs="Times New Roman"/>
                <w:b/>
                <w:bCs/>
                <w:szCs w:val="22"/>
                <w:lang w:eastAsia="bg-BG"/>
              </w:rPr>
            </w:pPr>
            <w:r w:rsidRPr="00796446">
              <w:rPr>
                <w:rFonts w:cs="Times New Roman"/>
                <w:b/>
                <w:bCs/>
                <w:szCs w:val="22"/>
                <w:lang w:eastAsia="bg-BG"/>
              </w:rPr>
              <w:t xml:space="preserve">Промени с непаричен характер - безналични </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275" w:rsidRPr="00796446" w:rsidRDefault="0012771D" w:rsidP="00CC5E0B">
            <w:pPr>
              <w:ind w:hanging="64"/>
              <w:jc w:val="center"/>
              <w:rPr>
                <w:rFonts w:cs="Times New Roman"/>
                <w:b/>
                <w:bCs/>
                <w:szCs w:val="22"/>
                <w:lang w:eastAsia="bg-BG"/>
              </w:rPr>
            </w:pPr>
            <w:r w:rsidRPr="00796446">
              <w:rPr>
                <w:rFonts w:cs="Times New Roman"/>
                <w:b/>
                <w:bCs/>
                <w:szCs w:val="22"/>
                <w:lang w:eastAsia="bg-BG"/>
              </w:rPr>
              <w:t>На 3</w:t>
            </w:r>
            <w:r w:rsidR="009112F8" w:rsidRPr="00796446">
              <w:rPr>
                <w:rFonts w:cs="Times New Roman"/>
                <w:b/>
                <w:bCs/>
                <w:szCs w:val="22"/>
                <w:lang w:eastAsia="bg-BG"/>
              </w:rPr>
              <w:t>0</w:t>
            </w:r>
            <w:r w:rsidRPr="00796446">
              <w:rPr>
                <w:rFonts w:cs="Times New Roman"/>
                <w:b/>
                <w:bCs/>
                <w:szCs w:val="22"/>
                <w:lang w:eastAsia="bg-BG"/>
              </w:rPr>
              <w:t xml:space="preserve"> </w:t>
            </w:r>
            <w:r w:rsidR="009112F8" w:rsidRPr="00796446">
              <w:rPr>
                <w:rFonts w:cs="Times New Roman"/>
                <w:b/>
                <w:bCs/>
                <w:szCs w:val="22"/>
                <w:lang w:eastAsia="bg-BG"/>
              </w:rPr>
              <w:t>юни</w:t>
            </w:r>
          </w:p>
        </w:tc>
      </w:tr>
      <w:tr w:rsidR="00711D38" w:rsidRPr="00796446" w:rsidTr="00CC5E0B">
        <w:trPr>
          <w:trHeight w:val="552"/>
        </w:trPr>
        <w:tc>
          <w:tcPr>
            <w:tcW w:w="2047" w:type="pct"/>
            <w:vMerge/>
            <w:tcBorders>
              <w:top w:val="single" w:sz="4" w:space="0" w:color="auto"/>
              <w:left w:val="single" w:sz="4" w:space="0" w:color="auto"/>
              <w:bottom w:val="single" w:sz="4" w:space="0" w:color="auto"/>
              <w:right w:val="single" w:sz="4" w:space="0" w:color="auto"/>
            </w:tcBorders>
            <w:vAlign w:val="center"/>
            <w:hideMark/>
          </w:tcPr>
          <w:p w:rsidR="00A65275" w:rsidRPr="00796446" w:rsidRDefault="00A65275" w:rsidP="00CC5E0B">
            <w:pPr>
              <w:ind w:hanging="64"/>
              <w:rPr>
                <w:rFonts w:cs="Times New Roman"/>
                <w:b/>
                <w:bCs/>
                <w:szCs w:val="22"/>
                <w:lang w:eastAsia="bg-BG"/>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rsidR="00A65275" w:rsidRPr="00796446" w:rsidRDefault="00A65275" w:rsidP="00CC5E0B">
            <w:pPr>
              <w:ind w:hanging="64"/>
              <w:rPr>
                <w:rFonts w:cs="Times New Roman"/>
                <w:b/>
                <w:bCs/>
                <w:szCs w:val="22"/>
                <w:lang w:eastAsia="bg-BG"/>
              </w:rPr>
            </w:pPr>
          </w:p>
        </w:tc>
        <w:tc>
          <w:tcPr>
            <w:tcW w:w="709" w:type="pct"/>
            <w:tcBorders>
              <w:top w:val="nil"/>
              <w:left w:val="nil"/>
              <w:bottom w:val="single" w:sz="4" w:space="0" w:color="auto"/>
              <w:right w:val="single" w:sz="4" w:space="0" w:color="auto"/>
            </w:tcBorders>
            <w:shd w:val="clear" w:color="auto" w:fill="auto"/>
            <w:noWrap/>
            <w:vAlign w:val="center"/>
            <w:hideMark/>
          </w:tcPr>
          <w:p w:rsidR="00A65275" w:rsidRPr="00796446" w:rsidRDefault="00A65275" w:rsidP="00CC5E0B">
            <w:pPr>
              <w:ind w:hanging="64"/>
              <w:jc w:val="center"/>
              <w:rPr>
                <w:rFonts w:cs="Times New Roman"/>
                <w:b/>
                <w:bCs/>
                <w:szCs w:val="22"/>
                <w:lang w:eastAsia="bg-BG"/>
              </w:rPr>
            </w:pPr>
            <w:r w:rsidRPr="00796446">
              <w:rPr>
                <w:rFonts w:cs="Times New Roman"/>
                <w:b/>
                <w:bCs/>
                <w:szCs w:val="22"/>
                <w:lang w:eastAsia="bg-BG"/>
              </w:rPr>
              <w:t>Плащания</w:t>
            </w:r>
          </w:p>
        </w:tc>
        <w:tc>
          <w:tcPr>
            <w:tcW w:w="868" w:type="pct"/>
            <w:tcBorders>
              <w:top w:val="nil"/>
              <w:left w:val="nil"/>
              <w:bottom w:val="single" w:sz="4" w:space="0" w:color="auto"/>
              <w:right w:val="single" w:sz="4" w:space="0" w:color="auto"/>
            </w:tcBorders>
            <w:shd w:val="clear" w:color="auto" w:fill="auto"/>
            <w:vAlign w:val="center"/>
            <w:hideMark/>
          </w:tcPr>
          <w:p w:rsidR="00A65275" w:rsidRPr="00796446" w:rsidRDefault="00A65275" w:rsidP="00CC5E0B">
            <w:pPr>
              <w:ind w:hanging="64"/>
              <w:jc w:val="center"/>
              <w:rPr>
                <w:rFonts w:cs="Times New Roman"/>
                <w:b/>
                <w:bCs/>
                <w:szCs w:val="22"/>
                <w:lang w:eastAsia="bg-BG"/>
              </w:rPr>
            </w:pPr>
            <w:r w:rsidRPr="00796446">
              <w:rPr>
                <w:rFonts w:cs="Times New Roman"/>
                <w:b/>
                <w:bCs/>
                <w:szCs w:val="22"/>
                <w:lang w:eastAsia="bg-BG"/>
              </w:rPr>
              <w:t>Придобити (увеличения)</w:t>
            </w:r>
          </w:p>
        </w:tc>
        <w:tc>
          <w:tcPr>
            <w:tcW w:w="709" w:type="pct"/>
            <w:vMerge/>
            <w:tcBorders>
              <w:top w:val="single" w:sz="4" w:space="0" w:color="auto"/>
              <w:left w:val="single" w:sz="4" w:space="0" w:color="auto"/>
              <w:bottom w:val="single" w:sz="4" w:space="0" w:color="auto"/>
              <w:right w:val="single" w:sz="4" w:space="0" w:color="auto"/>
            </w:tcBorders>
            <w:vAlign w:val="center"/>
            <w:hideMark/>
          </w:tcPr>
          <w:p w:rsidR="00A65275" w:rsidRPr="00796446" w:rsidRDefault="00A65275" w:rsidP="00CC5E0B">
            <w:pPr>
              <w:ind w:hanging="64"/>
              <w:rPr>
                <w:rFonts w:cs="Times New Roman"/>
                <w:b/>
                <w:bCs/>
                <w:szCs w:val="22"/>
                <w:lang w:eastAsia="bg-BG"/>
              </w:rPr>
            </w:pPr>
          </w:p>
        </w:tc>
      </w:tr>
      <w:tr w:rsidR="00711D38" w:rsidRPr="00796446" w:rsidTr="00CC5E0B">
        <w:trPr>
          <w:trHeight w:val="300"/>
        </w:trPr>
        <w:tc>
          <w:tcPr>
            <w:tcW w:w="2047" w:type="pct"/>
            <w:tcBorders>
              <w:top w:val="nil"/>
              <w:left w:val="single" w:sz="4" w:space="0" w:color="auto"/>
              <w:bottom w:val="single" w:sz="4" w:space="0" w:color="auto"/>
              <w:right w:val="single" w:sz="4" w:space="0" w:color="auto"/>
            </w:tcBorders>
            <w:shd w:val="clear" w:color="auto" w:fill="auto"/>
            <w:noWrap/>
            <w:vAlign w:val="bottom"/>
            <w:hideMark/>
          </w:tcPr>
          <w:p w:rsidR="00A65275" w:rsidRPr="00796446" w:rsidRDefault="00A65275" w:rsidP="00CC5E0B">
            <w:pPr>
              <w:ind w:hanging="64"/>
              <w:rPr>
                <w:rFonts w:cs="Times New Roman"/>
                <w:szCs w:val="22"/>
                <w:lang w:eastAsia="bg-BG"/>
              </w:rPr>
            </w:pPr>
            <w:r w:rsidRPr="00796446">
              <w:rPr>
                <w:rFonts w:cs="Times New Roman"/>
                <w:szCs w:val="22"/>
                <w:lang w:eastAsia="bg-BG"/>
              </w:rPr>
              <w:lastRenderedPageBreak/>
              <w:t xml:space="preserve"> Дългосрочни търговски заеми свързани лица  </w:t>
            </w:r>
          </w:p>
        </w:tc>
        <w:tc>
          <w:tcPr>
            <w:tcW w:w="667" w:type="pct"/>
            <w:tcBorders>
              <w:top w:val="nil"/>
              <w:left w:val="nil"/>
              <w:bottom w:val="single" w:sz="4" w:space="0" w:color="auto"/>
              <w:right w:val="single" w:sz="4" w:space="0" w:color="auto"/>
            </w:tcBorders>
            <w:shd w:val="clear" w:color="auto" w:fill="auto"/>
            <w:noWrap/>
            <w:vAlign w:val="bottom"/>
            <w:hideMark/>
          </w:tcPr>
          <w:p w:rsidR="00A65275" w:rsidRPr="00796446" w:rsidRDefault="005460FA" w:rsidP="00CC5E0B">
            <w:pPr>
              <w:ind w:hanging="64"/>
              <w:jc w:val="right"/>
              <w:rPr>
                <w:rFonts w:cs="Times New Roman"/>
                <w:szCs w:val="22"/>
                <w:lang w:eastAsia="bg-BG"/>
              </w:rPr>
            </w:pPr>
            <w:r w:rsidRPr="00796446">
              <w:rPr>
                <w:rFonts w:cs="Times New Roman"/>
                <w:szCs w:val="22"/>
                <w:lang w:eastAsia="bg-BG"/>
              </w:rPr>
              <w:t>12,889</w:t>
            </w:r>
          </w:p>
        </w:tc>
        <w:tc>
          <w:tcPr>
            <w:tcW w:w="709" w:type="pct"/>
            <w:tcBorders>
              <w:top w:val="nil"/>
              <w:left w:val="nil"/>
              <w:bottom w:val="single" w:sz="4" w:space="0" w:color="auto"/>
              <w:right w:val="single" w:sz="4" w:space="0" w:color="auto"/>
            </w:tcBorders>
            <w:shd w:val="clear" w:color="auto" w:fill="auto"/>
            <w:noWrap/>
            <w:vAlign w:val="bottom"/>
            <w:hideMark/>
          </w:tcPr>
          <w:p w:rsidR="00A65275" w:rsidRPr="00796446" w:rsidRDefault="00564436" w:rsidP="00CC5E0B">
            <w:pPr>
              <w:ind w:hanging="64"/>
              <w:jc w:val="right"/>
              <w:rPr>
                <w:rFonts w:cs="Times New Roman"/>
                <w:szCs w:val="22"/>
                <w:lang w:eastAsia="bg-BG"/>
              </w:rPr>
            </w:pPr>
            <w:r w:rsidRPr="00796446">
              <w:rPr>
                <w:rFonts w:cs="Times New Roman"/>
                <w:szCs w:val="22"/>
                <w:lang w:eastAsia="bg-BG"/>
              </w:rPr>
              <w:t>(</w:t>
            </w:r>
            <w:r w:rsidR="005460FA" w:rsidRPr="00796446">
              <w:rPr>
                <w:rFonts w:cs="Times New Roman"/>
                <w:szCs w:val="22"/>
                <w:lang w:eastAsia="bg-BG"/>
              </w:rPr>
              <w:t>1,262</w:t>
            </w:r>
            <w:r w:rsidR="00A65275" w:rsidRPr="00796446">
              <w:rPr>
                <w:rFonts w:cs="Times New Roman"/>
                <w:szCs w:val="22"/>
                <w:lang w:eastAsia="bg-BG"/>
              </w:rPr>
              <w:t>)</w:t>
            </w:r>
          </w:p>
        </w:tc>
        <w:tc>
          <w:tcPr>
            <w:tcW w:w="868" w:type="pct"/>
            <w:tcBorders>
              <w:top w:val="nil"/>
              <w:left w:val="nil"/>
              <w:bottom w:val="single" w:sz="4" w:space="0" w:color="auto"/>
              <w:right w:val="single" w:sz="4" w:space="0" w:color="auto"/>
            </w:tcBorders>
            <w:shd w:val="clear" w:color="auto" w:fill="auto"/>
            <w:noWrap/>
            <w:vAlign w:val="bottom"/>
            <w:hideMark/>
          </w:tcPr>
          <w:p w:rsidR="00A65275" w:rsidRPr="00796446" w:rsidRDefault="00FB2542" w:rsidP="00CC5E0B">
            <w:pPr>
              <w:ind w:hanging="64"/>
              <w:jc w:val="right"/>
              <w:rPr>
                <w:rFonts w:cs="Times New Roman"/>
                <w:szCs w:val="22"/>
                <w:lang w:eastAsia="bg-BG"/>
              </w:rPr>
            </w:pPr>
            <w:r w:rsidRPr="00796446">
              <w:rPr>
                <w:rFonts w:cs="Times New Roman"/>
                <w:szCs w:val="22"/>
                <w:lang w:eastAsia="bg-BG"/>
              </w:rPr>
              <w:t>147</w:t>
            </w:r>
          </w:p>
        </w:tc>
        <w:tc>
          <w:tcPr>
            <w:tcW w:w="709" w:type="pct"/>
            <w:tcBorders>
              <w:top w:val="nil"/>
              <w:left w:val="nil"/>
              <w:bottom w:val="single" w:sz="4" w:space="0" w:color="auto"/>
              <w:right w:val="single" w:sz="4" w:space="0" w:color="auto"/>
            </w:tcBorders>
            <w:shd w:val="clear" w:color="auto" w:fill="auto"/>
            <w:noWrap/>
            <w:vAlign w:val="bottom"/>
            <w:hideMark/>
          </w:tcPr>
          <w:p w:rsidR="00A65275" w:rsidRPr="00796446" w:rsidRDefault="00DB2288" w:rsidP="00CC5E0B">
            <w:pPr>
              <w:ind w:hanging="64"/>
              <w:jc w:val="right"/>
              <w:rPr>
                <w:rFonts w:cs="Times New Roman"/>
                <w:szCs w:val="22"/>
                <w:lang w:eastAsia="bg-BG"/>
              </w:rPr>
            </w:pPr>
            <w:r w:rsidRPr="00796446">
              <w:rPr>
                <w:rFonts w:cs="Times New Roman"/>
                <w:szCs w:val="22"/>
                <w:lang w:eastAsia="bg-BG"/>
              </w:rPr>
              <w:t>1</w:t>
            </w:r>
            <w:r w:rsidR="005460FA" w:rsidRPr="00796446">
              <w:rPr>
                <w:rFonts w:cs="Times New Roman"/>
                <w:szCs w:val="22"/>
                <w:lang w:eastAsia="bg-BG"/>
              </w:rPr>
              <w:t>1,</w:t>
            </w:r>
            <w:r w:rsidR="00FB2542" w:rsidRPr="00796446">
              <w:rPr>
                <w:rFonts w:cs="Times New Roman"/>
                <w:szCs w:val="22"/>
                <w:lang w:eastAsia="bg-BG"/>
              </w:rPr>
              <w:t>774</w:t>
            </w:r>
          </w:p>
        </w:tc>
      </w:tr>
      <w:tr w:rsidR="00711D38" w:rsidRPr="00796446" w:rsidTr="00CC5E0B">
        <w:trPr>
          <w:trHeight w:val="300"/>
        </w:trPr>
        <w:tc>
          <w:tcPr>
            <w:tcW w:w="2047" w:type="pct"/>
            <w:tcBorders>
              <w:top w:val="nil"/>
              <w:left w:val="single" w:sz="4" w:space="0" w:color="auto"/>
              <w:bottom w:val="single" w:sz="4" w:space="0" w:color="auto"/>
              <w:right w:val="single" w:sz="4" w:space="0" w:color="auto"/>
            </w:tcBorders>
            <w:shd w:val="clear" w:color="auto" w:fill="auto"/>
            <w:noWrap/>
            <w:vAlign w:val="bottom"/>
            <w:hideMark/>
          </w:tcPr>
          <w:p w:rsidR="00A65275" w:rsidRPr="00796446" w:rsidRDefault="00A65275" w:rsidP="00CC5E0B">
            <w:pPr>
              <w:ind w:hanging="64"/>
              <w:rPr>
                <w:rFonts w:cs="Times New Roman"/>
                <w:b/>
                <w:bCs/>
                <w:szCs w:val="22"/>
                <w:lang w:eastAsia="bg-BG"/>
              </w:rPr>
            </w:pPr>
            <w:r w:rsidRPr="00796446">
              <w:rPr>
                <w:rFonts w:cs="Times New Roman"/>
                <w:b/>
                <w:bCs/>
                <w:szCs w:val="22"/>
                <w:lang w:eastAsia="bg-BG"/>
              </w:rPr>
              <w:t xml:space="preserve"> Общо пасиви от финансови дейности: </w:t>
            </w:r>
          </w:p>
        </w:tc>
        <w:tc>
          <w:tcPr>
            <w:tcW w:w="667" w:type="pct"/>
            <w:tcBorders>
              <w:top w:val="nil"/>
              <w:left w:val="nil"/>
              <w:bottom w:val="single" w:sz="4" w:space="0" w:color="auto"/>
              <w:right w:val="single" w:sz="4" w:space="0" w:color="auto"/>
            </w:tcBorders>
            <w:shd w:val="clear" w:color="auto" w:fill="auto"/>
            <w:noWrap/>
            <w:vAlign w:val="bottom"/>
            <w:hideMark/>
          </w:tcPr>
          <w:p w:rsidR="00A65275" w:rsidRPr="00796446" w:rsidRDefault="005460FA" w:rsidP="00CC5E0B">
            <w:pPr>
              <w:ind w:hanging="64"/>
              <w:jc w:val="right"/>
              <w:rPr>
                <w:rFonts w:cs="Times New Roman"/>
                <w:b/>
                <w:bCs/>
                <w:szCs w:val="22"/>
                <w:lang w:eastAsia="bg-BG"/>
              </w:rPr>
            </w:pPr>
            <w:r w:rsidRPr="00796446">
              <w:rPr>
                <w:rFonts w:cs="Times New Roman"/>
                <w:b/>
                <w:bCs/>
                <w:szCs w:val="22"/>
                <w:lang w:eastAsia="bg-BG"/>
              </w:rPr>
              <w:t>12,889</w:t>
            </w:r>
          </w:p>
        </w:tc>
        <w:tc>
          <w:tcPr>
            <w:tcW w:w="709" w:type="pct"/>
            <w:tcBorders>
              <w:top w:val="nil"/>
              <w:left w:val="nil"/>
              <w:bottom w:val="single" w:sz="4" w:space="0" w:color="auto"/>
              <w:right w:val="single" w:sz="4" w:space="0" w:color="auto"/>
            </w:tcBorders>
            <w:shd w:val="clear" w:color="auto" w:fill="auto"/>
            <w:noWrap/>
            <w:vAlign w:val="bottom"/>
            <w:hideMark/>
          </w:tcPr>
          <w:p w:rsidR="00A65275" w:rsidRPr="00796446" w:rsidRDefault="00A65275" w:rsidP="00CC5E0B">
            <w:pPr>
              <w:ind w:hanging="64"/>
              <w:jc w:val="right"/>
              <w:rPr>
                <w:rFonts w:cs="Times New Roman"/>
                <w:b/>
                <w:bCs/>
                <w:szCs w:val="22"/>
                <w:lang w:eastAsia="bg-BG"/>
              </w:rPr>
            </w:pPr>
            <w:r w:rsidRPr="00796446">
              <w:rPr>
                <w:rFonts w:cs="Times New Roman"/>
                <w:b/>
                <w:bCs/>
                <w:szCs w:val="22"/>
                <w:lang w:eastAsia="bg-BG"/>
              </w:rPr>
              <w:t>(</w:t>
            </w:r>
            <w:r w:rsidR="005460FA" w:rsidRPr="00796446">
              <w:rPr>
                <w:rFonts w:cs="Times New Roman"/>
                <w:b/>
                <w:bCs/>
                <w:szCs w:val="22"/>
                <w:lang w:eastAsia="bg-BG"/>
              </w:rPr>
              <w:t>1,262</w:t>
            </w:r>
            <w:r w:rsidRPr="00796446">
              <w:rPr>
                <w:rFonts w:cs="Times New Roman"/>
                <w:b/>
                <w:bCs/>
                <w:szCs w:val="22"/>
                <w:lang w:eastAsia="bg-BG"/>
              </w:rPr>
              <w:t>)</w:t>
            </w:r>
          </w:p>
        </w:tc>
        <w:tc>
          <w:tcPr>
            <w:tcW w:w="868" w:type="pct"/>
            <w:tcBorders>
              <w:top w:val="nil"/>
              <w:left w:val="nil"/>
              <w:bottom w:val="single" w:sz="4" w:space="0" w:color="auto"/>
              <w:right w:val="single" w:sz="4" w:space="0" w:color="auto"/>
            </w:tcBorders>
            <w:shd w:val="clear" w:color="auto" w:fill="auto"/>
            <w:noWrap/>
            <w:vAlign w:val="bottom"/>
            <w:hideMark/>
          </w:tcPr>
          <w:p w:rsidR="00A65275" w:rsidRPr="00796446" w:rsidRDefault="00FB2542" w:rsidP="00CC5E0B">
            <w:pPr>
              <w:ind w:hanging="64"/>
              <w:jc w:val="right"/>
              <w:rPr>
                <w:rFonts w:cs="Times New Roman"/>
                <w:b/>
                <w:bCs/>
                <w:szCs w:val="22"/>
                <w:lang w:eastAsia="bg-BG"/>
              </w:rPr>
            </w:pPr>
            <w:r w:rsidRPr="00796446">
              <w:rPr>
                <w:rFonts w:cs="Times New Roman"/>
                <w:b/>
                <w:bCs/>
                <w:szCs w:val="22"/>
                <w:lang w:eastAsia="bg-BG"/>
              </w:rPr>
              <w:t>147</w:t>
            </w:r>
          </w:p>
        </w:tc>
        <w:tc>
          <w:tcPr>
            <w:tcW w:w="709" w:type="pct"/>
            <w:tcBorders>
              <w:top w:val="nil"/>
              <w:left w:val="nil"/>
              <w:bottom w:val="single" w:sz="4" w:space="0" w:color="auto"/>
              <w:right w:val="single" w:sz="4" w:space="0" w:color="auto"/>
            </w:tcBorders>
            <w:shd w:val="clear" w:color="auto" w:fill="auto"/>
            <w:noWrap/>
            <w:vAlign w:val="bottom"/>
            <w:hideMark/>
          </w:tcPr>
          <w:p w:rsidR="00A65275" w:rsidRPr="00796446" w:rsidRDefault="005460FA" w:rsidP="00CC5E0B">
            <w:pPr>
              <w:ind w:hanging="64"/>
              <w:jc w:val="right"/>
              <w:rPr>
                <w:rFonts w:cs="Times New Roman"/>
                <w:b/>
                <w:bCs/>
                <w:szCs w:val="22"/>
                <w:lang w:eastAsia="bg-BG"/>
              </w:rPr>
            </w:pPr>
            <w:r w:rsidRPr="00796446">
              <w:rPr>
                <w:rFonts w:cs="Times New Roman"/>
                <w:b/>
                <w:bCs/>
                <w:szCs w:val="22"/>
                <w:lang w:eastAsia="bg-BG"/>
              </w:rPr>
              <w:t>11,</w:t>
            </w:r>
            <w:r w:rsidR="00FB2542" w:rsidRPr="00796446">
              <w:rPr>
                <w:rFonts w:cs="Times New Roman"/>
                <w:b/>
                <w:bCs/>
                <w:szCs w:val="22"/>
                <w:lang w:eastAsia="bg-BG"/>
              </w:rPr>
              <w:t>774</w:t>
            </w:r>
          </w:p>
        </w:tc>
      </w:tr>
    </w:tbl>
    <w:p w:rsidR="00A65275" w:rsidRPr="00CC5E0B" w:rsidRDefault="00A65275" w:rsidP="0012771D">
      <w:pPr>
        <w:jc w:val="both"/>
        <w:rPr>
          <w:szCs w:val="22"/>
        </w:rPr>
      </w:pPr>
    </w:p>
    <w:p w:rsidR="008467C1" w:rsidRPr="00CC5E0B" w:rsidRDefault="008467C1" w:rsidP="006B245C">
      <w:pPr>
        <w:pStyle w:val="Heading1"/>
        <w:numPr>
          <w:ilvl w:val="0"/>
          <w:numId w:val="45"/>
        </w:numPr>
        <w:spacing w:before="360" w:line="259" w:lineRule="auto"/>
        <w:ind w:left="567" w:hanging="567"/>
        <w:rPr>
          <w:color w:val="auto"/>
          <w:sz w:val="22"/>
          <w:szCs w:val="22"/>
        </w:rPr>
      </w:pPr>
      <w:r w:rsidRPr="00CC5E0B">
        <w:rPr>
          <w:color w:val="auto"/>
          <w:sz w:val="22"/>
          <w:szCs w:val="22"/>
        </w:rPr>
        <w:t xml:space="preserve">Собствен капитал </w:t>
      </w:r>
    </w:p>
    <w:p w:rsidR="008467C1" w:rsidRPr="00CC5E0B" w:rsidRDefault="00C66780" w:rsidP="0074325A">
      <w:pPr>
        <w:pStyle w:val="Heading1"/>
        <w:spacing w:before="0" w:after="0" w:line="259" w:lineRule="auto"/>
        <w:rPr>
          <w:color w:val="auto"/>
          <w:sz w:val="22"/>
          <w:szCs w:val="22"/>
        </w:rPr>
      </w:pPr>
      <w:bookmarkStart w:id="18" w:name="_Ref248867457"/>
      <w:r w:rsidRPr="00CC5E0B">
        <w:rPr>
          <w:color w:val="auto"/>
          <w:sz w:val="22"/>
          <w:szCs w:val="22"/>
        </w:rPr>
        <w:t>8</w:t>
      </w:r>
      <w:r w:rsidR="007D418A" w:rsidRPr="00CC5E0B">
        <w:rPr>
          <w:color w:val="auto"/>
          <w:sz w:val="22"/>
          <w:szCs w:val="22"/>
          <w:lang w:val="en-US"/>
        </w:rPr>
        <w:t>.1.</w:t>
      </w:r>
      <w:r w:rsidR="008467C1" w:rsidRPr="00CC5E0B">
        <w:rPr>
          <w:color w:val="auto"/>
          <w:sz w:val="22"/>
          <w:szCs w:val="22"/>
        </w:rPr>
        <w:t>Акционерен капитал</w:t>
      </w:r>
      <w:bookmarkEnd w:id="18"/>
    </w:p>
    <w:p w:rsidR="008467C1" w:rsidRPr="00CC5E0B" w:rsidRDefault="008467C1" w:rsidP="00D47E0A">
      <w:pPr>
        <w:autoSpaceDE w:val="0"/>
        <w:autoSpaceDN w:val="0"/>
        <w:adjustRightInd w:val="0"/>
        <w:spacing w:before="100" w:beforeAutospacing="1" w:line="259" w:lineRule="auto"/>
        <w:jc w:val="both"/>
        <w:rPr>
          <w:szCs w:val="22"/>
        </w:rPr>
      </w:pPr>
      <w:r w:rsidRPr="00CC5E0B">
        <w:rPr>
          <w:szCs w:val="22"/>
        </w:rPr>
        <w:t>Регистрираният капитал на Дружеството се състои от 1 082 на брой обикновени акции с номинална стойност в размер на 1 000 лв. за</w:t>
      </w:r>
      <w:r w:rsidR="0051101C" w:rsidRPr="00CC5E0B">
        <w:rPr>
          <w:szCs w:val="22"/>
        </w:rPr>
        <w:t xml:space="preserve"> </w:t>
      </w:r>
      <w:r w:rsidRPr="00CC5E0B">
        <w:rPr>
          <w:szCs w:val="22"/>
        </w:rPr>
        <w:t>акция. Всички акции са с право на получаване на дивидент и ликвидационен дял.</w:t>
      </w:r>
    </w:p>
    <w:p w:rsidR="00F807B8" w:rsidRPr="00CC5E0B" w:rsidRDefault="008467C1" w:rsidP="00D47E0A">
      <w:pPr>
        <w:autoSpaceDE w:val="0"/>
        <w:autoSpaceDN w:val="0"/>
        <w:adjustRightInd w:val="0"/>
        <w:spacing w:line="259" w:lineRule="auto"/>
        <w:jc w:val="both"/>
        <w:rPr>
          <w:szCs w:val="22"/>
        </w:rPr>
      </w:pPr>
      <w:r w:rsidRPr="00CC5E0B">
        <w:rPr>
          <w:szCs w:val="22"/>
        </w:rPr>
        <w:t>Издадените и оторизирани акции за отче</w:t>
      </w:r>
      <w:r w:rsidR="00BC71F1" w:rsidRPr="00CC5E0B">
        <w:rPr>
          <w:szCs w:val="22"/>
        </w:rPr>
        <w:t>т</w:t>
      </w:r>
      <w:r w:rsidRPr="00CC5E0B">
        <w:rPr>
          <w:szCs w:val="22"/>
        </w:rPr>
        <w:t>ните периоди могат да бъдат представени, както следва:</w:t>
      </w:r>
    </w:p>
    <w:tbl>
      <w:tblPr>
        <w:tblW w:w="9220" w:type="dxa"/>
        <w:tblInd w:w="56" w:type="dxa"/>
        <w:tblCellMar>
          <w:left w:w="70" w:type="dxa"/>
          <w:right w:w="70" w:type="dxa"/>
        </w:tblCellMar>
        <w:tblLook w:val="04A0"/>
      </w:tblPr>
      <w:tblGrid>
        <w:gridCol w:w="6323"/>
        <w:gridCol w:w="1418"/>
        <w:gridCol w:w="85"/>
        <w:gridCol w:w="1394"/>
      </w:tblGrid>
      <w:tr w:rsidR="008467C1" w:rsidRPr="00796446" w:rsidTr="00C52C01">
        <w:trPr>
          <w:trHeight w:val="20"/>
        </w:trPr>
        <w:tc>
          <w:tcPr>
            <w:tcW w:w="6323" w:type="dxa"/>
            <w:tcBorders>
              <w:top w:val="nil"/>
              <w:left w:val="nil"/>
              <w:bottom w:val="nil"/>
              <w:right w:val="nil"/>
            </w:tcBorders>
            <w:shd w:val="clear" w:color="000000" w:fill="FFFFFF"/>
            <w:noWrap/>
          </w:tcPr>
          <w:p w:rsidR="008467C1" w:rsidRPr="00CC5E0B" w:rsidRDefault="008467C1" w:rsidP="00817FBA">
            <w:pPr>
              <w:rPr>
                <w:rFonts w:cs="Times New Roman"/>
                <w:szCs w:val="22"/>
                <w:lang w:eastAsia="bg-BG"/>
              </w:rPr>
            </w:pPr>
          </w:p>
        </w:tc>
        <w:tc>
          <w:tcPr>
            <w:tcW w:w="1418" w:type="dxa"/>
            <w:tcBorders>
              <w:top w:val="nil"/>
              <w:left w:val="nil"/>
              <w:bottom w:val="nil"/>
              <w:right w:val="nil"/>
            </w:tcBorders>
            <w:shd w:val="clear" w:color="000000" w:fill="FFFFFF"/>
            <w:noWrap/>
          </w:tcPr>
          <w:p w:rsidR="00444CB1" w:rsidRPr="00CC5E0B" w:rsidRDefault="00444CB1" w:rsidP="00817FBA">
            <w:pPr>
              <w:ind w:left="241" w:hanging="241"/>
              <w:jc w:val="right"/>
              <w:rPr>
                <w:rFonts w:cs="Times New Roman"/>
                <w:b/>
                <w:bCs/>
                <w:szCs w:val="22"/>
                <w:lang w:eastAsia="bg-BG"/>
              </w:rPr>
            </w:pPr>
            <w:r w:rsidRPr="00CC5E0B">
              <w:rPr>
                <w:rFonts w:cs="Times New Roman"/>
                <w:b/>
                <w:bCs/>
                <w:szCs w:val="22"/>
                <w:lang w:eastAsia="bg-BG"/>
              </w:rPr>
              <w:t>3</w:t>
            </w:r>
            <w:r w:rsidR="0091532E" w:rsidRPr="00CC5E0B">
              <w:rPr>
                <w:rFonts w:cs="Times New Roman"/>
                <w:b/>
                <w:bCs/>
                <w:szCs w:val="22"/>
                <w:lang w:eastAsia="bg-BG"/>
              </w:rPr>
              <w:t>0</w:t>
            </w:r>
            <w:r w:rsidRPr="00CC5E0B">
              <w:rPr>
                <w:rFonts w:cs="Times New Roman"/>
                <w:b/>
                <w:bCs/>
                <w:szCs w:val="22"/>
                <w:lang w:eastAsia="bg-BG"/>
              </w:rPr>
              <w:t xml:space="preserve"> </w:t>
            </w:r>
            <w:r w:rsidR="0091532E" w:rsidRPr="00CC5E0B">
              <w:rPr>
                <w:rFonts w:cs="Times New Roman"/>
                <w:b/>
                <w:bCs/>
                <w:szCs w:val="22"/>
                <w:lang w:eastAsia="bg-BG"/>
              </w:rPr>
              <w:t>юни</w:t>
            </w:r>
          </w:p>
          <w:p w:rsidR="008467C1" w:rsidRPr="00CC5E0B" w:rsidRDefault="008467C1" w:rsidP="00817FBA">
            <w:pPr>
              <w:ind w:left="241" w:hanging="241"/>
              <w:jc w:val="right"/>
              <w:rPr>
                <w:rFonts w:cs="Times New Roman"/>
                <w:b/>
                <w:bCs/>
                <w:szCs w:val="22"/>
                <w:lang w:eastAsia="bg-BG"/>
              </w:rPr>
            </w:pPr>
            <w:r w:rsidRPr="00CC5E0B">
              <w:rPr>
                <w:rFonts w:cs="Times New Roman"/>
                <w:b/>
                <w:bCs/>
                <w:szCs w:val="22"/>
                <w:lang w:eastAsia="bg-BG"/>
              </w:rPr>
              <w:t>201</w:t>
            </w:r>
            <w:r w:rsidR="00C452C4" w:rsidRPr="00CC5E0B">
              <w:rPr>
                <w:rFonts w:cs="Times New Roman"/>
                <w:b/>
                <w:bCs/>
                <w:szCs w:val="22"/>
                <w:lang w:eastAsia="bg-BG"/>
              </w:rPr>
              <w:t>9</w:t>
            </w:r>
          </w:p>
        </w:tc>
        <w:tc>
          <w:tcPr>
            <w:tcW w:w="1479" w:type="dxa"/>
            <w:gridSpan w:val="2"/>
            <w:tcBorders>
              <w:top w:val="nil"/>
              <w:left w:val="nil"/>
              <w:bottom w:val="nil"/>
              <w:right w:val="nil"/>
            </w:tcBorders>
            <w:shd w:val="clear" w:color="000000" w:fill="FFFFFF"/>
          </w:tcPr>
          <w:p w:rsidR="008467C1" w:rsidRPr="00CC5E0B" w:rsidRDefault="00444CB1" w:rsidP="00817FBA">
            <w:pPr>
              <w:ind w:left="241" w:hanging="241"/>
              <w:jc w:val="right"/>
              <w:rPr>
                <w:rFonts w:cs="Times New Roman"/>
                <w:b/>
                <w:bCs/>
                <w:szCs w:val="22"/>
                <w:lang w:eastAsia="bg-BG"/>
              </w:rPr>
            </w:pPr>
            <w:r w:rsidRPr="00CC5E0B">
              <w:rPr>
                <w:rFonts w:cs="Times New Roman"/>
                <w:b/>
                <w:bCs/>
                <w:szCs w:val="22"/>
                <w:lang w:eastAsia="bg-BG"/>
              </w:rPr>
              <w:t xml:space="preserve">31 декември </w:t>
            </w:r>
            <w:r w:rsidR="008467C1" w:rsidRPr="00CC5E0B">
              <w:rPr>
                <w:rFonts w:cs="Times New Roman"/>
                <w:b/>
                <w:bCs/>
                <w:szCs w:val="22"/>
                <w:lang w:eastAsia="bg-BG"/>
              </w:rPr>
              <w:t>201</w:t>
            </w:r>
            <w:r w:rsidR="00C452C4" w:rsidRPr="00CC5E0B">
              <w:rPr>
                <w:rFonts w:cs="Times New Roman"/>
                <w:b/>
                <w:bCs/>
                <w:szCs w:val="22"/>
                <w:lang w:eastAsia="bg-BG"/>
              </w:rPr>
              <w:t>8</w:t>
            </w:r>
          </w:p>
        </w:tc>
      </w:tr>
      <w:tr w:rsidR="008467C1" w:rsidRPr="00796446" w:rsidTr="00C52C01">
        <w:trPr>
          <w:trHeight w:val="20"/>
        </w:trPr>
        <w:tc>
          <w:tcPr>
            <w:tcW w:w="6323" w:type="dxa"/>
            <w:tcBorders>
              <w:top w:val="nil"/>
              <w:left w:val="nil"/>
              <w:bottom w:val="nil"/>
              <w:right w:val="nil"/>
            </w:tcBorders>
            <w:shd w:val="clear" w:color="000000" w:fill="FFFFFF"/>
            <w:noWrap/>
          </w:tcPr>
          <w:p w:rsidR="008467C1" w:rsidRPr="00CC5E0B" w:rsidRDefault="008467C1" w:rsidP="00817FBA">
            <w:pPr>
              <w:rPr>
                <w:rFonts w:cs="Times New Roman"/>
                <w:szCs w:val="22"/>
                <w:lang w:eastAsia="bg-BG"/>
              </w:rPr>
            </w:pPr>
            <w:r w:rsidRPr="00CC5E0B">
              <w:rPr>
                <w:rFonts w:cs="Times New Roman"/>
                <w:szCs w:val="22"/>
                <w:lang w:eastAsia="bg-BG"/>
              </w:rPr>
              <w:t> </w:t>
            </w:r>
          </w:p>
        </w:tc>
        <w:tc>
          <w:tcPr>
            <w:tcW w:w="1418" w:type="dxa"/>
            <w:tcBorders>
              <w:top w:val="nil"/>
              <w:left w:val="nil"/>
              <w:right w:val="nil"/>
            </w:tcBorders>
            <w:shd w:val="clear" w:color="000000" w:fill="FFFFFF"/>
            <w:noWrap/>
          </w:tcPr>
          <w:p w:rsidR="008467C1" w:rsidRPr="00CC5E0B" w:rsidRDefault="008467C1" w:rsidP="00817FBA">
            <w:pPr>
              <w:jc w:val="right"/>
              <w:rPr>
                <w:rFonts w:cs="Times New Roman"/>
                <w:b/>
                <w:bCs/>
                <w:szCs w:val="22"/>
                <w:lang w:eastAsia="bg-BG"/>
              </w:rPr>
            </w:pPr>
            <w:r w:rsidRPr="00CC5E0B">
              <w:rPr>
                <w:rFonts w:cs="Times New Roman"/>
                <w:b/>
                <w:bCs/>
                <w:szCs w:val="22"/>
                <w:lang w:eastAsia="bg-BG"/>
              </w:rPr>
              <w:t>Брой акции</w:t>
            </w:r>
          </w:p>
        </w:tc>
        <w:tc>
          <w:tcPr>
            <w:tcW w:w="1479" w:type="dxa"/>
            <w:gridSpan w:val="2"/>
            <w:tcBorders>
              <w:top w:val="nil"/>
              <w:left w:val="nil"/>
              <w:right w:val="nil"/>
            </w:tcBorders>
            <w:shd w:val="clear" w:color="000000" w:fill="FFFFFF"/>
          </w:tcPr>
          <w:p w:rsidR="008467C1" w:rsidRPr="00CC5E0B" w:rsidRDefault="008467C1" w:rsidP="00817FBA">
            <w:pPr>
              <w:jc w:val="right"/>
              <w:rPr>
                <w:rFonts w:cs="Times New Roman"/>
                <w:b/>
                <w:bCs/>
                <w:szCs w:val="22"/>
                <w:lang w:eastAsia="bg-BG"/>
              </w:rPr>
            </w:pPr>
            <w:r w:rsidRPr="00CC5E0B">
              <w:rPr>
                <w:rFonts w:cs="Times New Roman"/>
                <w:b/>
                <w:bCs/>
                <w:szCs w:val="22"/>
                <w:lang w:eastAsia="bg-BG"/>
              </w:rPr>
              <w:t>Брой акции</w:t>
            </w:r>
          </w:p>
        </w:tc>
      </w:tr>
      <w:tr w:rsidR="00B95C12" w:rsidRPr="00796446" w:rsidTr="00C52C01">
        <w:trPr>
          <w:trHeight w:val="20"/>
        </w:trPr>
        <w:tc>
          <w:tcPr>
            <w:tcW w:w="6323" w:type="dxa"/>
            <w:tcBorders>
              <w:top w:val="nil"/>
              <w:left w:val="nil"/>
              <w:bottom w:val="nil"/>
              <w:right w:val="nil"/>
            </w:tcBorders>
            <w:shd w:val="clear" w:color="000000" w:fill="FFFFFF"/>
            <w:noWrap/>
          </w:tcPr>
          <w:p w:rsidR="00B95C12" w:rsidRPr="00CC5E0B" w:rsidRDefault="00B95C12" w:rsidP="00817FBA">
            <w:pPr>
              <w:rPr>
                <w:rFonts w:cs="Times New Roman"/>
                <w:szCs w:val="22"/>
                <w:lang w:eastAsia="bg-BG"/>
              </w:rPr>
            </w:pPr>
          </w:p>
        </w:tc>
        <w:tc>
          <w:tcPr>
            <w:tcW w:w="1503" w:type="dxa"/>
            <w:gridSpan w:val="2"/>
            <w:tcBorders>
              <w:top w:val="nil"/>
              <w:left w:val="nil"/>
              <w:right w:val="nil"/>
            </w:tcBorders>
            <w:shd w:val="clear" w:color="000000" w:fill="FFFFFF"/>
            <w:noWrap/>
          </w:tcPr>
          <w:p w:rsidR="00B95C12" w:rsidRPr="00CC5E0B" w:rsidRDefault="00B95C12" w:rsidP="00817FBA">
            <w:pPr>
              <w:jc w:val="right"/>
              <w:rPr>
                <w:rFonts w:cs="Times New Roman"/>
                <w:b/>
                <w:bCs/>
                <w:szCs w:val="22"/>
                <w:lang w:eastAsia="bg-BG"/>
              </w:rPr>
            </w:pPr>
          </w:p>
        </w:tc>
        <w:tc>
          <w:tcPr>
            <w:tcW w:w="1394" w:type="dxa"/>
            <w:tcBorders>
              <w:top w:val="nil"/>
              <w:left w:val="nil"/>
              <w:right w:val="nil"/>
            </w:tcBorders>
            <w:shd w:val="clear" w:color="000000" w:fill="FFFFFF"/>
          </w:tcPr>
          <w:p w:rsidR="00B95C12" w:rsidRPr="00CC5E0B" w:rsidRDefault="00B95C12" w:rsidP="00817FBA">
            <w:pPr>
              <w:jc w:val="right"/>
              <w:rPr>
                <w:rFonts w:cs="Times New Roman"/>
                <w:b/>
                <w:bCs/>
                <w:szCs w:val="22"/>
                <w:lang w:eastAsia="bg-BG"/>
              </w:rPr>
            </w:pPr>
          </w:p>
        </w:tc>
      </w:tr>
      <w:tr w:rsidR="008467C1" w:rsidRPr="00796446" w:rsidTr="00C52C01">
        <w:trPr>
          <w:trHeight w:val="20"/>
        </w:trPr>
        <w:tc>
          <w:tcPr>
            <w:tcW w:w="6323" w:type="dxa"/>
            <w:tcBorders>
              <w:top w:val="nil"/>
              <w:left w:val="nil"/>
              <w:bottom w:val="nil"/>
              <w:right w:val="nil"/>
            </w:tcBorders>
            <w:shd w:val="clear" w:color="000000" w:fill="FFFFFF"/>
            <w:noWrap/>
          </w:tcPr>
          <w:p w:rsidR="008467C1" w:rsidRPr="00CC5E0B" w:rsidRDefault="008467C1" w:rsidP="00817FBA">
            <w:pPr>
              <w:autoSpaceDE w:val="0"/>
              <w:autoSpaceDN w:val="0"/>
              <w:adjustRightInd w:val="0"/>
              <w:rPr>
                <w:szCs w:val="22"/>
              </w:rPr>
            </w:pPr>
            <w:r w:rsidRPr="00CC5E0B">
              <w:rPr>
                <w:szCs w:val="22"/>
              </w:rPr>
              <w:t>Брой издадени и напълно платени акции</w:t>
            </w:r>
          </w:p>
        </w:tc>
        <w:tc>
          <w:tcPr>
            <w:tcW w:w="1503" w:type="dxa"/>
            <w:gridSpan w:val="2"/>
            <w:tcBorders>
              <w:left w:val="nil"/>
              <w:bottom w:val="single" w:sz="2" w:space="0" w:color="auto"/>
              <w:right w:val="nil"/>
            </w:tcBorders>
            <w:shd w:val="clear" w:color="000000" w:fill="FFFFFF"/>
            <w:noWrap/>
          </w:tcPr>
          <w:p w:rsidR="008467C1" w:rsidRPr="00CC5E0B" w:rsidRDefault="00564436" w:rsidP="00817FBA">
            <w:pPr>
              <w:jc w:val="right"/>
              <w:rPr>
                <w:rFonts w:cs="Times New Roman"/>
                <w:szCs w:val="22"/>
                <w:lang w:eastAsia="bg-BG"/>
              </w:rPr>
            </w:pPr>
            <w:r w:rsidRPr="00CC5E0B">
              <w:rPr>
                <w:rFonts w:cs="Times New Roman"/>
                <w:szCs w:val="22"/>
                <w:lang w:eastAsia="bg-BG"/>
              </w:rPr>
              <w:t>1,</w:t>
            </w:r>
            <w:r w:rsidR="008467C1" w:rsidRPr="00CC5E0B">
              <w:rPr>
                <w:rFonts w:cs="Times New Roman"/>
                <w:szCs w:val="22"/>
                <w:lang w:eastAsia="bg-BG"/>
              </w:rPr>
              <w:t>082</w:t>
            </w:r>
          </w:p>
        </w:tc>
        <w:tc>
          <w:tcPr>
            <w:tcW w:w="1394" w:type="dxa"/>
            <w:tcBorders>
              <w:left w:val="nil"/>
              <w:bottom w:val="single" w:sz="2" w:space="0" w:color="auto"/>
              <w:right w:val="nil"/>
            </w:tcBorders>
            <w:shd w:val="clear" w:color="000000" w:fill="FFFFFF"/>
          </w:tcPr>
          <w:p w:rsidR="008467C1" w:rsidRPr="00CC5E0B" w:rsidRDefault="00564436" w:rsidP="00817FBA">
            <w:pPr>
              <w:jc w:val="right"/>
              <w:rPr>
                <w:rFonts w:cs="Times New Roman"/>
                <w:szCs w:val="22"/>
                <w:lang w:eastAsia="bg-BG"/>
              </w:rPr>
            </w:pPr>
            <w:r w:rsidRPr="00CC5E0B">
              <w:rPr>
                <w:rFonts w:cs="Times New Roman"/>
                <w:szCs w:val="22"/>
                <w:lang w:eastAsia="bg-BG"/>
              </w:rPr>
              <w:t>1,</w:t>
            </w:r>
            <w:r w:rsidR="008467C1" w:rsidRPr="00CC5E0B">
              <w:rPr>
                <w:rFonts w:cs="Times New Roman"/>
                <w:szCs w:val="22"/>
                <w:lang w:eastAsia="bg-BG"/>
              </w:rPr>
              <w:t>082</w:t>
            </w:r>
          </w:p>
        </w:tc>
      </w:tr>
      <w:tr w:rsidR="008467C1" w:rsidRPr="00796446" w:rsidTr="00C52C01">
        <w:trPr>
          <w:trHeight w:val="20"/>
        </w:trPr>
        <w:tc>
          <w:tcPr>
            <w:tcW w:w="6323" w:type="dxa"/>
            <w:tcBorders>
              <w:top w:val="nil"/>
              <w:left w:val="nil"/>
              <w:bottom w:val="nil"/>
              <w:right w:val="nil"/>
            </w:tcBorders>
            <w:shd w:val="clear" w:color="000000" w:fill="FFFFFF"/>
            <w:noWrap/>
          </w:tcPr>
          <w:p w:rsidR="008467C1" w:rsidRPr="00CC5E0B" w:rsidRDefault="008467C1" w:rsidP="00817FBA">
            <w:pPr>
              <w:rPr>
                <w:rFonts w:cs="Times New Roman"/>
                <w:b/>
                <w:szCs w:val="22"/>
                <w:lang w:eastAsia="bg-BG"/>
              </w:rPr>
            </w:pPr>
            <w:r w:rsidRPr="00CC5E0B">
              <w:rPr>
                <w:rFonts w:cs="Times New Roman"/>
                <w:b/>
                <w:szCs w:val="22"/>
                <w:lang w:eastAsia="bg-BG"/>
              </w:rPr>
              <w:t xml:space="preserve">Общ брой акции, оторизирани </w:t>
            </w:r>
            <w:r w:rsidR="00444CB1" w:rsidRPr="00CC5E0B">
              <w:rPr>
                <w:rFonts w:cs="Times New Roman"/>
                <w:b/>
                <w:szCs w:val="22"/>
                <w:lang w:eastAsia="bg-BG"/>
              </w:rPr>
              <w:t>в края на периода</w:t>
            </w:r>
          </w:p>
        </w:tc>
        <w:tc>
          <w:tcPr>
            <w:tcW w:w="1503" w:type="dxa"/>
            <w:gridSpan w:val="2"/>
            <w:tcBorders>
              <w:top w:val="single" w:sz="2" w:space="0" w:color="auto"/>
              <w:left w:val="nil"/>
              <w:bottom w:val="double" w:sz="4" w:space="0" w:color="auto"/>
              <w:right w:val="nil"/>
            </w:tcBorders>
            <w:shd w:val="clear" w:color="000000" w:fill="FFFFFF"/>
            <w:noWrap/>
          </w:tcPr>
          <w:p w:rsidR="008467C1" w:rsidRPr="00CC5E0B" w:rsidRDefault="00564436" w:rsidP="00817FBA">
            <w:pPr>
              <w:jc w:val="right"/>
              <w:rPr>
                <w:rFonts w:cs="Times New Roman"/>
                <w:b/>
                <w:szCs w:val="22"/>
                <w:lang w:eastAsia="bg-BG"/>
              </w:rPr>
            </w:pPr>
            <w:r w:rsidRPr="00CC5E0B">
              <w:rPr>
                <w:rFonts w:cs="Times New Roman"/>
                <w:b/>
                <w:szCs w:val="22"/>
                <w:lang w:eastAsia="bg-BG"/>
              </w:rPr>
              <w:t>1,</w:t>
            </w:r>
            <w:r w:rsidR="008467C1" w:rsidRPr="00CC5E0B">
              <w:rPr>
                <w:rFonts w:cs="Times New Roman"/>
                <w:b/>
                <w:szCs w:val="22"/>
                <w:lang w:eastAsia="bg-BG"/>
              </w:rPr>
              <w:t>082</w:t>
            </w:r>
          </w:p>
        </w:tc>
        <w:tc>
          <w:tcPr>
            <w:tcW w:w="1394" w:type="dxa"/>
            <w:tcBorders>
              <w:top w:val="single" w:sz="2" w:space="0" w:color="auto"/>
              <w:left w:val="nil"/>
              <w:bottom w:val="double" w:sz="4" w:space="0" w:color="auto"/>
              <w:right w:val="nil"/>
            </w:tcBorders>
            <w:shd w:val="clear" w:color="000000" w:fill="FFFFFF"/>
          </w:tcPr>
          <w:p w:rsidR="008467C1" w:rsidRPr="00CC5E0B" w:rsidRDefault="00564436" w:rsidP="00817FBA">
            <w:pPr>
              <w:jc w:val="right"/>
              <w:rPr>
                <w:rFonts w:cs="Times New Roman"/>
                <w:b/>
                <w:szCs w:val="22"/>
                <w:lang w:eastAsia="bg-BG"/>
              </w:rPr>
            </w:pPr>
            <w:r w:rsidRPr="00CC5E0B">
              <w:rPr>
                <w:rFonts w:cs="Times New Roman"/>
                <w:b/>
                <w:szCs w:val="22"/>
                <w:lang w:eastAsia="bg-BG"/>
              </w:rPr>
              <w:t>1,</w:t>
            </w:r>
            <w:r w:rsidR="008467C1" w:rsidRPr="00CC5E0B">
              <w:rPr>
                <w:rFonts w:cs="Times New Roman"/>
                <w:b/>
                <w:szCs w:val="22"/>
                <w:lang w:eastAsia="bg-BG"/>
              </w:rPr>
              <w:t>082</w:t>
            </w:r>
          </w:p>
        </w:tc>
      </w:tr>
    </w:tbl>
    <w:p w:rsidR="00B95C12" w:rsidRPr="00CC5E0B" w:rsidRDefault="00B95C12" w:rsidP="00B95C12">
      <w:pPr>
        <w:spacing w:after="120" w:line="259" w:lineRule="auto"/>
        <w:jc w:val="both"/>
        <w:rPr>
          <w:rFonts w:cs="Times New Roman"/>
          <w:szCs w:val="22"/>
        </w:rPr>
      </w:pPr>
    </w:p>
    <w:p w:rsidR="007A25B9" w:rsidRPr="00CC5E0B" w:rsidRDefault="00B95C12" w:rsidP="003B1134">
      <w:pPr>
        <w:spacing w:after="120"/>
        <w:jc w:val="both"/>
        <w:rPr>
          <w:rFonts w:cs="Times New Roman"/>
          <w:szCs w:val="22"/>
        </w:rPr>
      </w:pPr>
      <w:r w:rsidRPr="00CC5E0B">
        <w:rPr>
          <w:rFonts w:cs="Times New Roman"/>
          <w:szCs w:val="22"/>
        </w:rPr>
        <w:t xml:space="preserve">Едноличен собственик на капитала на Дружеството е „АЕЦ Козлодуй“ ЕАД. </w:t>
      </w:r>
    </w:p>
    <w:p w:rsidR="008467C1" w:rsidRPr="00CC5E0B" w:rsidRDefault="008467C1" w:rsidP="003B1134">
      <w:pPr>
        <w:spacing w:after="120"/>
        <w:jc w:val="both"/>
        <w:rPr>
          <w:rFonts w:cs="Times New Roman"/>
          <w:szCs w:val="22"/>
        </w:rPr>
      </w:pPr>
      <w:r w:rsidRPr="00CC5E0B">
        <w:rPr>
          <w:rFonts w:cs="Times New Roman"/>
          <w:szCs w:val="22"/>
        </w:rPr>
        <w:t xml:space="preserve">Крайният собственик на </w:t>
      </w:r>
      <w:r w:rsidR="0033155A" w:rsidRPr="00CC5E0B">
        <w:rPr>
          <w:rFonts w:cs="Times New Roman"/>
          <w:szCs w:val="22"/>
        </w:rPr>
        <w:t>Д</w:t>
      </w:r>
      <w:r w:rsidRPr="00CC5E0B">
        <w:rPr>
          <w:rFonts w:cs="Times New Roman"/>
          <w:szCs w:val="22"/>
        </w:rPr>
        <w:t>ружеството е българската държава, чрез Министъра на енергетиката.</w:t>
      </w:r>
    </w:p>
    <w:p w:rsidR="00217946" w:rsidRPr="00CC5E0B" w:rsidRDefault="00217946" w:rsidP="00CC5E0B">
      <w:pPr>
        <w:pStyle w:val="Heading1"/>
        <w:numPr>
          <w:ilvl w:val="1"/>
          <w:numId w:val="46"/>
        </w:numPr>
        <w:spacing w:before="100" w:beforeAutospacing="1" w:after="100" w:afterAutospacing="1" w:line="240" w:lineRule="auto"/>
        <w:ind w:left="567" w:hanging="567"/>
        <w:rPr>
          <w:color w:val="auto"/>
          <w:sz w:val="22"/>
          <w:szCs w:val="22"/>
        </w:rPr>
      </w:pPr>
      <w:bookmarkStart w:id="19" w:name="_Ref95281550"/>
      <w:bookmarkStart w:id="20" w:name="_Ref215414180"/>
      <w:bookmarkStart w:id="21" w:name="_Hlk14423204"/>
      <w:r w:rsidRPr="00CC5E0B">
        <w:rPr>
          <w:color w:val="auto"/>
          <w:sz w:val="22"/>
          <w:szCs w:val="22"/>
        </w:rPr>
        <w:t>Законови резерв</w:t>
      </w:r>
      <w:bookmarkEnd w:id="19"/>
      <w:r w:rsidRPr="00CC5E0B">
        <w:rPr>
          <w:color w:val="auto"/>
          <w:sz w:val="22"/>
          <w:szCs w:val="22"/>
        </w:rPr>
        <w:t>и</w:t>
      </w:r>
      <w:bookmarkEnd w:id="20"/>
    </w:p>
    <w:bookmarkEnd w:id="21"/>
    <w:p w:rsidR="00217946" w:rsidRDefault="00217946" w:rsidP="00231888">
      <w:pPr>
        <w:spacing w:line="259" w:lineRule="auto"/>
        <w:jc w:val="both"/>
        <w:rPr>
          <w:snapToGrid w:val="0"/>
          <w:szCs w:val="22"/>
        </w:rPr>
      </w:pPr>
      <w:r w:rsidRPr="00CC5E0B">
        <w:rPr>
          <w:snapToGrid w:val="0"/>
          <w:szCs w:val="22"/>
        </w:rPr>
        <w:t xml:space="preserve">Законовите резерви се формират от акционерните дружества като „ВЕЦ Козлодуй” ЕАД като разпределение на печалбата по реда на чл. 246 от Търговския закон. Те се заделят, докато достигнат една десета или по-голяма част от капитала. Източници за формиране на законовите резерви са най-малко една десета част от нетната печалба, премии от емисии на акции и средствата, предвидени в устава или по решение на едноличния акционер. </w:t>
      </w:r>
      <w:r w:rsidR="007E49FF">
        <w:rPr>
          <w:snapToGrid w:val="0"/>
          <w:szCs w:val="22"/>
        </w:rPr>
        <w:t>Размерът на законовите резерви към 30 юни 2019 г. е 108 хил.лв. (към 31.12.2018 г.: 108 хил.лв.)</w:t>
      </w:r>
    </w:p>
    <w:p w:rsidR="007E49FF" w:rsidRPr="00CC5E0B" w:rsidRDefault="007E49FF" w:rsidP="00CC5E0B">
      <w:pPr>
        <w:pStyle w:val="Heading1"/>
        <w:numPr>
          <w:ilvl w:val="1"/>
          <w:numId w:val="46"/>
        </w:numPr>
        <w:spacing w:after="0" w:line="259" w:lineRule="auto"/>
        <w:rPr>
          <w:color w:val="auto"/>
          <w:sz w:val="22"/>
          <w:szCs w:val="22"/>
        </w:rPr>
      </w:pPr>
      <w:r w:rsidRPr="00CC5E0B">
        <w:rPr>
          <w:color w:val="auto"/>
          <w:sz w:val="22"/>
          <w:szCs w:val="22"/>
        </w:rPr>
        <w:t>Преоценъчен резерв на нефинансови активи</w:t>
      </w:r>
    </w:p>
    <w:p w:rsidR="007E49FF" w:rsidRPr="00CC5E0B" w:rsidRDefault="007E49FF" w:rsidP="00D47E0A">
      <w:pPr>
        <w:spacing w:before="100" w:beforeAutospacing="1" w:line="259" w:lineRule="auto"/>
        <w:jc w:val="both"/>
        <w:rPr>
          <w:szCs w:val="22"/>
        </w:rPr>
      </w:pPr>
      <w:r w:rsidRPr="00CC5E0B">
        <w:rPr>
          <w:szCs w:val="22"/>
        </w:rPr>
        <w:t>Преоценъчният резерв е формиран от разликата между балансовата и справедливата стойност на активи от имоти, машини и съоръжения към датата на преоценката съгласно доклад на независим лицензиран оценител, намалена със съответстващия й отсрочен данъчен пасив.</w:t>
      </w:r>
      <w:r>
        <w:rPr>
          <w:szCs w:val="22"/>
        </w:rPr>
        <w:t xml:space="preserve"> </w:t>
      </w:r>
      <w:r w:rsidRPr="007E49FF">
        <w:rPr>
          <w:szCs w:val="22"/>
        </w:rPr>
        <w:t xml:space="preserve">Размерът на </w:t>
      </w:r>
      <w:r>
        <w:rPr>
          <w:szCs w:val="22"/>
        </w:rPr>
        <w:t>преоценъчния резерв</w:t>
      </w:r>
      <w:r w:rsidRPr="007E49FF">
        <w:rPr>
          <w:szCs w:val="22"/>
        </w:rPr>
        <w:t xml:space="preserve"> към 30 юни 2019 г. е </w:t>
      </w:r>
      <w:r>
        <w:rPr>
          <w:szCs w:val="22"/>
        </w:rPr>
        <w:t>703</w:t>
      </w:r>
      <w:r w:rsidRPr="007E49FF">
        <w:rPr>
          <w:szCs w:val="22"/>
        </w:rPr>
        <w:t xml:space="preserve"> хил.лв. (към 31.12.2018 г.: </w:t>
      </w:r>
      <w:r>
        <w:rPr>
          <w:szCs w:val="22"/>
        </w:rPr>
        <w:t>703</w:t>
      </w:r>
      <w:r w:rsidRPr="007E49FF">
        <w:rPr>
          <w:szCs w:val="22"/>
        </w:rPr>
        <w:t xml:space="preserve"> хил.лв.)</w:t>
      </w:r>
    </w:p>
    <w:p w:rsidR="0091532E" w:rsidRPr="00CC5E0B" w:rsidRDefault="0091532E" w:rsidP="00CC5E0B">
      <w:pPr>
        <w:pStyle w:val="Heading1"/>
        <w:numPr>
          <w:ilvl w:val="1"/>
          <w:numId w:val="46"/>
        </w:numPr>
        <w:spacing w:before="100" w:beforeAutospacing="1" w:after="0" w:line="240" w:lineRule="auto"/>
        <w:rPr>
          <w:color w:val="auto"/>
          <w:sz w:val="22"/>
          <w:szCs w:val="22"/>
        </w:rPr>
      </w:pPr>
      <w:r w:rsidRPr="00CC5E0B">
        <w:rPr>
          <w:color w:val="auto"/>
          <w:sz w:val="22"/>
          <w:szCs w:val="22"/>
        </w:rPr>
        <w:t>Други резерви и дивиденти</w:t>
      </w:r>
    </w:p>
    <w:p w:rsidR="006E41C8" w:rsidRPr="00CC5E0B" w:rsidRDefault="006E41C8" w:rsidP="00D47E0A">
      <w:pPr>
        <w:pStyle w:val="BodyText"/>
        <w:spacing w:before="100" w:beforeAutospacing="1" w:after="0" w:line="259" w:lineRule="auto"/>
        <w:jc w:val="both"/>
        <w:rPr>
          <w:szCs w:val="22"/>
        </w:rPr>
      </w:pPr>
      <w:r w:rsidRPr="00CC5E0B">
        <w:rPr>
          <w:szCs w:val="22"/>
        </w:rPr>
        <w:t>Другите резерви се формират в резултат на разпределение на печалбата от минали години. Те могат да се използват за изплащане на дивиденти, покриване на загуби и други цели по решение на едноличния акционер.</w:t>
      </w:r>
    </w:p>
    <w:p w:rsidR="006E41C8" w:rsidRPr="00CC5E0B" w:rsidRDefault="006E41C8" w:rsidP="00D47E0A">
      <w:pPr>
        <w:pStyle w:val="BodyText"/>
        <w:spacing w:after="0" w:line="259" w:lineRule="auto"/>
        <w:jc w:val="both"/>
        <w:rPr>
          <w:szCs w:val="22"/>
        </w:rPr>
      </w:pPr>
      <w:r w:rsidRPr="00CC5E0B">
        <w:rPr>
          <w:szCs w:val="22"/>
        </w:rPr>
        <w:t>На основание протокол № 4/12.04.2019 г. от заседание на Съвета на директорите на „ВЕЦ Козлодуй” ЕАД и протокол № 23/27.06.2019 г. от заседание на Съвета на директорите на „АЕЦ Козлодуй” ЕАД е взето решение счетоводната печалба за 2018 г. в размер на 1 456 041,57 лв. да бъде разпределена, както следва:</w:t>
      </w:r>
    </w:p>
    <w:p w:rsidR="006E41C8" w:rsidRPr="00CC5E0B" w:rsidRDefault="006E41C8" w:rsidP="006E41C8">
      <w:pPr>
        <w:pStyle w:val="BodyText"/>
        <w:numPr>
          <w:ilvl w:val="0"/>
          <w:numId w:val="16"/>
        </w:numPr>
        <w:spacing w:after="120" w:line="259" w:lineRule="auto"/>
        <w:jc w:val="both"/>
        <w:rPr>
          <w:szCs w:val="22"/>
        </w:rPr>
      </w:pPr>
      <w:r w:rsidRPr="00CC5E0B">
        <w:rPr>
          <w:szCs w:val="22"/>
        </w:rPr>
        <w:t>Дивидент в полза на „АЕЦ Козлодуй” ЕАД – 728 020,79 лв.</w:t>
      </w:r>
    </w:p>
    <w:p w:rsidR="006E41C8" w:rsidRDefault="006E41C8" w:rsidP="00F807B8">
      <w:pPr>
        <w:pStyle w:val="BodyText"/>
        <w:numPr>
          <w:ilvl w:val="0"/>
          <w:numId w:val="16"/>
        </w:numPr>
        <w:spacing w:after="120" w:line="240" w:lineRule="auto"/>
        <w:jc w:val="both"/>
        <w:rPr>
          <w:szCs w:val="22"/>
        </w:rPr>
      </w:pPr>
      <w:r w:rsidRPr="00CC5E0B">
        <w:rPr>
          <w:szCs w:val="22"/>
        </w:rPr>
        <w:t>Други резерви – 728 020,78 лв.</w:t>
      </w:r>
    </w:p>
    <w:p w:rsidR="007E49FF" w:rsidRDefault="007E49FF" w:rsidP="007E49FF">
      <w:pPr>
        <w:pStyle w:val="BodyText"/>
        <w:spacing w:after="120" w:line="240" w:lineRule="auto"/>
        <w:jc w:val="both"/>
        <w:rPr>
          <w:szCs w:val="22"/>
        </w:rPr>
      </w:pPr>
      <w:r w:rsidRPr="007E49FF">
        <w:rPr>
          <w:szCs w:val="22"/>
        </w:rPr>
        <w:lastRenderedPageBreak/>
        <w:t xml:space="preserve">Размерът на </w:t>
      </w:r>
      <w:r>
        <w:rPr>
          <w:szCs w:val="22"/>
        </w:rPr>
        <w:t>другите</w:t>
      </w:r>
      <w:r w:rsidRPr="007E49FF">
        <w:rPr>
          <w:szCs w:val="22"/>
        </w:rPr>
        <w:t xml:space="preserve"> резерви към 30 юни 2019 г. е </w:t>
      </w:r>
      <w:r>
        <w:rPr>
          <w:szCs w:val="22"/>
        </w:rPr>
        <w:t>4 448</w:t>
      </w:r>
      <w:r w:rsidRPr="007E49FF">
        <w:rPr>
          <w:szCs w:val="22"/>
        </w:rPr>
        <w:t xml:space="preserve"> хил.лв. (към 31.12.2018 г.: </w:t>
      </w:r>
      <w:r>
        <w:rPr>
          <w:szCs w:val="22"/>
        </w:rPr>
        <w:t>3 720</w:t>
      </w:r>
      <w:r w:rsidRPr="007E49FF">
        <w:rPr>
          <w:szCs w:val="22"/>
        </w:rPr>
        <w:t xml:space="preserve"> хил.лв.)</w:t>
      </w:r>
      <w:r>
        <w:rPr>
          <w:szCs w:val="22"/>
        </w:rPr>
        <w:t>.</w:t>
      </w:r>
    </w:p>
    <w:p w:rsidR="007E49FF" w:rsidRDefault="007E49FF" w:rsidP="007E49FF">
      <w:pPr>
        <w:pStyle w:val="BodyText"/>
        <w:spacing w:after="120" w:line="240" w:lineRule="auto"/>
        <w:jc w:val="both"/>
        <w:rPr>
          <w:szCs w:val="22"/>
        </w:rPr>
      </w:pPr>
    </w:p>
    <w:p w:rsidR="007E49FF" w:rsidRPr="00CC5E0B" w:rsidRDefault="007E49FF" w:rsidP="00CC5E0B">
      <w:pPr>
        <w:pStyle w:val="BodyText"/>
        <w:spacing w:after="120" w:line="240" w:lineRule="auto"/>
        <w:jc w:val="both"/>
        <w:rPr>
          <w:szCs w:val="22"/>
        </w:rPr>
      </w:pPr>
    </w:p>
    <w:p w:rsidR="008B3553" w:rsidRPr="00CC5E0B" w:rsidRDefault="007A25B9" w:rsidP="00F807B8">
      <w:pPr>
        <w:pStyle w:val="Heading1"/>
        <w:numPr>
          <w:ilvl w:val="0"/>
          <w:numId w:val="46"/>
        </w:numPr>
        <w:spacing w:before="360" w:after="0" w:line="240" w:lineRule="auto"/>
        <w:ind w:left="567" w:hanging="567"/>
        <w:rPr>
          <w:color w:val="auto"/>
          <w:sz w:val="22"/>
          <w:szCs w:val="22"/>
        </w:rPr>
      </w:pPr>
      <w:r w:rsidRPr="00CC5E0B">
        <w:rPr>
          <w:color w:val="auto"/>
          <w:sz w:val="22"/>
          <w:szCs w:val="22"/>
        </w:rPr>
        <w:t>Пенсионни и други задължения към персонала</w:t>
      </w:r>
    </w:p>
    <w:p w:rsidR="006E33C8" w:rsidRPr="00CC5E0B" w:rsidRDefault="006E33C8" w:rsidP="006E33C8">
      <w:pPr>
        <w:pStyle w:val="BodyText"/>
        <w:rPr>
          <w:szCs w:val="22"/>
        </w:rPr>
      </w:pPr>
      <w:r w:rsidRPr="00CC5E0B">
        <w:rPr>
          <w:szCs w:val="22"/>
        </w:rPr>
        <w:t>Задълженията към персонала включват:</w:t>
      </w:r>
    </w:p>
    <w:tbl>
      <w:tblPr>
        <w:tblW w:w="4966" w:type="pct"/>
        <w:tblLook w:val="04A0"/>
      </w:tblPr>
      <w:tblGrid>
        <w:gridCol w:w="6362"/>
        <w:gridCol w:w="1335"/>
        <w:gridCol w:w="1483"/>
      </w:tblGrid>
      <w:tr w:rsidR="008B3553" w:rsidRPr="00796446" w:rsidTr="00CC5E0B">
        <w:trPr>
          <w:trHeight w:val="20"/>
        </w:trPr>
        <w:tc>
          <w:tcPr>
            <w:tcW w:w="3465" w:type="pct"/>
            <w:shd w:val="clear" w:color="auto" w:fill="auto"/>
            <w:noWrap/>
          </w:tcPr>
          <w:p w:rsidR="008B3553" w:rsidRPr="00CC5E0B" w:rsidRDefault="008B3553" w:rsidP="00817FBA">
            <w:pPr>
              <w:rPr>
                <w:rFonts w:cs="Times New Roman"/>
                <w:szCs w:val="22"/>
                <w:lang w:val="en-US" w:eastAsia="bg-BG"/>
              </w:rPr>
            </w:pPr>
          </w:p>
        </w:tc>
        <w:tc>
          <w:tcPr>
            <w:tcW w:w="727" w:type="pct"/>
            <w:shd w:val="clear" w:color="auto" w:fill="auto"/>
            <w:noWrap/>
          </w:tcPr>
          <w:p w:rsidR="008B3553" w:rsidRPr="00CC5E0B" w:rsidRDefault="0018139F" w:rsidP="00EE2830">
            <w:pPr>
              <w:ind w:left="241" w:hanging="241"/>
              <w:jc w:val="right"/>
              <w:rPr>
                <w:rFonts w:cs="Times New Roman"/>
                <w:b/>
                <w:bCs/>
                <w:szCs w:val="22"/>
                <w:lang w:eastAsia="bg-BG"/>
              </w:rPr>
            </w:pPr>
            <w:r w:rsidRPr="00CC5E0B">
              <w:rPr>
                <w:rFonts w:cs="Times New Roman"/>
                <w:b/>
                <w:bCs/>
                <w:szCs w:val="22"/>
                <w:lang w:eastAsia="bg-BG"/>
              </w:rPr>
              <w:t>3</w:t>
            </w:r>
            <w:r w:rsidR="00676B25" w:rsidRPr="00CC5E0B">
              <w:rPr>
                <w:rFonts w:cs="Times New Roman"/>
                <w:b/>
                <w:bCs/>
                <w:szCs w:val="22"/>
                <w:lang w:eastAsia="bg-BG"/>
              </w:rPr>
              <w:t>0</w:t>
            </w:r>
            <w:r w:rsidR="006E33C8" w:rsidRPr="00CC5E0B">
              <w:rPr>
                <w:rFonts w:cs="Times New Roman"/>
                <w:b/>
                <w:bCs/>
                <w:szCs w:val="22"/>
                <w:lang w:eastAsia="bg-BG"/>
              </w:rPr>
              <w:t xml:space="preserve"> </w:t>
            </w:r>
            <w:r w:rsidR="00676B25" w:rsidRPr="00CC5E0B">
              <w:rPr>
                <w:rFonts w:cs="Times New Roman"/>
                <w:b/>
                <w:bCs/>
                <w:szCs w:val="22"/>
                <w:lang w:eastAsia="bg-BG"/>
              </w:rPr>
              <w:t>юни</w:t>
            </w:r>
          </w:p>
          <w:p w:rsidR="006E33C8" w:rsidRPr="00CC5E0B" w:rsidRDefault="006E33C8" w:rsidP="00EE2830">
            <w:pPr>
              <w:ind w:left="241" w:hanging="241"/>
              <w:jc w:val="right"/>
              <w:rPr>
                <w:rFonts w:cs="Times New Roman"/>
                <w:b/>
                <w:bCs/>
                <w:szCs w:val="22"/>
                <w:lang w:eastAsia="bg-BG"/>
              </w:rPr>
            </w:pPr>
            <w:r w:rsidRPr="00CC5E0B">
              <w:rPr>
                <w:rFonts w:cs="Times New Roman"/>
                <w:b/>
                <w:bCs/>
                <w:szCs w:val="22"/>
                <w:lang w:eastAsia="bg-BG"/>
              </w:rPr>
              <w:t>2019</w:t>
            </w:r>
          </w:p>
        </w:tc>
        <w:tc>
          <w:tcPr>
            <w:tcW w:w="809" w:type="pct"/>
            <w:shd w:val="clear" w:color="auto" w:fill="auto"/>
          </w:tcPr>
          <w:p w:rsidR="008B3553" w:rsidRPr="00CC5E0B" w:rsidRDefault="0018139F" w:rsidP="00EE2830">
            <w:pPr>
              <w:ind w:left="241" w:hanging="241"/>
              <w:jc w:val="right"/>
              <w:rPr>
                <w:rFonts w:cs="Times New Roman"/>
                <w:b/>
                <w:bCs/>
                <w:szCs w:val="22"/>
                <w:lang w:eastAsia="bg-BG"/>
              </w:rPr>
            </w:pPr>
            <w:r w:rsidRPr="00CC5E0B">
              <w:rPr>
                <w:rFonts w:cs="Times New Roman"/>
                <w:b/>
                <w:bCs/>
                <w:szCs w:val="22"/>
                <w:lang w:eastAsia="bg-BG"/>
              </w:rPr>
              <w:t>31</w:t>
            </w:r>
            <w:r w:rsidR="006E33C8" w:rsidRPr="00CC5E0B">
              <w:rPr>
                <w:rFonts w:cs="Times New Roman"/>
                <w:b/>
                <w:bCs/>
                <w:szCs w:val="22"/>
                <w:lang w:eastAsia="bg-BG"/>
              </w:rPr>
              <w:t xml:space="preserve"> декември</w:t>
            </w:r>
          </w:p>
          <w:p w:rsidR="006E33C8" w:rsidRPr="00CC5E0B" w:rsidRDefault="006E33C8" w:rsidP="00EE2830">
            <w:pPr>
              <w:ind w:left="241" w:hanging="241"/>
              <w:jc w:val="right"/>
              <w:rPr>
                <w:rFonts w:cs="Times New Roman"/>
                <w:b/>
                <w:bCs/>
                <w:szCs w:val="22"/>
                <w:lang w:eastAsia="bg-BG"/>
              </w:rPr>
            </w:pPr>
            <w:r w:rsidRPr="00CC5E0B">
              <w:rPr>
                <w:rFonts w:cs="Times New Roman"/>
                <w:b/>
                <w:bCs/>
                <w:szCs w:val="22"/>
                <w:lang w:eastAsia="bg-BG"/>
              </w:rPr>
              <w:t>2018</w:t>
            </w:r>
          </w:p>
        </w:tc>
      </w:tr>
      <w:tr w:rsidR="008B3553" w:rsidRPr="00796446" w:rsidTr="00CC5E0B">
        <w:trPr>
          <w:trHeight w:val="20"/>
        </w:trPr>
        <w:tc>
          <w:tcPr>
            <w:tcW w:w="3465" w:type="pct"/>
            <w:shd w:val="clear" w:color="auto" w:fill="auto"/>
            <w:noWrap/>
          </w:tcPr>
          <w:p w:rsidR="008B3553" w:rsidRPr="00CC5E0B" w:rsidRDefault="008B3553" w:rsidP="00817FBA">
            <w:pPr>
              <w:rPr>
                <w:rFonts w:cs="Times New Roman"/>
                <w:szCs w:val="22"/>
                <w:lang w:eastAsia="bg-BG"/>
              </w:rPr>
            </w:pPr>
          </w:p>
        </w:tc>
        <w:tc>
          <w:tcPr>
            <w:tcW w:w="727" w:type="pct"/>
            <w:shd w:val="clear" w:color="auto" w:fill="auto"/>
            <w:noWrap/>
          </w:tcPr>
          <w:p w:rsidR="008B3553" w:rsidRPr="00CC5E0B" w:rsidRDefault="008B3553" w:rsidP="00EE2830">
            <w:pPr>
              <w:jc w:val="right"/>
              <w:rPr>
                <w:rFonts w:cs="Times New Roman"/>
                <w:b/>
                <w:bCs/>
                <w:szCs w:val="22"/>
                <w:lang w:eastAsia="bg-BG"/>
              </w:rPr>
            </w:pPr>
            <w:r w:rsidRPr="00CC5E0B">
              <w:rPr>
                <w:rFonts w:cs="Times New Roman"/>
                <w:b/>
                <w:bCs/>
                <w:szCs w:val="22"/>
                <w:lang w:eastAsia="bg-BG"/>
              </w:rPr>
              <w:t>‘000 лв.</w:t>
            </w:r>
          </w:p>
        </w:tc>
        <w:tc>
          <w:tcPr>
            <w:tcW w:w="809" w:type="pct"/>
            <w:shd w:val="clear" w:color="auto" w:fill="auto"/>
          </w:tcPr>
          <w:p w:rsidR="008B3553" w:rsidRPr="00CC5E0B" w:rsidRDefault="008B3553" w:rsidP="00EE2830">
            <w:pPr>
              <w:jc w:val="right"/>
              <w:rPr>
                <w:rFonts w:cs="Times New Roman"/>
                <w:b/>
                <w:bCs/>
                <w:szCs w:val="22"/>
                <w:lang w:eastAsia="bg-BG"/>
              </w:rPr>
            </w:pPr>
            <w:r w:rsidRPr="00CC5E0B">
              <w:rPr>
                <w:rFonts w:cs="Times New Roman"/>
                <w:b/>
                <w:bCs/>
                <w:szCs w:val="22"/>
                <w:lang w:eastAsia="bg-BG"/>
              </w:rPr>
              <w:t>‘000 лв.</w:t>
            </w:r>
          </w:p>
        </w:tc>
      </w:tr>
      <w:tr w:rsidR="008B3553" w:rsidRPr="00796446" w:rsidTr="00CC5E0B">
        <w:trPr>
          <w:trHeight w:val="20"/>
        </w:trPr>
        <w:tc>
          <w:tcPr>
            <w:tcW w:w="3465" w:type="pct"/>
            <w:shd w:val="clear" w:color="auto" w:fill="auto"/>
            <w:noWrap/>
          </w:tcPr>
          <w:p w:rsidR="008B3553" w:rsidRPr="00CC5E0B" w:rsidRDefault="008B3553" w:rsidP="00817FBA">
            <w:pPr>
              <w:rPr>
                <w:rFonts w:cs="Times New Roman"/>
                <w:szCs w:val="22"/>
                <w:lang w:eastAsia="bg-BG"/>
              </w:rPr>
            </w:pPr>
            <w:r w:rsidRPr="00CC5E0B">
              <w:rPr>
                <w:rFonts w:cs="Times New Roman"/>
                <w:szCs w:val="22"/>
                <w:lang w:eastAsia="bg-BG"/>
              </w:rPr>
              <w:t> </w:t>
            </w:r>
          </w:p>
        </w:tc>
        <w:tc>
          <w:tcPr>
            <w:tcW w:w="727" w:type="pct"/>
            <w:shd w:val="clear" w:color="auto" w:fill="auto"/>
            <w:noWrap/>
          </w:tcPr>
          <w:p w:rsidR="008B3553" w:rsidRPr="00CC5E0B" w:rsidRDefault="008B3553" w:rsidP="00EE2830">
            <w:pPr>
              <w:jc w:val="right"/>
              <w:rPr>
                <w:rFonts w:cs="Times New Roman"/>
                <w:b/>
                <w:bCs/>
                <w:szCs w:val="22"/>
                <w:lang w:eastAsia="bg-BG"/>
              </w:rPr>
            </w:pPr>
          </w:p>
        </w:tc>
        <w:tc>
          <w:tcPr>
            <w:tcW w:w="809" w:type="pct"/>
            <w:shd w:val="clear" w:color="auto" w:fill="auto"/>
          </w:tcPr>
          <w:p w:rsidR="008B3553" w:rsidRPr="00CC5E0B" w:rsidRDefault="008B3553" w:rsidP="00EE2830">
            <w:pPr>
              <w:jc w:val="right"/>
              <w:rPr>
                <w:rFonts w:cs="Times New Roman"/>
                <w:b/>
                <w:bCs/>
                <w:szCs w:val="22"/>
                <w:lang w:eastAsia="bg-BG"/>
              </w:rPr>
            </w:pPr>
          </w:p>
        </w:tc>
      </w:tr>
      <w:tr w:rsidR="00F335EB" w:rsidRPr="00796446" w:rsidTr="00CC5E0B">
        <w:trPr>
          <w:trHeight w:val="20"/>
        </w:trPr>
        <w:tc>
          <w:tcPr>
            <w:tcW w:w="3465" w:type="pct"/>
            <w:shd w:val="clear" w:color="auto" w:fill="auto"/>
            <w:noWrap/>
          </w:tcPr>
          <w:p w:rsidR="00F335EB" w:rsidRPr="00CC5E0B" w:rsidRDefault="002E49D7" w:rsidP="002E49D7">
            <w:pPr>
              <w:autoSpaceDE w:val="0"/>
              <w:autoSpaceDN w:val="0"/>
              <w:adjustRightInd w:val="0"/>
              <w:rPr>
                <w:szCs w:val="22"/>
              </w:rPr>
            </w:pPr>
            <w:r w:rsidRPr="00CC5E0B">
              <w:rPr>
                <w:szCs w:val="22"/>
              </w:rPr>
              <w:t>Задължения за заплати</w:t>
            </w:r>
          </w:p>
        </w:tc>
        <w:tc>
          <w:tcPr>
            <w:tcW w:w="727" w:type="pct"/>
            <w:shd w:val="clear" w:color="auto" w:fill="auto"/>
            <w:noWrap/>
          </w:tcPr>
          <w:p w:rsidR="00F335EB" w:rsidRPr="00CC5E0B" w:rsidRDefault="00F335EB" w:rsidP="00EE2830">
            <w:pPr>
              <w:jc w:val="right"/>
              <w:rPr>
                <w:rFonts w:cs="Times New Roman"/>
                <w:szCs w:val="22"/>
                <w:lang w:val="en-US" w:eastAsia="bg-BG"/>
              </w:rPr>
            </w:pPr>
            <w:r w:rsidRPr="00CC5E0B">
              <w:rPr>
                <w:rFonts w:cs="Times New Roman"/>
                <w:szCs w:val="22"/>
                <w:lang w:eastAsia="bg-BG"/>
              </w:rPr>
              <w:t>4</w:t>
            </w:r>
            <w:r w:rsidR="00676B25" w:rsidRPr="00CC5E0B">
              <w:rPr>
                <w:rFonts w:cs="Times New Roman"/>
                <w:szCs w:val="22"/>
                <w:lang w:eastAsia="bg-BG"/>
              </w:rPr>
              <w:t>2</w:t>
            </w:r>
          </w:p>
        </w:tc>
        <w:tc>
          <w:tcPr>
            <w:tcW w:w="809" w:type="pct"/>
            <w:shd w:val="clear" w:color="auto" w:fill="auto"/>
          </w:tcPr>
          <w:p w:rsidR="00F335EB" w:rsidRPr="00CC5E0B" w:rsidRDefault="00C05DE4" w:rsidP="00EE2830">
            <w:pPr>
              <w:jc w:val="right"/>
              <w:rPr>
                <w:rFonts w:cs="Times New Roman"/>
                <w:szCs w:val="22"/>
                <w:lang w:eastAsia="bg-BG"/>
              </w:rPr>
            </w:pPr>
            <w:r w:rsidRPr="00CC5E0B">
              <w:rPr>
                <w:rFonts w:cs="Times New Roman"/>
                <w:szCs w:val="22"/>
                <w:lang w:eastAsia="bg-BG"/>
              </w:rPr>
              <w:t>4</w:t>
            </w:r>
            <w:r w:rsidR="006E33C8" w:rsidRPr="00CC5E0B">
              <w:rPr>
                <w:rFonts w:cs="Times New Roman"/>
                <w:szCs w:val="22"/>
                <w:lang w:eastAsia="bg-BG"/>
              </w:rPr>
              <w:t>8</w:t>
            </w:r>
          </w:p>
        </w:tc>
      </w:tr>
      <w:tr w:rsidR="00F335EB" w:rsidRPr="00796446" w:rsidTr="00CC5E0B">
        <w:trPr>
          <w:trHeight w:val="20"/>
        </w:trPr>
        <w:tc>
          <w:tcPr>
            <w:tcW w:w="3465" w:type="pct"/>
            <w:shd w:val="clear" w:color="auto" w:fill="auto"/>
            <w:noWrap/>
          </w:tcPr>
          <w:p w:rsidR="00F335EB" w:rsidRPr="00CC5E0B" w:rsidRDefault="002E49D7" w:rsidP="002E49D7">
            <w:pPr>
              <w:autoSpaceDE w:val="0"/>
              <w:autoSpaceDN w:val="0"/>
              <w:adjustRightInd w:val="0"/>
              <w:rPr>
                <w:szCs w:val="22"/>
              </w:rPr>
            </w:pPr>
            <w:r w:rsidRPr="00CC5E0B">
              <w:rPr>
                <w:szCs w:val="22"/>
              </w:rPr>
              <w:t>Задължения към осигурители</w:t>
            </w:r>
          </w:p>
        </w:tc>
        <w:tc>
          <w:tcPr>
            <w:tcW w:w="727" w:type="pct"/>
            <w:shd w:val="clear" w:color="auto" w:fill="auto"/>
            <w:noWrap/>
          </w:tcPr>
          <w:p w:rsidR="00F335EB" w:rsidRPr="00CC5E0B" w:rsidRDefault="00F335EB" w:rsidP="00EE2830">
            <w:pPr>
              <w:jc w:val="right"/>
              <w:rPr>
                <w:rFonts w:cs="Times New Roman"/>
                <w:szCs w:val="22"/>
                <w:lang w:val="en-US" w:eastAsia="bg-BG"/>
              </w:rPr>
            </w:pPr>
            <w:r w:rsidRPr="00CC5E0B">
              <w:rPr>
                <w:rFonts w:cs="Times New Roman"/>
                <w:szCs w:val="22"/>
                <w:lang w:eastAsia="bg-BG"/>
              </w:rPr>
              <w:t>1</w:t>
            </w:r>
            <w:r w:rsidR="00676B25" w:rsidRPr="00CC5E0B">
              <w:rPr>
                <w:rFonts w:cs="Times New Roman"/>
                <w:szCs w:val="22"/>
                <w:lang w:eastAsia="bg-BG"/>
              </w:rPr>
              <w:t>6</w:t>
            </w:r>
          </w:p>
        </w:tc>
        <w:tc>
          <w:tcPr>
            <w:tcW w:w="809" w:type="pct"/>
            <w:shd w:val="clear" w:color="auto" w:fill="auto"/>
          </w:tcPr>
          <w:p w:rsidR="00F335EB" w:rsidRPr="00CC5E0B" w:rsidRDefault="00F335EB" w:rsidP="00EE2830">
            <w:pPr>
              <w:jc w:val="right"/>
              <w:rPr>
                <w:rFonts w:cs="Times New Roman"/>
                <w:szCs w:val="22"/>
                <w:lang w:eastAsia="bg-BG"/>
              </w:rPr>
            </w:pPr>
            <w:r w:rsidRPr="00CC5E0B">
              <w:rPr>
                <w:rFonts w:cs="Times New Roman"/>
                <w:szCs w:val="22"/>
                <w:lang w:eastAsia="bg-BG"/>
              </w:rPr>
              <w:t>1</w:t>
            </w:r>
            <w:r w:rsidR="006E33C8" w:rsidRPr="00CC5E0B">
              <w:rPr>
                <w:rFonts w:cs="Times New Roman"/>
                <w:szCs w:val="22"/>
                <w:lang w:eastAsia="bg-BG"/>
              </w:rPr>
              <w:t>6</w:t>
            </w:r>
          </w:p>
        </w:tc>
      </w:tr>
      <w:tr w:rsidR="00F335EB" w:rsidRPr="00796446" w:rsidTr="00CC5E0B">
        <w:trPr>
          <w:trHeight w:val="20"/>
        </w:trPr>
        <w:tc>
          <w:tcPr>
            <w:tcW w:w="3465" w:type="pct"/>
            <w:shd w:val="clear" w:color="auto" w:fill="auto"/>
            <w:noWrap/>
          </w:tcPr>
          <w:p w:rsidR="00F335EB" w:rsidRPr="00CC5E0B" w:rsidRDefault="002E49D7" w:rsidP="002E49D7">
            <w:pPr>
              <w:autoSpaceDE w:val="0"/>
              <w:autoSpaceDN w:val="0"/>
              <w:adjustRightInd w:val="0"/>
              <w:rPr>
                <w:szCs w:val="22"/>
              </w:rPr>
            </w:pPr>
            <w:r w:rsidRPr="00CC5E0B">
              <w:rPr>
                <w:szCs w:val="22"/>
              </w:rPr>
              <w:t>Задължения по неизползван отпуск</w:t>
            </w:r>
          </w:p>
        </w:tc>
        <w:tc>
          <w:tcPr>
            <w:tcW w:w="727" w:type="pct"/>
            <w:shd w:val="clear" w:color="auto" w:fill="auto"/>
            <w:noWrap/>
          </w:tcPr>
          <w:p w:rsidR="00F335EB" w:rsidRPr="00CC5E0B" w:rsidRDefault="00676B25" w:rsidP="00EE2830">
            <w:pPr>
              <w:jc w:val="right"/>
              <w:rPr>
                <w:rFonts w:cs="Times New Roman"/>
                <w:szCs w:val="22"/>
                <w:lang w:eastAsia="bg-BG"/>
              </w:rPr>
            </w:pPr>
            <w:r w:rsidRPr="00CC5E0B">
              <w:rPr>
                <w:rFonts w:cs="Times New Roman"/>
                <w:szCs w:val="22"/>
                <w:lang w:eastAsia="bg-BG"/>
              </w:rPr>
              <w:t>51</w:t>
            </w:r>
          </w:p>
        </w:tc>
        <w:tc>
          <w:tcPr>
            <w:tcW w:w="809" w:type="pct"/>
            <w:shd w:val="clear" w:color="auto" w:fill="auto"/>
          </w:tcPr>
          <w:p w:rsidR="00F335EB" w:rsidRPr="00CC5E0B" w:rsidRDefault="00C05DE4" w:rsidP="00EE2830">
            <w:pPr>
              <w:jc w:val="right"/>
              <w:rPr>
                <w:rFonts w:cs="Times New Roman"/>
                <w:szCs w:val="22"/>
                <w:lang w:eastAsia="bg-BG"/>
              </w:rPr>
            </w:pPr>
            <w:r w:rsidRPr="00CC5E0B">
              <w:rPr>
                <w:rFonts w:cs="Times New Roman"/>
                <w:szCs w:val="22"/>
                <w:lang w:eastAsia="bg-BG"/>
              </w:rPr>
              <w:t>3</w:t>
            </w:r>
            <w:r w:rsidR="006E33C8" w:rsidRPr="00CC5E0B">
              <w:rPr>
                <w:rFonts w:cs="Times New Roman"/>
                <w:szCs w:val="22"/>
                <w:lang w:eastAsia="bg-BG"/>
              </w:rPr>
              <w:t>9</w:t>
            </w:r>
          </w:p>
        </w:tc>
      </w:tr>
      <w:tr w:rsidR="00F335EB" w:rsidRPr="00796446" w:rsidTr="00CC5E0B">
        <w:trPr>
          <w:trHeight w:val="20"/>
        </w:trPr>
        <w:tc>
          <w:tcPr>
            <w:tcW w:w="3465" w:type="pct"/>
            <w:shd w:val="clear" w:color="auto" w:fill="auto"/>
            <w:noWrap/>
          </w:tcPr>
          <w:p w:rsidR="00F335EB" w:rsidRPr="00CC5E0B" w:rsidRDefault="00F335EB" w:rsidP="00817FBA">
            <w:pPr>
              <w:rPr>
                <w:rFonts w:cs="Times New Roman"/>
                <w:b/>
                <w:szCs w:val="22"/>
                <w:lang w:eastAsia="bg-BG"/>
              </w:rPr>
            </w:pPr>
          </w:p>
        </w:tc>
        <w:tc>
          <w:tcPr>
            <w:tcW w:w="727" w:type="pct"/>
            <w:tcBorders>
              <w:top w:val="single" w:sz="4" w:space="0" w:color="auto"/>
              <w:bottom w:val="double" w:sz="4" w:space="0" w:color="auto"/>
            </w:tcBorders>
            <w:shd w:val="clear" w:color="auto" w:fill="auto"/>
            <w:noWrap/>
          </w:tcPr>
          <w:p w:rsidR="00F335EB" w:rsidRPr="00CC5E0B" w:rsidRDefault="00676B25" w:rsidP="00EE2830">
            <w:pPr>
              <w:jc w:val="right"/>
              <w:rPr>
                <w:rFonts w:cs="Times New Roman"/>
                <w:b/>
                <w:szCs w:val="22"/>
                <w:lang w:eastAsia="bg-BG"/>
              </w:rPr>
            </w:pPr>
            <w:r w:rsidRPr="00CC5E0B">
              <w:rPr>
                <w:rFonts w:cs="Times New Roman"/>
                <w:b/>
                <w:szCs w:val="22"/>
                <w:lang w:eastAsia="bg-BG"/>
              </w:rPr>
              <w:t>109</w:t>
            </w:r>
          </w:p>
        </w:tc>
        <w:tc>
          <w:tcPr>
            <w:tcW w:w="809" w:type="pct"/>
            <w:tcBorders>
              <w:top w:val="single" w:sz="4" w:space="0" w:color="auto"/>
              <w:bottom w:val="double" w:sz="4" w:space="0" w:color="auto"/>
            </w:tcBorders>
            <w:shd w:val="clear" w:color="auto" w:fill="auto"/>
          </w:tcPr>
          <w:p w:rsidR="00F335EB" w:rsidRPr="00CC5E0B" w:rsidRDefault="002E49D7" w:rsidP="00EE2830">
            <w:pPr>
              <w:jc w:val="right"/>
              <w:rPr>
                <w:rFonts w:cs="Times New Roman"/>
                <w:b/>
                <w:szCs w:val="22"/>
                <w:lang w:eastAsia="bg-BG"/>
              </w:rPr>
            </w:pPr>
            <w:r w:rsidRPr="00CC5E0B">
              <w:rPr>
                <w:rFonts w:cs="Times New Roman"/>
                <w:b/>
                <w:szCs w:val="22"/>
                <w:lang w:eastAsia="bg-BG"/>
              </w:rPr>
              <w:t>103</w:t>
            </w:r>
          </w:p>
        </w:tc>
      </w:tr>
    </w:tbl>
    <w:p w:rsidR="00893FF1" w:rsidRPr="00CC5E0B" w:rsidRDefault="00893FF1" w:rsidP="00817FBA">
      <w:pPr>
        <w:spacing w:after="120" w:line="259" w:lineRule="auto"/>
        <w:jc w:val="both"/>
        <w:rPr>
          <w:szCs w:val="22"/>
        </w:rPr>
      </w:pPr>
    </w:p>
    <w:p w:rsidR="00893FF1" w:rsidRPr="00CC5E0B" w:rsidRDefault="002E49D7" w:rsidP="0089234A">
      <w:pPr>
        <w:pStyle w:val="Heading1"/>
        <w:numPr>
          <w:ilvl w:val="0"/>
          <w:numId w:val="46"/>
        </w:numPr>
        <w:spacing w:after="0" w:line="240" w:lineRule="auto"/>
        <w:ind w:left="567" w:hanging="567"/>
        <w:rPr>
          <w:color w:val="auto"/>
          <w:sz w:val="22"/>
          <w:szCs w:val="22"/>
        </w:rPr>
      </w:pPr>
      <w:r w:rsidRPr="00CC5E0B">
        <w:rPr>
          <w:color w:val="auto"/>
          <w:sz w:val="22"/>
          <w:szCs w:val="22"/>
        </w:rPr>
        <w:t>Търговски и други задължения</w:t>
      </w:r>
    </w:p>
    <w:p w:rsidR="00116FC2" w:rsidRDefault="00116FC2" w:rsidP="00F807B8">
      <w:pPr>
        <w:jc w:val="both"/>
        <w:rPr>
          <w:szCs w:val="22"/>
        </w:rPr>
      </w:pPr>
    </w:p>
    <w:p w:rsidR="00B95C12" w:rsidRPr="00CC5E0B" w:rsidRDefault="009F2EBE" w:rsidP="00F807B8">
      <w:pPr>
        <w:jc w:val="both"/>
        <w:rPr>
          <w:szCs w:val="22"/>
        </w:rPr>
      </w:pPr>
      <w:r w:rsidRPr="00CC5E0B">
        <w:rPr>
          <w:szCs w:val="22"/>
        </w:rPr>
        <w:t>Търговските задължения</w:t>
      </w:r>
      <w:r w:rsidR="00893FF1" w:rsidRPr="00CC5E0B">
        <w:rPr>
          <w:szCs w:val="22"/>
        </w:rPr>
        <w:t xml:space="preserve">, </w:t>
      </w:r>
      <w:r w:rsidRPr="00CC5E0B">
        <w:rPr>
          <w:szCs w:val="22"/>
        </w:rPr>
        <w:t xml:space="preserve">отразени в междинния съкратен </w:t>
      </w:r>
      <w:r w:rsidR="001A4628" w:rsidRPr="00CC5E0B">
        <w:rPr>
          <w:szCs w:val="22"/>
        </w:rPr>
        <w:t>отчет за финансовото състояние, включват:</w:t>
      </w:r>
    </w:p>
    <w:tbl>
      <w:tblPr>
        <w:tblW w:w="4966" w:type="pct"/>
        <w:tblLook w:val="0000"/>
      </w:tblPr>
      <w:tblGrid>
        <w:gridCol w:w="6248"/>
        <w:gridCol w:w="1445"/>
        <w:gridCol w:w="1487"/>
      </w:tblGrid>
      <w:tr w:rsidR="00FD3BAA" w:rsidRPr="00796446" w:rsidTr="00CC5E0B">
        <w:trPr>
          <w:trHeight w:val="20"/>
        </w:trPr>
        <w:tc>
          <w:tcPr>
            <w:tcW w:w="3403" w:type="pct"/>
            <w:shd w:val="clear" w:color="auto" w:fill="auto"/>
          </w:tcPr>
          <w:p w:rsidR="00FD3BAA" w:rsidRPr="00CC5E0B" w:rsidRDefault="00FD3BAA" w:rsidP="00FF40FE">
            <w:pPr>
              <w:autoSpaceDE w:val="0"/>
              <w:autoSpaceDN w:val="0"/>
              <w:adjustRightInd w:val="0"/>
              <w:jc w:val="both"/>
              <w:rPr>
                <w:b/>
                <w:bCs/>
                <w:szCs w:val="22"/>
              </w:rPr>
            </w:pPr>
          </w:p>
        </w:tc>
        <w:tc>
          <w:tcPr>
            <w:tcW w:w="787" w:type="pct"/>
            <w:shd w:val="clear" w:color="auto" w:fill="auto"/>
          </w:tcPr>
          <w:p w:rsidR="00FD3BAA" w:rsidRPr="00CC5E0B" w:rsidRDefault="001A4628" w:rsidP="00FF40FE">
            <w:pPr>
              <w:autoSpaceDE w:val="0"/>
              <w:autoSpaceDN w:val="0"/>
              <w:adjustRightInd w:val="0"/>
              <w:jc w:val="right"/>
              <w:rPr>
                <w:b/>
                <w:bCs/>
                <w:szCs w:val="22"/>
              </w:rPr>
            </w:pPr>
            <w:r w:rsidRPr="00CC5E0B">
              <w:rPr>
                <w:b/>
                <w:bCs/>
                <w:szCs w:val="22"/>
              </w:rPr>
              <w:t>3</w:t>
            </w:r>
            <w:r w:rsidR="002641FF" w:rsidRPr="00CC5E0B">
              <w:rPr>
                <w:b/>
                <w:bCs/>
                <w:szCs w:val="22"/>
              </w:rPr>
              <w:t>0</w:t>
            </w:r>
            <w:r w:rsidRPr="00CC5E0B">
              <w:rPr>
                <w:b/>
                <w:bCs/>
                <w:szCs w:val="22"/>
              </w:rPr>
              <w:t xml:space="preserve"> </w:t>
            </w:r>
            <w:r w:rsidR="002641FF" w:rsidRPr="00CC5E0B">
              <w:rPr>
                <w:b/>
                <w:bCs/>
                <w:szCs w:val="22"/>
              </w:rPr>
              <w:t>юни</w:t>
            </w:r>
            <w:r w:rsidRPr="00CC5E0B">
              <w:rPr>
                <w:b/>
                <w:bCs/>
                <w:szCs w:val="22"/>
              </w:rPr>
              <w:t xml:space="preserve">   </w:t>
            </w:r>
            <w:r w:rsidR="00FD3BAA" w:rsidRPr="00CC5E0B">
              <w:rPr>
                <w:b/>
                <w:bCs/>
                <w:szCs w:val="22"/>
              </w:rPr>
              <w:t>201</w:t>
            </w:r>
            <w:r w:rsidRPr="00CC5E0B">
              <w:rPr>
                <w:b/>
                <w:bCs/>
                <w:szCs w:val="22"/>
              </w:rPr>
              <w:t>9</w:t>
            </w:r>
          </w:p>
        </w:tc>
        <w:tc>
          <w:tcPr>
            <w:tcW w:w="810" w:type="pct"/>
            <w:shd w:val="clear" w:color="auto" w:fill="auto"/>
          </w:tcPr>
          <w:p w:rsidR="00FD3BAA" w:rsidRPr="00CC5E0B" w:rsidRDefault="001A4628" w:rsidP="00FF40FE">
            <w:pPr>
              <w:autoSpaceDE w:val="0"/>
              <w:autoSpaceDN w:val="0"/>
              <w:adjustRightInd w:val="0"/>
              <w:jc w:val="right"/>
              <w:rPr>
                <w:b/>
                <w:bCs/>
                <w:szCs w:val="22"/>
              </w:rPr>
            </w:pPr>
            <w:r w:rsidRPr="00CC5E0B">
              <w:rPr>
                <w:b/>
                <w:bCs/>
                <w:szCs w:val="22"/>
              </w:rPr>
              <w:t xml:space="preserve">31 декември </w:t>
            </w:r>
            <w:r w:rsidR="00FD3BAA" w:rsidRPr="00CC5E0B">
              <w:rPr>
                <w:b/>
                <w:bCs/>
                <w:szCs w:val="22"/>
              </w:rPr>
              <w:t>201</w:t>
            </w:r>
            <w:r w:rsidRPr="00CC5E0B">
              <w:rPr>
                <w:b/>
                <w:bCs/>
                <w:szCs w:val="22"/>
              </w:rPr>
              <w:t>8</w:t>
            </w:r>
          </w:p>
        </w:tc>
      </w:tr>
      <w:tr w:rsidR="00FD3BAA" w:rsidRPr="00796446" w:rsidTr="00CC5E0B">
        <w:trPr>
          <w:trHeight w:val="20"/>
        </w:trPr>
        <w:tc>
          <w:tcPr>
            <w:tcW w:w="3403" w:type="pct"/>
            <w:shd w:val="clear" w:color="auto" w:fill="auto"/>
          </w:tcPr>
          <w:p w:rsidR="00FD3BAA" w:rsidRPr="00CC5E0B" w:rsidRDefault="00FD3BAA" w:rsidP="00FF40FE">
            <w:pPr>
              <w:autoSpaceDE w:val="0"/>
              <w:autoSpaceDN w:val="0"/>
              <w:adjustRightInd w:val="0"/>
              <w:jc w:val="both"/>
              <w:rPr>
                <w:b/>
                <w:bCs/>
                <w:szCs w:val="22"/>
              </w:rPr>
            </w:pPr>
          </w:p>
        </w:tc>
        <w:tc>
          <w:tcPr>
            <w:tcW w:w="787" w:type="pct"/>
            <w:shd w:val="clear" w:color="auto" w:fill="auto"/>
          </w:tcPr>
          <w:p w:rsidR="00FD3BAA" w:rsidRPr="00CC5E0B" w:rsidRDefault="00FD3BAA" w:rsidP="00FF40FE">
            <w:pPr>
              <w:jc w:val="right"/>
              <w:rPr>
                <w:szCs w:val="22"/>
              </w:rPr>
            </w:pPr>
            <w:r w:rsidRPr="00CC5E0B">
              <w:rPr>
                <w:b/>
                <w:bCs/>
                <w:szCs w:val="22"/>
              </w:rPr>
              <w:t>‘000 лв.</w:t>
            </w:r>
          </w:p>
        </w:tc>
        <w:tc>
          <w:tcPr>
            <w:tcW w:w="810" w:type="pct"/>
            <w:shd w:val="clear" w:color="auto" w:fill="auto"/>
          </w:tcPr>
          <w:p w:rsidR="00FD3BAA" w:rsidRPr="00CC5E0B" w:rsidRDefault="00FD3BAA" w:rsidP="00FF40FE">
            <w:pPr>
              <w:jc w:val="right"/>
              <w:rPr>
                <w:szCs w:val="22"/>
              </w:rPr>
            </w:pPr>
            <w:r w:rsidRPr="00CC5E0B">
              <w:rPr>
                <w:b/>
                <w:bCs/>
                <w:szCs w:val="22"/>
              </w:rPr>
              <w:t>‘000 лв.</w:t>
            </w:r>
          </w:p>
        </w:tc>
      </w:tr>
      <w:tr w:rsidR="00FD3BAA" w:rsidRPr="00796446" w:rsidTr="00CC5E0B">
        <w:trPr>
          <w:trHeight w:val="20"/>
        </w:trPr>
        <w:tc>
          <w:tcPr>
            <w:tcW w:w="3403" w:type="pct"/>
            <w:shd w:val="clear" w:color="auto" w:fill="auto"/>
          </w:tcPr>
          <w:p w:rsidR="00FD3BAA" w:rsidRPr="00CC5E0B" w:rsidRDefault="00FD3BAA" w:rsidP="00FF40FE">
            <w:pPr>
              <w:autoSpaceDE w:val="0"/>
              <w:autoSpaceDN w:val="0"/>
              <w:adjustRightInd w:val="0"/>
              <w:jc w:val="both"/>
              <w:rPr>
                <w:b/>
                <w:bCs/>
                <w:szCs w:val="22"/>
              </w:rPr>
            </w:pPr>
          </w:p>
        </w:tc>
        <w:tc>
          <w:tcPr>
            <w:tcW w:w="787" w:type="pct"/>
            <w:shd w:val="clear" w:color="auto" w:fill="auto"/>
          </w:tcPr>
          <w:p w:rsidR="00FD3BAA" w:rsidRPr="00CC5E0B" w:rsidRDefault="00FD3BAA" w:rsidP="00FF40FE">
            <w:pPr>
              <w:jc w:val="right"/>
              <w:rPr>
                <w:b/>
                <w:bCs/>
                <w:szCs w:val="22"/>
              </w:rPr>
            </w:pPr>
          </w:p>
        </w:tc>
        <w:tc>
          <w:tcPr>
            <w:tcW w:w="810" w:type="pct"/>
            <w:shd w:val="clear" w:color="auto" w:fill="auto"/>
          </w:tcPr>
          <w:p w:rsidR="00FD3BAA" w:rsidRPr="00CC5E0B" w:rsidRDefault="00FD3BAA" w:rsidP="00FF40FE">
            <w:pPr>
              <w:jc w:val="right"/>
              <w:rPr>
                <w:b/>
                <w:bCs/>
                <w:szCs w:val="22"/>
              </w:rPr>
            </w:pPr>
          </w:p>
        </w:tc>
      </w:tr>
      <w:tr w:rsidR="00FD3BAA" w:rsidRPr="00796446" w:rsidTr="00CC5E0B">
        <w:trPr>
          <w:trHeight w:val="20"/>
        </w:trPr>
        <w:tc>
          <w:tcPr>
            <w:tcW w:w="3403" w:type="pct"/>
            <w:shd w:val="clear" w:color="auto" w:fill="auto"/>
          </w:tcPr>
          <w:p w:rsidR="00FD3BAA" w:rsidRPr="00CC5E0B" w:rsidRDefault="001A4628" w:rsidP="00FF40FE">
            <w:pPr>
              <w:autoSpaceDE w:val="0"/>
              <w:autoSpaceDN w:val="0"/>
              <w:adjustRightInd w:val="0"/>
              <w:rPr>
                <w:szCs w:val="22"/>
              </w:rPr>
            </w:pPr>
            <w:r w:rsidRPr="00CC5E0B">
              <w:rPr>
                <w:szCs w:val="22"/>
              </w:rPr>
              <w:t>Задължения по получени гаранции</w:t>
            </w:r>
          </w:p>
          <w:p w:rsidR="001A4628" w:rsidRPr="00CC5E0B" w:rsidRDefault="001A4628" w:rsidP="00FF40FE">
            <w:pPr>
              <w:autoSpaceDE w:val="0"/>
              <w:autoSpaceDN w:val="0"/>
              <w:adjustRightInd w:val="0"/>
              <w:rPr>
                <w:szCs w:val="22"/>
              </w:rPr>
            </w:pPr>
            <w:r w:rsidRPr="00CC5E0B">
              <w:rPr>
                <w:szCs w:val="22"/>
              </w:rPr>
              <w:t>Търговски задължения</w:t>
            </w:r>
          </w:p>
          <w:p w:rsidR="001A4628" w:rsidRPr="00CC5E0B" w:rsidRDefault="001A4628" w:rsidP="00FF40FE">
            <w:pPr>
              <w:autoSpaceDE w:val="0"/>
              <w:autoSpaceDN w:val="0"/>
              <w:adjustRightInd w:val="0"/>
              <w:rPr>
                <w:szCs w:val="22"/>
              </w:rPr>
            </w:pPr>
            <w:r w:rsidRPr="00CC5E0B">
              <w:rPr>
                <w:szCs w:val="22"/>
              </w:rPr>
              <w:t>ДДС и други данъчни задължения</w:t>
            </w:r>
          </w:p>
        </w:tc>
        <w:tc>
          <w:tcPr>
            <w:tcW w:w="787" w:type="pct"/>
            <w:shd w:val="clear" w:color="auto" w:fill="auto"/>
          </w:tcPr>
          <w:p w:rsidR="00FD3BAA" w:rsidRPr="007308AF" w:rsidRDefault="001A4628" w:rsidP="00FF40FE">
            <w:pPr>
              <w:jc w:val="right"/>
              <w:rPr>
                <w:sz w:val="24"/>
                <w:szCs w:val="24"/>
              </w:rPr>
            </w:pPr>
            <w:r w:rsidRPr="007308AF">
              <w:rPr>
                <w:sz w:val="24"/>
                <w:szCs w:val="24"/>
              </w:rPr>
              <w:t>2</w:t>
            </w:r>
          </w:p>
          <w:p w:rsidR="001A4628" w:rsidRPr="007308AF" w:rsidRDefault="001F440E" w:rsidP="00FF40FE">
            <w:pPr>
              <w:jc w:val="right"/>
              <w:rPr>
                <w:sz w:val="24"/>
                <w:szCs w:val="24"/>
              </w:rPr>
            </w:pPr>
            <w:r w:rsidRPr="007308AF">
              <w:rPr>
                <w:sz w:val="24"/>
                <w:szCs w:val="24"/>
              </w:rPr>
              <w:t>33</w:t>
            </w:r>
          </w:p>
          <w:p w:rsidR="001A4628" w:rsidRPr="00CC5E0B" w:rsidRDefault="001F440E" w:rsidP="00FF40FE">
            <w:pPr>
              <w:jc w:val="right"/>
              <w:rPr>
                <w:szCs w:val="22"/>
              </w:rPr>
            </w:pPr>
            <w:r w:rsidRPr="00CC5E0B">
              <w:rPr>
                <w:szCs w:val="22"/>
              </w:rPr>
              <w:t>23</w:t>
            </w:r>
          </w:p>
        </w:tc>
        <w:tc>
          <w:tcPr>
            <w:tcW w:w="810" w:type="pct"/>
            <w:shd w:val="clear" w:color="auto" w:fill="auto"/>
          </w:tcPr>
          <w:p w:rsidR="00FD3BAA" w:rsidRPr="00CC5E0B" w:rsidRDefault="005C0EA9" w:rsidP="00FF40FE">
            <w:pPr>
              <w:jc w:val="right"/>
              <w:rPr>
                <w:szCs w:val="22"/>
              </w:rPr>
            </w:pPr>
            <w:r w:rsidRPr="00CC5E0B">
              <w:rPr>
                <w:szCs w:val="22"/>
              </w:rPr>
              <w:t>2</w:t>
            </w:r>
          </w:p>
          <w:p w:rsidR="005C0EA9" w:rsidRPr="00CC5E0B" w:rsidRDefault="005C0EA9" w:rsidP="00FF40FE">
            <w:pPr>
              <w:jc w:val="right"/>
              <w:rPr>
                <w:szCs w:val="22"/>
              </w:rPr>
            </w:pPr>
            <w:r w:rsidRPr="00CC5E0B">
              <w:rPr>
                <w:szCs w:val="22"/>
              </w:rPr>
              <w:t>56</w:t>
            </w:r>
          </w:p>
          <w:p w:rsidR="005C0EA9" w:rsidRPr="00CC5E0B" w:rsidRDefault="005C0EA9" w:rsidP="00FF40FE">
            <w:pPr>
              <w:jc w:val="right"/>
              <w:rPr>
                <w:szCs w:val="22"/>
              </w:rPr>
            </w:pPr>
            <w:r w:rsidRPr="00CC5E0B">
              <w:rPr>
                <w:szCs w:val="22"/>
              </w:rPr>
              <w:t>61</w:t>
            </w:r>
          </w:p>
        </w:tc>
      </w:tr>
      <w:tr w:rsidR="00FD3BAA" w:rsidRPr="00796446" w:rsidTr="00CC5E0B">
        <w:trPr>
          <w:trHeight w:val="20"/>
        </w:trPr>
        <w:tc>
          <w:tcPr>
            <w:tcW w:w="3403" w:type="pct"/>
            <w:shd w:val="clear" w:color="auto" w:fill="auto"/>
          </w:tcPr>
          <w:p w:rsidR="00FD3BAA" w:rsidRPr="007308AF" w:rsidRDefault="00FD3BAA" w:rsidP="00FF40FE">
            <w:pPr>
              <w:rPr>
                <w:sz w:val="24"/>
                <w:szCs w:val="24"/>
              </w:rPr>
            </w:pPr>
          </w:p>
        </w:tc>
        <w:tc>
          <w:tcPr>
            <w:tcW w:w="787" w:type="pct"/>
            <w:tcBorders>
              <w:top w:val="single" w:sz="4" w:space="0" w:color="auto"/>
              <w:bottom w:val="double" w:sz="4" w:space="0" w:color="auto"/>
            </w:tcBorders>
            <w:shd w:val="clear" w:color="auto" w:fill="auto"/>
          </w:tcPr>
          <w:p w:rsidR="00FD3BAA" w:rsidRPr="007308AF" w:rsidRDefault="001F440E" w:rsidP="00FF40FE">
            <w:pPr>
              <w:jc w:val="right"/>
              <w:rPr>
                <w:rFonts w:cs="Times New Roman"/>
                <w:b/>
                <w:sz w:val="24"/>
                <w:szCs w:val="24"/>
                <w:lang w:eastAsia="bg-BG"/>
              </w:rPr>
            </w:pPr>
            <w:r w:rsidRPr="007308AF">
              <w:rPr>
                <w:rFonts w:cs="Times New Roman"/>
                <w:b/>
                <w:sz w:val="24"/>
                <w:szCs w:val="24"/>
                <w:lang w:eastAsia="bg-BG"/>
              </w:rPr>
              <w:t>58</w:t>
            </w:r>
          </w:p>
        </w:tc>
        <w:tc>
          <w:tcPr>
            <w:tcW w:w="810" w:type="pct"/>
            <w:tcBorders>
              <w:top w:val="single" w:sz="4" w:space="0" w:color="auto"/>
              <w:bottom w:val="double" w:sz="4" w:space="0" w:color="auto"/>
            </w:tcBorders>
            <w:shd w:val="clear" w:color="auto" w:fill="auto"/>
          </w:tcPr>
          <w:p w:rsidR="00FD3BAA" w:rsidRPr="007308AF" w:rsidRDefault="005C0EA9" w:rsidP="00FF40FE">
            <w:pPr>
              <w:jc w:val="right"/>
              <w:rPr>
                <w:rFonts w:cs="Times New Roman"/>
                <w:b/>
                <w:sz w:val="24"/>
                <w:szCs w:val="24"/>
                <w:lang w:eastAsia="bg-BG"/>
              </w:rPr>
            </w:pPr>
            <w:r w:rsidRPr="007308AF">
              <w:rPr>
                <w:rFonts w:cs="Times New Roman"/>
                <w:b/>
                <w:sz w:val="24"/>
                <w:szCs w:val="24"/>
                <w:lang w:eastAsia="bg-BG"/>
              </w:rPr>
              <w:t>119</w:t>
            </w:r>
          </w:p>
        </w:tc>
      </w:tr>
    </w:tbl>
    <w:p w:rsidR="00116FC2" w:rsidRDefault="00116FC2" w:rsidP="003B1134">
      <w:pPr>
        <w:pStyle w:val="BodyText"/>
        <w:spacing w:after="0" w:line="240" w:lineRule="auto"/>
        <w:jc w:val="both"/>
        <w:rPr>
          <w:szCs w:val="22"/>
        </w:rPr>
      </w:pPr>
      <w:bookmarkStart w:id="22" w:name="_Ref250229135"/>
      <w:bookmarkStart w:id="23" w:name="_Ref351123953"/>
    </w:p>
    <w:p w:rsidR="00F62D0A" w:rsidRPr="003D4233" w:rsidRDefault="00BE2506" w:rsidP="003B1134">
      <w:pPr>
        <w:pStyle w:val="BodyText"/>
        <w:spacing w:after="0" w:line="240" w:lineRule="auto"/>
        <w:jc w:val="both"/>
        <w:rPr>
          <w:szCs w:val="22"/>
        </w:rPr>
      </w:pPr>
      <w:r w:rsidRPr="00CC5E0B">
        <w:rPr>
          <w:szCs w:val="22"/>
        </w:rPr>
        <w:t>Нетната балансова стойност на текущите търговски задължения се приема за разумна приблизителна оценка на справедливата им стойност.</w:t>
      </w:r>
    </w:p>
    <w:bookmarkEnd w:id="22"/>
    <w:bookmarkEnd w:id="23"/>
    <w:p w:rsidR="00DC0F33" w:rsidRPr="00CC5E0B" w:rsidRDefault="00DC0F33" w:rsidP="0089234A">
      <w:pPr>
        <w:pStyle w:val="Heading1"/>
        <w:numPr>
          <w:ilvl w:val="0"/>
          <w:numId w:val="46"/>
        </w:numPr>
        <w:spacing w:before="360" w:after="0" w:line="240" w:lineRule="auto"/>
        <w:ind w:left="567" w:hanging="567"/>
        <w:rPr>
          <w:color w:val="auto"/>
          <w:sz w:val="22"/>
          <w:szCs w:val="22"/>
        </w:rPr>
      </w:pPr>
      <w:r w:rsidRPr="00CC5E0B">
        <w:rPr>
          <w:color w:val="auto"/>
          <w:sz w:val="22"/>
          <w:szCs w:val="22"/>
        </w:rPr>
        <w:t>Сделки със свързани лица</w:t>
      </w:r>
    </w:p>
    <w:p w:rsidR="00DC0F33" w:rsidRPr="00CC5E0B" w:rsidRDefault="002411F6" w:rsidP="003B1134">
      <w:pPr>
        <w:pStyle w:val="Heading1"/>
        <w:tabs>
          <w:tab w:val="left" w:pos="567"/>
        </w:tabs>
        <w:spacing w:before="0" w:line="240" w:lineRule="auto"/>
        <w:rPr>
          <w:b w:val="0"/>
          <w:color w:val="auto"/>
          <w:sz w:val="22"/>
          <w:szCs w:val="22"/>
        </w:rPr>
      </w:pPr>
      <w:r w:rsidRPr="00CC5E0B">
        <w:rPr>
          <w:b w:val="0"/>
          <w:color w:val="auto"/>
          <w:sz w:val="22"/>
          <w:szCs w:val="22"/>
        </w:rPr>
        <w:t>Дружеството</w:t>
      </w:r>
      <w:r w:rsidR="00DC0F33" w:rsidRPr="00CC5E0B">
        <w:rPr>
          <w:b w:val="0"/>
          <w:color w:val="auto"/>
          <w:sz w:val="22"/>
          <w:szCs w:val="22"/>
        </w:rPr>
        <w:t xml:space="preserve"> оповестява следните свързани лица:</w:t>
      </w:r>
    </w:p>
    <w:p w:rsidR="00DC0F33" w:rsidRPr="00CC5E0B" w:rsidRDefault="00DC0F33" w:rsidP="003B1134">
      <w:pPr>
        <w:pStyle w:val="ListParagraph"/>
        <w:spacing w:after="120"/>
        <w:ind w:left="0"/>
        <w:jc w:val="both"/>
        <w:rPr>
          <w:b/>
          <w:szCs w:val="22"/>
        </w:rPr>
      </w:pPr>
      <w:r w:rsidRPr="00CC5E0B">
        <w:rPr>
          <w:b/>
          <w:szCs w:val="22"/>
        </w:rPr>
        <w:t xml:space="preserve">Собственик на капитала на </w:t>
      </w:r>
      <w:r w:rsidR="002411F6" w:rsidRPr="00CC5E0B">
        <w:rPr>
          <w:b/>
          <w:szCs w:val="22"/>
        </w:rPr>
        <w:t>Дружеството</w:t>
      </w:r>
      <w:r w:rsidRPr="00CC5E0B">
        <w:rPr>
          <w:b/>
          <w:szCs w:val="22"/>
        </w:rPr>
        <w:t xml:space="preserve"> упражняващ контрол /</w:t>
      </w:r>
      <w:r w:rsidR="002411F6" w:rsidRPr="00CC5E0B">
        <w:rPr>
          <w:b/>
          <w:szCs w:val="22"/>
        </w:rPr>
        <w:t>Дружество-</w:t>
      </w:r>
      <w:r w:rsidRPr="00CC5E0B">
        <w:rPr>
          <w:b/>
          <w:szCs w:val="22"/>
        </w:rPr>
        <w:t>майка/</w:t>
      </w:r>
      <w:r w:rsidR="00494365" w:rsidRPr="00CC5E0B">
        <w:rPr>
          <w:b/>
          <w:szCs w:val="22"/>
        </w:rPr>
        <w:t xml:space="preserve"> - </w:t>
      </w:r>
      <w:r w:rsidRPr="00CC5E0B">
        <w:rPr>
          <w:szCs w:val="22"/>
        </w:rPr>
        <w:t>„АЕЦ Козлодуй“ ЕАД</w:t>
      </w:r>
      <w:r w:rsidR="00865674">
        <w:rPr>
          <w:szCs w:val="22"/>
        </w:rPr>
        <w:t>.</w:t>
      </w:r>
    </w:p>
    <w:p w:rsidR="0001223D" w:rsidRPr="00CC5E0B" w:rsidRDefault="0001223D" w:rsidP="003B1134">
      <w:pPr>
        <w:pStyle w:val="ListParagraph"/>
        <w:spacing w:after="120"/>
        <w:ind w:left="0"/>
        <w:jc w:val="both"/>
        <w:rPr>
          <w:b/>
          <w:szCs w:val="22"/>
        </w:rPr>
      </w:pPr>
    </w:p>
    <w:p w:rsidR="00DC0F33" w:rsidRPr="00CC5E0B" w:rsidRDefault="00DC0F33" w:rsidP="003B1134">
      <w:pPr>
        <w:pStyle w:val="ListParagraph"/>
        <w:spacing w:after="120"/>
        <w:ind w:left="0"/>
        <w:jc w:val="both"/>
        <w:rPr>
          <w:b/>
          <w:szCs w:val="22"/>
        </w:rPr>
      </w:pPr>
      <w:r w:rsidRPr="00CC5E0B">
        <w:rPr>
          <w:b/>
          <w:szCs w:val="22"/>
        </w:rPr>
        <w:t xml:space="preserve">Контролиращо лице /лице, което упражнява контрол върху </w:t>
      </w:r>
      <w:r w:rsidR="002411F6" w:rsidRPr="00CC5E0B">
        <w:rPr>
          <w:b/>
          <w:szCs w:val="22"/>
        </w:rPr>
        <w:t>Дружеството</w:t>
      </w:r>
      <w:r w:rsidRPr="00CC5E0B">
        <w:rPr>
          <w:b/>
          <w:szCs w:val="22"/>
        </w:rPr>
        <w:t xml:space="preserve"> и е различно от </w:t>
      </w:r>
      <w:r w:rsidR="002411F6" w:rsidRPr="00CC5E0B">
        <w:rPr>
          <w:b/>
          <w:szCs w:val="22"/>
        </w:rPr>
        <w:t>Дружеството-</w:t>
      </w:r>
      <w:r w:rsidRPr="00CC5E0B">
        <w:rPr>
          <w:b/>
          <w:szCs w:val="22"/>
        </w:rPr>
        <w:t>майка/</w:t>
      </w:r>
      <w:r w:rsidR="00494365" w:rsidRPr="00CC5E0B">
        <w:rPr>
          <w:b/>
          <w:szCs w:val="22"/>
        </w:rPr>
        <w:t xml:space="preserve"> - </w:t>
      </w:r>
      <w:r w:rsidRPr="00CC5E0B">
        <w:rPr>
          <w:szCs w:val="22"/>
        </w:rPr>
        <w:t>„Български Енергиен Холдинг“ ЕАД</w:t>
      </w:r>
      <w:r w:rsidR="00865674">
        <w:rPr>
          <w:szCs w:val="22"/>
        </w:rPr>
        <w:t>.</w:t>
      </w:r>
    </w:p>
    <w:p w:rsidR="00B95C12" w:rsidRPr="00CC5E0B" w:rsidRDefault="00B95C12" w:rsidP="003B1134">
      <w:pPr>
        <w:pStyle w:val="ListParagraph"/>
        <w:spacing w:after="120"/>
        <w:ind w:left="0"/>
        <w:jc w:val="both"/>
        <w:rPr>
          <w:szCs w:val="22"/>
        </w:rPr>
      </w:pPr>
    </w:p>
    <w:p w:rsidR="004C4420" w:rsidRPr="00CC5E0B" w:rsidRDefault="00DC0F33" w:rsidP="003B1134">
      <w:pPr>
        <w:pStyle w:val="ListParagraph"/>
        <w:spacing w:after="120"/>
        <w:ind w:left="0"/>
        <w:contextualSpacing w:val="0"/>
        <w:jc w:val="both"/>
        <w:rPr>
          <w:b/>
          <w:szCs w:val="22"/>
        </w:rPr>
      </w:pPr>
      <w:r w:rsidRPr="00CC5E0B">
        <w:rPr>
          <w:b/>
          <w:szCs w:val="22"/>
        </w:rPr>
        <w:t xml:space="preserve">Собственик на капитала или контролиращо лице на </w:t>
      </w:r>
      <w:r w:rsidR="002411F6" w:rsidRPr="00CC5E0B">
        <w:rPr>
          <w:b/>
          <w:szCs w:val="22"/>
        </w:rPr>
        <w:t>Дружеството-майка</w:t>
      </w:r>
      <w:r w:rsidRPr="00CC5E0B">
        <w:rPr>
          <w:b/>
          <w:szCs w:val="22"/>
        </w:rPr>
        <w:t xml:space="preserve"> или </w:t>
      </w:r>
      <w:r w:rsidR="002411F6" w:rsidRPr="00CC5E0B">
        <w:rPr>
          <w:b/>
          <w:szCs w:val="22"/>
        </w:rPr>
        <w:t xml:space="preserve">на </w:t>
      </w:r>
      <w:r w:rsidRPr="00CC5E0B">
        <w:rPr>
          <w:b/>
          <w:szCs w:val="22"/>
        </w:rPr>
        <w:t>контролиращото лице</w:t>
      </w:r>
      <w:r w:rsidR="00494365" w:rsidRPr="00CC5E0B">
        <w:rPr>
          <w:b/>
          <w:szCs w:val="22"/>
        </w:rPr>
        <w:t xml:space="preserve"> - </w:t>
      </w:r>
      <w:r w:rsidRPr="00CC5E0B">
        <w:rPr>
          <w:szCs w:val="22"/>
        </w:rPr>
        <w:t>Българската държава чрез Министъра на Енергетиката</w:t>
      </w:r>
    </w:p>
    <w:p w:rsidR="00DC0F33" w:rsidRPr="00CC5E0B" w:rsidRDefault="002411F6" w:rsidP="003B1134">
      <w:pPr>
        <w:pStyle w:val="ListParagraph"/>
        <w:spacing w:after="120"/>
        <w:ind w:left="0"/>
        <w:contextualSpacing w:val="0"/>
        <w:jc w:val="both"/>
        <w:rPr>
          <w:b/>
          <w:szCs w:val="22"/>
        </w:rPr>
      </w:pPr>
      <w:r w:rsidRPr="00CC5E0B">
        <w:rPr>
          <w:b/>
          <w:szCs w:val="22"/>
        </w:rPr>
        <w:t>Дружества</w:t>
      </w:r>
      <w:r w:rsidR="00DC0F33" w:rsidRPr="00CC5E0B">
        <w:rPr>
          <w:b/>
          <w:szCs w:val="22"/>
        </w:rPr>
        <w:t>, които са под общ съвместен контрол с Дружеството (предприятия в група)</w:t>
      </w:r>
    </w:p>
    <w:p w:rsidR="003B1134" w:rsidRPr="00CC5E0B" w:rsidRDefault="00DC0F33" w:rsidP="003B1134">
      <w:pPr>
        <w:pStyle w:val="ListParagraph"/>
        <w:spacing w:after="120"/>
        <w:ind w:left="0"/>
        <w:contextualSpacing w:val="0"/>
        <w:jc w:val="both"/>
        <w:rPr>
          <w:szCs w:val="22"/>
        </w:rPr>
      </w:pPr>
      <w:r w:rsidRPr="00CC5E0B">
        <w:rPr>
          <w:szCs w:val="22"/>
        </w:rPr>
        <w:t>„Национална Електрическа Компания“ ЕАД</w:t>
      </w:r>
      <w:r w:rsidR="0001223D" w:rsidRPr="00CC5E0B">
        <w:rPr>
          <w:szCs w:val="22"/>
        </w:rPr>
        <w:t>,</w:t>
      </w:r>
      <w:r w:rsidRPr="00CC5E0B">
        <w:rPr>
          <w:szCs w:val="22"/>
        </w:rPr>
        <w:t>„ТЕЦ Марица Изток 2” ЕАД</w:t>
      </w:r>
      <w:r w:rsidR="0001223D" w:rsidRPr="00CC5E0B">
        <w:rPr>
          <w:szCs w:val="22"/>
        </w:rPr>
        <w:t>,</w:t>
      </w:r>
      <w:r w:rsidRPr="00CC5E0B">
        <w:rPr>
          <w:szCs w:val="22"/>
        </w:rPr>
        <w:t>„Мини Марица-Изток” ЕАД</w:t>
      </w:r>
      <w:r w:rsidR="0001223D" w:rsidRPr="00CC5E0B">
        <w:rPr>
          <w:szCs w:val="22"/>
        </w:rPr>
        <w:t>,</w:t>
      </w:r>
      <w:r w:rsidRPr="00CC5E0B">
        <w:rPr>
          <w:szCs w:val="22"/>
        </w:rPr>
        <w:t>„Булгаргаз” ЕАД</w:t>
      </w:r>
      <w:r w:rsidR="0001223D" w:rsidRPr="00CC5E0B">
        <w:rPr>
          <w:szCs w:val="22"/>
        </w:rPr>
        <w:t xml:space="preserve">, </w:t>
      </w:r>
      <w:r w:rsidRPr="00CC5E0B">
        <w:rPr>
          <w:szCs w:val="22"/>
        </w:rPr>
        <w:t>„Булгартрансгаз“ ЕАД</w:t>
      </w:r>
      <w:r w:rsidR="0001223D" w:rsidRPr="00CC5E0B">
        <w:rPr>
          <w:szCs w:val="22"/>
        </w:rPr>
        <w:t>,</w:t>
      </w:r>
      <w:r w:rsidR="0051101C" w:rsidRPr="00CC5E0B">
        <w:rPr>
          <w:szCs w:val="22"/>
        </w:rPr>
        <w:t xml:space="preserve"> „Газов хъб Балкан“ ЕАД,</w:t>
      </w:r>
      <w:r w:rsidR="0001223D" w:rsidRPr="00CC5E0B">
        <w:rPr>
          <w:szCs w:val="22"/>
        </w:rPr>
        <w:t xml:space="preserve"> </w:t>
      </w:r>
      <w:r w:rsidRPr="00CC5E0B">
        <w:rPr>
          <w:szCs w:val="22"/>
        </w:rPr>
        <w:t>„Е</w:t>
      </w:r>
      <w:r w:rsidR="000A6741" w:rsidRPr="00CC5E0B">
        <w:rPr>
          <w:szCs w:val="22"/>
        </w:rPr>
        <w:t>лектрое</w:t>
      </w:r>
      <w:r w:rsidRPr="00CC5E0B">
        <w:rPr>
          <w:szCs w:val="22"/>
        </w:rPr>
        <w:t>нергиен Системен Оператор“ ЕАД</w:t>
      </w:r>
      <w:r w:rsidR="0001223D" w:rsidRPr="00CC5E0B">
        <w:rPr>
          <w:szCs w:val="22"/>
        </w:rPr>
        <w:t xml:space="preserve">, </w:t>
      </w:r>
      <w:r w:rsidRPr="00CC5E0B">
        <w:rPr>
          <w:szCs w:val="22"/>
        </w:rPr>
        <w:t>„Булгартел” ЕАД</w:t>
      </w:r>
      <w:r w:rsidR="0001223D" w:rsidRPr="00CC5E0B">
        <w:rPr>
          <w:szCs w:val="22"/>
        </w:rPr>
        <w:t xml:space="preserve">, </w:t>
      </w:r>
      <w:r w:rsidRPr="00CC5E0B">
        <w:rPr>
          <w:szCs w:val="22"/>
        </w:rPr>
        <w:t>„АЕЦ Козлодуй-Нови Мощности” ЕАД</w:t>
      </w:r>
      <w:r w:rsidR="0001223D" w:rsidRPr="00CC5E0B">
        <w:rPr>
          <w:szCs w:val="22"/>
        </w:rPr>
        <w:t xml:space="preserve">, </w:t>
      </w:r>
      <w:r w:rsidRPr="00CC5E0B">
        <w:rPr>
          <w:szCs w:val="22"/>
        </w:rPr>
        <w:t>„Интерприборсервиз” ООД</w:t>
      </w:r>
      <w:r w:rsidR="0001223D" w:rsidRPr="00CC5E0B">
        <w:rPr>
          <w:szCs w:val="22"/>
        </w:rPr>
        <w:t xml:space="preserve">, </w:t>
      </w:r>
      <w:r w:rsidRPr="00CC5E0B">
        <w:rPr>
          <w:szCs w:val="22"/>
        </w:rPr>
        <w:t>„ТЕЦ Марица Изток 2 (9 и 10)” ЕАД</w:t>
      </w:r>
      <w:r w:rsidR="0001223D" w:rsidRPr="00CC5E0B">
        <w:rPr>
          <w:szCs w:val="22"/>
        </w:rPr>
        <w:t xml:space="preserve">, </w:t>
      </w:r>
      <w:r w:rsidRPr="00CC5E0B">
        <w:rPr>
          <w:szCs w:val="22"/>
        </w:rPr>
        <w:t>„ПФК Берое-Стара Загора” ЕАД</w:t>
      </w:r>
      <w:r w:rsidR="0001223D" w:rsidRPr="00CC5E0B">
        <w:rPr>
          <w:szCs w:val="22"/>
        </w:rPr>
        <w:t xml:space="preserve">, </w:t>
      </w:r>
      <w:r w:rsidRPr="00CC5E0B">
        <w:rPr>
          <w:szCs w:val="22"/>
        </w:rPr>
        <w:t>„Булгартел-Скопие” ДООЕЛ</w:t>
      </w:r>
      <w:r w:rsidR="0001223D" w:rsidRPr="00CC5E0B">
        <w:rPr>
          <w:szCs w:val="22"/>
        </w:rPr>
        <w:t xml:space="preserve">, </w:t>
      </w:r>
    </w:p>
    <w:p w:rsidR="004C4420" w:rsidRPr="00CC5E0B" w:rsidRDefault="004C4420" w:rsidP="00FE2577">
      <w:pPr>
        <w:pStyle w:val="ListParagraph"/>
        <w:ind w:left="0"/>
        <w:contextualSpacing w:val="0"/>
        <w:jc w:val="both"/>
        <w:rPr>
          <w:b/>
          <w:szCs w:val="22"/>
        </w:rPr>
      </w:pPr>
      <w:r w:rsidRPr="00CC5E0B">
        <w:rPr>
          <w:b/>
          <w:szCs w:val="22"/>
        </w:rPr>
        <w:t>Асоциирани предприятия за група БЕХ</w:t>
      </w:r>
    </w:p>
    <w:p w:rsidR="004C4420" w:rsidRPr="00CC5E0B" w:rsidRDefault="004C4420" w:rsidP="00FE2577">
      <w:pPr>
        <w:jc w:val="both"/>
        <w:rPr>
          <w:szCs w:val="22"/>
        </w:rPr>
      </w:pPr>
      <w:r w:rsidRPr="00CC5E0B">
        <w:rPr>
          <w:szCs w:val="22"/>
        </w:rPr>
        <w:lastRenderedPageBreak/>
        <w:t>„КонтурГлобал Марица Изток 3“ АД</w:t>
      </w:r>
    </w:p>
    <w:p w:rsidR="004C4420" w:rsidRPr="00CC5E0B" w:rsidRDefault="004C4420" w:rsidP="003B1134">
      <w:pPr>
        <w:jc w:val="both"/>
        <w:rPr>
          <w:szCs w:val="22"/>
        </w:rPr>
      </w:pPr>
      <w:r w:rsidRPr="00CC5E0B">
        <w:rPr>
          <w:szCs w:val="22"/>
        </w:rPr>
        <w:t>„КонтурГлобалОперейшънс България“ АД</w:t>
      </w:r>
    </w:p>
    <w:p w:rsidR="004C4420" w:rsidRPr="00CC5E0B" w:rsidRDefault="000A6741" w:rsidP="003B1134">
      <w:pPr>
        <w:jc w:val="both"/>
        <w:rPr>
          <w:szCs w:val="22"/>
        </w:rPr>
      </w:pPr>
      <w:r w:rsidRPr="00CC5E0B">
        <w:rPr>
          <w:szCs w:val="22"/>
        </w:rPr>
        <w:t>ЗАД „Енергия</w:t>
      </w:r>
      <w:r w:rsidR="004C4420" w:rsidRPr="00CC5E0B">
        <w:rPr>
          <w:szCs w:val="22"/>
        </w:rPr>
        <w:t>“</w:t>
      </w:r>
    </w:p>
    <w:p w:rsidR="004C4420" w:rsidRPr="00CC5E0B" w:rsidRDefault="004C4420" w:rsidP="003B1134">
      <w:pPr>
        <w:jc w:val="both"/>
        <w:rPr>
          <w:szCs w:val="22"/>
        </w:rPr>
      </w:pPr>
      <w:r w:rsidRPr="00CC5E0B">
        <w:rPr>
          <w:szCs w:val="22"/>
        </w:rPr>
        <w:t>ПОД „</w:t>
      </w:r>
      <w:r w:rsidR="000A6741" w:rsidRPr="00CC5E0B">
        <w:rPr>
          <w:szCs w:val="22"/>
        </w:rPr>
        <w:t>Алианц България</w:t>
      </w:r>
      <w:r w:rsidRPr="00CC5E0B">
        <w:rPr>
          <w:szCs w:val="22"/>
        </w:rPr>
        <w:t>“ АД</w:t>
      </w:r>
    </w:p>
    <w:p w:rsidR="003B1134" w:rsidRPr="00CC5E0B" w:rsidRDefault="004C4420" w:rsidP="003B1134">
      <w:pPr>
        <w:spacing w:after="120"/>
        <w:jc w:val="both"/>
        <w:rPr>
          <w:szCs w:val="22"/>
        </w:rPr>
      </w:pPr>
      <w:r w:rsidRPr="00CC5E0B">
        <w:rPr>
          <w:szCs w:val="22"/>
        </w:rPr>
        <w:t>„ХЕК Горна Арда“ АД</w:t>
      </w:r>
    </w:p>
    <w:p w:rsidR="004C4420" w:rsidRPr="00CC5E0B" w:rsidRDefault="004C4420" w:rsidP="00FE2577">
      <w:pPr>
        <w:jc w:val="both"/>
        <w:rPr>
          <w:b/>
          <w:szCs w:val="22"/>
        </w:rPr>
      </w:pPr>
      <w:r w:rsidRPr="00CC5E0B">
        <w:rPr>
          <w:b/>
          <w:szCs w:val="22"/>
        </w:rPr>
        <w:t>Съвместни предприятия за група БЕХ</w:t>
      </w:r>
    </w:p>
    <w:p w:rsidR="004C4420" w:rsidRPr="00CC5E0B" w:rsidRDefault="004C4420" w:rsidP="00FE2577">
      <w:pPr>
        <w:jc w:val="both"/>
        <w:rPr>
          <w:szCs w:val="22"/>
        </w:rPr>
      </w:pPr>
      <w:r w:rsidRPr="00CC5E0B">
        <w:rPr>
          <w:szCs w:val="22"/>
        </w:rPr>
        <w:t>„Ай Си Джи Би“ АД</w:t>
      </w:r>
    </w:p>
    <w:p w:rsidR="004C4420" w:rsidRPr="00CC5E0B" w:rsidRDefault="004C4420" w:rsidP="003B1134">
      <w:pPr>
        <w:jc w:val="both"/>
        <w:rPr>
          <w:szCs w:val="22"/>
        </w:rPr>
      </w:pPr>
      <w:r w:rsidRPr="00CC5E0B">
        <w:rPr>
          <w:szCs w:val="22"/>
        </w:rPr>
        <w:t>„Южен поток България“ АД</w:t>
      </w:r>
    </w:p>
    <w:p w:rsidR="0046669D" w:rsidRPr="00CC5E0B" w:rsidRDefault="004C4420" w:rsidP="003B1134">
      <w:pPr>
        <w:spacing w:before="120"/>
        <w:jc w:val="both"/>
        <w:rPr>
          <w:szCs w:val="22"/>
        </w:rPr>
      </w:pPr>
      <w:r w:rsidRPr="00CC5E0B">
        <w:rPr>
          <w:szCs w:val="22"/>
        </w:rPr>
        <w:t>„Трансболкан Електрик Пауър Трейдинг С.А. – NECO“ S.A.</w:t>
      </w:r>
    </w:p>
    <w:p w:rsidR="002411F6" w:rsidRPr="00CC5E0B" w:rsidRDefault="002411F6" w:rsidP="003B1134">
      <w:pPr>
        <w:tabs>
          <w:tab w:val="left" w:pos="369"/>
          <w:tab w:val="left" w:pos="720"/>
        </w:tabs>
        <w:spacing w:before="120"/>
        <w:jc w:val="both"/>
        <w:rPr>
          <w:szCs w:val="22"/>
        </w:rPr>
      </w:pPr>
      <w:r w:rsidRPr="00CC5E0B">
        <w:rPr>
          <w:b/>
          <w:szCs w:val="22"/>
        </w:rPr>
        <w:t xml:space="preserve">Други </w:t>
      </w:r>
      <w:r w:rsidRPr="00CC5E0B">
        <w:rPr>
          <w:szCs w:val="22"/>
        </w:rPr>
        <w:t xml:space="preserve">– „Българска независима енергийна борса” ЕАД </w:t>
      </w:r>
      <w:r w:rsidR="00563F98" w:rsidRPr="00CC5E0B">
        <w:rPr>
          <w:szCs w:val="22"/>
        </w:rPr>
        <w:t>(</w:t>
      </w:r>
      <w:r w:rsidRPr="00CC5E0B">
        <w:rPr>
          <w:szCs w:val="22"/>
        </w:rPr>
        <w:t>от 16.02.2018 г.</w:t>
      </w:r>
      <w:r w:rsidR="00563F98" w:rsidRPr="00CC5E0B">
        <w:rPr>
          <w:szCs w:val="22"/>
        </w:rPr>
        <w:t>)</w:t>
      </w:r>
      <w:r w:rsidRPr="00CC5E0B">
        <w:rPr>
          <w:szCs w:val="22"/>
        </w:rPr>
        <w:t xml:space="preserve"> и всички предприятия, свързани с Държавата. </w:t>
      </w:r>
    </w:p>
    <w:p w:rsidR="00DC0F33" w:rsidRPr="00CC5E0B" w:rsidRDefault="00DC0F33" w:rsidP="003B1134">
      <w:pPr>
        <w:pStyle w:val="ListParagraph"/>
        <w:spacing w:before="120"/>
        <w:ind w:left="0"/>
        <w:jc w:val="both"/>
        <w:rPr>
          <w:b/>
          <w:szCs w:val="22"/>
        </w:rPr>
      </w:pPr>
      <w:r w:rsidRPr="00CC5E0B">
        <w:rPr>
          <w:b/>
          <w:szCs w:val="22"/>
        </w:rPr>
        <w:t xml:space="preserve">Ключов ръководен персонал на </w:t>
      </w:r>
      <w:r w:rsidR="002411F6" w:rsidRPr="00CC5E0B">
        <w:rPr>
          <w:b/>
          <w:szCs w:val="22"/>
        </w:rPr>
        <w:t>Дружеството</w:t>
      </w:r>
      <w:r w:rsidRPr="00CC5E0B">
        <w:rPr>
          <w:b/>
          <w:szCs w:val="22"/>
        </w:rPr>
        <w:t>:</w:t>
      </w:r>
    </w:p>
    <w:p w:rsidR="00DC0F33" w:rsidRPr="00CC5E0B" w:rsidRDefault="00DC0F33" w:rsidP="00FE2577">
      <w:pPr>
        <w:jc w:val="both"/>
        <w:rPr>
          <w:rFonts w:eastAsia="Garamond" w:cs="Garamond"/>
          <w:szCs w:val="22"/>
          <w:shd w:val="clear" w:color="auto" w:fill="FFFFFF"/>
        </w:rPr>
      </w:pPr>
      <w:r w:rsidRPr="00CC5E0B">
        <w:rPr>
          <w:rFonts w:eastAsia="Garamond" w:cs="Garamond"/>
          <w:szCs w:val="22"/>
          <w:shd w:val="clear" w:color="auto" w:fill="FFFFFF"/>
        </w:rPr>
        <w:t>Цанко Венцеславов</w:t>
      </w:r>
      <w:r w:rsidR="0051101C" w:rsidRPr="00CC5E0B">
        <w:rPr>
          <w:rFonts w:eastAsia="Garamond" w:cs="Garamond"/>
          <w:szCs w:val="22"/>
          <w:shd w:val="clear" w:color="auto" w:fill="FFFFFF"/>
        </w:rPr>
        <w:t xml:space="preserve"> </w:t>
      </w:r>
      <w:r w:rsidRPr="00CC5E0B">
        <w:rPr>
          <w:rFonts w:eastAsia="Garamond" w:cs="Garamond"/>
          <w:szCs w:val="22"/>
          <w:shd w:val="clear" w:color="auto" w:fill="FFFFFF"/>
        </w:rPr>
        <w:t>Бачийски – Председател на СД</w:t>
      </w:r>
    </w:p>
    <w:p w:rsidR="00DC0F33" w:rsidRPr="00CC5E0B" w:rsidRDefault="008E56FF" w:rsidP="003B1134">
      <w:pPr>
        <w:jc w:val="both"/>
        <w:rPr>
          <w:rFonts w:eastAsia="Garamond" w:cs="Garamond"/>
          <w:szCs w:val="22"/>
          <w:shd w:val="clear" w:color="auto" w:fill="FFFFFF"/>
        </w:rPr>
      </w:pPr>
      <w:r w:rsidRPr="00CC5E0B">
        <w:rPr>
          <w:rFonts w:eastAsia="Garamond" w:cs="Garamond"/>
          <w:szCs w:val="22"/>
          <w:shd w:val="clear" w:color="auto" w:fill="FFFFFF"/>
        </w:rPr>
        <w:t>Десислав Герчев Димов</w:t>
      </w:r>
      <w:r w:rsidR="00DC0F33" w:rsidRPr="00CC5E0B">
        <w:rPr>
          <w:rFonts w:eastAsia="Garamond" w:cs="Garamond"/>
          <w:szCs w:val="22"/>
          <w:shd w:val="clear" w:color="auto" w:fill="FFFFFF"/>
        </w:rPr>
        <w:t xml:space="preserve"> – Член на СД</w:t>
      </w:r>
    </w:p>
    <w:p w:rsidR="00494365" w:rsidRPr="00CC5E0B" w:rsidRDefault="00DC0F33" w:rsidP="003B1134">
      <w:pPr>
        <w:jc w:val="both"/>
        <w:rPr>
          <w:rFonts w:eastAsia="Garamond" w:cs="Garamond"/>
          <w:szCs w:val="22"/>
          <w:shd w:val="clear" w:color="auto" w:fill="FFFFFF"/>
        </w:rPr>
      </w:pPr>
      <w:r w:rsidRPr="00CC5E0B">
        <w:rPr>
          <w:rFonts w:eastAsia="Garamond" w:cs="Garamond"/>
          <w:szCs w:val="22"/>
          <w:shd w:val="clear" w:color="auto" w:fill="FFFFFF"/>
        </w:rPr>
        <w:t>Емил Илиев Писарев – Член на СД и Изпълнителен директор</w:t>
      </w:r>
    </w:p>
    <w:p w:rsidR="007308AF" w:rsidRDefault="007308AF" w:rsidP="007308AF">
      <w:pPr>
        <w:spacing w:after="120"/>
        <w:jc w:val="both"/>
        <w:rPr>
          <w:bCs/>
          <w:szCs w:val="22"/>
        </w:rPr>
      </w:pPr>
    </w:p>
    <w:p w:rsidR="00336A66" w:rsidRPr="00CC5E0B" w:rsidRDefault="00DC0F33" w:rsidP="00CC5E0B">
      <w:pPr>
        <w:jc w:val="both"/>
        <w:rPr>
          <w:b/>
          <w:szCs w:val="22"/>
        </w:rPr>
      </w:pPr>
      <w:r w:rsidRPr="00CC5E0B">
        <w:rPr>
          <w:b/>
          <w:szCs w:val="22"/>
        </w:rPr>
        <w:t xml:space="preserve">Ключов ръководен персонал на </w:t>
      </w:r>
      <w:r w:rsidR="002411F6" w:rsidRPr="00CC5E0B">
        <w:rPr>
          <w:b/>
          <w:szCs w:val="22"/>
        </w:rPr>
        <w:t>Дружеството-</w:t>
      </w:r>
      <w:r w:rsidRPr="00CC5E0B">
        <w:rPr>
          <w:b/>
          <w:szCs w:val="22"/>
        </w:rPr>
        <w:t>майка:</w:t>
      </w:r>
    </w:p>
    <w:p w:rsidR="00DC0F33" w:rsidRPr="00CC5E0B" w:rsidRDefault="00BD513F" w:rsidP="00CC5E0B">
      <w:pPr>
        <w:rPr>
          <w:szCs w:val="22"/>
        </w:rPr>
      </w:pPr>
      <w:r w:rsidRPr="00CC5E0B">
        <w:rPr>
          <w:szCs w:val="22"/>
        </w:rPr>
        <w:t>Жаклен Йосиф Коен</w:t>
      </w:r>
      <w:r w:rsidR="00DC0F33" w:rsidRPr="00CC5E0B">
        <w:rPr>
          <w:szCs w:val="22"/>
        </w:rPr>
        <w:t xml:space="preserve"> – Председател на СД</w:t>
      </w:r>
    </w:p>
    <w:p w:rsidR="00DC0F33" w:rsidRPr="00CC5E0B" w:rsidRDefault="00DC0F33" w:rsidP="003B1134">
      <w:pPr>
        <w:rPr>
          <w:szCs w:val="22"/>
        </w:rPr>
      </w:pPr>
      <w:r w:rsidRPr="00CC5E0B">
        <w:rPr>
          <w:szCs w:val="22"/>
        </w:rPr>
        <w:t>Иван Тодоров Йончев – Член на СД</w:t>
      </w:r>
    </w:p>
    <w:p w:rsidR="00DC0F33" w:rsidRPr="00CC5E0B" w:rsidRDefault="00FA26FB" w:rsidP="003B1134">
      <w:pPr>
        <w:rPr>
          <w:szCs w:val="22"/>
        </w:rPr>
      </w:pPr>
      <w:r w:rsidRPr="00CC5E0B">
        <w:rPr>
          <w:szCs w:val="22"/>
        </w:rPr>
        <w:t>Наско Асенов Михов</w:t>
      </w:r>
      <w:r w:rsidR="00DC0F33" w:rsidRPr="00CC5E0B">
        <w:rPr>
          <w:szCs w:val="22"/>
        </w:rPr>
        <w:t xml:space="preserve"> – Изпълнителен директор и член на СД</w:t>
      </w:r>
    </w:p>
    <w:p w:rsidR="00DC0F33" w:rsidRPr="00796446" w:rsidRDefault="00DC0F33" w:rsidP="003B1134">
      <w:pPr>
        <w:pStyle w:val="ListParagraph"/>
        <w:spacing w:after="120"/>
        <w:ind w:left="360"/>
        <w:jc w:val="both"/>
        <w:rPr>
          <w:szCs w:val="22"/>
        </w:rPr>
      </w:pPr>
    </w:p>
    <w:p w:rsidR="004C4420" w:rsidRPr="00CC5E0B" w:rsidRDefault="00DC0F33" w:rsidP="00FE2577">
      <w:pPr>
        <w:pStyle w:val="ListParagraph"/>
        <w:spacing w:after="120"/>
        <w:ind w:left="0"/>
        <w:jc w:val="both"/>
        <w:rPr>
          <w:szCs w:val="22"/>
        </w:rPr>
      </w:pPr>
      <w:r w:rsidRPr="00CC5E0B">
        <w:rPr>
          <w:szCs w:val="22"/>
        </w:rPr>
        <w:t>Ако не е изрично упоменато, транзакциите със свързани лица не са извършвани при специални условия и не са предоставяни или получавани никакви гаранции.</w:t>
      </w:r>
    </w:p>
    <w:p w:rsidR="00512408" w:rsidRPr="00CC5E0B" w:rsidRDefault="00DC0F33">
      <w:pPr>
        <w:pStyle w:val="Heading1"/>
        <w:numPr>
          <w:ilvl w:val="1"/>
          <w:numId w:val="42"/>
        </w:numPr>
        <w:spacing w:before="360" w:after="0" w:line="240" w:lineRule="auto"/>
        <w:ind w:left="567" w:hanging="567"/>
        <w:rPr>
          <w:color w:val="auto"/>
          <w:sz w:val="22"/>
          <w:szCs w:val="22"/>
        </w:rPr>
      </w:pPr>
      <w:r w:rsidRPr="00CC5E0B">
        <w:rPr>
          <w:color w:val="auto"/>
          <w:sz w:val="22"/>
          <w:szCs w:val="22"/>
        </w:rPr>
        <w:t>Сделки с едноличния акционер</w:t>
      </w:r>
    </w:p>
    <w:tbl>
      <w:tblPr>
        <w:tblW w:w="9072" w:type="dxa"/>
        <w:tblLook w:val="0000"/>
      </w:tblPr>
      <w:tblGrid>
        <w:gridCol w:w="6629"/>
        <w:gridCol w:w="1309"/>
        <w:gridCol w:w="1134"/>
      </w:tblGrid>
      <w:tr w:rsidR="00DC0F33" w:rsidRPr="00796446" w:rsidTr="00030954">
        <w:trPr>
          <w:trHeight w:val="181"/>
        </w:trPr>
        <w:tc>
          <w:tcPr>
            <w:tcW w:w="6629" w:type="dxa"/>
            <w:shd w:val="clear" w:color="auto" w:fill="auto"/>
          </w:tcPr>
          <w:p w:rsidR="00DC0F33" w:rsidRPr="00CC5E0B" w:rsidRDefault="00DC0F33" w:rsidP="00EE2830">
            <w:pPr>
              <w:autoSpaceDE w:val="0"/>
              <w:autoSpaceDN w:val="0"/>
              <w:adjustRightInd w:val="0"/>
              <w:rPr>
                <w:b/>
                <w:bCs/>
                <w:szCs w:val="22"/>
                <w:highlight w:val="yellow"/>
              </w:rPr>
            </w:pPr>
          </w:p>
        </w:tc>
        <w:tc>
          <w:tcPr>
            <w:tcW w:w="1309" w:type="dxa"/>
            <w:shd w:val="clear" w:color="auto" w:fill="auto"/>
          </w:tcPr>
          <w:p w:rsidR="005C0EA9" w:rsidRPr="00CC5E0B" w:rsidRDefault="005C0EA9" w:rsidP="00EE2830">
            <w:pPr>
              <w:autoSpaceDE w:val="0"/>
              <w:autoSpaceDN w:val="0"/>
              <w:adjustRightInd w:val="0"/>
              <w:jc w:val="right"/>
              <w:rPr>
                <w:b/>
                <w:bCs/>
                <w:szCs w:val="22"/>
              </w:rPr>
            </w:pPr>
            <w:r w:rsidRPr="00CC5E0B">
              <w:rPr>
                <w:b/>
                <w:bCs/>
                <w:szCs w:val="22"/>
              </w:rPr>
              <w:t>3</w:t>
            </w:r>
            <w:r w:rsidR="0075563D" w:rsidRPr="00CC5E0B">
              <w:rPr>
                <w:b/>
                <w:bCs/>
                <w:szCs w:val="22"/>
              </w:rPr>
              <w:t>0</w:t>
            </w:r>
            <w:r w:rsidRPr="00CC5E0B">
              <w:rPr>
                <w:b/>
                <w:bCs/>
                <w:szCs w:val="22"/>
              </w:rPr>
              <w:t xml:space="preserve"> </w:t>
            </w:r>
            <w:r w:rsidR="0075563D" w:rsidRPr="00CC5E0B">
              <w:rPr>
                <w:b/>
                <w:bCs/>
                <w:szCs w:val="22"/>
              </w:rPr>
              <w:t>юни</w:t>
            </w:r>
          </w:p>
          <w:p w:rsidR="00DC0F33" w:rsidRPr="00CC5E0B" w:rsidRDefault="00AB399A" w:rsidP="00EE2830">
            <w:pPr>
              <w:autoSpaceDE w:val="0"/>
              <w:autoSpaceDN w:val="0"/>
              <w:adjustRightInd w:val="0"/>
              <w:jc w:val="right"/>
              <w:rPr>
                <w:b/>
                <w:bCs/>
                <w:szCs w:val="22"/>
              </w:rPr>
            </w:pPr>
            <w:r w:rsidRPr="00CC5E0B">
              <w:rPr>
                <w:b/>
                <w:bCs/>
                <w:szCs w:val="22"/>
              </w:rPr>
              <w:t>201</w:t>
            </w:r>
            <w:r w:rsidR="005C0EA9" w:rsidRPr="00CC5E0B">
              <w:rPr>
                <w:b/>
                <w:bCs/>
                <w:szCs w:val="22"/>
              </w:rPr>
              <w:t>9</w:t>
            </w:r>
          </w:p>
        </w:tc>
        <w:tc>
          <w:tcPr>
            <w:tcW w:w="1134" w:type="dxa"/>
            <w:shd w:val="clear" w:color="auto" w:fill="auto"/>
          </w:tcPr>
          <w:p w:rsidR="00DC0F33" w:rsidRPr="00CC5E0B" w:rsidRDefault="005C0EA9" w:rsidP="00EE2830">
            <w:pPr>
              <w:autoSpaceDE w:val="0"/>
              <w:autoSpaceDN w:val="0"/>
              <w:adjustRightInd w:val="0"/>
              <w:jc w:val="right"/>
              <w:rPr>
                <w:b/>
                <w:bCs/>
                <w:szCs w:val="22"/>
                <w:lang w:val="en-US"/>
              </w:rPr>
            </w:pPr>
            <w:r w:rsidRPr="00CC5E0B">
              <w:rPr>
                <w:b/>
                <w:bCs/>
                <w:szCs w:val="22"/>
              </w:rPr>
              <w:t>3</w:t>
            </w:r>
            <w:r w:rsidR="0075563D" w:rsidRPr="00CC5E0B">
              <w:rPr>
                <w:b/>
                <w:bCs/>
                <w:szCs w:val="22"/>
              </w:rPr>
              <w:t>0</w:t>
            </w:r>
            <w:r w:rsidRPr="00CC5E0B">
              <w:rPr>
                <w:b/>
                <w:bCs/>
                <w:szCs w:val="22"/>
              </w:rPr>
              <w:t xml:space="preserve"> </w:t>
            </w:r>
            <w:r w:rsidR="0075563D" w:rsidRPr="00CC5E0B">
              <w:rPr>
                <w:b/>
                <w:bCs/>
                <w:szCs w:val="22"/>
              </w:rPr>
              <w:t>юни</w:t>
            </w:r>
            <w:r w:rsidRPr="00CC5E0B">
              <w:rPr>
                <w:b/>
                <w:bCs/>
                <w:szCs w:val="22"/>
              </w:rPr>
              <w:t xml:space="preserve"> </w:t>
            </w:r>
            <w:r w:rsidR="00DC0F33" w:rsidRPr="00CC5E0B">
              <w:rPr>
                <w:b/>
                <w:bCs/>
                <w:szCs w:val="22"/>
              </w:rPr>
              <w:t>201</w:t>
            </w:r>
            <w:r w:rsidRPr="00CC5E0B">
              <w:rPr>
                <w:b/>
                <w:bCs/>
                <w:szCs w:val="22"/>
              </w:rPr>
              <w:t>8</w:t>
            </w:r>
          </w:p>
        </w:tc>
      </w:tr>
      <w:tr w:rsidR="00DC0F33" w:rsidRPr="00796446" w:rsidTr="00030954">
        <w:trPr>
          <w:trHeight w:val="181"/>
        </w:trPr>
        <w:tc>
          <w:tcPr>
            <w:tcW w:w="6629" w:type="dxa"/>
            <w:shd w:val="clear" w:color="auto" w:fill="auto"/>
          </w:tcPr>
          <w:p w:rsidR="00DC0F33" w:rsidRPr="00CC5E0B" w:rsidRDefault="00DC0F33" w:rsidP="00EE2830">
            <w:pPr>
              <w:autoSpaceDE w:val="0"/>
              <w:autoSpaceDN w:val="0"/>
              <w:adjustRightInd w:val="0"/>
              <w:rPr>
                <w:b/>
                <w:bCs/>
                <w:szCs w:val="22"/>
                <w:highlight w:val="yellow"/>
              </w:rPr>
            </w:pPr>
          </w:p>
        </w:tc>
        <w:tc>
          <w:tcPr>
            <w:tcW w:w="1309" w:type="dxa"/>
            <w:shd w:val="clear" w:color="auto" w:fill="auto"/>
          </w:tcPr>
          <w:p w:rsidR="00DC0F33" w:rsidRPr="00CC5E0B" w:rsidRDefault="00DC0F33" w:rsidP="00EE2830">
            <w:pPr>
              <w:jc w:val="right"/>
              <w:rPr>
                <w:szCs w:val="22"/>
              </w:rPr>
            </w:pPr>
            <w:r w:rsidRPr="00CC5E0B">
              <w:rPr>
                <w:b/>
                <w:bCs/>
                <w:szCs w:val="22"/>
              </w:rPr>
              <w:t>‘000 лв.</w:t>
            </w:r>
          </w:p>
        </w:tc>
        <w:tc>
          <w:tcPr>
            <w:tcW w:w="1134" w:type="dxa"/>
            <w:shd w:val="clear" w:color="auto" w:fill="auto"/>
          </w:tcPr>
          <w:p w:rsidR="00DC0F33" w:rsidRPr="00CC5E0B" w:rsidRDefault="00DC0F33" w:rsidP="00EE2830">
            <w:pPr>
              <w:jc w:val="right"/>
              <w:rPr>
                <w:szCs w:val="22"/>
              </w:rPr>
            </w:pPr>
            <w:r w:rsidRPr="00CC5E0B">
              <w:rPr>
                <w:b/>
                <w:bCs/>
                <w:szCs w:val="22"/>
              </w:rPr>
              <w:t>‘000 лв.</w:t>
            </w:r>
          </w:p>
        </w:tc>
      </w:tr>
      <w:tr w:rsidR="00DC0F33" w:rsidRPr="00796446" w:rsidTr="00030954">
        <w:trPr>
          <w:trHeight w:val="181"/>
        </w:trPr>
        <w:tc>
          <w:tcPr>
            <w:tcW w:w="6629" w:type="dxa"/>
            <w:shd w:val="clear" w:color="auto" w:fill="auto"/>
          </w:tcPr>
          <w:p w:rsidR="00DC0F33" w:rsidRPr="00CC5E0B" w:rsidRDefault="00DC0F33" w:rsidP="00EE2830">
            <w:pPr>
              <w:autoSpaceDE w:val="0"/>
              <w:autoSpaceDN w:val="0"/>
              <w:adjustRightInd w:val="0"/>
              <w:rPr>
                <w:b/>
                <w:bCs/>
                <w:szCs w:val="22"/>
                <w:highlight w:val="yellow"/>
              </w:rPr>
            </w:pPr>
            <w:r w:rsidRPr="00CC5E0B">
              <w:rPr>
                <w:b/>
                <w:szCs w:val="22"/>
              </w:rPr>
              <w:t>АЕЦ Козлодуй ЕАД</w:t>
            </w:r>
          </w:p>
        </w:tc>
        <w:tc>
          <w:tcPr>
            <w:tcW w:w="1309" w:type="dxa"/>
            <w:shd w:val="clear" w:color="auto" w:fill="auto"/>
          </w:tcPr>
          <w:p w:rsidR="00DC0F33" w:rsidRPr="00CC5E0B" w:rsidRDefault="00DC0F33" w:rsidP="00EE2830">
            <w:pPr>
              <w:jc w:val="right"/>
              <w:rPr>
                <w:b/>
                <w:bCs/>
                <w:szCs w:val="22"/>
              </w:rPr>
            </w:pPr>
          </w:p>
        </w:tc>
        <w:tc>
          <w:tcPr>
            <w:tcW w:w="1134" w:type="dxa"/>
            <w:shd w:val="clear" w:color="auto" w:fill="auto"/>
          </w:tcPr>
          <w:p w:rsidR="00DC0F33" w:rsidRPr="00CC5E0B" w:rsidRDefault="00DC0F33" w:rsidP="00EE2830">
            <w:pPr>
              <w:jc w:val="right"/>
              <w:rPr>
                <w:b/>
                <w:bCs/>
                <w:szCs w:val="22"/>
              </w:rPr>
            </w:pPr>
          </w:p>
        </w:tc>
      </w:tr>
      <w:tr w:rsidR="00C87D77" w:rsidRPr="00796446" w:rsidTr="00030954">
        <w:trPr>
          <w:trHeight w:val="181"/>
        </w:trPr>
        <w:tc>
          <w:tcPr>
            <w:tcW w:w="6629" w:type="dxa"/>
            <w:shd w:val="clear" w:color="auto" w:fill="auto"/>
          </w:tcPr>
          <w:p w:rsidR="00C87D77" w:rsidRPr="00CC5E0B" w:rsidRDefault="00C87D77" w:rsidP="00EE2830">
            <w:pPr>
              <w:autoSpaceDE w:val="0"/>
              <w:autoSpaceDN w:val="0"/>
              <w:adjustRightInd w:val="0"/>
              <w:rPr>
                <w:szCs w:val="22"/>
              </w:rPr>
            </w:pPr>
            <w:r w:rsidRPr="00CC5E0B">
              <w:rPr>
                <w:szCs w:val="22"/>
              </w:rPr>
              <w:t>- плащания по получен заем</w:t>
            </w:r>
          </w:p>
        </w:tc>
        <w:tc>
          <w:tcPr>
            <w:tcW w:w="1309" w:type="dxa"/>
            <w:shd w:val="clear" w:color="auto" w:fill="auto"/>
          </w:tcPr>
          <w:p w:rsidR="00C87D77" w:rsidRPr="00CC5E0B" w:rsidRDefault="00E91706" w:rsidP="00EE2830">
            <w:pPr>
              <w:jc w:val="right"/>
              <w:rPr>
                <w:rFonts w:cs="Times New Roman"/>
                <w:szCs w:val="22"/>
                <w:lang w:val="en-US" w:eastAsia="bg-BG"/>
              </w:rPr>
            </w:pPr>
            <w:r w:rsidRPr="00CC5E0B">
              <w:rPr>
                <w:rFonts w:cs="Times New Roman"/>
                <w:szCs w:val="22"/>
                <w:lang w:val="en-US" w:eastAsia="bg-BG"/>
              </w:rPr>
              <w:t>1,100</w:t>
            </w:r>
          </w:p>
        </w:tc>
        <w:tc>
          <w:tcPr>
            <w:tcW w:w="1134" w:type="dxa"/>
            <w:shd w:val="clear" w:color="auto" w:fill="auto"/>
          </w:tcPr>
          <w:p w:rsidR="00C87D77" w:rsidRPr="00CC5E0B" w:rsidRDefault="00E91706" w:rsidP="00EE2830">
            <w:pPr>
              <w:jc w:val="right"/>
              <w:rPr>
                <w:rFonts w:cs="Times New Roman"/>
                <w:szCs w:val="22"/>
                <w:lang w:val="en-US" w:eastAsia="bg-BG"/>
              </w:rPr>
            </w:pPr>
            <w:r w:rsidRPr="00CC5E0B">
              <w:rPr>
                <w:rFonts w:cs="Times New Roman"/>
                <w:szCs w:val="22"/>
                <w:lang w:val="en-US" w:eastAsia="bg-BG"/>
              </w:rPr>
              <w:t>1,100</w:t>
            </w:r>
          </w:p>
        </w:tc>
      </w:tr>
      <w:tr w:rsidR="00C87D77" w:rsidRPr="00796446" w:rsidTr="00030954">
        <w:trPr>
          <w:trHeight w:val="181"/>
        </w:trPr>
        <w:tc>
          <w:tcPr>
            <w:tcW w:w="6629" w:type="dxa"/>
            <w:shd w:val="clear" w:color="auto" w:fill="auto"/>
          </w:tcPr>
          <w:p w:rsidR="00C87D77" w:rsidRPr="00CC5E0B" w:rsidRDefault="00C87D77" w:rsidP="00EE2830">
            <w:pPr>
              <w:autoSpaceDE w:val="0"/>
              <w:autoSpaceDN w:val="0"/>
              <w:adjustRightInd w:val="0"/>
              <w:rPr>
                <w:szCs w:val="22"/>
              </w:rPr>
            </w:pPr>
            <w:r w:rsidRPr="00CC5E0B">
              <w:rPr>
                <w:szCs w:val="22"/>
              </w:rPr>
              <w:t>- платени лихви и неустойки по получен заем</w:t>
            </w:r>
          </w:p>
        </w:tc>
        <w:tc>
          <w:tcPr>
            <w:tcW w:w="1309" w:type="dxa"/>
            <w:shd w:val="clear" w:color="auto" w:fill="auto"/>
          </w:tcPr>
          <w:p w:rsidR="00C87D77" w:rsidRPr="00CC5E0B" w:rsidRDefault="00E91706" w:rsidP="00EE2830">
            <w:pPr>
              <w:jc w:val="right"/>
              <w:rPr>
                <w:rFonts w:cs="Times New Roman"/>
                <w:szCs w:val="22"/>
                <w:lang w:val="en-US" w:eastAsia="bg-BG"/>
              </w:rPr>
            </w:pPr>
            <w:r w:rsidRPr="00CC5E0B">
              <w:rPr>
                <w:rFonts w:cs="Times New Roman"/>
                <w:szCs w:val="22"/>
                <w:lang w:val="en-US" w:eastAsia="bg-BG"/>
              </w:rPr>
              <w:t>163</w:t>
            </w:r>
          </w:p>
        </w:tc>
        <w:tc>
          <w:tcPr>
            <w:tcW w:w="1134" w:type="dxa"/>
            <w:shd w:val="clear" w:color="auto" w:fill="auto"/>
          </w:tcPr>
          <w:p w:rsidR="00C87D77" w:rsidRPr="00CC5E0B" w:rsidRDefault="00E91706" w:rsidP="00EE2830">
            <w:pPr>
              <w:jc w:val="right"/>
              <w:rPr>
                <w:rFonts w:cs="Times New Roman"/>
                <w:szCs w:val="22"/>
                <w:lang w:val="en-US" w:eastAsia="bg-BG"/>
              </w:rPr>
            </w:pPr>
            <w:r w:rsidRPr="00CC5E0B">
              <w:rPr>
                <w:rFonts w:cs="Times New Roman"/>
                <w:szCs w:val="22"/>
                <w:lang w:val="en-US" w:eastAsia="bg-BG"/>
              </w:rPr>
              <w:t>189</w:t>
            </w:r>
          </w:p>
        </w:tc>
      </w:tr>
      <w:tr w:rsidR="00C87D77" w:rsidRPr="00796446" w:rsidTr="00030954">
        <w:trPr>
          <w:trHeight w:val="181"/>
        </w:trPr>
        <w:tc>
          <w:tcPr>
            <w:tcW w:w="6629" w:type="dxa"/>
            <w:shd w:val="clear" w:color="auto" w:fill="auto"/>
          </w:tcPr>
          <w:p w:rsidR="00C87D77" w:rsidRPr="00CC5E0B" w:rsidRDefault="00C87D77" w:rsidP="00EE2830">
            <w:pPr>
              <w:autoSpaceDE w:val="0"/>
              <w:autoSpaceDN w:val="0"/>
              <w:adjustRightInd w:val="0"/>
              <w:rPr>
                <w:szCs w:val="22"/>
              </w:rPr>
            </w:pPr>
            <w:r w:rsidRPr="00CC5E0B">
              <w:rPr>
                <w:szCs w:val="22"/>
              </w:rPr>
              <w:t>- разходи за лихви</w:t>
            </w:r>
          </w:p>
        </w:tc>
        <w:tc>
          <w:tcPr>
            <w:tcW w:w="1309" w:type="dxa"/>
            <w:shd w:val="clear" w:color="auto" w:fill="auto"/>
          </w:tcPr>
          <w:p w:rsidR="00C87D77" w:rsidRPr="00CC5E0B" w:rsidRDefault="0075563D" w:rsidP="00EE2830">
            <w:pPr>
              <w:jc w:val="right"/>
              <w:rPr>
                <w:rFonts w:cs="Times New Roman"/>
                <w:szCs w:val="22"/>
                <w:lang w:eastAsia="bg-BG"/>
              </w:rPr>
            </w:pPr>
            <w:r w:rsidRPr="00CC5E0B">
              <w:rPr>
                <w:rFonts w:cs="Times New Roman"/>
                <w:szCs w:val="22"/>
                <w:lang w:eastAsia="bg-BG"/>
              </w:rPr>
              <w:t>147</w:t>
            </w:r>
          </w:p>
        </w:tc>
        <w:tc>
          <w:tcPr>
            <w:tcW w:w="1134" w:type="dxa"/>
            <w:shd w:val="clear" w:color="auto" w:fill="auto"/>
          </w:tcPr>
          <w:p w:rsidR="00C87D77" w:rsidRPr="00CC5E0B" w:rsidRDefault="0075563D" w:rsidP="00EE2830">
            <w:pPr>
              <w:jc w:val="right"/>
              <w:rPr>
                <w:rFonts w:cs="Times New Roman"/>
                <w:szCs w:val="22"/>
                <w:lang w:eastAsia="bg-BG"/>
              </w:rPr>
            </w:pPr>
            <w:r w:rsidRPr="00CC5E0B">
              <w:rPr>
                <w:rFonts w:cs="Times New Roman"/>
                <w:szCs w:val="22"/>
                <w:lang w:eastAsia="bg-BG"/>
              </w:rPr>
              <w:t>175</w:t>
            </w:r>
          </w:p>
        </w:tc>
      </w:tr>
      <w:tr w:rsidR="00C87D77" w:rsidRPr="00796446" w:rsidTr="00030954">
        <w:trPr>
          <w:trHeight w:val="181"/>
        </w:trPr>
        <w:tc>
          <w:tcPr>
            <w:tcW w:w="6629" w:type="dxa"/>
            <w:shd w:val="clear" w:color="auto" w:fill="auto"/>
          </w:tcPr>
          <w:p w:rsidR="00C87D77" w:rsidRPr="00CC5E0B" w:rsidRDefault="00C87D77" w:rsidP="00EE2830">
            <w:pPr>
              <w:autoSpaceDE w:val="0"/>
              <w:autoSpaceDN w:val="0"/>
              <w:adjustRightInd w:val="0"/>
              <w:rPr>
                <w:szCs w:val="22"/>
              </w:rPr>
            </w:pPr>
            <w:r w:rsidRPr="00CC5E0B">
              <w:rPr>
                <w:szCs w:val="22"/>
              </w:rPr>
              <w:t xml:space="preserve">- разходи за </w:t>
            </w:r>
            <w:r w:rsidRPr="00CC5E0B">
              <w:rPr>
                <w:rFonts w:cs="Times New Roman"/>
                <w:szCs w:val="22"/>
                <w:lang w:eastAsia="bg-BG"/>
              </w:rPr>
              <w:t>неустойки</w:t>
            </w:r>
          </w:p>
        </w:tc>
        <w:tc>
          <w:tcPr>
            <w:tcW w:w="1309" w:type="dxa"/>
            <w:shd w:val="clear" w:color="auto" w:fill="auto"/>
          </w:tcPr>
          <w:p w:rsidR="00C87D77" w:rsidRPr="00CC5E0B" w:rsidRDefault="00E91706" w:rsidP="00EE2830">
            <w:pPr>
              <w:jc w:val="right"/>
              <w:rPr>
                <w:rFonts w:cs="Times New Roman"/>
                <w:szCs w:val="22"/>
                <w:lang w:eastAsia="bg-BG"/>
              </w:rPr>
            </w:pPr>
            <w:r w:rsidRPr="00CC5E0B">
              <w:rPr>
                <w:rFonts w:cs="Times New Roman"/>
                <w:szCs w:val="22"/>
                <w:lang w:val="en-US" w:eastAsia="bg-BG"/>
              </w:rPr>
              <w:t>1</w:t>
            </w:r>
          </w:p>
        </w:tc>
        <w:tc>
          <w:tcPr>
            <w:tcW w:w="1134" w:type="dxa"/>
            <w:shd w:val="clear" w:color="auto" w:fill="auto"/>
          </w:tcPr>
          <w:p w:rsidR="00C87D77" w:rsidRPr="00CC5E0B" w:rsidRDefault="00E91706" w:rsidP="00EE2830">
            <w:pPr>
              <w:jc w:val="right"/>
              <w:rPr>
                <w:rFonts w:cs="Times New Roman"/>
                <w:szCs w:val="22"/>
                <w:lang w:val="en-US" w:eastAsia="bg-BG"/>
              </w:rPr>
            </w:pPr>
            <w:r w:rsidRPr="00CC5E0B">
              <w:rPr>
                <w:rFonts w:cs="Times New Roman"/>
                <w:szCs w:val="22"/>
                <w:lang w:val="en-US" w:eastAsia="bg-BG"/>
              </w:rPr>
              <w:t>-</w:t>
            </w:r>
          </w:p>
        </w:tc>
      </w:tr>
      <w:tr w:rsidR="00C87D77" w:rsidRPr="00796446" w:rsidTr="00030954">
        <w:trPr>
          <w:trHeight w:val="181"/>
        </w:trPr>
        <w:tc>
          <w:tcPr>
            <w:tcW w:w="6629" w:type="dxa"/>
            <w:shd w:val="clear" w:color="auto" w:fill="auto"/>
          </w:tcPr>
          <w:p w:rsidR="00FE2577" w:rsidRPr="00CC5E0B" w:rsidRDefault="00C87D77" w:rsidP="00EE2830">
            <w:pPr>
              <w:autoSpaceDE w:val="0"/>
              <w:autoSpaceDN w:val="0"/>
              <w:adjustRightInd w:val="0"/>
              <w:rPr>
                <w:szCs w:val="22"/>
              </w:rPr>
            </w:pPr>
            <w:r w:rsidRPr="00CC5E0B">
              <w:rPr>
                <w:szCs w:val="22"/>
              </w:rPr>
              <w:t>- покупки на услуги</w:t>
            </w:r>
          </w:p>
        </w:tc>
        <w:tc>
          <w:tcPr>
            <w:tcW w:w="1309" w:type="dxa"/>
            <w:shd w:val="clear" w:color="auto" w:fill="auto"/>
          </w:tcPr>
          <w:p w:rsidR="00C87D77" w:rsidRPr="00CC5E0B" w:rsidRDefault="0075563D" w:rsidP="00EE2830">
            <w:pPr>
              <w:jc w:val="right"/>
              <w:rPr>
                <w:rFonts w:cs="Times New Roman"/>
                <w:szCs w:val="22"/>
                <w:lang w:eastAsia="bg-BG"/>
              </w:rPr>
            </w:pPr>
            <w:r w:rsidRPr="00CC5E0B">
              <w:rPr>
                <w:rFonts w:cs="Times New Roman"/>
                <w:szCs w:val="22"/>
                <w:lang w:eastAsia="bg-BG"/>
              </w:rPr>
              <w:t>5</w:t>
            </w:r>
          </w:p>
        </w:tc>
        <w:tc>
          <w:tcPr>
            <w:tcW w:w="1134" w:type="dxa"/>
            <w:shd w:val="clear" w:color="auto" w:fill="auto"/>
          </w:tcPr>
          <w:p w:rsidR="00C87D77" w:rsidRPr="00CC5E0B" w:rsidRDefault="0075563D" w:rsidP="00EE2830">
            <w:pPr>
              <w:jc w:val="right"/>
              <w:rPr>
                <w:rFonts w:cs="Times New Roman"/>
                <w:szCs w:val="22"/>
                <w:lang w:eastAsia="bg-BG"/>
              </w:rPr>
            </w:pPr>
            <w:r w:rsidRPr="00CC5E0B">
              <w:rPr>
                <w:rFonts w:cs="Times New Roman"/>
                <w:szCs w:val="22"/>
                <w:lang w:eastAsia="bg-BG"/>
              </w:rPr>
              <w:t>4</w:t>
            </w:r>
          </w:p>
          <w:p w:rsidR="008E7189" w:rsidRPr="00CC5E0B" w:rsidRDefault="008E7189" w:rsidP="00EE2830">
            <w:pPr>
              <w:jc w:val="right"/>
              <w:rPr>
                <w:rFonts w:cs="Times New Roman"/>
                <w:szCs w:val="22"/>
                <w:lang w:eastAsia="bg-BG"/>
              </w:rPr>
            </w:pPr>
          </w:p>
        </w:tc>
      </w:tr>
    </w:tbl>
    <w:p w:rsidR="00DC0F33" w:rsidRDefault="00DC0F33" w:rsidP="009849ED">
      <w:pPr>
        <w:pStyle w:val="ListParagraph"/>
        <w:numPr>
          <w:ilvl w:val="1"/>
          <w:numId w:val="42"/>
        </w:numPr>
        <w:ind w:left="567" w:hanging="567"/>
        <w:jc w:val="both"/>
        <w:rPr>
          <w:b/>
          <w:szCs w:val="22"/>
        </w:rPr>
      </w:pPr>
      <w:r w:rsidRPr="00CC5E0B">
        <w:rPr>
          <w:b/>
          <w:szCs w:val="22"/>
        </w:rPr>
        <w:t>Сделки с ключов управленски персонал</w:t>
      </w:r>
    </w:p>
    <w:p w:rsidR="00512408" w:rsidRPr="00CC5E0B" w:rsidRDefault="00512408" w:rsidP="00CC5E0B">
      <w:pPr>
        <w:pStyle w:val="ListParagraph"/>
        <w:ind w:left="567"/>
        <w:jc w:val="both"/>
        <w:rPr>
          <w:b/>
          <w:szCs w:val="22"/>
        </w:rPr>
      </w:pPr>
    </w:p>
    <w:p w:rsidR="00B406CC" w:rsidRDefault="00DC0F33" w:rsidP="00FE2577">
      <w:pPr>
        <w:jc w:val="both"/>
        <w:rPr>
          <w:szCs w:val="22"/>
        </w:rPr>
      </w:pPr>
      <w:r w:rsidRPr="00CC5E0B">
        <w:rPr>
          <w:szCs w:val="22"/>
        </w:rPr>
        <w:t>Ключовият управленски персонал на Др</w:t>
      </w:r>
      <w:r w:rsidR="00A54F6D" w:rsidRPr="00CC5E0B">
        <w:rPr>
          <w:szCs w:val="22"/>
        </w:rPr>
        <w:t>ужеството включва членовете на С</w:t>
      </w:r>
      <w:r w:rsidRPr="00CC5E0B">
        <w:rPr>
          <w:szCs w:val="22"/>
        </w:rPr>
        <w:t>ъвета на директорите. Възнагражденията на ключовия управленски персонал включват следните разходи</w:t>
      </w:r>
      <w:r w:rsidRPr="00796446">
        <w:rPr>
          <w:szCs w:val="22"/>
        </w:rPr>
        <w:t>:</w:t>
      </w:r>
    </w:p>
    <w:p w:rsidR="005D1687" w:rsidRPr="00796446" w:rsidRDefault="005D1687" w:rsidP="00FE2577">
      <w:pPr>
        <w:jc w:val="both"/>
        <w:rPr>
          <w:szCs w:val="22"/>
        </w:rPr>
      </w:pPr>
    </w:p>
    <w:tbl>
      <w:tblPr>
        <w:tblW w:w="8945" w:type="dxa"/>
        <w:tblInd w:w="56" w:type="dxa"/>
        <w:tblCellMar>
          <w:left w:w="70" w:type="dxa"/>
          <w:right w:w="70" w:type="dxa"/>
        </w:tblCellMar>
        <w:tblLook w:val="04A0"/>
      </w:tblPr>
      <w:tblGrid>
        <w:gridCol w:w="6677"/>
        <w:gridCol w:w="1129"/>
        <w:gridCol w:w="1139"/>
      </w:tblGrid>
      <w:tr w:rsidR="00DC0F33" w:rsidRPr="00796446" w:rsidTr="00CC5E0B">
        <w:trPr>
          <w:trHeight w:val="159"/>
        </w:trPr>
        <w:tc>
          <w:tcPr>
            <w:tcW w:w="6677" w:type="dxa"/>
            <w:tcBorders>
              <w:top w:val="nil"/>
              <w:left w:val="nil"/>
              <w:bottom w:val="nil"/>
              <w:right w:val="nil"/>
            </w:tcBorders>
            <w:shd w:val="clear" w:color="auto" w:fill="auto"/>
            <w:noWrap/>
            <w:vAlign w:val="bottom"/>
          </w:tcPr>
          <w:p w:rsidR="00DC0F33" w:rsidRPr="00CC5E0B" w:rsidRDefault="00DC0F33" w:rsidP="0012771D">
            <w:pPr>
              <w:rPr>
                <w:rFonts w:cs="Times New Roman"/>
                <w:szCs w:val="22"/>
                <w:lang w:eastAsia="bg-BG"/>
              </w:rPr>
            </w:pPr>
          </w:p>
        </w:tc>
        <w:tc>
          <w:tcPr>
            <w:tcW w:w="1129" w:type="dxa"/>
            <w:tcBorders>
              <w:top w:val="nil"/>
              <w:left w:val="nil"/>
              <w:bottom w:val="nil"/>
              <w:right w:val="nil"/>
            </w:tcBorders>
            <w:shd w:val="clear" w:color="000000" w:fill="FFFFFF"/>
            <w:noWrap/>
          </w:tcPr>
          <w:p w:rsidR="00A07D82" w:rsidRPr="00CC5E0B" w:rsidRDefault="00A07D82" w:rsidP="0012771D">
            <w:pPr>
              <w:autoSpaceDE w:val="0"/>
              <w:autoSpaceDN w:val="0"/>
              <w:adjustRightInd w:val="0"/>
              <w:jc w:val="right"/>
              <w:rPr>
                <w:b/>
                <w:bCs/>
                <w:szCs w:val="22"/>
              </w:rPr>
            </w:pPr>
            <w:r w:rsidRPr="00CC5E0B">
              <w:rPr>
                <w:b/>
                <w:bCs/>
                <w:szCs w:val="22"/>
              </w:rPr>
              <w:t>3</w:t>
            </w:r>
            <w:r w:rsidR="00C4084E" w:rsidRPr="00CC5E0B">
              <w:rPr>
                <w:b/>
                <w:bCs/>
                <w:szCs w:val="22"/>
              </w:rPr>
              <w:t>0</w:t>
            </w:r>
            <w:r w:rsidRPr="00CC5E0B">
              <w:rPr>
                <w:b/>
                <w:bCs/>
                <w:szCs w:val="22"/>
              </w:rPr>
              <w:t xml:space="preserve"> </w:t>
            </w:r>
            <w:r w:rsidR="00C4084E" w:rsidRPr="00CC5E0B">
              <w:rPr>
                <w:b/>
                <w:bCs/>
                <w:szCs w:val="22"/>
              </w:rPr>
              <w:t>юни</w:t>
            </w:r>
            <w:r w:rsidRPr="00CC5E0B">
              <w:rPr>
                <w:b/>
                <w:bCs/>
                <w:szCs w:val="22"/>
              </w:rPr>
              <w:t xml:space="preserve"> </w:t>
            </w:r>
          </w:p>
          <w:p w:rsidR="00DC0F33" w:rsidRPr="00CC5E0B" w:rsidRDefault="00DC0F33" w:rsidP="0012771D">
            <w:pPr>
              <w:autoSpaceDE w:val="0"/>
              <w:autoSpaceDN w:val="0"/>
              <w:adjustRightInd w:val="0"/>
              <w:jc w:val="right"/>
              <w:rPr>
                <w:b/>
                <w:bCs/>
                <w:szCs w:val="22"/>
              </w:rPr>
            </w:pPr>
            <w:r w:rsidRPr="00CC5E0B">
              <w:rPr>
                <w:b/>
                <w:bCs/>
                <w:szCs w:val="22"/>
              </w:rPr>
              <w:t>201</w:t>
            </w:r>
            <w:r w:rsidR="00A07D82" w:rsidRPr="00CC5E0B">
              <w:rPr>
                <w:b/>
                <w:bCs/>
                <w:szCs w:val="22"/>
              </w:rPr>
              <w:t>9</w:t>
            </w:r>
          </w:p>
        </w:tc>
        <w:tc>
          <w:tcPr>
            <w:tcW w:w="1139" w:type="dxa"/>
            <w:tcBorders>
              <w:top w:val="nil"/>
              <w:left w:val="nil"/>
              <w:bottom w:val="nil"/>
              <w:right w:val="nil"/>
            </w:tcBorders>
            <w:shd w:val="clear" w:color="000000" w:fill="FFFFFF"/>
            <w:noWrap/>
          </w:tcPr>
          <w:p w:rsidR="0045705C" w:rsidRPr="00CC5E0B" w:rsidRDefault="00A07D82" w:rsidP="0012771D">
            <w:pPr>
              <w:autoSpaceDE w:val="0"/>
              <w:autoSpaceDN w:val="0"/>
              <w:adjustRightInd w:val="0"/>
              <w:jc w:val="right"/>
              <w:rPr>
                <w:b/>
                <w:bCs/>
                <w:szCs w:val="22"/>
              </w:rPr>
            </w:pPr>
            <w:r w:rsidRPr="00CC5E0B">
              <w:rPr>
                <w:b/>
                <w:bCs/>
                <w:szCs w:val="22"/>
              </w:rPr>
              <w:t>3</w:t>
            </w:r>
            <w:r w:rsidR="00C4084E" w:rsidRPr="00CC5E0B">
              <w:rPr>
                <w:b/>
                <w:bCs/>
                <w:szCs w:val="22"/>
              </w:rPr>
              <w:t>0</w:t>
            </w:r>
            <w:r w:rsidRPr="00CC5E0B">
              <w:rPr>
                <w:b/>
                <w:bCs/>
                <w:szCs w:val="22"/>
              </w:rPr>
              <w:t xml:space="preserve"> </w:t>
            </w:r>
            <w:r w:rsidR="00C4084E" w:rsidRPr="00CC5E0B">
              <w:rPr>
                <w:b/>
                <w:bCs/>
                <w:szCs w:val="22"/>
              </w:rPr>
              <w:t>юни</w:t>
            </w:r>
          </w:p>
          <w:p w:rsidR="00DC0F33" w:rsidRPr="00CC5E0B" w:rsidRDefault="00DC0F33" w:rsidP="0012771D">
            <w:pPr>
              <w:autoSpaceDE w:val="0"/>
              <w:autoSpaceDN w:val="0"/>
              <w:adjustRightInd w:val="0"/>
              <w:jc w:val="right"/>
              <w:rPr>
                <w:b/>
                <w:bCs/>
                <w:szCs w:val="22"/>
              </w:rPr>
            </w:pPr>
            <w:r w:rsidRPr="00CC5E0B">
              <w:rPr>
                <w:b/>
                <w:bCs/>
                <w:szCs w:val="22"/>
              </w:rPr>
              <w:t>201</w:t>
            </w:r>
            <w:r w:rsidR="00A07D82" w:rsidRPr="00CC5E0B">
              <w:rPr>
                <w:b/>
                <w:bCs/>
                <w:szCs w:val="22"/>
              </w:rPr>
              <w:t>8</w:t>
            </w:r>
          </w:p>
        </w:tc>
      </w:tr>
      <w:tr w:rsidR="00DC0F33" w:rsidRPr="00796446" w:rsidTr="00CC5E0B">
        <w:trPr>
          <w:trHeight w:val="159"/>
        </w:trPr>
        <w:tc>
          <w:tcPr>
            <w:tcW w:w="6677" w:type="dxa"/>
            <w:tcBorders>
              <w:top w:val="nil"/>
              <w:left w:val="nil"/>
              <w:bottom w:val="nil"/>
              <w:right w:val="nil"/>
            </w:tcBorders>
            <w:shd w:val="clear" w:color="auto" w:fill="auto"/>
            <w:noWrap/>
            <w:vAlign w:val="bottom"/>
          </w:tcPr>
          <w:p w:rsidR="00DC0F33" w:rsidRPr="00CC5E0B" w:rsidRDefault="00DC0F33" w:rsidP="00817FBA">
            <w:pPr>
              <w:rPr>
                <w:rFonts w:cs="Times New Roman"/>
                <w:szCs w:val="22"/>
                <w:lang w:eastAsia="bg-BG"/>
              </w:rPr>
            </w:pPr>
          </w:p>
        </w:tc>
        <w:tc>
          <w:tcPr>
            <w:tcW w:w="1129" w:type="dxa"/>
            <w:tcBorders>
              <w:top w:val="nil"/>
              <w:left w:val="nil"/>
              <w:bottom w:val="nil"/>
              <w:right w:val="nil"/>
            </w:tcBorders>
            <w:shd w:val="clear" w:color="000000" w:fill="FFFFFF"/>
            <w:noWrap/>
          </w:tcPr>
          <w:p w:rsidR="00DC0F33" w:rsidRPr="00CC5E0B" w:rsidRDefault="00DC0F33" w:rsidP="00817FBA">
            <w:pPr>
              <w:jc w:val="right"/>
              <w:rPr>
                <w:szCs w:val="22"/>
              </w:rPr>
            </w:pPr>
            <w:r w:rsidRPr="00CC5E0B">
              <w:rPr>
                <w:b/>
                <w:bCs/>
                <w:szCs w:val="22"/>
              </w:rPr>
              <w:t>‘000 лв.</w:t>
            </w:r>
          </w:p>
        </w:tc>
        <w:tc>
          <w:tcPr>
            <w:tcW w:w="1139" w:type="dxa"/>
            <w:tcBorders>
              <w:top w:val="nil"/>
              <w:left w:val="nil"/>
              <w:bottom w:val="nil"/>
              <w:right w:val="nil"/>
            </w:tcBorders>
            <w:shd w:val="clear" w:color="000000" w:fill="FFFFFF"/>
            <w:noWrap/>
          </w:tcPr>
          <w:p w:rsidR="00DC0F33" w:rsidRPr="00CC5E0B" w:rsidRDefault="00DC0F33" w:rsidP="00817FBA">
            <w:pPr>
              <w:jc w:val="right"/>
              <w:rPr>
                <w:szCs w:val="22"/>
              </w:rPr>
            </w:pPr>
            <w:r w:rsidRPr="00CC5E0B">
              <w:rPr>
                <w:b/>
                <w:bCs/>
                <w:szCs w:val="22"/>
              </w:rPr>
              <w:t>‘000 лв.</w:t>
            </w:r>
          </w:p>
        </w:tc>
      </w:tr>
      <w:tr w:rsidR="00DC0F33" w:rsidRPr="00796446" w:rsidTr="00CC5E0B">
        <w:trPr>
          <w:trHeight w:val="159"/>
        </w:trPr>
        <w:tc>
          <w:tcPr>
            <w:tcW w:w="6677" w:type="dxa"/>
            <w:tcBorders>
              <w:top w:val="nil"/>
              <w:left w:val="nil"/>
              <w:bottom w:val="nil"/>
              <w:right w:val="nil"/>
            </w:tcBorders>
            <w:shd w:val="clear" w:color="000000" w:fill="FFFFFF"/>
          </w:tcPr>
          <w:p w:rsidR="00DC0F33" w:rsidRPr="00CC5E0B" w:rsidRDefault="00DC0F33" w:rsidP="00817FBA">
            <w:pPr>
              <w:rPr>
                <w:rFonts w:cs="Times New Roman"/>
                <w:szCs w:val="22"/>
                <w:lang w:eastAsia="bg-BG"/>
              </w:rPr>
            </w:pPr>
            <w:r w:rsidRPr="00CC5E0B">
              <w:rPr>
                <w:rFonts w:cs="Times New Roman"/>
                <w:szCs w:val="22"/>
                <w:lang w:eastAsia="bg-BG"/>
              </w:rPr>
              <w:t>Краткосрочни възнаграждения:</w:t>
            </w:r>
          </w:p>
        </w:tc>
        <w:tc>
          <w:tcPr>
            <w:tcW w:w="1129" w:type="dxa"/>
            <w:tcBorders>
              <w:top w:val="nil"/>
              <w:left w:val="nil"/>
              <w:bottom w:val="nil"/>
              <w:right w:val="nil"/>
            </w:tcBorders>
            <w:shd w:val="clear" w:color="000000" w:fill="FFFFFF"/>
          </w:tcPr>
          <w:p w:rsidR="00DC0F33" w:rsidRPr="00CC5E0B" w:rsidRDefault="00DC0F33" w:rsidP="00817FBA">
            <w:pPr>
              <w:jc w:val="right"/>
              <w:rPr>
                <w:rFonts w:cs="Times New Roman"/>
                <w:szCs w:val="22"/>
                <w:lang w:eastAsia="bg-BG"/>
              </w:rPr>
            </w:pPr>
            <w:r w:rsidRPr="00CC5E0B">
              <w:rPr>
                <w:rFonts w:cs="Times New Roman"/>
                <w:szCs w:val="22"/>
                <w:lang w:eastAsia="bg-BG"/>
              </w:rPr>
              <w:t> </w:t>
            </w:r>
          </w:p>
        </w:tc>
        <w:tc>
          <w:tcPr>
            <w:tcW w:w="1139" w:type="dxa"/>
            <w:tcBorders>
              <w:top w:val="nil"/>
              <w:left w:val="nil"/>
              <w:bottom w:val="nil"/>
              <w:right w:val="nil"/>
            </w:tcBorders>
            <w:shd w:val="clear" w:color="000000" w:fill="FFFFFF"/>
          </w:tcPr>
          <w:p w:rsidR="00DC0F33" w:rsidRPr="00CC5E0B" w:rsidRDefault="00DC0F33" w:rsidP="00817FBA">
            <w:pPr>
              <w:jc w:val="right"/>
              <w:rPr>
                <w:rFonts w:cs="Times New Roman"/>
                <w:szCs w:val="22"/>
                <w:lang w:eastAsia="bg-BG"/>
              </w:rPr>
            </w:pPr>
            <w:r w:rsidRPr="00CC5E0B">
              <w:rPr>
                <w:rFonts w:cs="Times New Roman"/>
                <w:szCs w:val="22"/>
                <w:lang w:eastAsia="bg-BG"/>
              </w:rPr>
              <w:t> </w:t>
            </w:r>
          </w:p>
        </w:tc>
      </w:tr>
      <w:tr w:rsidR="00C46E98" w:rsidRPr="00796446" w:rsidTr="00CC5E0B">
        <w:trPr>
          <w:trHeight w:val="159"/>
        </w:trPr>
        <w:tc>
          <w:tcPr>
            <w:tcW w:w="6677" w:type="dxa"/>
            <w:tcBorders>
              <w:top w:val="nil"/>
              <w:left w:val="nil"/>
              <w:bottom w:val="nil"/>
              <w:right w:val="nil"/>
            </w:tcBorders>
            <w:shd w:val="clear" w:color="000000" w:fill="FFFFFF"/>
          </w:tcPr>
          <w:p w:rsidR="00C46E98" w:rsidRPr="00CC5E0B" w:rsidRDefault="00C46E98" w:rsidP="0082194B">
            <w:pPr>
              <w:ind w:firstLineChars="100" w:firstLine="220"/>
              <w:rPr>
                <w:rFonts w:cs="Times New Roman"/>
                <w:szCs w:val="22"/>
                <w:lang w:eastAsia="bg-BG"/>
              </w:rPr>
            </w:pPr>
            <w:r w:rsidRPr="00CC5E0B">
              <w:rPr>
                <w:rFonts w:cs="Times New Roman"/>
                <w:szCs w:val="22"/>
                <w:lang w:eastAsia="bg-BG"/>
              </w:rPr>
              <w:t>Заплати, включително бонуси</w:t>
            </w:r>
          </w:p>
        </w:tc>
        <w:tc>
          <w:tcPr>
            <w:tcW w:w="1129" w:type="dxa"/>
            <w:tcBorders>
              <w:top w:val="nil"/>
              <w:left w:val="nil"/>
              <w:bottom w:val="nil"/>
              <w:right w:val="nil"/>
            </w:tcBorders>
            <w:shd w:val="clear" w:color="000000" w:fill="FFFFFF"/>
          </w:tcPr>
          <w:p w:rsidR="00C46E98" w:rsidRPr="00CC5E0B" w:rsidRDefault="007E5FF4" w:rsidP="00817FBA">
            <w:pPr>
              <w:jc w:val="right"/>
              <w:rPr>
                <w:rFonts w:cs="Times New Roman"/>
                <w:szCs w:val="22"/>
                <w:lang w:eastAsia="bg-BG"/>
              </w:rPr>
            </w:pPr>
            <w:r w:rsidRPr="00CC5E0B">
              <w:rPr>
                <w:rFonts w:cs="Times New Roman"/>
                <w:szCs w:val="22"/>
                <w:lang w:eastAsia="bg-BG"/>
              </w:rPr>
              <w:t>76</w:t>
            </w:r>
          </w:p>
        </w:tc>
        <w:tc>
          <w:tcPr>
            <w:tcW w:w="1139" w:type="dxa"/>
            <w:tcBorders>
              <w:top w:val="nil"/>
              <w:left w:val="nil"/>
              <w:bottom w:val="nil"/>
              <w:right w:val="nil"/>
            </w:tcBorders>
            <w:shd w:val="clear" w:color="000000" w:fill="FFFFFF"/>
          </w:tcPr>
          <w:p w:rsidR="00C46E98" w:rsidRPr="00CC5E0B" w:rsidRDefault="00C4084E" w:rsidP="00FD6497">
            <w:pPr>
              <w:jc w:val="right"/>
              <w:rPr>
                <w:rFonts w:cs="Times New Roman"/>
                <w:szCs w:val="22"/>
                <w:lang w:eastAsia="bg-BG"/>
              </w:rPr>
            </w:pPr>
            <w:r w:rsidRPr="00CC5E0B">
              <w:rPr>
                <w:rFonts w:cs="Times New Roman"/>
                <w:szCs w:val="22"/>
                <w:lang w:eastAsia="bg-BG"/>
              </w:rPr>
              <w:t>72</w:t>
            </w:r>
          </w:p>
        </w:tc>
      </w:tr>
      <w:tr w:rsidR="00C46E98" w:rsidRPr="00796446" w:rsidTr="00CC5E0B">
        <w:trPr>
          <w:trHeight w:val="159"/>
        </w:trPr>
        <w:tc>
          <w:tcPr>
            <w:tcW w:w="6677" w:type="dxa"/>
            <w:tcBorders>
              <w:top w:val="nil"/>
              <w:left w:val="nil"/>
              <w:bottom w:val="nil"/>
              <w:right w:val="nil"/>
            </w:tcBorders>
            <w:shd w:val="clear" w:color="000000" w:fill="FFFFFF"/>
          </w:tcPr>
          <w:p w:rsidR="00C46E98" w:rsidRPr="00CC5E0B" w:rsidRDefault="00C46E98" w:rsidP="0082194B">
            <w:pPr>
              <w:ind w:firstLineChars="100" w:firstLine="220"/>
              <w:rPr>
                <w:rFonts w:cs="Times New Roman"/>
                <w:szCs w:val="22"/>
                <w:lang w:eastAsia="bg-BG"/>
              </w:rPr>
            </w:pPr>
            <w:r w:rsidRPr="00CC5E0B">
              <w:rPr>
                <w:rFonts w:cs="Times New Roman"/>
                <w:szCs w:val="22"/>
                <w:lang w:eastAsia="bg-BG"/>
              </w:rPr>
              <w:t>Разходи за социални осигуровки</w:t>
            </w:r>
          </w:p>
        </w:tc>
        <w:tc>
          <w:tcPr>
            <w:tcW w:w="1129" w:type="dxa"/>
            <w:tcBorders>
              <w:top w:val="nil"/>
              <w:left w:val="nil"/>
              <w:right w:val="nil"/>
            </w:tcBorders>
            <w:shd w:val="clear" w:color="000000" w:fill="FFFFFF"/>
          </w:tcPr>
          <w:p w:rsidR="00C46E98" w:rsidRPr="00CC5E0B" w:rsidRDefault="007E5FF4" w:rsidP="00817FBA">
            <w:pPr>
              <w:jc w:val="right"/>
              <w:rPr>
                <w:rFonts w:cs="Times New Roman"/>
                <w:szCs w:val="22"/>
                <w:lang w:eastAsia="bg-BG"/>
              </w:rPr>
            </w:pPr>
            <w:r w:rsidRPr="00CC5E0B">
              <w:rPr>
                <w:rFonts w:cs="Times New Roman"/>
                <w:szCs w:val="22"/>
                <w:lang w:eastAsia="bg-BG"/>
              </w:rPr>
              <w:t>6</w:t>
            </w:r>
          </w:p>
        </w:tc>
        <w:tc>
          <w:tcPr>
            <w:tcW w:w="1139" w:type="dxa"/>
            <w:tcBorders>
              <w:top w:val="nil"/>
              <w:left w:val="nil"/>
              <w:right w:val="nil"/>
            </w:tcBorders>
            <w:shd w:val="clear" w:color="000000" w:fill="FFFFFF"/>
          </w:tcPr>
          <w:p w:rsidR="00C46E98" w:rsidRPr="00CC5E0B" w:rsidRDefault="00C4084E" w:rsidP="00FD6497">
            <w:pPr>
              <w:jc w:val="right"/>
              <w:rPr>
                <w:rFonts w:cs="Times New Roman"/>
                <w:szCs w:val="22"/>
                <w:lang w:eastAsia="bg-BG"/>
              </w:rPr>
            </w:pPr>
            <w:r w:rsidRPr="00CC5E0B">
              <w:rPr>
                <w:rFonts w:cs="Times New Roman"/>
                <w:szCs w:val="22"/>
                <w:lang w:eastAsia="bg-BG"/>
              </w:rPr>
              <w:t>3</w:t>
            </w:r>
          </w:p>
        </w:tc>
      </w:tr>
      <w:tr w:rsidR="00C46E98" w:rsidRPr="00796446" w:rsidTr="00CC5E0B">
        <w:trPr>
          <w:trHeight w:val="159"/>
        </w:trPr>
        <w:tc>
          <w:tcPr>
            <w:tcW w:w="6677" w:type="dxa"/>
            <w:tcBorders>
              <w:top w:val="nil"/>
              <w:left w:val="nil"/>
              <w:bottom w:val="nil"/>
              <w:right w:val="nil"/>
            </w:tcBorders>
            <w:shd w:val="clear" w:color="000000" w:fill="FFFFFF"/>
          </w:tcPr>
          <w:p w:rsidR="00C46E98" w:rsidRPr="00CC5E0B" w:rsidRDefault="00C46E98" w:rsidP="00817FBA">
            <w:pPr>
              <w:rPr>
                <w:rFonts w:cs="Times New Roman"/>
                <w:b/>
                <w:szCs w:val="22"/>
                <w:lang w:eastAsia="bg-BG"/>
              </w:rPr>
            </w:pPr>
            <w:r w:rsidRPr="00CC5E0B">
              <w:rPr>
                <w:rFonts w:cs="Times New Roman"/>
                <w:b/>
                <w:szCs w:val="22"/>
                <w:lang w:eastAsia="bg-BG"/>
              </w:rPr>
              <w:t>Общо възнаграждения</w:t>
            </w:r>
          </w:p>
        </w:tc>
        <w:tc>
          <w:tcPr>
            <w:tcW w:w="1129" w:type="dxa"/>
            <w:tcBorders>
              <w:top w:val="single" w:sz="2" w:space="0" w:color="auto"/>
              <w:left w:val="nil"/>
              <w:bottom w:val="single" w:sz="2" w:space="0" w:color="auto"/>
              <w:right w:val="nil"/>
            </w:tcBorders>
            <w:shd w:val="clear" w:color="000000" w:fill="FFFFFF"/>
          </w:tcPr>
          <w:p w:rsidR="00C46E98" w:rsidRPr="00CC5E0B" w:rsidRDefault="007E5FF4" w:rsidP="00817FBA">
            <w:pPr>
              <w:jc w:val="right"/>
              <w:rPr>
                <w:rFonts w:cs="Times New Roman"/>
                <w:b/>
                <w:szCs w:val="22"/>
                <w:lang w:eastAsia="bg-BG"/>
              </w:rPr>
            </w:pPr>
            <w:r w:rsidRPr="00CC5E0B">
              <w:rPr>
                <w:rFonts w:cs="Times New Roman"/>
                <w:b/>
                <w:szCs w:val="22"/>
                <w:lang w:eastAsia="bg-BG"/>
              </w:rPr>
              <w:t>82</w:t>
            </w:r>
          </w:p>
        </w:tc>
        <w:tc>
          <w:tcPr>
            <w:tcW w:w="1139" w:type="dxa"/>
            <w:tcBorders>
              <w:top w:val="single" w:sz="2" w:space="0" w:color="auto"/>
              <w:left w:val="nil"/>
              <w:bottom w:val="single" w:sz="2" w:space="0" w:color="auto"/>
              <w:right w:val="nil"/>
            </w:tcBorders>
            <w:shd w:val="clear" w:color="000000" w:fill="FFFFFF"/>
          </w:tcPr>
          <w:p w:rsidR="00C46E98" w:rsidRPr="00CC5E0B" w:rsidRDefault="00C4084E" w:rsidP="00FD6497">
            <w:pPr>
              <w:jc w:val="right"/>
              <w:rPr>
                <w:rFonts w:cs="Times New Roman"/>
                <w:b/>
                <w:szCs w:val="22"/>
                <w:lang w:eastAsia="bg-BG"/>
              </w:rPr>
            </w:pPr>
            <w:r w:rsidRPr="00CC5E0B">
              <w:rPr>
                <w:rFonts w:cs="Times New Roman"/>
                <w:b/>
                <w:szCs w:val="22"/>
                <w:lang w:eastAsia="bg-BG"/>
              </w:rPr>
              <w:t>75</w:t>
            </w:r>
          </w:p>
        </w:tc>
      </w:tr>
    </w:tbl>
    <w:p w:rsidR="00512408" w:rsidRDefault="00512408" w:rsidP="00F62D0A">
      <w:pPr>
        <w:pStyle w:val="BodyText"/>
        <w:spacing w:after="0" w:line="240" w:lineRule="auto"/>
        <w:jc w:val="both"/>
        <w:rPr>
          <w:szCs w:val="22"/>
        </w:rPr>
      </w:pPr>
    </w:p>
    <w:p w:rsidR="00CC5E0B" w:rsidRDefault="00CC5E0B" w:rsidP="00F62D0A">
      <w:pPr>
        <w:pStyle w:val="BodyText"/>
        <w:spacing w:after="0" w:line="240" w:lineRule="auto"/>
        <w:jc w:val="both"/>
        <w:rPr>
          <w:szCs w:val="22"/>
        </w:rPr>
      </w:pPr>
    </w:p>
    <w:p w:rsidR="00CC5E0B" w:rsidRDefault="00CC5E0B" w:rsidP="00F62D0A">
      <w:pPr>
        <w:pStyle w:val="BodyText"/>
        <w:spacing w:after="0" w:line="240" w:lineRule="auto"/>
        <w:jc w:val="both"/>
        <w:rPr>
          <w:szCs w:val="22"/>
        </w:rPr>
      </w:pPr>
    </w:p>
    <w:p w:rsidR="00CC5E0B" w:rsidRDefault="00CC5E0B" w:rsidP="00F62D0A">
      <w:pPr>
        <w:pStyle w:val="BodyText"/>
        <w:spacing w:after="0" w:line="240" w:lineRule="auto"/>
        <w:jc w:val="both"/>
        <w:rPr>
          <w:szCs w:val="22"/>
        </w:rPr>
      </w:pPr>
    </w:p>
    <w:p w:rsidR="00CC5E0B" w:rsidRDefault="00CC5E0B" w:rsidP="00F62D0A">
      <w:pPr>
        <w:pStyle w:val="BodyText"/>
        <w:spacing w:after="0" w:line="240" w:lineRule="auto"/>
        <w:jc w:val="both"/>
        <w:rPr>
          <w:szCs w:val="22"/>
        </w:rPr>
      </w:pPr>
    </w:p>
    <w:p w:rsidR="00CC5E0B" w:rsidRDefault="00CC5E0B" w:rsidP="00F62D0A">
      <w:pPr>
        <w:pStyle w:val="BodyText"/>
        <w:spacing w:after="0" w:line="240" w:lineRule="auto"/>
        <w:jc w:val="both"/>
        <w:rPr>
          <w:szCs w:val="22"/>
        </w:rPr>
      </w:pPr>
    </w:p>
    <w:p w:rsidR="00CC5E0B" w:rsidRPr="00796446" w:rsidRDefault="00CC5E0B" w:rsidP="00F62D0A">
      <w:pPr>
        <w:pStyle w:val="BodyText"/>
        <w:spacing w:after="0" w:line="240" w:lineRule="auto"/>
        <w:jc w:val="both"/>
        <w:rPr>
          <w:szCs w:val="22"/>
        </w:rPr>
      </w:pPr>
    </w:p>
    <w:p w:rsidR="004221C6" w:rsidRPr="00CC5E0B" w:rsidRDefault="004221C6" w:rsidP="00FE2577">
      <w:pPr>
        <w:pStyle w:val="Heading2"/>
        <w:numPr>
          <w:ilvl w:val="1"/>
          <w:numId w:val="42"/>
        </w:numPr>
        <w:spacing w:before="360" w:line="259" w:lineRule="auto"/>
        <w:ind w:left="567" w:hanging="567"/>
        <w:rPr>
          <w:color w:val="auto"/>
          <w:sz w:val="22"/>
          <w:szCs w:val="22"/>
        </w:rPr>
      </w:pPr>
      <w:bookmarkStart w:id="24" w:name="_Ref448851632"/>
      <w:r w:rsidRPr="00CC5E0B">
        <w:rPr>
          <w:color w:val="auto"/>
          <w:sz w:val="22"/>
          <w:szCs w:val="22"/>
        </w:rPr>
        <w:t xml:space="preserve">Разчети със свързани лица в края на </w:t>
      </w:r>
      <w:bookmarkEnd w:id="24"/>
      <w:r w:rsidR="00243EA2" w:rsidRPr="00CC5E0B">
        <w:rPr>
          <w:color w:val="auto"/>
          <w:sz w:val="22"/>
          <w:szCs w:val="22"/>
        </w:rPr>
        <w:t>периода</w:t>
      </w:r>
    </w:p>
    <w:tbl>
      <w:tblPr>
        <w:tblW w:w="9072" w:type="dxa"/>
        <w:shd w:val="clear" w:color="auto" w:fill="FFFFFF"/>
        <w:tblLayout w:type="fixed"/>
        <w:tblLook w:val="0000"/>
      </w:tblPr>
      <w:tblGrid>
        <w:gridCol w:w="6390"/>
        <w:gridCol w:w="1123"/>
        <w:gridCol w:w="1559"/>
      </w:tblGrid>
      <w:tr w:rsidR="004221C6" w:rsidRPr="00796446" w:rsidTr="004E2481">
        <w:trPr>
          <w:trHeight w:val="20"/>
        </w:trPr>
        <w:tc>
          <w:tcPr>
            <w:tcW w:w="6390" w:type="dxa"/>
            <w:shd w:val="clear" w:color="auto" w:fill="FFFFFF"/>
          </w:tcPr>
          <w:p w:rsidR="004221C6" w:rsidRPr="00CC5E0B" w:rsidRDefault="004221C6" w:rsidP="00F748DE">
            <w:pPr>
              <w:autoSpaceDE w:val="0"/>
              <w:autoSpaceDN w:val="0"/>
              <w:adjustRightInd w:val="0"/>
              <w:rPr>
                <w:b/>
                <w:bCs/>
                <w:szCs w:val="22"/>
              </w:rPr>
            </w:pPr>
          </w:p>
        </w:tc>
        <w:tc>
          <w:tcPr>
            <w:tcW w:w="1123" w:type="dxa"/>
            <w:shd w:val="clear" w:color="auto" w:fill="FFFFFF"/>
          </w:tcPr>
          <w:p w:rsidR="00A739AD" w:rsidRPr="00CC5E0B" w:rsidRDefault="004C4420" w:rsidP="0045705C">
            <w:pPr>
              <w:autoSpaceDE w:val="0"/>
              <w:autoSpaceDN w:val="0"/>
              <w:adjustRightInd w:val="0"/>
              <w:jc w:val="right"/>
              <w:rPr>
                <w:b/>
                <w:bCs/>
                <w:szCs w:val="22"/>
              </w:rPr>
            </w:pPr>
            <w:r w:rsidRPr="00CC5E0B">
              <w:rPr>
                <w:b/>
                <w:bCs/>
                <w:szCs w:val="22"/>
              </w:rPr>
              <w:t>3</w:t>
            </w:r>
            <w:r w:rsidR="00CC207F" w:rsidRPr="00CC5E0B">
              <w:rPr>
                <w:b/>
                <w:bCs/>
                <w:szCs w:val="22"/>
              </w:rPr>
              <w:t>0</w:t>
            </w:r>
            <w:r w:rsidR="00A739AD" w:rsidRPr="00CC5E0B">
              <w:rPr>
                <w:b/>
                <w:bCs/>
                <w:szCs w:val="22"/>
              </w:rPr>
              <w:t xml:space="preserve"> </w:t>
            </w:r>
            <w:r w:rsidR="00CC207F" w:rsidRPr="00CC5E0B">
              <w:rPr>
                <w:b/>
                <w:bCs/>
                <w:szCs w:val="22"/>
              </w:rPr>
              <w:t>юни</w:t>
            </w:r>
          </w:p>
          <w:p w:rsidR="004221C6" w:rsidRPr="00CC5E0B" w:rsidRDefault="00A739AD" w:rsidP="0045705C">
            <w:pPr>
              <w:autoSpaceDE w:val="0"/>
              <w:autoSpaceDN w:val="0"/>
              <w:adjustRightInd w:val="0"/>
              <w:jc w:val="right"/>
              <w:rPr>
                <w:b/>
                <w:bCs/>
                <w:szCs w:val="22"/>
              </w:rPr>
            </w:pPr>
            <w:r w:rsidRPr="00CC5E0B">
              <w:rPr>
                <w:b/>
                <w:bCs/>
                <w:szCs w:val="22"/>
              </w:rPr>
              <w:t>2019</w:t>
            </w:r>
          </w:p>
        </w:tc>
        <w:tc>
          <w:tcPr>
            <w:tcW w:w="1559" w:type="dxa"/>
            <w:shd w:val="clear" w:color="auto" w:fill="FFFFFF"/>
          </w:tcPr>
          <w:p w:rsidR="004221C6" w:rsidRPr="00CC5E0B" w:rsidRDefault="00A739AD" w:rsidP="00F748DE">
            <w:pPr>
              <w:autoSpaceDE w:val="0"/>
              <w:autoSpaceDN w:val="0"/>
              <w:adjustRightInd w:val="0"/>
              <w:jc w:val="right"/>
              <w:rPr>
                <w:b/>
                <w:bCs/>
                <w:szCs w:val="22"/>
              </w:rPr>
            </w:pPr>
            <w:r w:rsidRPr="00CC5E0B">
              <w:rPr>
                <w:b/>
                <w:bCs/>
                <w:szCs w:val="22"/>
              </w:rPr>
              <w:t>31 декември</w:t>
            </w:r>
          </w:p>
          <w:p w:rsidR="00A739AD" w:rsidRPr="00CC5E0B" w:rsidRDefault="00A739AD" w:rsidP="00F748DE">
            <w:pPr>
              <w:autoSpaceDE w:val="0"/>
              <w:autoSpaceDN w:val="0"/>
              <w:adjustRightInd w:val="0"/>
              <w:jc w:val="right"/>
              <w:rPr>
                <w:b/>
                <w:bCs/>
                <w:szCs w:val="22"/>
              </w:rPr>
            </w:pPr>
            <w:r w:rsidRPr="00CC5E0B">
              <w:rPr>
                <w:b/>
                <w:bCs/>
                <w:szCs w:val="22"/>
              </w:rPr>
              <w:t>2018</w:t>
            </w:r>
          </w:p>
        </w:tc>
      </w:tr>
      <w:tr w:rsidR="004221C6" w:rsidRPr="00796446" w:rsidTr="004E2481">
        <w:trPr>
          <w:trHeight w:val="20"/>
        </w:trPr>
        <w:tc>
          <w:tcPr>
            <w:tcW w:w="6390" w:type="dxa"/>
            <w:shd w:val="clear" w:color="auto" w:fill="FFFFFF"/>
          </w:tcPr>
          <w:p w:rsidR="004221C6" w:rsidRPr="00CC5E0B" w:rsidRDefault="004221C6" w:rsidP="00F748DE">
            <w:pPr>
              <w:autoSpaceDE w:val="0"/>
              <w:autoSpaceDN w:val="0"/>
              <w:adjustRightInd w:val="0"/>
              <w:rPr>
                <w:b/>
                <w:bCs/>
                <w:szCs w:val="22"/>
              </w:rPr>
            </w:pPr>
          </w:p>
        </w:tc>
        <w:tc>
          <w:tcPr>
            <w:tcW w:w="1123" w:type="dxa"/>
            <w:shd w:val="clear" w:color="auto" w:fill="FFFFFF"/>
          </w:tcPr>
          <w:p w:rsidR="004221C6" w:rsidRPr="00CC5E0B" w:rsidRDefault="004221C6" w:rsidP="00F748DE">
            <w:pPr>
              <w:jc w:val="right"/>
              <w:rPr>
                <w:szCs w:val="22"/>
              </w:rPr>
            </w:pPr>
            <w:r w:rsidRPr="00CC5E0B">
              <w:rPr>
                <w:b/>
                <w:bCs/>
                <w:szCs w:val="22"/>
              </w:rPr>
              <w:t>‘000 лв.</w:t>
            </w:r>
          </w:p>
        </w:tc>
        <w:tc>
          <w:tcPr>
            <w:tcW w:w="1559" w:type="dxa"/>
            <w:shd w:val="clear" w:color="auto" w:fill="FFFFFF"/>
          </w:tcPr>
          <w:p w:rsidR="004221C6" w:rsidRPr="00CC5E0B" w:rsidRDefault="004221C6" w:rsidP="00F748DE">
            <w:pPr>
              <w:jc w:val="right"/>
              <w:rPr>
                <w:szCs w:val="22"/>
              </w:rPr>
            </w:pPr>
            <w:r w:rsidRPr="00CC5E0B">
              <w:rPr>
                <w:b/>
                <w:bCs/>
                <w:szCs w:val="22"/>
              </w:rPr>
              <w:t>‘000 лв.</w:t>
            </w:r>
          </w:p>
        </w:tc>
      </w:tr>
      <w:tr w:rsidR="004221C6" w:rsidRPr="00796446" w:rsidTr="004E2481">
        <w:trPr>
          <w:trHeight w:val="20"/>
        </w:trPr>
        <w:tc>
          <w:tcPr>
            <w:tcW w:w="6390" w:type="dxa"/>
            <w:shd w:val="clear" w:color="auto" w:fill="FFFFFF"/>
          </w:tcPr>
          <w:p w:rsidR="004221C6" w:rsidRPr="00CC5E0B" w:rsidRDefault="004221C6" w:rsidP="00F748DE">
            <w:pPr>
              <w:autoSpaceDE w:val="0"/>
              <w:autoSpaceDN w:val="0"/>
              <w:adjustRightInd w:val="0"/>
              <w:rPr>
                <w:b/>
                <w:szCs w:val="22"/>
              </w:rPr>
            </w:pPr>
            <w:r w:rsidRPr="00CC5E0B">
              <w:rPr>
                <w:b/>
                <w:szCs w:val="22"/>
              </w:rPr>
              <w:t>Текущи:</w:t>
            </w:r>
          </w:p>
        </w:tc>
        <w:tc>
          <w:tcPr>
            <w:tcW w:w="1123" w:type="dxa"/>
            <w:shd w:val="clear" w:color="auto" w:fill="FFFFFF"/>
          </w:tcPr>
          <w:p w:rsidR="004221C6" w:rsidRPr="00CC5E0B" w:rsidRDefault="004221C6" w:rsidP="00F748DE">
            <w:pPr>
              <w:autoSpaceDE w:val="0"/>
              <w:autoSpaceDN w:val="0"/>
              <w:adjustRightInd w:val="0"/>
              <w:jc w:val="right"/>
              <w:rPr>
                <w:szCs w:val="22"/>
              </w:rPr>
            </w:pPr>
          </w:p>
        </w:tc>
        <w:tc>
          <w:tcPr>
            <w:tcW w:w="1559" w:type="dxa"/>
            <w:shd w:val="clear" w:color="auto" w:fill="FFFFFF"/>
          </w:tcPr>
          <w:p w:rsidR="004221C6" w:rsidRPr="00CC5E0B" w:rsidRDefault="004221C6" w:rsidP="00F748DE">
            <w:pPr>
              <w:autoSpaceDE w:val="0"/>
              <w:autoSpaceDN w:val="0"/>
              <w:adjustRightInd w:val="0"/>
              <w:jc w:val="right"/>
              <w:rPr>
                <w:szCs w:val="22"/>
              </w:rPr>
            </w:pPr>
          </w:p>
        </w:tc>
      </w:tr>
      <w:tr w:rsidR="004221C6" w:rsidRPr="00796446" w:rsidTr="004E2481">
        <w:trPr>
          <w:trHeight w:val="20"/>
        </w:trPr>
        <w:tc>
          <w:tcPr>
            <w:tcW w:w="6390" w:type="dxa"/>
            <w:shd w:val="clear" w:color="auto" w:fill="FFFFFF"/>
          </w:tcPr>
          <w:p w:rsidR="004221C6" w:rsidRPr="00CC5E0B" w:rsidRDefault="004221C6" w:rsidP="00F748DE">
            <w:pPr>
              <w:autoSpaceDE w:val="0"/>
              <w:autoSpaceDN w:val="0"/>
              <w:adjustRightInd w:val="0"/>
              <w:rPr>
                <w:b/>
                <w:szCs w:val="22"/>
              </w:rPr>
            </w:pPr>
            <w:r w:rsidRPr="00CC5E0B">
              <w:rPr>
                <w:b/>
                <w:szCs w:val="22"/>
              </w:rPr>
              <w:t>Вземания от</w:t>
            </w:r>
          </w:p>
        </w:tc>
        <w:tc>
          <w:tcPr>
            <w:tcW w:w="1123" w:type="dxa"/>
            <w:shd w:val="clear" w:color="auto" w:fill="FFFFFF"/>
          </w:tcPr>
          <w:p w:rsidR="004221C6" w:rsidRPr="00CC5E0B" w:rsidRDefault="004221C6" w:rsidP="00F748DE">
            <w:pPr>
              <w:autoSpaceDE w:val="0"/>
              <w:autoSpaceDN w:val="0"/>
              <w:adjustRightInd w:val="0"/>
              <w:rPr>
                <w:b/>
                <w:szCs w:val="22"/>
              </w:rPr>
            </w:pPr>
          </w:p>
        </w:tc>
        <w:tc>
          <w:tcPr>
            <w:tcW w:w="1559" w:type="dxa"/>
            <w:shd w:val="clear" w:color="auto" w:fill="FFFFFF"/>
          </w:tcPr>
          <w:p w:rsidR="004221C6" w:rsidRPr="00CC5E0B" w:rsidRDefault="004221C6" w:rsidP="00F748DE">
            <w:pPr>
              <w:autoSpaceDE w:val="0"/>
              <w:autoSpaceDN w:val="0"/>
              <w:adjustRightInd w:val="0"/>
              <w:rPr>
                <w:b/>
                <w:szCs w:val="22"/>
              </w:rPr>
            </w:pPr>
          </w:p>
        </w:tc>
      </w:tr>
      <w:tr w:rsidR="004221C6" w:rsidRPr="00796446" w:rsidTr="004E2481">
        <w:trPr>
          <w:trHeight w:val="20"/>
        </w:trPr>
        <w:tc>
          <w:tcPr>
            <w:tcW w:w="6390" w:type="dxa"/>
            <w:shd w:val="clear" w:color="auto" w:fill="FFFFFF"/>
          </w:tcPr>
          <w:p w:rsidR="004221C6" w:rsidRPr="00CC5E0B" w:rsidRDefault="004221C6" w:rsidP="00F748DE">
            <w:pPr>
              <w:autoSpaceDE w:val="0"/>
              <w:autoSpaceDN w:val="0"/>
              <w:adjustRightInd w:val="0"/>
              <w:rPr>
                <w:szCs w:val="22"/>
              </w:rPr>
            </w:pPr>
            <w:r w:rsidRPr="00CC5E0B">
              <w:rPr>
                <w:szCs w:val="22"/>
              </w:rPr>
              <w:t xml:space="preserve"> - други свързани лица, в т.ч.:</w:t>
            </w:r>
          </w:p>
        </w:tc>
        <w:tc>
          <w:tcPr>
            <w:tcW w:w="1123" w:type="dxa"/>
            <w:shd w:val="clear" w:color="auto" w:fill="FFFFFF"/>
          </w:tcPr>
          <w:p w:rsidR="004221C6" w:rsidRPr="00CC5E0B" w:rsidRDefault="004221C6" w:rsidP="00F748DE">
            <w:pPr>
              <w:autoSpaceDE w:val="0"/>
              <w:autoSpaceDN w:val="0"/>
              <w:adjustRightInd w:val="0"/>
              <w:jc w:val="right"/>
              <w:rPr>
                <w:szCs w:val="22"/>
              </w:rPr>
            </w:pPr>
          </w:p>
        </w:tc>
        <w:tc>
          <w:tcPr>
            <w:tcW w:w="1559" w:type="dxa"/>
            <w:shd w:val="clear" w:color="auto" w:fill="FFFFFF"/>
          </w:tcPr>
          <w:p w:rsidR="004221C6" w:rsidRPr="00CC5E0B" w:rsidRDefault="004221C6" w:rsidP="00F748DE">
            <w:pPr>
              <w:autoSpaceDE w:val="0"/>
              <w:autoSpaceDN w:val="0"/>
              <w:adjustRightInd w:val="0"/>
              <w:jc w:val="center"/>
              <w:rPr>
                <w:szCs w:val="22"/>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r w:rsidRPr="00CC5E0B">
              <w:rPr>
                <w:szCs w:val="22"/>
              </w:rPr>
              <w:t xml:space="preserve">НЕК ЕАД (търговски </w:t>
            </w:r>
            <w:r w:rsidR="002411F6" w:rsidRPr="00CC5E0B">
              <w:rPr>
                <w:szCs w:val="22"/>
              </w:rPr>
              <w:t xml:space="preserve">и други </w:t>
            </w:r>
            <w:r w:rsidRPr="00CC5E0B">
              <w:rPr>
                <w:szCs w:val="22"/>
              </w:rPr>
              <w:t>вземания)</w:t>
            </w:r>
          </w:p>
        </w:tc>
        <w:tc>
          <w:tcPr>
            <w:tcW w:w="1123" w:type="dxa"/>
            <w:shd w:val="clear" w:color="auto" w:fill="FFFFFF"/>
          </w:tcPr>
          <w:p w:rsidR="00081685" w:rsidRPr="00CC5E0B" w:rsidRDefault="00CF3E4B" w:rsidP="00F748DE">
            <w:pPr>
              <w:autoSpaceDE w:val="0"/>
              <w:autoSpaceDN w:val="0"/>
              <w:adjustRightInd w:val="0"/>
              <w:jc w:val="right"/>
              <w:rPr>
                <w:szCs w:val="22"/>
              </w:rPr>
            </w:pPr>
            <w:r w:rsidRPr="00CC5E0B">
              <w:rPr>
                <w:szCs w:val="22"/>
                <w:lang w:val="en-US"/>
              </w:rPr>
              <w:t>28</w:t>
            </w:r>
          </w:p>
        </w:tc>
        <w:tc>
          <w:tcPr>
            <w:tcW w:w="1559" w:type="dxa"/>
            <w:shd w:val="clear" w:color="auto" w:fill="FFFFFF"/>
          </w:tcPr>
          <w:p w:rsidR="00081685" w:rsidRPr="00CC5E0B" w:rsidRDefault="002441DE" w:rsidP="00FD6497">
            <w:pPr>
              <w:autoSpaceDE w:val="0"/>
              <w:autoSpaceDN w:val="0"/>
              <w:adjustRightInd w:val="0"/>
              <w:jc w:val="right"/>
              <w:rPr>
                <w:szCs w:val="22"/>
              </w:rPr>
            </w:pPr>
            <w:r w:rsidRPr="00CC5E0B">
              <w:rPr>
                <w:szCs w:val="22"/>
              </w:rPr>
              <w:t>28</w:t>
            </w:r>
          </w:p>
        </w:tc>
      </w:tr>
      <w:tr w:rsidR="002411F6" w:rsidRPr="00796446" w:rsidTr="004E2481">
        <w:trPr>
          <w:trHeight w:val="20"/>
        </w:trPr>
        <w:tc>
          <w:tcPr>
            <w:tcW w:w="6390" w:type="dxa"/>
            <w:shd w:val="clear" w:color="auto" w:fill="FFFFFF"/>
          </w:tcPr>
          <w:p w:rsidR="002411F6" w:rsidRPr="00CC5E0B" w:rsidRDefault="002411F6" w:rsidP="00F748DE">
            <w:pPr>
              <w:autoSpaceDE w:val="0"/>
              <w:autoSpaceDN w:val="0"/>
              <w:adjustRightInd w:val="0"/>
              <w:rPr>
                <w:i/>
                <w:szCs w:val="22"/>
              </w:rPr>
            </w:pPr>
            <w:r w:rsidRPr="00CC5E0B">
              <w:rPr>
                <w:i/>
                <w:szCs w:val="22"/>
              </w:rPr>
              <w:t>Обезценка</w:t>
            </w:r>
          </w:p>
        </w:tc>
        <w:tc>
          <w:tcPr>
            <w:tcW w:w="1123" w:type="dxa"/>
            <w:shd w:val="clear" w:color="auto" w:fill="FFFFFF"/>
          </w:tcPr>
          <w:p w:rsidR="002411F6" w:rsidRPr="00CC5E0B" w:rsidRDefault="002411F6" w:rsidP="00F748DE">
            <w:pPr>
              <w:autoSpaceDE w:val="0"/>
              <w:autoSpaceDN w:val="0"/>
              <w:adjustRightInd w:val="0"/>
              <w:jc w:val="right"/>
              <w:rPr>
                <w:i/>
                <w:szCs w:val="22"/>
              </w:rPr>
            </w:pPr>
            <w:r w:rsidRPr="00CC5E0B">
              <w:rPr>
                <w:i/>
                <w:szCs w:val="22"/>
              </w:rPr>
              <w:t>(</w:t>
            </w:r>
            <w:r w:rsidR="00CC207F" w:rsidRPr="00CC5E0B">
              <w:rPr>
                <w:i/>
                <w:szCs w:val="22"/>
              </w:rPr>
              <w:t>2</w:t>
            </w:r>
            <w:r w:rsidRPr="00CC5E0B">
              <w:rPr>
                <w:i/>
                <w:szCs w:val="22"/>
              </w:rPr>
              <w:t>)</w:t>
            </w:r>
          </w:p>
        </w:tc>
        <w:tc>
          <w:tcPr>
            <w:tcW w:w="1559" w:type="dxa"/>
            <w:shd w:val="clear" w:color="auto" w:fill="FFFFFF"/>
          </w:tcPr>
          <w:p w:rsidR="002411F6" w:rsidRPr="00CC5E0B" w:rsidRDefault="002441DE" w:rsidP="00FD6497">
            <w:pPr>
              <w:autoSpaceDE w:val="0"/>
              <w:autoSpaceDN w:val="0"/>
              <w:adjustRightInd w:val="0"/>
              <w:jc w:val="right"/>
              <w:rPr>
                <w:i/>
                <w:szCs w:val="22"/>
              </w:rPr>
            </w:pPr>
            <w:r w:rsidRPr="00CC5E0B">
              <w:rPr>
                <w:i/>
                <w:szCs w:val="22"/>
              </w:rPr>
              <w:t>(1)</w:t>
            </w: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szCs w:val="22"/>
              </w:rPr>
            </w:pPr>
            <w:r w:rsidRPr="00CC5E0B">
              <w:rPr>
                <w:b/>
                <w:szCs w:val="22"/>
              </w:rPr>
              <w:t>Общо вземания от свързани лица</w:t>
            </w:r>
          </w:p>
        </w:tc>
        <w:tc>
          <w:tcPr>
            <w:tcW w:w="1123" w:type="dxa"/>
            <w:tcBorders>
              <w:top w:val="single" w:sz="4" w:space="0" w:color="auto"/>
              <w:bottom w:val="single" w:sz="4" w:space="0" w:color="auto"/>
            </w:tcBorders>
            <w:shd w:val="clear" w:color="auto" w:fill="FFFFFF"/>
          </w:tcPr>
          <w:p w:rsidR="00081685" w:rsidRPr="00CC5E0B" w:rsidRDefault="00CF3E4B" w:rsidP="00F748DE">
            <w:pPr>
              <w:jc w:val="right"/>
              <w:rPr>
                <w:rFonts w:cs="Times New Roman"/>
                <w:b/>
                <w:szCs w:val="22"/>
                <w:lang w:eastAsia="bg-BG"/>
              </w:rPr>
            </w:pPr>
            <w:r w:rsidRPr="00CC5E0B">
              <w:rPr>
                <w:rFonts w:cs="Times New Roman"/>
                <w:b/>
                <w:szCs w:val="22"/>
                <w:lang w:val="en-US" w:eastAsia="bg-BG"/>
              </w:rPr>
              <w:t>2</w:t>
            </w:r>
            <w:r w:rsidR="00CC207F" w:rsidRPr="00CC5E0B">
              <w:rPr>
                <w:rFonts w:cs="Times New Roman"/>
                <w:b/>
                <w:szCs w:val="22"/>
                <w:lang w:eastAsia="bg-BG"/>
              </w:rPr>
              <w:t>6</w:t>
            </w:r>
          </w:p>
        </w:tc>
        <w:tc>
          <w:tcPr>
            <w:tcW w:w="1559" w:type="dxa"/>
            <w:tcBorders>
              <w:top w:val="single" w:sz="4" w:space="0" w:color="auto"/>
              <w:bottom w:val="single" w:sz="4" w:space="0" w:color="auto"/>
            </w:tcBorders>
            <w:shd w:val="clear" w:color="auto" w:fill="FFFFFF"/>
          </w:tcPr>
          <w:p w:rsidR="00081685" w:rsidRPr="00CC5E0B" w:rsidRDefault="002441DE" w:rsidP="00FD6497">
            <w:pPr>
              <w:jc w:val="right"/>
              <w:rPr>
                <w:rFonts w:cs="Times New Roman"/>
                <w:b/>
                <w:szCs w:val="22"/>
                <w:lang w:eastAsia="bg-BG"/>
              </w:rPr>
            </w:pPr>
            <w:r w:rsidRPr="00CC5E0B">
              <w:rPr>
                <w:rFonts w:cs="Times New Roman"/>
                <w:b/>
                <w:szCs w:val="22"/>
                <w:lang w:eastAsia="bg-BG"/>
              </w:rPr>
              <w:t>27</w:t>
            </w: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bCs/>
                <w:szCs w:val="22"/>
              </w:rPr>
            </w:pPr>
          </w:p>
        </w:tc>
        <w:tc>
          <w:tcPr>
            <w:tcW w:w="1123" w:type="dxa"/>
            <w:shd w:val="clear" w:color="auto" w:fill="FFFFFF"/>
          </w:tcPr>
          <w:p w:rsidR="00081685" w:rsidRPr="00CC5E0B" w:rsidRDefault="00081685" w:rsidP="00F748DE">
            <w:pPr>
              <w:jc w:val="right"/>
              <w:rPr>
                <w:b/>
                <w:bCs/>
                <w:szCs w:val="22"/>
              </w:rPr>
            </w:pPr>
          </w:p>
        </w:tc>
        <w:tc>
          <w:tcPr>
            <w:tcW w:w="1559" w:type="dxa"/>
            <w:shd w:val="clear" w:color="auto" w:fill="FFFFFF"/>
          </w:tcPr>
          <w:p w:rsidR="00081685" w:rsidRPr="00CC5E0B" w:rsidRDefault="00081685" w:rsidP="00FD6497">
            <w:pPr>
              <w:jc w:val="right"/>
              <w:rPr>
                <w:b/>
                <w:bCs/>
                <w:szCs w:val="22"/>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szCs w:val="22"/>
              </w:rPr>
            </w:pPr>
            <w:r w:rsidRPr="00CC5E0B">
              <w:rPr>
                <w:b/>
                <w:szCs w:val="22"/>
              </w:rPr>
              <w:t>Нетекущи</w:t>
            </w:r>
          </w:p>
        </w:tc>
        <w:tc>
          <w:tcPr>
            <w:tcW w:w="1123" w:type="dxa"/>
            <w:shd w:val="clear" w:color="auto" w:fill="FFFFFF"/>
          </w:tcPr>
          <w:p w:rsidR="00081685" w:rsidRPr="00CC5E0B" w:rsidRDefault="00081685" w:rsidP="00F748DE">
            <w:pPr>
              <w:autoSpaceDE w:val="0"/>
              <w:autoSpaceDN w:val="0"/>
              <w:adjustRightInd w:val="0"/>
              <w:jc w:val="right"/>
              <w:rPr>
                <w:szCs w:val="22"/>
              </w:rPr>
            </w:pPr>
          </w:p>
        </w:tc>
        <w:tc>
          <w:tcPr>
            <w:tcW w:w="1559" w:type="dxa"/>
            <w:shd w:val="clear" w:color="auto" w:fill="FFFFFF"/>
          </w:tcPr>
          <w:p w:rsidR="00081685" w:rsidRPr="00CC5E0B" w:rsidRDefault="00081685" w:rsidP="00FD6497">
            <w:pPr>
              <w:autoSpaceDE w:val="0"/>
              <w:autoSpaceDN w:val="0"/>
              <w:adjustRightInd w:val="0"/>
              <w:jc w:val="right"/>
              <w:rPr>
                <w:szCs w:val="22"/>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szCs w:val="22"/>
              </w:rPr>
            </w:pPr>
            <w:r w:rsidRPr="00CC5E0B">
              <w:rPr>
                <w:b/>
                <w:szCs w:val="22"/>
              </w:rPr>
              <w:t>Задължения към:</w:t>
            </w:r>
          </w:p>
        </w:tc>
        <w:tc>
          <w:tcPr>
            <w:tcW w:w="1123" w:type="dxa"/>
            <w:shd w:val="clear" w:color="auto" w:fill="FFFFFF"/>
          </w:tcPr>
          <w:p w:rsidR="00081685" w:rsidRPr="00CC5E0B" w:rsidRDefault="00081685" w:rsidP="00F748DE">
            <w:pPr>
              <w:autoSpaceDE w:val="0"/>
              <w:autoSpaceDN w:val="0"/>
              <w:adjustRightInd w:val="0"/>
              <w:jc w:val="right"/>
              <w:rPr>
                <w:szCs w:val="22"/>
              </w:rPr>
            </w:pPr>
          </w:p>
        </w:tc>
        <w:tc>
          <w:tcPr>
            <w:tcW w:w="1559" w:type="dxa"/>
            <w:shd w:val="clear" w:color="auto" w:fill="FFFFFF"/>
          </w:tcPr>
          <w:p w:rsidR="00081685" w:rsidRPr="00CC5E0B" w:rsidRDefault="00081685" w:rsidP="00FD6497">
            <w:pPr>
              <w:autoSpaceDE w:val="0"/>
              <w:autoSpaceDN w:val="0"/>
              <w:adjustRightInd w:val="0"/>
              <w:jc w:val="right"/>
              <w:rPr>
                <w:szCs w:val="22"/>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r w:rsidRPr="00CC5E0B">
              <w:rPr>
                <w:szCs w:val="22"/>
              </w:rPr>
              <w:t xml:space="preserve"> - едноличния акционер АЕЦ Колзодуй ЕАД, в т.ч.:</w:t>
            </w:r>
          </w:p>
        </w:tc>
        <w:tc>
          <w:tcPr>
            <w:tcW w:w="1123" w:type="dxa"/>
            <w:shd w:val="clear" w:color="auto" w:fill="FFFFFF"/>
          </w:tcPr>
          <w:p w:rsidR="00081685" w:rsidRPr="00CC5E0B" w:rsidRDefault="00081685" w:rsidP="00F748DE">
            <w:pPr>
              <w:jc w:val="right"/>
              <w:rPr>
                <w:rFonts w:cs="Times New Roman"/>
                <w:szCs w:val="22"/>
                <w:lang w:eastAsia="bg-BG"/>
              </w:rPr>
            </w:pPr>
          </w:p>
        </w:tc>
        <w:tc>
          <w:tcPr>
            <w:tcW w:w="1559" w:type="dxa"/>
            <w:shd w:val="clear" w:color="auto" w:fill="FFFFFF"/>
          </w:tcPr>
          <w:p w:rsidR="00081685" w:rsidRPr="00CC5E0B" w:rsidRDefault="00081685" w:rsidP="00FD6497">
            <w:pPr>
              <w:jc w:val="right"/>
              <w:rPr>
                <w:rFonts w:cs="Times New Roman"/>
                <w:szCs w:val="22"/>
                <w:lang w:eastAsia="bg-BG"/>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r w:rsidRPr="00CC5E0B">
              <w:rPr>
                <w:szCs w:val="22"/>
              </w:rPr>
              <w:t>главница по заем</w:t>
            </w:r>
          </w:p>
        </w:tc>
        <w:tc>
          <w:tcPr>
            <w:tcW w:w="1123" w:type="dxa"/>
            <w:shd w:val="clear" w:color="auto" w:fill="FFFFFF"/>
          </w:tcPr>
          <w:p w:rsidR="00081685" w:rsidRPr="00CC5E0B" w:rsidRDefault="00FC0458" w:rsidP="00F748DE">
            <w:pPr>
              <w:jc w:val="right"/>
              <w:rPr>
                <w:rFonts w:cs="Times New Roman"/>
                <w:szCs w:val="22"/>
                <w:lang w:val="en-US" w:eastAsia="bg-BG"/>
              </w:rPr>
            </w:pPr>
            <w:r w:rsidRPr="00CC5E0B">
              <w:rPr>
                <w:rFonts w:cs="Times New Roman"/>
                <w:szCs w:val="22"/>
                <w:lang w:val="en-US" w:eastAsia="bg-BG"/>
              </w:rPr>
              <w:t>9,440</w:t>
            </w:r>
          </w:p>
        </w:tc>
        <w:tc>
          <w:tcPr>
            <w:tcW w:w="1559" w:type="dxa"/>
            <w:shd w:val="clear" w:color="auto" w:fill="FFFFFF"/>
          </w:tcPr>
          <w:p w:rsidR="00081685" w:rsidRPr="00CC5E0B" w:rsidRDefault="00FC0458" w:rsidP="00FD6497">
            <w:pPr>
              <w:jc w:val="right"/>
              <w:rPr>
                <w:rFonts w:cs="Times New Roman"/>
                <w:szCs w:val="22"/>
                <w:lang w:val="en-US" w:eastAsia="bg-BG"/>
              </w:rPr>
            </w:pPr>
            <w:r w:rsidRPr="00CC5E0B">
              <w:rPr>
                <w:rFonts w:cs="Times New Roman"/>
                <w:szCs w:val="22"/>
                <w:lang w:val="en-US" w:eastAsia="bg-BG"/>
              </w:rPr>
              <w:t>10,540</w:t>
            </w: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szCs w:val="22"/>
              </w:rPr>
            </w:pPr>
            <w:r w:rsidRPr="00CC5E0B">
              <w:rPr>
                <w:b/>
                <w:szCs w:val="22"/>
              </w:rPr>
              <w:t>Общо нетекущи задължения към свързани лица</w:t>
            </w:r>
          </w:p>
        </w:tc>
        <w:tc>
          <w:tcPr>
            <w:tcW w:w="1123" w:type="dxa"/>
            <w:tcBorders>
              <w:top w:val="single" w:sz="4" w:space="0" w:color="auto"/>
              <w:bottom w:val="single" w:sz="4" w:space="0" w:color="auto"/>
            </w:tcBorders>
            <w:shd w:val="clear" w:color="auto" w:fill="FFFFFF"/>
          </w:tcPr>
          <w:p w:rsidR="00081685" w:rsidRPr="00CC5E0B" w:rsidRDefault="00FC0458" w:rsidP="00F748DE">
            <w:pPr>
              <w:jc w:val="right"/>
              <w:rPr>
                <w:rFonts w:cs="Times New Roman"/>
                <w:b/>
                <w:szCs w:val="22"/>
                <w:lang w:val="en-US" w:eastAsia="bg-BG"/>
              </w:rPr>
            </w:pPr>
            <w:r w:rsidRPr="00CC5E0B">
              <w:rPr>
                <w:rFonts w:cs="Times New Roman"/>
                <w:b/>
                <w:szCs w:val="22"/>
                <w:lang w:val="en-US" w:eastAsia="bg-BG"/>
              </w:rPr>
              <w:t>9,440</w:t>
            </w:r>
          </w:p>
        </w:tc>
        <w:tc>
          <w:tcPr>
            <w:tcW w:w="1559" w:type="dxa"/>
            <w:tcBorders>
              <w:top w:val="single" w:sz="4" w:space="0" w:color="auto"/>
              <w:bottom w:val="single" w:sz="4" w:space="0" w:color="auto"/>
            </w:tcBorders>
            <w:shd w:val="clear" w:color="auto" w:fill="FFFFFF"/>
          </w:tcPr>
          <w:p w:rsidR="00081685" w:rsidRPr="00CC5E0B" w:rsidRDefault="00FC0458" w:rsidP="00FD6497">
            <w:pPr>
              <w:jc w:val="right"/>
              <w:rPr>
                <w:rFonts w:cs="Times New Roman"/>
                <w:b/>
                <w:szCs w:val="22"/>
                <w:lang w:val="en-US" w:eastAsia="bg-BG"/>
              </w:rPr>
            </w:pPr>
            <w:r w:rsidRPr="00CC5E0B">
              <w:rPr>
                <w:rFonts w:cs="Times New Roman"/>
                <w:b/>
                <w:szCs w:val="22"/>
                <w:lang w:val="en-US" w:eastAsia="bg-BG"/>
              </w:rPr>
              <w:t>10,540</w:t>
            </w: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p>
        </w:tc>
        <w:tc>
          <w:tcPr>
            <w:tcW w:w="1123" w:type="dxa"/>
            <w:tcBorders>
              <w:top w:val="single" w:sz="4" w:space="0" w:color="auto"/>
            </w:tcBorders>
            <w:shd w:val="clear" w:color="auto" w:fill="FFFFFF"/>
          </w:tcPr>
          <w:p w:rsidR="00081685" w:rsidRPr="00CC5E0B" w:rsidRDefault="00081685" w:rsidP="00F748DE">
            <w:pPr>
              <w:autoSpaceDE w:val="0"/>
              <w:autoSpaceDN w:val="0"/>
              <w:adjustRightInd w:val="0"/>
              <w:jc w:val="right"/>
              <w:rPr>
                <w:szCs w:val="22"/>
              </w:rPr>
            </w:pPr>
          </w:p>
        </w:tc>
        <w:tc>
          <w:tcPr>
            <w:tcW w:w="1559" w:type="dxa"/>
            <w:tcBorders>
              <w:top w:val="single" w:sz="4" w:space="0" w:color="auto"/>
            </w:tcBorders>
            <w:shd w:val="clear" w:color="auto" w:fill="FFFFFF"/>
          </w:tcPr>
          <w:p w:rsidR="00081685" w:rsidRPr="00CC5E0B" w:rsidRDefault="00081685" w:rsidP="00FD6497">
            <w:pPr>
              <w:autoSpaceDE w:val="0"/>
              <w:autoSpaceDN w:val="0"/>
              <w:adjustRightInd w:val="0"/>
              <w:jc w:val="right"/>
              <w:rPr>
                <w:szCs w:val="22"/>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szCs w:val="22"/>
              </w:rPr>
            </w:pPr>
            <w:r w:rsidRPr="00CC5E0B">
              <w:rPr>
                <w:b/>
                <w:szCs w:val="22"/>
              </w:rPr>
              <w:t>Текущи:</w:t>
            </w:r>
          </w:p>
        </w:tc>
        <w:tc>
          <w:tcPr>
            <w:tcW w:w="1123" w:type="dxa"/>
            <w:shd w:val="clear" w:color="auto" w:fill="FFFFFF"/>
          </w:tcPr>
          <w:p w:rsidR="00081685" w:rsidRPr="00CC5E0B" w:rsidRDefault="00081685" w:rsidP="00F748DE">
            <w:pPr>
              <w:autoSpaceDE w:val="0"/>
              <w:autoSpaceDN w:val="0"/>
              <w:adjustRightInd w:val="0"/>
              <w:jc w:val="right"/>
              <w:rPr>
                <w:szCs w:val="22"/>
              </w:rPr>
            </w:pPr>
          </w:p>
        </w:tc>
        <w:tc>
          <w:tcPr>
            <w:tcW w:w="1559" w:type="dxa"/>
            <w:shd w:val="clear" w:color="auto" w:fill="FFFFFF"/>
          </w:tcPr>
          <w:p w:rsidR="00081685" w:rsidRPr="00CC5E0B" w:rsidRDefault="00081685" w:rsidP="00FD6497">
            <w:pPr>
              <w:autoSpaceDE w:val="0"/>
              <w:autoSpaceDN w:val="0"/>
              <w:adjustRightInd w:val="0"/>
              <w:jc w:val="right"/>
              <w:rPr>
                <w:szCs w:val="22"/>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szCs w:val="22"/>
              </w:rPr>
            </w:pPr>
            <w:r w:rsidRPr="00CC5E0B">
              <w:rPr>
                <w:b/>
                <w:szCs w:val="22"/>
              </w:rPr>
              <w:t>Задължения към:</w:t>
            </w:r>
          </w:p>
        </w:tc>
        <w:tc>
          <w:tcPr>
            <w:tcW w:w="1123" w:type="dxa"/>
            <w:shd w:val="clear" w:color="auto" w:fill="FFFFFF"/>
          </w:tcPr>
          <w:p w:rsidR="00081685" w:rsidRPr="00CC5E0B" w:rsidRDefault="00081685" w:rsidP="00F748DE">
            <w:pPr>
              <w:autoSpaceDE w:val="0"/>
              <w:autoSpaceDN w:val="0"/>
              <w:adjustRightInd w:val="0"/>
              <w:jc w:val="right"/>
              <w:rPr>
                <w:szCs w:val="22"/>
              </w:rPr>
            </w:pPr>
          </w:p>
        </w:tc>
        <w:tc>
          <w:tcPr>
            <w:tcW w:w="1559" w:type="dxa"/>
            <w:shd w:val="clear" w:color="auto" w:fill="FFFFFF"/>
          </w:tcPr>
          <w:p w:rsidR="00081685" w:rsidRPr="00CC5E0B" w:rsidRDefault="00081685" w:rsidP="00FD6497">
            <w:pPr>
              <w:autoSpaceDE w:val="0"/>
              <w:autoSpaceDN w:val="0"/>
              <w:adjustRightInd w:val="0"/>
              <w:jc w:val="right"/>
              <w:rPr>
                <w:szCs w:val="22"/>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r w:rsidRPr="00CC5E0B">
              <w:rPr>
                <w:szCs w:val="22"/>
              </w:rPr>
              <w:t xml:space="preserve"> - едноличния акционер АЕЦ Колзодуй ЕАД, в т. ч.:</w:t>
            </w:r>
          </w:p>
        </w:tc>
        <w:tc>
          <w:tcPr>
            <w:tcW w:w="1123" w:type="dxa"/>
            <w:shd w:val="clear" w:color="auto" w:fill="FFFFFF"/>
          </w:tcPr>
          <w:p w:rsidR="00081685" w:rsidRPr="00CC5E0B" w:rsidRDefault="00081685" w:rsidP="00F748DE">
            <w:pPr>
              <w:jc w:val="right"/>
              <w:rPr>
                <w:rFonts w:cs="Times New Roman"/>
                <w:szCs w:val="22"/>
                <w:lang w:eastAsia="bg-BG"/>
              </w:rPr>
            </w:pPr>
          </w:p>
        </w:tc>
        <w:tc>
          <w:tcPr>
            <w:tcW w:w="1559" w:type="dxa"/>
            <w:shd w:val="clear" w:color="auto" w:fill="FFFFFF"/>
          </w:tcPr>
          <w:p w:rsidR="00081685" w:rsidRPr="00CC5E0B" w:rsidRDefault="00081685" w:rsidP="00FD6497">
            <w:pPr>
              <w:jc w:val="right"/>
              <w:rPr>
                <w:rFonts w:cs="Times New Roman"/>
                <w:szCs w:val="22"/>
                <w:lang w:eastAsia="bg-BG"/>
              </w:rPr>
            </w:pP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r w:rsidRPr="00CC5E0B">
              <w:rPr>
                <w:szCs w:val="22"/>
              </w:rPr>
              <w:t>главница по заем</w:t>
            </w:r>
          </w:p>
        </w:tc>
        <w:tc>
          <w:tcPr>
            <w:tcW w:w="1123" w:type="dxa"/>
            <w:shd w:val="clear" w:color="auto" w:fill="FFFFFF"/>
          </w:tcPr>
          <w:p w:rsidR="00081685" w:rsidRPr="00CC5E0B" w:rsidRDefault="00564436" w:rsidP="00F748DE">
            <w:pPr>
              <w:jc w:val="right"/>
              <w:rPr>
                <w:rFonts w:cs="Times New Roman"/>
                <w:szCs w:val="22"/>
                <w:lang w:eastAsia="bg-BG"/>
              </w:rPr>
            </w:pPr>
            <w:r w:rsidRPr="00CC5E0B">
              <w:rPr>
                <w:rFonts w:cs="Times New Roman"/>
                <w:szCs w:val="22"/>
                <w:lang w:eastAsia="bg-BG"/>
              </w:rPr>
              <w:t>2,</w:t>
            </w:r>
            <w:r w:rsidR="00081685" w:rsidRPr="00CC5E0B">
              <w:rPr>
                <w:rFonts w:cs="Times New Roman"/>
                <w:szCs w:val="22"/>
                <w:lang w:eastAsia="bg-BG"/>
              </w:rPr>
              <w:t>200</w:t>
            </w:r>
          </w:p>
        </w:tc>
        <w:tc>
          <w:tcPr>
            <w:tcW w:w="1559" w:type="dxa"/>
            <w:shd w:val="clear" w:color="auto" w:fill="FFFFFF"/>
          </w:tcPr>
          <w:p w:rsidR="00081685" w:rsidRPr="00CC5E0B" w:rsidRDefault="00564436" w:rsidP="00FD6497">
            <w:pPr>
              <w:jc w:val="right"/>
              <w:rPr>
                <w:rFonts w:cs="Times New Roman"/>
                <w:szCs w:val="22"/>
                <w:lang w:val="en-US" w:eastAsia="bg-BG"/>
              </w:rPr>
            </w:pPr>
            <w:r w:rsidRPr="00CC5E0B">
              <w:rPr>
                <w:rFonts w:cs="Times New Roman"/>
                <w:szCs w:val="22"/>
                <w:lang w:eastAsia="bg-BG"/>
              </w:rPr>
              <w:t>2,</w:t>
            </w:r>
            <w:r w:rsidR="00A07CD3" w:rsidRPr="00CC5E0B">
              <w:rPr>
                <w:rFonts w:cs="Times New Roman"/>
                <w:szCs w:val="22"/>
                <w:lang w:val="en-US" w:eastAsia="bg-BG"/>
              </w:rPr>
              <w:t>200</w:t>
            </w: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r w:rsidRPr="00CC5E0B">
              <w:rPr>
                <w:szCs w:val="22"/>
              </w:rPr>
              <w:t>лихва по заем</w:t>
            </w:r>
          </w:p>
        </w:tc>
        <w:tc>
          <w:tcPr>
            <w:tcW w:w="1123" w:type="dxa"/>
            <w:shd w:val="clear" w:color="auto" w:fill="FFFFFF"/>
          </w:tcPr>
          <w:p w:rsidR="00081685" w:rsidRPr="00CC5E0B" w:rsidRDefault="00CC207F" w:rsidP="00F748DE">
            <w:pPr>
              <w:jc w:val="right"/>
              <w:rPr>
                <w:rFonts w:cs="Times New Roman"/>
                <w:szCs w:val="22"/>
                <w:lang w:eastAsia="bg-BG"/>
              </w:rPr>
            </w:pPr>
            <w:r w:rsidRPr="00CC5E0B">
              <w:rPr>
                <w:rFonts w:cs="Times New Roman"/>
                <w:szCs w:val="22"/>
                <w:lang w:eastAsia="bg-BG"/>
              </w:rPr>
              <w:t>135</w:t>
            </w:r>
          </w:p>
        </w:tc>
        <w:tc>
          <w:tcPr>
            <w:tcW w:w="1559" w:type="dxa"/>
            <w:shd w:val="clear" w:color="auto" w:fill="FFFFFF"/>
          </w:tcPr>
          <w:p w:rsidR="00081685" w:rsidRPr="00CC5E0B" w:rsidRDefault="00FC0458" w:rsidP="00FD6497">
            <w:pPr>
              <w:jc w:val="right"/>
              <w:rPr>
                <w:rFonts w:cs="Times New Roman"/>
                <w:szCs w:val="22"/>
                <w:lang w:val="en-US" w:eastAsia="bg-BG"/>
              </w:rPr>
            </w:pPr>
            <w:r w:rsidRPr="00CC5E0B">
              <w:rPr>
                <w:rFonts w:cs="Times New Roman"/>
                <w:szCs w:val="22"/>
                <w:lang w:val="en-US" w:eastAsia="bg-BG"/>
              </w:rPr>
              <w:t>150</w:t>
            </w:r>
          </w:p>
        </w:tc>
      </w:tr>
      <w:tr w:rsidR="00CC207F" w:rsidRPr="00796446" w:rsidTr="004E2481">
        <w:trPr>
          <w:trHeight w:val="20"/>
        </w:trPr>
        <w:tc>
          <w:tcPr>
            <w:tcW w:w="6390" w:type="dxa"/>
            <w:shd w:val="clear" w:color="auto" w:fill="FFFFFF"/>
          </w:tcPr>
          <w:p w:rsidR="00CC207F" w:rsidRPr="00CC5E0B" w:rsidRDefault="00CC207F" w:rsidP="00F748DE">
            <w:pPr>
              <w:autoSpaceDE w:val="0"/>
              <w:autoSpaceDN w:val="0"/>
              <w:adjustRightInd w:val="0"/>
              <w:rPr>
                <w:szCs w:val="22"/>
              </w:rPr>
            </w:pPr>
            <w:r w:rsidRPr="00CC5E0B">
              <w:rPr>
                <w:szCs w:val="22"/>
              </w:rPr>
              <w:t>дивидент</w:t>
            </w:r>
          </w:p>
        </w:tc>
        <w:tc>
          <w:tcPr>
            <w:tcW w:w="1123" w:type="dxa"/>
            <w:tcBorders>
              <w:bottom w:val="single" w:sz="4" w:space="0" w:color="auto"/>
            </w:tcBorders>
            <w:shd w:val="clear" w:color="auto" w:fill="FFFFFF"/>
          </w:tcPr>
          <w:p w:rsidR="00CC207F" w:rsidRPr="00CC5E0B" w:rsidRDefault="00CC207F" w:rsidP="00F748DE">
            <w:pPr>
              <w:jc w:val="right"/>
              <w:rPr>
                <w:rFonts w:cs="Times New Roman"/>
                <w:szCs w:val="22"/>
                <w:lang w:eastAsia="bg-BG"/>
              </w:rPr>
            </w:pPr>
            <w:r w:rsidRPr="00CC5E0B">
              <w:rPr>
                <w:rFonts w:cs="Times New Roman"/>
                <w:szCs w:val="22"/>
                <w:lang w:eastAsia="bg-BG"/>
              </w:rPr>
              <w:t>728</w:t>
            </w:r>
          </w:p>
        </w:tc>
        <w:tc>
          <w:tcPr>
            <w:tcW w:w="1559" w:type="dxa"/>
            <w:tcBorders>
              <w:bottom w:val="single" w:sz="4" w:space="0" w:color="auto"/>
            </w:tcBorders>
            <w:shd w:val="clear" w:color="auto" w:fill="FFFFFF"/>
          </w:tcPr>
          <w:p w:rsidR="00CC207F" w:rsidRPr="00CC5E0B" w:rsidRDefault="006809FC" w:rsidP="00564436">
            <w:pPr>
              <w:jc w:val="right"/>
              <w:rPr>
                <w:rFonts w:cs="Times New Roman"/>
                <w:szCs w:val="22"/>
                <w:lang w:eastAsia="bg-BG"/>
              </w:rPr>
            </w:pPr>
            <w:r w:rsidRPr="00CC5E0B">
              <w:rPr>
                <w:rFonts w:cs="Times New Roman"/>
                <w:szCs w:val="22"/>
                <w:lang w:eastAsia="bg-BG"/>
              </w:rPr>
              <w:t>-</w:t>
            </w:r>
          </w:p>
        </w:tc>
      </w:tr>
      <w:tr w:rsidR="00CF3E4B" w:rsidRPr="00796446" w:rsidTr="004E2481">
        <w:trPr>
          <w:trHeight w:val="20"/>
        </w:trPr>
        <w:tc>
          <w:tcPr>
            <w:tcW w:w="6390" w:type="dxa"/>
            <w:shd w:val="clear" w:color="auto" w:fill="FFFFFF"/>
          </w:tcPr>
          <w:p w:rsidR="00CF3E4B" w:rsidRPr="00CC5E0B" w:rsidRDefault="00CF3E4B" w:rsidP="00F748DE">
            <w:pPr>
              <w:autoSpaceDE w:val="0"/>
              <w:autoSpaceDN w:val="0"/>
              <w:adjustRightInd w:val="0"/>
              <w:rPr>
                <w:szCs w:val="22"/>
              </w:rPr>
            </w:pPr>
            <w:r w:rsidRPr="00CC5E0B">
              <w:rPr>
                <w:szCs w:val="22"/>
              </w:rPr>
              <w:t>- други свързани лица под общ контрол (Интерприборсервиз ООД)</w:t>
            </w:r>
          </w:p>
        </w:tc>
        <w:tc>
          <w:tcPr>
            <w:tcW w:w="1123" w:type="dxa"/>
            <w:tcBorders>
              <w:bottom w:val="single" w:sz="4" w:space="0" w:color="auto"/>
            </w:tcBorders>
            <w:shd w:val="clear" w:color="auto" w:fill="FFFFFF"/>
          </w:tcPr>
          <w:p w:rsidR="00CF3E4B" w:rsidRPr="00CC5E0B" w:rsidRDefault="00CF3E4B" w:rsidP="00F748DE">
            <w:pPr>
              <w:jc w:val="right"/>
              <w:rPr>
                <w:rFonts w:cs="Times New Roman"/>
                <w:szCs w:val="22"/>
                <w:lang w:eastAsia="bg-BG"/>
              </w:rPr>
            </w:pPr>
          </w:p>
          <w:p w:rsidR="00CF3E4B" w:rsidRPr="00CC5E0B" w:rsidRDefault="00FC0458" w:rsidP="00F748DE">
            <w:pPr>
              <w:jc w:val="right"/>
              <w:rPr>
                <w:rFonts w:cs="Times New Roman"/>
                <w:szCs w:val="22"/>
                <w:lang w:val="en-US" w:eastAsia="bg-BG"/>
              </w:rPr>
            </w:pPr>
            <w:r w:rsidRPr="00CC5E0B">
              <w:rPr>
                <w:rFonts w:cs="Times New Roman"/>
                <w:szCs w:val="22"/>
                <w:lang w:val="en-US" w:eastAsia="bg-BG"/>
              </w:rPr>
              <w:t>-</w:t>
            </w:r>
          </w:p>
        </w:tc>
        <w:tc>
          <w:tcPr>
            <w:tcW w:w="1559" w:type="dxa"/>
            <w:tcBorders>
              <w:bottom w:val="single" w:sz="4" w:space="0" w:color="auto"/>
            </w:tcBorders>
            <w:shd w:val="clear" w:color="auto" w:fill="FFFFFF"/>
          </w:tcPr>
          <w:p w:rsidR="00CF3E4B" w:rsidRPr="00CC5E0B" w:rsidRDefault="00CF3E4B" w:rsidP="00564436">
            <w:pPr>
              <w:jc w:val="right"/>
              <w:rPr>
                <w:rFonts w:cs="Times New Roman"/>
                <w:szCs w:val="22"/>
                <w:lang w:eastAsia="bg-BG"/>
              </w:rPr>
            </w:pPr>
          </w:p>
          <w:p w:rsidR="00CF3E4B" w:rsidRPr="00CC5E0B" w:rsidRDefault="00FC0458" w:rsidP="00564436">
            <w:pPr>
              <w:jc w:val="right"/>
              <w:rPr>
                <w:rFonts w:cs="Times New Roman"/>
                <w:szCs w:val="22"/>
                <w:lang w:val="en-US" w:eastAsia="bg-BG"/>
              </w:rPr>
            </w:pPr>
            <w:r w:rsidRPr="00CC5E0B">
              <w:rPr>
                <w:rFonts w:cs="Times New Roman"/>
                <w:szCs w:val="22"/>
                <w:lang w:val="en-US" w:eastAsia="bg-BG"/>
              </w:rPr>
              <w:t>1</w:t>
            </w: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szCs w:val="22"/>
              </w:rPr>
            </w:pPr>
            <w:r w:rsidRPr="00CC5E0B">
              <w:rPr>
                <w:szCs w:val="22"/>
              </w:rPr>
              <w:t>Общо текущи задължения към свързани лица</w:t>
            </w:r>
          </w:p>
        </w:tc>
        <w:tc>
          <w:tcPr>
            <w:tcW w:w="1123" w:type="dxa"/>
            <w:tcBorders>
              <w:top w:val="single" w:sz="4" w:space="0" w:color="auto"/>
              <w:bottom w:val="single" w:sz="4" w:space="0" w:color="auto"/>
            </w:tcBorders>
            <w:shd w:val="clear" w:color="auto" w:fill="FFFFFF"/>
          </w:tcPr>
          <w:p w:rsidR="00081685" w:rsidRPr="00CC5E0B" w:rsidRDefault="00CC207F" w:rsidP="00F748DE">
            <w:pPr>
              <w:jc w:val="right"/>
              <w:rPr>
                <w:rFonts w:cs="Times New Roman"/>
                <w:b/>
                <w:szCs w:val="22"/>
                <w:lang w:val="en-US" w:eastAsia="bg-BG"/>
              </w:rPr>
            </w:pPr>
            <w:r w:rsidRPr="00CC5E0B">
              <w:rPr>
                <w:rFonts w:cs="Times New Roman"/>
                <w:b/>
                <w:szCs w:val="22"/>
                <w:lang w:eastAsia="bg-BG"/>
              </w:rPr>
              <w:t>3,063</w:t>
            </w:r>
          </w:p>
        </w:tc>
        <w:tc>
          <w:tcPr>
            <w:tcW w:w="1559" w:type="dxa"/>
            <w:tcBorders>
              <w:top w:val="single" w:sz="4" w:space="0" w:color="auto"/>
              <w:bottom w:val="single" w:sz="4" w:space="0" w:color="auto"/>
            </w:tcBorders>
            <w:shd w:val="clear" w:color="auto" w:fill="FFFFFF"/>
          </w:tcPr>
          <w:p w:rsidR="00081685" w:rsidRPr="00CC5E0B" w:rsidRDefault="00081685" w:rsidP="00564436">
            <w:pPr>
              <w:jc w:val="right"/>
              <w:rPr>
                <w:rFonts w:cs="Times New Roman"/>
                <w:b/>
                <w:szCs w:val="22"/>
                <w:lang w:val="en-US" w:eastAsia="bg-BG"/>
              </w:rPr>
            </w:pPr>
            <w:r w:rsidRPr="00CC5E0B">
              <w:rPr>
                <w:rFonts w:cs="Times New Roman"/>
                <w:b/>
                <w:szCs w:val="22"/>
                <w:lang w:eastAsia="bg-BG"/>
              </w:rPr>
              <w:t>2</w:t>
            </w:r>
            <w:r w:rsidR="00564436" w:rsidRPr="00CC5E0B">
              <w:rPr>
                <w:rFonts w:cs="Times New Roman"/>
                <w:b/>
                <w:szCs w:val="22"/>
                <w:lang w:eastAsia="bg-BG"/>
              </w:rPr>
              <w:t>,</w:t>
            </w:r>
            <w:r w:rsidRPr="00CC5E0B">
              <w:rPr>
                <w:rFonts w:cs="Times New Roman"/>
                <w:b/>
                <w:szCs w:val="22"/>
                <w:lang w:val="en-US" w:eastAsia="bg-BG"/>
              </w:rPr>
              <w:t>3</w:t>
            </w:r>
            <w:r w:rsidR="00FC0458" w:rsidRPr="00CC5E0B">
              <w:rPr>
                <w:rFonts w:cs="Times New Roman"/>
                <w:b/>
                <w:szCs w:val="22"/>
                <w:lang w:val="en-US" w:eastAsia="bg-BG"/>
              </w:rPr>
              <w:t>51</w:t>
            </w:r>
          </w:p>
        </w:tc>
      </w:tr>
      <w:tr w:rsidR="00081685" w:rsidRPr="00796446" w:rsidTr="004E2481">
        <w:trPr>
          <w:trHeight w:val="20"/>
        </w:trPr>
        <w:tc>
          <w:tcPr>
            <w:tcW w:w="6390" w:type="dxa"/>
            <w:shd w:val="clear" w:color="auto" w:fill="FFFFFF"/>
          </w:tcPr>
          <w:p w:rsidR="00081685" w:rsidRPr="00CC5E0B" w:rsidRDefault="00081685" w:rsidP="00F748DE">
            <w:pPr>
              <w:autoSpaceDE w:val="0"/>
              <w:autoSpaceDN w:val="0"/>
              <w:adjustRightInd w:val="0"/>
              <w:rPr>
                <w:b/>
                <w:szCs w:val="22"/>
              </w:rPr>
            </w:pPr>
            <w:r w:rsidRPr="00CC5E0B">
              <w:rPr>
                <w:b/>
                <w:szCs w:val="22"/>
              </w:rPr>
              <w:t>Общо задължения към свързани лица</w:t>
            </w:r>
          </w:p>
        </w:tc>
        <w:tc>
          <w:tcPr>
            <w:tcW w:w="1123" w:type="dxa"/>
            <w:tcBorders>
              <w:top w:val="single" w:sz="4" w:space="0" w:color="auto"/>
              <w:bottom w:val="double" w:sz="4" w:space="0" w:color="auto"/>
            </w:tcBorders>
            <w:shd w:val="clear" w:color="auto" w:fill="FFFFFF"/>
          </w:tcPr>
          <w:p w:rsidR="00081685" w:rsidRPr="00CC5E0B" w:rsidRDefault="00564436" w:rsidP="00F748DE">
            <w:pPr>
              <w:jc w:val="right"/>
              <w:rPr>
                <w:rFonts w:cs="Times New Roman"/>
                <w:b/>
                <w:szCs w:val="22"/>
                <w:lang w:eastAsia="bg-BG"/>
              </w:rPr>
            </w:pPr>
            <w:r w:rsidRPr="00CC5E0B">
              <w:rPr>
                <w:rFonts w:cs="Times New Roman"/>
                <w:b/>
                <w:szCs w:val="22"/>
                <w:lang w:eastAsia="bg-BG"/>
              </w:rPr>
              <w:t>1</w:t>
            </w:r>
            <w:r w:rsidR="00CC207F" w:rsidRPr="00CC5E0B">
              <w:rPr>
                <w:rFonts w:cs="Times New Roman"/>
                <w:b/>
                <w:szCs w:val="22"/>
                <w:lang w:eastAsia="bg-BG"/>
              </w:rPr>
              <w:t>2,503</w:t>
            </w:r>
          </w:p>
        </w:tc>
        <w:tc>
          <w:tcPr>
            <w:tcW w:w="1559" w:type="dxa"/>
            <w:tcBorders>
              <w:top w:val="single" w:sz="4" w:space="0" w:color="auto"/>
              <w:bottom w:val="double" w:sz="4" w:space="0" w:color="auto"/>
            </w:tcBorders>
            <w:shd w:val="clear" w:color="auto" w:fill="FFFFFF"/>
          </w:tcPr>
          <w:p w:rsidR="00081685" w:rsidRPr="00CC5E0B" w:rsidRDefault="00CF3E4B" w:rsidP="00FD6497">
            <w:pPr>
              <w:jc w:val="right"/>
              <w:rPr>
                <w:rFonts w:cs="Times New Roman"/>
                <w:b/>
                <w:szCs w:val="22"/>
                <w:lang w:val="en-US" w:eastAsia="bg-BG"/>
              </w:rPr>
            </w:pPr>
            <w:r w:rsidRPr="00CC5E0B">
              <w:rPr>
                <w:rFonts w:cs="Times New Roman"/>
                <w:b/>
                <w:szCs w:val="22"/>
                <w:lang w:val="en-US" w:eastAsia="bg-BG"/>
              </w:rPr>
              <w:t>1</w:t>
            </w:r>
            <w:r w:rsidR="00FC0458" w:rsidRPr="00CC5E0B">
              <w:rPr>
                <w:rFonts w:cs="Times New Roman"/>
                <w:b/>
                <w:szCs w:val="22"/>
                <w:lang w:val="en-US" w:eastAsia="bg-BG"/>
              </w:rPr>
              <w:t>2,891</w:t>
            </w:r>
          </w:p>
        </w:tc>
      </w:tr>
    </w:tbl>
    <w:p w:rsidR="0012771D" w:rsidRPr="00CC5E0B" w:rsidRDefault="0012771D" w:rsidP="0012771D">
      <w:pPr>
        <w:tabs>
          <w:tab w:val="right" w:pos="9720"/>
        </w:tabs>
        <w:jc w:val="both"/>
        <w:rPr>
          <w:szCs w:val="22"/>
        </w:rPr>
      </w:pPr>
    </w:p>
    <w:p w:rsidR="00A60849" w:rsidRPr="00CC5E0B" w:rsidRDefault="00A60849" w:rsidP="00FE2577">
      <w:pPr>
        <w:tabs>
          <w:tab w:val="right" w:pos="9720"/>
        </w:tabs>
        <w:spacing w:after="120"/>
        <w:jc w:val="both"/>
        <w:rPr>
          <w:szCs w:val="22"/>
        </w:rPr>
      </w:pPr>
      <w:r w:rsidRPr="00CC5E0B">
        <w:rPr>
          <w:szCs w:val="22"/>
        </w:rPr>
        <w:t>Текущите вземания от свързани лица представляват лихви за забавено плащане съгласно сключен договор за покупко – продажба от 2013 г.</w:t>
      </w:r>
      <w:r w:rsidR="002F02B5" w:rsidRPr="00CC5E0B">
        <w:rPr>
          <w:szCs w:val="22"/>
        </w:rPr>
        <w:t xml:space="preserve"> в размер на 2</w:t>
      </w:r>
      <w:r w:rsidR="006809FC" w:rsidRPr="00CC5E0B">
        <w:rPr>
          <w:szCs w:val="22"/>
        </w:rPr>
        <w:t xml:space="preserve">6 </w:t>
      </w:r>
      <w:r w:rsidR="00B37C80" w:rsidRPr="00CC5E0B">
        <w:rPr>
          <w:szCs w:val="22"/>
        </w:rPr>
        <w:t>хил.лв.</w:t>
      </w:r>
    </w:p>
    <w:p w:rsidR="004221C6" w:rsidRPr="00CC5E0B" w:rsidRDefault="004221C6" w:rsidP="003A6A07">
      <w:pPr>
        <w:tabs>
          <w:tab w:val="right" w:pos="9720"/>
        </w:tabs>
        <w:spacing w:after="120"/>
        <w:jc w:val="both"/>
        <w:rPr>
          <w:szCs w:val="22"/>
        </w:rPr>
      </w:pPr>
      <w:r w:rsidRPr="00CC5E0B">
        <w:rPr>
          <w:szCs w:val="22"/>
        </w:rPr>
        <w:t xml:space="preserve">Изграждането на обект Водно електрическа централа на топъл канал 1 /ВЕЦ на ТК 1/ се финансира чрез кредитна линия от </w:t>
      </w:r>
      <w:r w:rsidR="002411F6" w:rsidRPr="00CC5E0B">
        <w:rPr>
          <w:szCs w:val="22"/>
        </w:rPr>
        <w:t>Дружеството</w:t>
      </w:r>
      <w:r w:rsidRPr="00CC5E0B">
        <w:rPr>
          <w:szCs w:val="22"/>
        </w:rPr>
        <w:t>-майка „АЕЦ Козлодуй” ЕАД, съгласно решение на „Бълг</w:t>
      </w:r>
      <w:r w:rsidR="00CE0D53" w:rsidRPr="00CC5E0B">
        <w:rPr>
          <w:szCs w:val="22"/>
        </w:rPr>
        <w:t xml:space="preserve">арски енергиен холдинг” ЕАД от </w:t>
      </w:r>
      <w:r w:rsidRPr="00CC5E0B">
        <w:rPr>
          <w:szCs w:val="22"/>
        </w:rPr>
        <w:t>7 ноември 2008 г. и подписан договор между „АЕЦ Козлодуй” ЕАД и „ВЕЦ Козлодуй” ЕАД. Кредитната линия е в размер на  22 000 хил. лв. С анекс от 20 януари 2015 г., който влиза в сила от 14.07.2014 г. крайният срок за погасяване на кредита е 15.01.2024 г.Кредитът се погасява на 22 вноски. Договорени</w:t>
      </w:r>
      <w:r w:rsidR="00A13F9D" w:rsidRPr="00CC5E0B">
        <w:rPr>
          <w:szCs w:val="22"/>
        </w:rPr>
        <w:t xml:space="preserve">ят лихвен процент е ОЛП + 2,50 </w:t>
      </w:r>
      <w:r w:rsidRPr="00CC5E0B">
        <w:rPr>
          <w:szCs w:val="22"/>
        </w:rPr>
        <w:t xml:space="preserve">%. </w:t>
      </w:r>
    </w:p>
    <w:p w:rsidR="00A60849" w:rsidRPr="00CC5E0B" w:rsidRDefault="00BC71F1" w:rsidP="00FB7087">
      <w:pPr>
        <w:autoSpaceDE w:val="0"/>
        <w:autoSpaceDN w:val="0"/>
        <w:adjustRightInd w:val="0"/>
        <w:spacing w:before="120" w:after="120"/>
        <w:jc w:val="both"/>
        <w:rPr>
          <w:szCs w:val="22"/>
        </w:rPr>
      </w:pPr>
      <w:r w:rsidRPr="00CC5E0B">
        <w:rPr>
          <w:szCs w:val="22"/>
        </w:rPr>
        <w:t>Останалите краткосрочни</w:t>
      </w:r>
      <w:r w:rsidR="00A60849" w:rsidRPr="00CC5E0B">
        <w:rPr>
          <w:szCs w:val="22"/>
        </w:rPr>
        <w:t xml:space="preserve"> задължения към едноличния собственик „АЕЦ Козлодуй” ЕАД са формирани от задъл</w:t>
      </w:r>
      <w:r w:rsidR="00D91210" w:rsidRPr="00CC5E0B">
        <w:rPr>
          <w:szCs w:val="22"/>
        </w:rPr>
        <w:t xml:space="preserve">женията за лихви в размер на </w:t>
      </w:r>
      <w:r w:rsidR="006809FC" w:rsidRPr="00CC5E0B">
        <w:rPr>
          <w:szCs w:val="22"/>
        </w:rPr>
        <w:t>135</w:t>
      </w:r>
      <w:r w:rsidR="000556F0" w:rsidRPr="00CC5E0B">
        <w:rPr>
          <w:szCs w:val="22"/>
        </w:rPr>
        <w:t xml:space="preserve"> хил. лв. (</w:t>
      </w:r>
      <w:r w:rsidR="00A13F9D" w:rsidRPr="00CC5E0B">
        <w:rPr>
          <w:szCs w:val="22"/>
        </w:rPr>
        <w:t>31</w:t>
      </w:r>
      <w:r w:rsidR="002411F6" w:rsidRPr="00CC5E0B">
        <w:rPr>
          <w:szCs w:val="22"/>
        </w:rPr>
        <w:t xml:space="preserve"> декември </w:t>
      </w:r>
      <w:r w:rsidR="00D91210" w:rsidRPr="00CC5E0B">
        <w:rPr>
          <w:szCs w:val="22"/>
        </w:rPr>
        <w:t>201</w:t>
      </w:r>
      <w:r w:rsidR="00397E2B" w:rsidRPr="00CC5E0B">
        <w:rPr>
          <w:szCs w:val="22"/>
          <w:lang w:val="en-US"/>
        </w:rPr>
        <w:t>8</w:t>
      </w:r>
      <w:r w:rsidR="00C15A13" w:rsidRPr="00CC5E0B">
        <w:rPr>
          <w:szCs w:val="22"/>
        </w:rPr>
        <w:t xml:space="preserve"> г</w:t>
      </w:r>
      <w:r w:rsidR="00D91210" w:rsidRPr="00CC5E0B">
        <w:rPr>
          <w:szCs w:val="22"/>
        </w:rPr>
        <w:t>.: 1</w:t>
      </w:r>
      <w:r w:rsidR="00397E2B" w:rsidRPr="00CC5E0B">
        <w:rPr>
          <w:szCs w:val="22"/>
          <w:lang w:val="en-US"/>
        </w:rPr>
        <w:t>50</w:t>
      </w:r>
      <w:r w:rsidR="000556F0" w:rsidRPr="00CC5E0B">
        <w:rPr>
          <w:szCs w:val="22"/>
        </w:rPr>
        <w:t xml:space="preserve"> хил. лв.)</w:t>
      </w:r>
      <w:r w:rsidR="006809FC" w:rsidRPr="00CC5E0B">
        <w:rPr>
          <w:szCs w:val="22"/>
        </w:rPr>
        <w:t xml:space="preserve"> и задължения за дивидент в размер на 728 хил.лв.</w:t>
      </w:r>
    </w:p>
    <w:p w:rsidR="0009743D" w:rsidRPr="00CC5E0B" w:rsidRDefault="009C09F0" w:rsidP="00CC5E0B">
      <w:pPr>
        <w:pStyle w:val="Heading1"/>
        <w:numPr>
          <w:ilvl w:val="0"/>
          <w:numId w:val="42"/>
        </w:numPr>
        <w:spacing w:after="0" w:line="240" w:lineRule="auto"/>
        <w:ind w:left="567" w:hanging="567"/>
        <w:rPr>
          <w:color w:val="auto"/>
          <w:sz w:val="22"/>
          <w:szCs w:val="22"/>
        </w:rPr>
      </w:pPr>
      <w:r w:rsidRPr="00CC5E0B">
        <w:rPr>
          <w:color w:val="auto"/>
          <w:sz w:val="22"/>
          <w:szCs w:val="22"/>
        </w:rPr>
        <w:t>Условни активи и условни пасиви</w:t>
      </w:r>
    </w:p>
    <w:p w:rsidR="00A727D1" w:rsidRPr="00CC5E0B" w:rsidRDefault="009C09F0" w:rsidP="00CC5E0B">
      <w:pPr>
        <w:spacing w:before="120"/>
        <w:jc w:val="both"/>
        <w:rPr>
          <w:szCs w:val="22"/>
        </w:rPr>
      </w:pPr>
      <w:r w:rsidRPr="00CC5E0B">
        <w:rPr>
          <w:szCs w:val="22"/>
        </w:rPr>
        <w:t>През периода няма предявени правни искове към Дружеството.</w:t>
      </w:r>
    </w:p>
    <w:p w:rsidR="00CC5E0B" w:rsidRPr="00CC5E0B" w:rsidRDefault="0071702E" w:rsidP="00CC5E0B">
      <w:pPr>
        <w:pStyle w:val="Heading1"/>
        <w:numPr>
          <w:ilvl w:val="0"/>
          <w:numId w:val="42"/>
        </w:numPr>
        <w:spacing w:line="240" w:lineRule="auto"/>
        <w:ind w:left="567" w:hanging="567"/>
        <w:rPr>
          <w:color w:val="auto"/>
          <w:sz w:val="22"/>
          <w:szCs w:val="22"/>
        </w:rPr>
      </w:pPr>
      <w:r w:rsidRPr="00CC5E0B">
        <w:rPr>
          <w:color w:val="auto"/>
          <w:sz w:val="22"/>
          <w:szCs w:val="22"/>
        </w:rPr>
        <w:t>Събития след края на отчетния период</w:t>
      </w:r>
    </w:p>
    <w:p w:rsidR="00CC5E0B" w:rsidRPr="00CC5E0B" w:rsidRDefault="0071702E" w:rsidP="00CC5E0B">
      <w:pPr>
        <w:spacing w:after="120"/>
        <w:jc w:val="both"/>
        <w:rPr>
          <w:szCs w:val="22"/>
        </w:rPr>
      </w:pPr>
      <w:r w:rsidRPr="00CC5E0B">
        <w:rPr>
          <w:szCs w:val="22"/>
        </w:rPr>
        <w:t xml:space="preserve">Не са възникнали коригиращи събития или значителни некоригиращи събития </w:t>
      </w:r>
      <w:r w:rsidR="00FB7087" w:rsidRPr="00CC5E0B">
        <w:rPr>
          <w:szCs w:val="22"/>
        </w:rPr>
        <w:t xml:space="preserve">след края на текущия междинен отчетен период, които да оказват влияние върху междинния съкратен финансов отчет за </w:t>
      </w:r>
      <w:r w:rsidR="005A6C6B" w:rsidRPr="00CC5E0B">
        <w:rPr>
          <w:szCs w:val="22"/>
        </w:rPr>
        <w:t>6</w:t>
      </w:r>
      <w:r w:rsidR="00FB7087" w:rsidRPr="00CC5E0B">
        <w:rPr>
          <w:szCs w:val="22"/>
        </w:rPr>
        <w:t xml:space="preserve">-месечния период, зьвършил </w:t>
      </w:r>
      <w:r w:rsidR="0015416F" w:rsidRPr="00CC5E0B">
        <w:rPr>
          <w:szCs w:val="22"/>
        </w:rPr>
        <w:t xml:space="preserve">завършил </w:t>
      </w:r>
      <w:r w:rsidR="00FB7087" w:rsidRPr="00CC5E0B">
        <w:rPr>
          <w:szCs w:val="22"/>
        </w:rPr>
        <w:t>на 3</w:t>
      </w:r>
      <w:r w:rsidR="005A6C6B" w:rsidRPr="00CC5E0B">
        <w:rPr>
          <w:szCs w:val="22"/>
        </w:rPr>
        <w:t>0</w:t>
      </w:r>
      <w:r w:rsidR="00FB7087" w:rsidRPr="00CC5E0B">
        <w:rPr>
          <w:szCs w:val="22"/>
        </w:rPr>
        <w:t xml:space="preserve"> </w:t>
      </w:r>
      <w:r w:rsidR="005A6C6B" w:rsidRPr="00CC5E0B">
        <w:rPr>
          <w:szCs w:val="22"/>
        </w:rPr>
        <w:t>юни</w:t>
      </w:r>
      <w:r w:rsidR="00FB7087" w:rsidRPr="00CC5E0B">
        <w:rPr>
          <w:szCs w:val="22"/>
        </w:rPr>
        <w:t xml:space="preserve"> 2019 г.</w:t>
      </w:r>
    </w:p>
    <w:p w:rsidR="003A6A07" w:rsidRPr="00CC5E0B" w:rsidRDefault="003A6A07" w:rsidP="00CC5E0B">
      <w:pPr>
        <w:pStyle w:val="Heading1"/>
        <w:numPr>
          <w:ilvl w:val="0"/>
          <w:numId w:val="42"/>
        </w:numPr>
        <w:spacing w:before="0" w:line="240" w:lineRule="auto"/>
        <w:ind w:left="391" w:hanging="391"/>
        <w:rPr>
          <w:color w:val="auto"/>
          <w:sz w:val="22"/>
          <w:szCs w:val="22"/>
        </w:rPr>
      </w:pPr>
      <w:r w:rsidRPr="00CC5E0B">
        <w:rPr>
          <w:color w:val="auto"/>
          <w:sz w:val="22"/>
          <w:szCs w:val="22"/>
        </w:rPr>
        <w:lastRenderedPageBreak/>
        <w:t>Одобрение на междинния съкратен финансов отчет</w:t>
      </w:r>
    </w:p>
    <w:p w:rsidR="003A6A07" w:rsidRPr="00CC5E0B" w:rsidRDefault="003A6A07" w:rsidP="00CC5E0B">
      <w:pPr>
        <w:pStyle w:val="BodyText"/>
        <w:spacing w:after="120" w:line="240" w:lineRule="auto"/>
        <w:jc w:val="both"/>
        <w:rPr>
          <w:szCs w:val="22"/>
        </w:rPr>
      </w:pPr>
      <w:r w:rsidRPr="00CC5E0B">
        <w:rPr>
          <w:szCs w:val="22"/>
        </w:rPr>
        <w:t>Междинният съкратен финансов отчет към 3</w:t>
      </w:r>
      <w:r w:rsidR="004071C9" w:rsidRPr="00CC5E0B">
        <w:rPr>
          <w:szCs w:val="22"/>
        </w:rPr>
        <w:t>0</w:t>
      </w:r>
      <w:r w:rsidR="00AB51D6" w:rsidRPr="00CC5E0B">
        <w:rPr>
          <w:szCs w:val="22"/>
        </w:rPr>
        <w:t xml:space="preserve"> </w:t>
      </w:r>
      <w:r w:rsidR="004071C9" w:rsidRPr="00CC5E0B">
        <w:rPr>
          <w:szCs w:val="22"/>
        </w:rPr>
        <w:t xml:space="preserve">юни </w:t>
      </w:r>
      <w:r w:rsidRPr="00CC5E0B">
        <w:rPr>
          <w:szCs w:val="22"/>
        </w:rPr>
        <w:t>201</w:t>
      </w:r>
      <w:r w:rsidR="00AB51D6" w:rsidRPr="00CC5E0B">
        <w:rPr>
          <w:szCs w:val="22"/>
        </w:rPr>
        <w:t xml:space="preserve">9 </w:t>
      </w:r>
      <w:r w:rsidRPr="00CC5E0B">
        <w:rPr>
          <w:szCs w:val="22"/>
        </w:rPr>
        <w:t xml:space="preserve">г.(включително сравнителната информация) е одобрен и приет от Съвета на директорите на </w:t>
      </w:r>
      <w:r w:rsidR="00226122" w:rsidRPr="00CC5E0B">
        <w:rPr>
          <w:szCs w:val="22"/>
        </w:rPr>
        <w:t>02.08.</w:t>
      </w:r>
      <w:r w:rsidRPr="00CC5E0B">
        <w:rPr>
          <w:szCs w:val="22"/>
        </w:rPr>
        <w:t>201</w:t>
      </w:r>
      <w:r w:rsidR="00AB51D6" w:rsidRPr="00CC5E0B">
        <w:rPr>
          <w:szCs w:val="22"/>
        </w:rPr>
        <w:t xml:space="preserve">9 </w:t>
      </w:r>
      <w:r w:rsidRPr="00CC5E0B">
        <w:rPr>
          <w:szCs w:val="22"/>
        </w:rPr>
        <w:t>г.</w:t>
      </w:r>
    </w:p>
    <w:p w:rsidR="007B4647" w:rsidRPr="00CC5E0B" w:rsidRDefault="007B4647" w:rsidP="00FB7087">
      <w:pPr>
        <w:spacing w:after="120"/>
        <w:jc w:val="both"/>
        <w:rPr>
          <w:szCs w:val="22"/>
        </w:rPr>
      </w:pPr>
    </w:p>
    <w:sectPr w:rsidR="007B4647" w:rsidRPr="00CC5E0B" w:rsidSect="00234822">
      <w:footerReference w:type="default" r:id="rId8"/>
      <w:pgSz w:w="11907" w:h="16839" w:code="9"/>
      <w:pgMar w:top="1728" w:right="1440" w:bottom="1440" w:left="1440" w:header="706"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A93" w:rsidRDefault="00D74A93">
      <w:r>
        <w:separator/>
      </w:r>
    </w:p>
  </w:endnote>
  <w:endnote w:type="continuationSeparator" w:id="0">
    <w:p w:rsidR="00D74A93" w:rsidRDefault="00D74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eneve">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SPTime-Bold">
    <w:altName w:val="Times New Roman"/>
    <w:panose1 w:val="00000000000000000000"/>
    <w:charset w:val="CC"/>
    <w:family w:val="auto"/>
    <w:notTrueType/>
    <w:pitch w:val="default"/>
    <w:sig w:usb0="00000201" w:usb1="00000000" w:usb2="00000000" w:usb3="00000000" w:csb0="00000004"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BD8" w:rsidRPr="009415C4" w:rsidRDefault="00F22BD8" w:rsidP="00941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A93" w:rsidRDefault="00D74A93">
      <w:r>
        <w:separator/>
      </w:r>
    </w:p>
  </w:footnote>
  <w:footnote w:type="continuationSeparator" w:id="0">
    <w:p w:rsidR="00D74A93" w:rsidRDefault="00D74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DC1"/>
    <w:multiLevelType w:val="multilevel"/>
    <w:tmpl w:val="DD663AF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5073C0"/>
    <w:multiLevelType w:val="hybridMultilevel"/>
    <w:tmpl w:val="C2BA14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206B72"/>
    <w:multiLevelType w:val="hybridMultilevel"/>
    <w:tmpl w:val="685E45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6077715"/>
    <w:multiLevelType w:val="hybridMultilevel"/>
    <w:tmpl w:val="7D94F40A"/>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
    <w:nsid w:val="090123A6"/>
    <w:multiLevelType w:val="hybridMultilevel"/>
    <w:tmpl w:val="ADE815E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0D105FB4"/>
    <w:multiLevelType w:val="hybridMultilevel"/>
    <w:tmpl w:val="AD9498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0EBE4813"/>
    <w:multiLevelType w:val="hybridMultilevel"/>
    <w:tmpl w:val="73AE690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0FA071A"/>
    <w:multiLevelType w:val="hybridMultilevel"/>
    <w:tmpl w:val="3E70BF68"/>
    <w:lvl w:ilvl="0" w:tplc="125833B8">
      <w:start w:val="1"/>
      <w:numFmt w:val="bullet"/>
      <w:lvlText w:val=""/>
      <w:lvlJc w:val="left"/>
      <w:pPr>
        <w:ind w:left="720" w:hanging="360"/>
      </w:pPr>
      <w:rPr>
        <w:rFonts w:ascii="Symbol" w:hAnsi="Symbol" w:hint="default"/>
      </w:rPr>
    </w:lvl>
    <w:lvl w:ilvl="1" w:tplc="0409000F"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565C5"/>
    <w:multiLevelType w:val="hybridMultilevel"/>
    <w:tmpl w:val="5A70F226"/>
    <w:lvl w:ilvl="0" w:tplc="125833B8">
      <w:start w:val="30"/>
      <w:numFmt w:val="bullet"/>
      <w:lvlText w:val="-"/>
      <w:lvlJc w:val="left"/>
      <w:pPr>
        <w:ind w:left="720" w:hanging="360"/>
      </w:pPr>
      <w:rPr>
        <w:rFonts w:ascii="Garamond" w:eastAsia="Times New Roman" w:hAnsi="Garamond" w:cs="Times New Roman" w:hint="default"/>
      </w:rPr>
    </w:lvl>
    <w:lvl w:ilvl="1" w:tplc="0409000F"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673036"/>
    <w:multiLevelType w:val="multilevel"/>
    <w:tmpl w:val="F43A1C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3B3474B"/>
    <w:multiLevelType w:val="hybridMultilevel"/>
    <w:tmpl w:val="80B05DFE"/>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2">
    <w:nsid w:val="261820B5"/>
    <w:multiLevelType w:val="hybridMultilevel"/>
    <w:tmpl w:val="D5FA944E"/>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3">
    <w:nsid w:val="286B38AB"/>
    <w:multiLevelType w:val="hybridMultilevel"/>
    <w:tmpl w:val="8E8E4AF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BEF3727"/>
    <w:multiLevelType w:val="hybridMultilevel"/>
    <w:tmpl w:val="8970ED2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nsid w:val="2F910C40"/>
    <w:multiLevelType w:val="hybridMultilevel"/>
    <w:tmpl w:val="6EF2C14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6">
    <w:nsid w:val="31484C83"/>
    <w:multiLevelType w:val="hybridMultilevel"/>
    <w:tmpl w:val="DE9A3A9C"/>
    <w:lvl w:ilvl="0" w:tplc="0402000D">
      <w:start w:val="1"/>
      <w:numFmt w:val="bullet"/>
      <w:lvlText w:val=""/>
      <w:lvlJc w:val="left"/>
      <w:pPr>
        <w:ind w:left="862" w:hanging="360"/>
      </w:pPr>
      <w:rPr>
        <w:rFonts w:ascii="Wingdings" w:hAnsi="Wingdings" w:hint="default"/>
      </w:rPr>
    </w:lvl>
    <w:lvl w:ilvl="1" w:tplc="F83CCC7E">
      <w:numFmt w:val="bullet"/>
      <w:lvlText w:val="•"/>
      <w:lvlJc w:val="left"/>
      <w:pPr>
        <w:ind w:left="1807" w:hanging="585"/>
      </w:pPr>
      <w:rPr>
        <w:rFonts w:ascii="Garamond" w:eastAsia="Times New Roman" w:hAnsi="Garamond" w:cs="Times New Roman"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7">
    <w:nsid w:val="31D61AED"/>
    <w:multiLevelType w:val="hybridMultilevel"/>
    <w:tmpl w:val="CBE001E4"/>
    <w:lvl w:ilvl="0" w:tplc="9C5E644A">
      <w:numFmt w:val="bullet"/>
      <w:lvlText w:val="-"/>
      <w:lvlJc w:val="left"/>
      <w:pPr>
        <w:ind w:left="578" w:hanging="360"/>
      </w:pPr>
      <w:rPr>
        <w:rFonts w:ascii="Garamond" w:eastAsia="Times New Roman" w:hAnsi="Garamond"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8">
    <w:nsid w:val="33B43AA5"/>
    <w:multiLevelType w:val="multilevel"/>
    <w:tmpl w:val="C248D146"/>
    <w:lvl w:ilvl="0">
      <w:start w:val="1"/>
      <w:numFmt w:val="decimal"/>
      <w:lvlText w:val="%1."/>
      <w:lvlJc w:val="left"/>
      <w:pPr>
        <w:ind w:left="360" w:hanging="360"/>
      </w:pPr>
      <w:rPr>
        <w:color w:val="auto"/>
      </w:rPr>
    </w:lvl>
    <w:lvl w:ilvl="1">
      <w:start w:val="1"/>
      <w:numFmt w:val="decimal"/>
      <w:lvlText w:val="%1.%2."/>
      <w:lvlJc w:val="left"/>
      <w:pPr>
        <w:ind w:left="2133"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nsid w:val="36354B34"/>
    <w:multiLevelType w:val="multilevel"/>
    <w:tmpl w:val="5594A47A"/>
    <w:lvl w:ilvl="0">
      <w:start w:val="4"/>
      <w:numFmt w:val="decimal"/>
      <w:lvlText w:val="%1"/>
      <w:lvlJc w:val="left"/>
      <w:pPr>
        <w:ind w:left="9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90" w:hanging="1800"/>
      </w:pPr>
      <w:rPr>
        <w:rFonts w:hint="default"/>
      </w:rPr>
    </w:lvl>
  </w:abstractNum>
  <w:abstractNum w:abstractNumId="21">
    <w:nsid w:val="36E24918"/>
    <w:multiLevelType w:val="hybridMultilevel"/>
    <w:tmpl w:val="BA2E29C0"/>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nsid w:val="371C65DB"/>
    <w:multiLevelType w:val="hybridMultilevel"/>
    <w:tmpl w:val="515A606E"/>
    <w:lvl w:ilvl="0" w:tplc="BFCC8EEA">
      <w:start w:val="1"/>
      <w:numFmt w:val="bullet"/>
      <w:lvlText w:val="-"/>
      <w:lvlJc w:val="left"/>
      <w:pPr>
        <w:ind w:left="720" w:hanging="360"/>
      </w:pPr>
      <w:rPr>
        <w:rFonts w:ascii="Garamond" w:eastAsia="Times New Roman" w:hAnsi="Garamond"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B503127"/>
    <w:multiLevelType w:val="multilevel"/>
    <w:tmpl w:val="D834F3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7C48D9"/>
    <w:multiLevelType w:val="multilevel"/>
    <w:tmpl w:val="F5380648"/>
    <w:lvl w:ilvl="0">
      <w:start w:val="8"/>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3CD86837"/>
    <w:multiLevelType w:val="hybridMultilevel"/>
    <w:tmpl w:val="A094CACA"/>
    <w:lvl w:ilvl="0" w:tplc="0402000D">
      <w:start w:val="1"/>
      <w:numFmt w:val="bullet"/>
      <w:lvlText w:val=""/>
      <w:lvlJc w:val="left"/>
      <w:pPr>
        <w:ind w:left="1170" w:hanging="360"/>
      </w:pPr>
      <w:rPr>
        <w:rFonts w:ascii="Wingdings" w:hAnsi="Wingdings" w:hint="default"/>
      </w:rPr>
    </w:lvl>
    <w:lvl w:ilvl="1" w:tplc="04020003" w:tentative="1">
      <w:start w:val="1"/>
      <w:numFmt w:val="bullet"/>
      <w:lvlText w:val="o"/>
      <w:lvlJc w:val="left"/>
      <w:pPr>
        <w:ind w:left="1890" w:hanging="360"/>
      </w:pPr>
      <w:rPr>
        <w:rFonts w:ascii="Courier New" w:hAnsi="Courier New" w:cs="Courier New" w:hint="default"/>
      </w:rPr>
    </w:lvl>
    <w:lvl w:ilvl="2" w:tplc="04020005" w:tentative="1">
      <w:start w:val="1"/>
      <w:numFmt w:val="bullet"/>
      <w:lvlText w:val=""/>
      <w:lvlJc w:val="left"/>
      <w:pPr>
        <w:ind w:left="2610" w:hanging="360"/>
      </w:pPr>
      <w:rPr>
        <w:rFonts w:ascii="Wingdings" w:hAnsi="Wingdings" w:hint="default"/>
      </w:rPr>
    </w:lvl>
    <w:lvl w:ilvl="3" w:tplc="04020001" w:tentative="1">
      <w:start w:val="1"/>
      <w:numFmt w:val="bullet"/>
      <w:lvlText w:val=""/>
      <w:lvlJc w:val="left"/>
      <w:pPr>
        <w:ind w:left="3330" w:hanging="360"/>
      </w:pPr>
      <w:rPr>
        <w:rFonts w:ascii="Symbol" w:hAnsi="Symbol" w:hint="default"/>
      </w:rPr>
    </w:lvl>
    <w:lvl w:ilvl="4" w:tplc="04020003" w:tentative="1">
      <w:start w:val="1"/>
      <w:numFmt w:val="bullet"/>
      <w:lvlText w:val="o"/>
      <w:lvlJc w:val="left"/>
      <w:pPr>
        <w:ind w:left="4050" w:hanging="360"/>
      </w:pPr>
      <w:rPr>
        <w:rFonts w:ascii="Courier New" w:hAnsi="Courier New" w:cs="Courier New" w:hint="default"/>
      </w:rPr>
    </w:lvl>
    <w:lvl w:ilvl="5" w:tplc="04020005" w:tentative="1">
      <w:start w:val="1"/>
      <w:numFmt w:val="bullet"/>
      <w:lvlText w:val=""/>
      <w:lvlJc w:val="left"/>
      <w:pPr>
        <w:ind w:left="4770" w:hanging="360"/>
      </w:pPr>
      <w:rPr>
        <w:rFonts w:ascii="Wingdings" w:hAnsi="Wingdings" w:hint="default"/>
      </w:rPr>
    </w:lvl>
    <w:lvl w:ilvl="6" w:tplc="04020001" w:tentative="1">
      <w:start w:val="1"/>
      <w:numFmt w:val="bullet"/>
      <w:lvlText w:val=""/>
      <w:lvlJc w:val="left"/>
      <w:pPr>
        <w:ind w:left="5490" w:hanging="360"/>
      </w:pPr>
      <w:rPr>
        <w:rFonts w:ascii="Symbol" w:hAnsi="Symbol" w:hint="default"/>
      </w:rPr>
    </w:lvl>
    <w:lvl w:ilvl="7" w:tplc="04020003" w:tentative="1">
      <w:start w:val="1"/>
      <w:numFmt w:val="bullet"/>
      <w:lvlText w:val="o"/>
      <w:lvlJc w:val="left"/>
      <w:pPr>
        <w:ind w:left="6210" w:hanging="360"/>
      </w:pPr>
      <w:rPr>
        <w:rFonts w:ascii="Courier New" w:hAnsi="Courier New" w:cs="Courier New" w:hint="default"/>
      </w:rPr>
    </w:lvl>
    <w:lvl w:ilvl="8" w:tplc="04020005" w:tentative="1">
      <w:start w:val="1"/>
      <w:numFmt w:val="bullet"/>
      <w:lvlText w:val=""/>
      <w:lvlJc w:val="left"/>
      <w:pPr>
        <w:ind w:left="6930" w:hanging="360"/>
      </w:pPr>
      <w:rPr>
        <w:rFonts w:ascii="Wingdings" w:hAnsi="Wingdings" w:hint="default"/>
      </w:rPr>
    </w:lvl>
  </w:abstractNum>
  <w:abstractNum w:abstractNumId="27">
    <w:nsid w:val="43171172"/>
    <w:multiLevelType w:val="hybridMultilevel"/>
    <w:tmpl w:val="C5B68B5A"/>
    <w:lvl w:ilvl="0" w:tplc="0402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nsid w:val="478D1F4A"/>
    <w:multiLevelType w:val="hybridMultilevel"/>
    <w:tmpl w:val="5C0E1216"/>
    <w:lvl w:ilvl="0" w:tplc="0402000D">
      <w:start w:val="1"/>
      <w:numFmt w:val="bullet"/>
      <w:lvlText w:val=""/>
      <w:lvlJc w:val="left"/>
      <w:pPr>
        <w:ind w:left="1170" w:hanging="360"/>
      </w:pPr>
      <w:rPr>
        <w:rFonts w:ascii="Wingdings" w:hAnsi="Wingdings" w:hint="default"/>
      </w:rPr>
    </w:lvl>
    <w:lvl w:ilvl="1" w:tplc="04020003" w:tentative="1">
      <w:start w:val="1"/>
      <w:numFmt w:val="bullet"/>
      <w:lvlText w:val="o"/>
      <w:lvlJc w:val="left"/>
      <w:pPr>
        <w:ind w:left="1890" w:hanging="360"/>
      </w:pPr>
      <w:rPr>
        <w:rFonts w:ascii="Courier New" w:hAnsi="Courier New" w:cs="Courier New" w:hint="default"/>
      </w:rPr>
    </w:lvl>
    <w:lvl w:ilvl="2" w:tplc="04020005" w:tentative="1">
      <w:start w:val="1"/>
      <w:numFmt w:val="bullet"/>
      <w:lvlText w:val=""/>
      <w:lvlJc w:val="left"/>
      <w:pPr>
        <w:ind w:left="2610" w:hanging="360"/>
      </w:pPr>
      <w:rPr>
        <w:rFonts w:ascii="Wingdings" w:hAnsi="Wingdings" w:hint="default"/>
      </w:rPr>
    </w:lvl>
    <w:lvl w:ilvl="3" w:tplc="04020001" w:tentative="1">
      <w:start w:val="1"/>
      <w:numFmt w:val="bullet"/>
      <w:lvlText w:val=""/>
      <w:lvlJc w:val="left"/>
      <w:pPr>
        <w:ind w:left="3330" w:hanging="360"/>
      </w:pPr>
      <w:rPr>
        <w:rFonts w:ascii="Symbol" w:hAnsi="Symbol" w:hint="default"/>
      </w:rPr>
    </w:lvl>
    <w:lvl w:ilvl="4" w:tplc="04020003" w:tentative="1">
      <w:start w:val="1"/>
      <w:numFmt w:val="bullet"/>
      <w:lvlText w:val="o"/>
      <w:lvlJc w:val="left"/>
      <w:pPr>
        <w:ind w:left="4050" w:hanging="360"/>
      </w:pPr>
      <w:rPr>
        <w:rFonts w:ascii="Courier New" w:hAnsi="Courier New" w:cs="Courier New" w:hint="default"/>
      </w:rPr>
    </w:lvl>
    <w:lvl w:ilvl="5" w:tplc="04020005" w:tentative="1">
      <w:start w:val="1"/>
      <w:numFmt w:val="bullet"/>
      <w:lvlText w:val=""/>
      <w:lvlJc w:val="left"/>
      <w:pPr>
        <w:ind w:left="4770" w:hanging="360"/>
      </w:pPr>
      <w:rPr>
        <w:rFonts w:ascii="Wingdings" w:hAnsi="Wingdings" w:hint="default"/>
      </w:rPr>
    </w:lvl>
    <w:lvl w:ilvl="6" w:tplc="04020001" w:tentative="1">
      <w:start w:val="1"/>
      <w:numFmt w:val="bullet"/>
      <w:lvlText w:val=""/>
      <w:lvlJc w:val="left"/>
      <w:pPr>
        <w:ind w:left="5490" w:hanging="360"/>
      </w:pPr>
      <w:rPr>
        <w:rFonts w:ascii="Symbol" w:hAnsi="Symbol" w:hint="default"/>
      </w:rPr>
    </w:lvl>
    <w:lvl w:ilvl="7" w:tplc="04020003" w:tentative="1">
      <w:start w:val="1"/>
      <w:numFmt w:val="bullet"/>
      <w:lvlText w:val="o"/>
      <w:lvlJc w:val="left"/>
      <w:pPr>
        <w:ind w:left="6210" w:hanging="360"/>
      </w:pPr>
      <w:rPr>
        <w:rFonts w:ascii="Courier New" w:hAnsi="Courier New" w:cs="Courier New" w:hint="default"/>
      </w:rPr>
    </w:lvl>
    <w:lvl w:ilvl="8" w:tplc="04020005" w:tentative="1">
      <w:start w:val="1"/>
      <w:numFmt w:val="bullet"/>
      <w:lvlText w:val=""/>
      <w:lvlJc w:val="left"/>
      <w:pPr>
        <w:ind w:left="6930" w:hanging="360"/>
      </w:pPr>
      <w:rPr>
        <w:rFonts w:ascii="Wingdings" w:hAnsi="Wingdings" w:hint="default"/>
      </w:rPr>
    </w:lvl>
  </w:abstractNum>
  <w:abstractNum w:abstractNumId="29">
    <w:nsid w:val="47C62990"/>
    <w:multiLevelType w:val="multilevel"/>
    <w:tmpl w:val="6B6CA66E"/>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215ECD"/>
    <w:multiLevelType w:val="hybridMultilevel"/>
    <w:tmpl w:val="82FEE8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4E5F534B"/>
    <w:multiLevelType w:val="multilevel"/>
    <w:tmpl w:val="F9C21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9A2B13"/>
    <w:multiLevelType w:val="hybridMultilevel"/>
    <w:tmpl w:val="6B065E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4534BD8"/>
    <w:multiLevelType w:val="hybridMultilevel"/>
    <w:tmpl w:val="B204E6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7F10E1A"/>
    <w:multiLevelType w:val="multilevel"/>
    <w:tmpl w:val="F9C21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621F2B"/>
    <w:multiLevelType w:val="hybridMultilevel"/>
    <w:tmpl w:val="FBB29938"/>
    <w:lvl w:ilvl="0" w:tplc="0402000D">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6">
    <w:nsid w:val="5B797D8E"/>
    <w:multiLevelType w:val="multilevel"/>
    <w:tmpl w:val="F9C21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451B34"/>
    <w:multiLevelType w:val="hybridMultilevel"/>
    <w:tmpl w:val="F920F5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6740523B"/>
    <w:multiLevelType w:val="hybridMultilevel"/>
    <w:tmpl w:val="AF329B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6BB95F85"/>
    <w:multiLevelType w:val="multilevel"/>
    <w:tmpl w:val="FE3E2F2C"/>
    <w:lvl w:ilvl="0">
      <w:start w:val="37"/>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0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CE97EB7"/>
    <w:multiLevelType w:val="hybridMultilevel"/>
    <w:tmpl w:val="7FDE0AF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11E5E76"/>
    <w:multiLevelType w:val="hybridMultilevel"/>
    <w:tmpl w:val="42A41B92"/>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2">
    <w:nsid w:val="7465161E"/>
    <w:multiLevelType w:val="hybridMultilevel"/>
    <w:tmpl w:val="90A0D29A"/>
    <w:lvl w:ilvl="0" w:tplc="0402000D">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43">
    <w:nsid w:val="779317AC"/>
    <w:multiLevelType w:val="hybridMultilevel"/>
    <w:tmpl w:val="40A8F3EE"/>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44">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nsid w:val="7BB643F4"/>
    <w:multiLevelType w:val="multilevel"/>
    <w:tmpl w:val="79F89FA6"/>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EC34268"/>
    <w:multiLevelType w:val="multilevel"/>
    <w:tmpl w:val="B7A24586"/>
    <w:lvl w:ilvl="0">
      <w:start w:val="1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num w:numId="1">
    <w:abstractNumId w:val="19"/>
  </w:num>
  <w:num w:numId="2">
    <w:abstractNumId w:val="5"/>
  </w:num>
  <w:num w:numId="3">
    <w:abstractNumId w:val="44"/>
  </w:num>
  <w:num w:numId="4">
    <w:abstractNumId w:val="23"/>
  </w:num>
  <w:num w:numId="5">
    <w:abstractNumId w:val="18"/>
  </w:num>
  <w:num w:numId="6">
    <w:abstractNumId w:val="8"/>
  </w:num>
  <w:num w:numId="7">
    <w:abstractNumId w:val="17"/>
  </w:num>
  <w:num w:numId="8">
    <w:abstractNumId w:val="16"/>
  </w:num>
  <w:num w:numId="9">
    <w:abstractNumId w:val="15"/>
  </w:num>
  <w:num w:numId="10">
    <w:abstractNumId w:val="22"/>
  </w:num>
  <w:num w:numId="11">
    <w:abstractNumId w:val="41"/>
  </w:num>
  <w:num w:numId="12">
    <w:abstractNumId w:val="36"/>
  </w:num>
  <w:num w:numId="13">
    <w:abstractNumId w:val="27"/>
  </w:num>
  <w:num w:numId="14">
    <w:abstractNumId w:val="35"/>
  </w:num>
  <w:num w:numId="15">
    <w:abstractNumId w:val="11"/>
  </w:num>
  <w:num w:numId="16">
    <w:abstractNumId w:val="33"/>
  </w:num>
  <w:num w:numId="17">
    <w:abstractNumId w:val="3"/>
  </w:num>
  <w:num w:numId="18">
    <w:abstractNumId w:val="31"/>
  </w:num>
  <w:num w:numId="19">
    <w:abstractNumId w:val="34"/>
  </w:num>
  <w:num w:numId="20">
    <w:abstractNumId w:val="14"/>
  </w:num>
  <w:num w:numId="21">
    <w:abstractNumId w:val="26"/>
  </w:num>
  <w:num w:numId="22">
    <w:abstractNumId w:val="43"/>
  </w:num>
  <w:num w:numId="23">
    <w:abstractNumId w:val="28"/>
  </w:num>
  <w:num w:numId="24">
    <w:abstractNumId w:val="42"/>
  </w:num>
  <w:num w:numId="25">
    <w:abstractNumId w:val="32"/>
  </w:num>
  <w:num w:numId="26">
    <w:abstractNumId w:val="0"/>
  </w:num>
  <w:num w:numId="27">
    <w:abstractNumId w:val="1"/>
  </w:num>
  <w:num w:numId="28">
    <w:abstractNumId w:val="30"/>
  </w:num>
  <w:num w:numId="29">
    <w:abstractNumId w:val="7"/>
  </w:num>
  <w:num w:numId="30">
    <w:abstractNumId w:val="6"/>
  </w:num>
  <w:num w:numId="31">
    <w:abstractNumId w:val="20"/>
  </w:num>
  <w:num w:numId="32">
    <w:abstractNumId w:val="37"/>
  </w:num>
  <w:num w:numId="33">
    <w:abstractNumId w:val="2"/>
  </w:num>
  <w:num w:numId="34">
    <w:abstractNumId w:val="39"/>
  </w:num>
  <w:num w:numId="35">
    <w:abstractNumId w:val="9"/>
  </w:num>
  <w:num w:numId="36">
    <w:abstractNumId w:val="10"/>
  </w:num>
  <w:num w:numId="37">
    <w:abstractNumId w:val="12"/>
  </w:num>
  <w:num w:numId="38">
    <w:abstractNumId w:val="4"/>
  </w:num>
  <w:num w:numId="39">
    <w:abstractNumId w:val="13"/>
  </w:num>
  <w:num w:numId="40">
    <w:abstractNumId w:val="38"/>
  </w:num>
  <w:num w:numId="41">
    <w:abstractNumId w:val="45"/>
  </w:num>
  <w:num w:numId="42">
    <w:abstractNumId w:val="46"/>
  </w:num>
  <w:num w:numId="43">
    <w:abstractNumId w:val="21"/>
  </w:num>
  <w:num w:numId="44">
    <w:abstractNumId w:val="40"/>
  </w:num>
  <w:num w:numId="45">
    <w:abstractNumId w:val="29"/>
  </w:num>
  <w:num w:numId="46">
    <w:abstractNumId w:val="24"/>
  </w:num>
  <w:num w:numId="47">
    <w:abstractNumId w:val="2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bg-BG" w:vendorID="11" w:dllVersion="512" w:checkStyle="1"/>
  <w:activeWritingStyle w:appName="MSWord" w:lang="ru-RU" w:vendorID="1" w:dllVersion="512" w:checkStyle="1"/>
  <w:attachedTemplate r:id="rId1"/>
  <w:stylePaneFormatFilter w:val="1F08"/>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605"/>
    <w:rsid w:val="00000CFA"/>
    <w:rsid w:val="000010DE"/>
    <w:rsid w:val="00002FE7"/>
    <w:rsid w:val="0000312A"/>
    <w:rsid w:val="0000314C"/>
    <w:rsid w:val="00003899"/>
    <w:rsid w:val="00004249"/>
    <w:rsid w:val="000053FE"/>
    <w:rsid w:val="00005EDA"/>
    <w:rsid w:val="000067B0"/>
    <w:rsid w:val="00006A5C"/>
    <w:rsid w:val="00006A7A"/>
    <w:rsid w:val="00006D90"/>
    <w:rsid w:val="00007314"/>
    <w:rsid w:val="000101DE"/>
    <w:rsid w:val="00010679"/>
    <w:rsid w:val="00010827"/>
    <w:rsid w:val="000109F0"/>
    <w:rsid w:val="00010C56"/>
    <w:rsid w:val="0001102B"/>
    <w:rsid w:val="000111B4"/>
    <w:rsid w:val="00011B80"/>
    <w:rsid w:val="0001223D"/>
    <w:rsid w:val="0001284F"/>
    <w:rsid w:val="0001397C"/>
    <w:rsid w:val="00014864"/>
    <w:rsid w:val="000149AA"/>
    <w:rsid w:val="00014F7A"/>
    <w:rsid w:val="00014FA5"/>
    <w:rsid w:val="000150F1"/>
    <w:rsid w:val="00016A3D"/>
    <w:rsid w:val="00017ED3"/>
    <w:rsid w:val="00017EE4"/>
    <w:rsid w:val="00020FED"/>
    <w:rsid w:val="00021454"/>
    <w:rsid w:val="000215E4"/>
    <w:rsid w:val="00021FA9"/>
    <w:rsid w:val="0002340F"/>
    <w:rsid w:val="00023484"/>
    <w:rsid w:val="00023569"/>
    <w:rsid w:val="000243FB"/>
    <w:rsid w:val="0002446A"/>
    <w:rsid w:val="000248A4"/>
    <w:rsid w:val="00024EFB"/>
    <w:rsid w:val="00025F17"/>
    <w:rsid w:val="00026073"/>
    <w:rsid w:val="00026CD8"/>
    <w:rsid w:val="000274A9"/>
    <w:rsid w:val="000275D7"/>
    <w:rsid w:val="0002771C"/>
    <w:rsid w:val="00027848"/>
    <w:rsid w:val="00030309"/>
    <w:rsid w:val="00030613"/>
    <w:rsid w:val="00030954"/>
    <w:rsid w:val="00031809"/>
    <w:rsid w:val="00031BAA"/>
    <w:rsid w:val="00031FE2"/>
    <w:rsid w:val="0003276F"/>
    <w:rsid w:val="00032912"/>
    <w:rsid w:val="00032AB0"/>
    <w:rsid w:val="00032D0F"/>
    <w:rsid w:val="00032D45"/>
    <w:rsid w:val="000350D2"/>
    <w:rsid w:val="00035AB9"/>
    <w:rsid w:val="00035C40"/>
    <w:rsid w:val="00036B17"/>
    <w:rsid w:val="00036E76"/>
    <w:rsid w:val="000379BC"/>
    <w:rsid w:val="00037E01"/>
    <w:rsid w:val="000403AE"/>
    <w:rsid w:val="000421F4"/>
    <w:rsid w:val="00042408"/>
    <w:rsid w:val="0004255A"/>
    <w:rsid w:val="00043022"/>
    <w:rsid w:val="00043F9F"/>
    <w:rsid w:val="00043FAD"/>
    <w:rsid w:val="0004411E"/>
    <w:rsid w:val="0004420F"/>
    <w:rsid w:val="00046317"/>
    <w:rsid w:val="0004632B"/>
    <w:rsid w:val="000469DB"/>
    <w:rsid w:val="000473EA"/>
    <w:rsid w:val="0004761C"/>
    <w:rsid w:val="0005013E"/>
    <w:rsid w:val="000508D2"/>
    <w:rsid w:val="00051767"/>
    <w:rsid w:val="0005211B"/>
    <w:rsid w:val="00052191"/>
    <w:rsid w:val="00052C91"/>
    <w:rsid w:val="00052FCD"/>
    <w:rsid w:val="000537FD"/>
    <w:rsid w:val="00053C2D"/>
    <w:rsid w:val="000542F2"/>
    <w:rsid w:val="0005443D"/>
    <w:rsid w:val="0005467E"/>
    <w:rsid w:val="00054B85"/>
    <w:rsid w:val="00055211"/>
    <w:rsid w:val="000556F0"/>
    <w:rsid w:val="0005599F"/>
    <w:rsid w:val="00055AE6"/>
    <w:rsid w:val="00055B22"/>
    <w:rsid w:val="00055B49"/>
    <w:rsid w:val="00056C0E"/>
    <w:rsid w:val="00056CCD"/>
    <w:rsid w:val="000571B6"/>
    <w:rsid w:val="0006166B"/>
    <w:rsid w:val="00061A94"/>
    <w:rsid w:val="00061B22"/>
    <w:rsid w:val="000623A9"/>
    <w:rsid w:val="00062407"/>
    <w:rsid w:val="00062B0F"/>
    <w:rsid w:val="00062F0E"/>
    <w:rsid w:val="00062FCA"/>
    <w:rsid w:val="000632BA"/>
    <w:rsid w:val="00063F29"/>
    <w:rsid w:val="00064D21"/>
    <w:rsid w:val="00065896"/>
    <w:rsid w:val="000662B5"/>
    <w:rsid w:val="0006688E"/>
    <w:rsid w:val="00066BD8"/>
    <w:rsid w:val="000673C4"/>
    <w:rsid w:val="000675B6"/>
    <w:rsid w:val="0006793B"/>
    <w:rsid w:val="00070A77"/>
    <w:rsid w:val="00070AB1"/>
    <w:rsid w:val="000711E9"/>
    <w:rsid w:val="0007140F"/>
    <w:rsid w:val="00072452"/>
    <w:rsid w:val="00072CDF"/>
    <w:rsid w:val="00073010"/>
    <w:rsid w:val="00073322"/>
    <w:rsid w:val="00073CB0"/>
    <w:rsid w:val="00075170"/>
    <w:rsid w:val="00075430"/>
    <w:rsid w:val="0007621E"/>
    <w:rsid w:val="00076485"/>
    <w:rsid w:val="00076724"/>
    <w:rsid w:val="000769ED"/>
    <w:rsid w:val="00076DD0"/>
    <w:rsid w:val="00076E92"/>
    <w:rsid w:val="0007713E"/>
    <w:rsid w:val="00080D0C"/>
    <w:rsid w:val="000812CA"/>
    <w:rsid w:val="00081685"/>
    <w:rsid w:val="00082B06"/>
    <w:rsid w:val="0008326A"/>
    <w:rsid w:val="00083B82"/>
    <w:rsid w:val="00083FF2"/>
    <w:rsid w:val="000840F9"/>
    <w:rsid w:val="00084B27"/>
    <w:rsid w:val="00084E05"/>
    <w:rsid w:val="00084F7A"/>
    <w:rsid w:val="00086469"/>
    <w:rsid w:val="0008727C"/>
    <w:rsid w:val="000876FB"/>
    <w:rsid w:val="000900D2"/>
    <w:rsid w:val="00090385"/>
    <w:rsid w:val="0009040D"/>
    <w:rsid w:val="00090C3D"/>
    <w:rsid w:val="0009223E"/>
    <w:rsid w:val="0009236A"/>
    <w:rsid w:val="0009248F"/>
    <w:rsid w:val="0009282F"/>
    <w:rsid w:val="000957B0"/>
    <w:rsid w:val="000958AC"/>
    <w:rsid w:val="00095CA1"/>
    <w:rsid w:val="00095F82"/>
    <w:rsid w:val="00096027"/>
    <w:rsid w:val="000960A4"/>
    <w:rsid w:val="000966A1"/>
    <w:rsid w:val="000966BF"/>
    <w:rsid w:val="00096D35"/>
    <w:rsid w:val="00096E05"/>
    <w:rsid w:val="0009743D"/>
    <w:rsid w:val="000974C5"/>
    <w:rsid w:val="000977FC"/>
    <w:rsid w:val="000A03F6"/>
    <w:rsid w:val="000A0AF9"/>
    <w:rsid w:val="000A183E"/>
    <w:rsid w:val="000A1B5B"/>
    <w:rsid w:val="000A1DCC"/>
    <w:rsid w:val="000A26DA"/>
    <w:rsid w:val="000A2A82"/>
    <w:rsid w:val="000A2E68"/>
    <w:rsid w:val="000A45A8"/>
    <w:rsid w:val="000A476F"/>
    <w:rsid w:val="000A4DFB"/>
    <w:rsid w:val="000A5215"/>
    <w:rsid w:val="000A560C"/>
    <w:rsid w:val="000A60F9"/>
    <w:rsid w:val="000A6142"/>
    <w:rsid w:val="000A6299"/>
    <w:rsid w:val="000A6653"/>
    <w:rsid w:val="000A6741"/>
    <w:rsid w:val="000A6C00"/>
    <w:rsid w:val="000A720F"/>
    <w:rsid w:val="000B01C6"/>
    <w:rsid w:val="000B01E8"/>
    <w:rsid w:val="000B0398"/>
    <w:rsid w:val="000B1016"/>
    <w:rsid w:val="000B168A"/>
    <w:rsid w:val="000B1818"/>
    <w:rsid w:val="000B1BB8"/>
    <w:rsid w:val="000B1F64"/>
    <w:rsid w:val="000B2407"/>
    <w:rsid w:val="000B27E1"/>
    <w:rsid w:val="000B2BB0"/>
    <w:rsid w:val="000B356E"/>
    <w:rsid w:val="000B36F8"/>
    <w:rsid w:val="000B43D6"/>
    <w:rsid w:val="000B4612"/>
    <w:rsid w:val="000B4EDD"/>
    <w:rsid w:val="000B533D"/>
    <w:rsid w:val="000B5702"/>
    <w:rsid w:val="000B5948"/>
    <w:rsid w:val="000B5EAF"/>
    <w:rsid w:val="000B67C9"/>
    <w:rsid w:val="000B68C1"/>
    <w:rsid w:val="000B696C"/>
    <w:rsid w:val="000B6C23"/>
    <w:rsid w:val="000B742A"/>
    <w:rsid w:val="000B7C60"/>
    <w:rsid w:val="000C179A"/>
    <w:rsid w:val="000C1AC1"/>
    <w:rsid w:val="000C25A4"/>
    <w:rsid w:val="000C3B5A"/>
    <w:rsid w:val="000C42A6"/>
    <w:rsid w:val="000C45B7"/>
    <w:rsid w:val="000C4757"/>
    <w:rsid w:val="000C47ED"/>
    <w:rsid w:val="000C4933"/>
    <w:rsid w:val="000C4AB7"/>
    <w:rsid w:val="000C4B40"/>
    <w:rsid w:val="000C50F1"/>
    <w:rsid w:val="000C536D"/>
    <w:rsid w:val="000C5A06"/>
    <w:rsid w:val="000C5A85"/>
    <w:rsid w:val="000C6739"/>
    <w:rsid w:val="000C6C4F"/>
    <w:rsid w:val="000C6FFF"/>
    <w:rsid w:val="000C77F7"/>
    <w:rsid w:val="000D018A"/>
    <w:rsid w:val="000D0CDA"/>
    <w:rsid w:val="000D108E"/>
    <w:rsid w:val="000D13EE"/>
    <w:rsid w:val="000D1526"/>
    <w:rsid w:val="000D1649"/>
    <w:rsid w:val="000D1789"/>
    <w:rsid w:val="000D1B59"/>
    <w:rsid w:val="000D1D59"/>
    <w:rsid w:val="000D210A"/>
    <w:rsid w:val="000D2258"/>
    <w:rsid w:val="000D273D"/>
    <w:rsid w:val="000D2FCF"/>
    <w:rsid w:val="000D3B1C"/>
    <w:rsid w:val="000D3C2D"/>
    <w:rsid w:val="000D3E93"/>
    <w:rsid w:val="000D3EFF"/>
    <w:rsid w:val="000D6664"/>
    <w:rsid w:val="000D66C4"/>
    <w:rsid w:val="000D6975"/>
    <w:rsid w:val="000E01D6"/>
    <w:rsid w:val="000E02A1"/>
    <w:rsid w:val="000E058D"/>
    <w:rsid w:val="000E07EE"/>
    <w:rsid w:val="000E17F5"/>
    <w:rsid w:val="000E2027"/>
    <w:rsid w:val="000E2A6A"/>
    <w:rsid w:val="000E3758"/>
    <w:rsid w:val="000E420E"/>
    <w:rsid w:val="000E465E"/>
    <w:rsid w:val="000E4BAC"/>
    <w:rsid w:val="000E4CF7"/>
    <w:rsid w:val="000E5D11"/>
    <w:rsid w:val="000E6060"/>
    <w:rsid w:val="000E6103"/>
    <w:rsid w:val="000E6A44"/>
    <w:rsid w:val="000E6D4A"/>
    <w:rsid w:val="000E75A5"/>
    <w:rsid w:val="000E7816"/>
    <w:rsid w:val="000E7D9A"/>
    <w:rsid w:val="000F05A6"/>
    <w:rsid w:val="000F07F8"/>
    <w:rsid w:val="000F0A02"/>
    <w:rsid w:val="000F0B1E"/>
    <w:rsid w:val="000F0B2B"/>
    <w:rsid w:val="000F11B5"/>
    <w:rsid w:val="000F1289"/>
    <w:rsid w:val="000F1BC4"/>
    <w:rsid w:val="000F28DD"/>
    <w:rsid w:val="000F2A3B"/>
    <w:rsid w:val="000F37DD"/>
    <w:rsid w:val="000F47CD"/>
    <w:rsid w:val="000F4A4E"/>
    <w:rsid w:val="000F4B65"/>
    <w:rsid w:val="000F5649"/>
    <w:rsid w:val="000F5EAC"/>
    <w:rsid w:val="000F5FD8"/>
    <w:rsid w:val="000F691B"/>
    <w:rsid w:val="000F6A78"/>
    <w:rsid w:val="000F6E34"/>
    <w:rsid w:val="000F6F97"/>
    <w:rsid w:val="000F6FCA"/>
    <w:rsid w:val="000F7971"/>
    <w:rsid w:val="00100549"/>
    <w:rsid w:val="00100B29"/>
    <w:rsid w:val="001010E9"/>
    <w:rsid w:val="00101D2F"/>
    <w:rsid w:val="00102EC0"/>
    <w:rsid w:val="001035CE"/>
    <w:rsid w:val="00103C2D"/>
    <w:rsid w:val="00104BB1"/>
    <w:rsid w:val="00104BB3"/>
    <w:rsid w:val="0010506A"/>
    <w:rsid w:val="00105285"/>
    <w:rsid w:val="00105DCE"/>
    <w:rsid w:val="00105FB6"/>
    <w:rsid w:val="00105FDD"/>
    <w:rsid w:val="00106C56"/>
    <w:rsid w:val="001078D4"/>
    <w:rsid w:val="001079BD"/>
    <w:rsid w:val="00110066"/>
    <w:rsid w:val="001108CE"/>
    <w:rsid w:val="00110B7D"/>
    <w:rsid w:val="00111055"/>
    <w:rsid w:val="001127AC"/>
    <w:rsid w:val="00112DB3"/>
    <w:rsid w:val="00112E1E"/>
    <w:rsid w:val="001139A6"/>
    <w:rsid w:val="00114896"/>
    <w:rsid w:val="00115227"/>
    <w:rsid w:val="0011524F"/>
    <w:rsid w:val="001154BB"/>
    <w:rsid w:val="00115C87"/>
    <w:rsid w:val="00116490"/>
    <w:rsid w:val="0011653E"/>
    <w:rsid w:val="00116684"/>
    <w:rsid w:val="00116FC2"/>
    <w:rsid w:val="001170DE"/>
    <w:rsid w:val="00117250"/>
    <w:rsid w:val="00117E97"/>
    <w:rsid w:val="0012074A"/>
    <w:rsid w:val="001207BA"/>
    <w:rsid w:val="001207F3"/>
    <w:rsid w:val="0012111C"/>
    <w:rsid w:val="00122108"/>
    <w:rsid w:val="001223E4"/>
    <w:rsid w:val="00122935"/>
    <w:rsid w:val="0012297E"/>
    <w:rsid w:val="001229E0"/>
    <w:rsid w:val="00122FB8"/>
    <w:rsid w:val="00123D4B"/>
    <w:rsid w:val="00123EBB"/>
    <w:rsid w:val="00123FA5"/>
    <w:rsid w:val="001249CB"/>
    <w:rsid w:val="00125828"/>
    <w:rsid w:val="00125C38"/>
    <w:rsid w:val="0012771D"/>
    <w:rsid w:val="001308B6"/>
    <w:rsid w:val="00130A5E"/>
    <w:rsid w:val="001317AE"/>
    <w:rsid w:val="00131990"/>
    <w:rsid w:val="0013220C"/>
    <w:rsid w:val="0013265B"/>
    <w:rsid w:val="00132762"/>
    <w:rsid w:val="00132D82"/>
    <w:rsid w:val="00133042"/>
    <w:rsid w:val="00133332"/>
    <w:rsid w:val="00133ADC"/>
    <w:rsid w:val="00133F4A"/>
    <w:rsid w:val="00134470"/>
    <w:rsid w:val="00134881"/>
    <w:rsid w:val="00134997"/>
    <w:rsid w:val="00134A6A"/>
    <w:rsid w:val="00134C26"/>
    <w:rsid w:val="0013559D"/>
    <w:rsid w:val="0013569C"/>
    <w:rsid w:val="001369DF"/>
    <w:rsid w:val="00137039"/>
    <w:rsid w:val="00137498"/>
    <w:rsid w:val="00140318"/>
    <w:rsid w:val="00140A89"/>
    <w:rsid w:val="001413DA"/>
    <w:rsid w:val="001414D6"/>
    <w:rsid w:val="00141553"/>
    <w:rsid w:val="001416C3"/>
    <w:rsid w:val="0014191D"/>
    <w:rsid w:val="0014211D"/>
    <w:rsid w:val="00142630"/>
    <w:rsid w:val="00142DC1"/>
    <w:rsid w:val="00143EB2"/>
    <w:rsid w:val="00144002"/>
    <w:rsid w:val="00144887"/>
    <w:rsid w:val="00144FBE"/>
    <w:rsid w:val="00145387"/>
    <w:rsid w:val="00145947"/>
    <w:rsid w:val="00145D47"/>
    <w:rsid w:val="001467B3"/>
    <w:rsid w:val="00146C9C"/>
    <w:rsid w:val="0014730C"/>
    <w:rsid w:val="00147642"/>
    <w:rsid w:val="0014779A"/>
    <w:rsid w:val="00150176"/>
    <w:rsid w:val="001505FD"/>
    <w:rsid w:val="0015073F"/>
    <w:rsid w:val="00150A86"/>
    <w:rsid w:val="00151869"/>
    <w:rsid w:val="00152DDB"/>
    <w:rsid w:val="00153913"/>
    <w:rsid w:val="00153979"/>
    <w:rsid w:val="0015416F"/>
    <w:rsid w:val="001558F7"/>
    <w:rsid w:val="00155CF4"/>
    <w:rsid w:val="00156D2F"/>
    <w:rsid w:val="001570ED"/>
    <w:rsid w:val="00157E1E"/>
    <w:rsid w:val="00157EE2"/>
    <w:rsid w:val="001606F1"/>
    <w:rsid w:val="00161061"/>
    <w:rsid w:val="0016107F"/>
    <w:rsid w:val="0016144C"/>
    <w:rsid w:val="001628C4"/>
    <w:rsid w:val="00162B74"/>
    <w:rsid w:val="0016333B"/>
    <w:rsid w:val="00163469"/>
    <w:rsid w:val="001638E4"/>
    <w:rsid w:val="001638F3"/>
    <w:rsid w:val="00164922"/>
    <w:rsid w:val="00165A27"/>
    <w:rsid w:val="001662A4"/>
    <w:rsid w:val="00166C84"/>
    <w:rsid w:val="00166E6D"/>
    <w:rsid w:val="00166F0F"/>
    <w:rsid w:val="00167648"/>
    <w:rsid w:val="0017045C"/>
    <w:rsid w:val="00170B27"/>
    <w:rsid w:val="00170D56"/>
    <w:rsid w:val="00170DA7"/>
    <w:rsid w:val="00170EC6"/>
    <w:rsid w:val="0017199A"/>
    <w:rsid w:val="00173076"/>
    <w:rsid w:val="0017360A"/>
    <w:rsid w:val="0017360C"/>
    <w:rsid w:val="00173A5F"/>
    <w:rsid w:val="00173CA9"/>
    <w:rsid w:val="00173FE4"/>
    <w:rsid w:val="0017434D"/>
    <w:rsid w:val="0017446D"/>
    <w:rsid w:val="00174CBB"/>
    <w:rsid w:val="00174D18"/>
    <w:rsid w:val="00174D9B"/>
    <w:rsid w:val="001750D9"/>
    <w:rsid w:val="0017522E"/>
    <w:rsid w:val="00175407"/>
    <w:rsid w:val="00177DD6"/>
    <w:rsid w:val="00180C19"/>
    <w:rsid w:val="001812B2"/>
    <w:rsid w:val="0018139F"/>
    <w:rsid w:val="00181A23"/>
    <w:rsid w:val="00181F52"/>
    <w:rsid w:val="001824DD"/>
    <w:rsid w:val="00182867"/>
    <w:rsid w:val="00182994"/>
    <w:rsid w:val="00182A22"/>
    <w:rsid w:val="0018328D"/>
    <w:rsid w:val="001833A8"/>
    <w:rsid w:val="001835EA"/>
    <w:rsid w:val="00183665"/>
    <w:rsid w:val="001837CA"/>
    <w:rsid w:val="00183D5C"/>
    <w:rsid w:val="00184D62"/>
    <w:rsid w:val="00185015"/>
    <w:rsid w:val="00185485"/>
    <w:rsid w:val="00185779"/>
    <w:rsid w:val="00185DAA"/>
    <w:rsid w:val="00185F18"/>
    <w:rsid w:val="00185F64"/>
    <w:rsid w:val="0018684F"/>
    <w:rsid w:val="00186B7D"/>
    <w:rsid w:val="001877D2"/>
    <w:rsid w:val="00187A3A"/>
    <w:rsid w:val="00187A66"/>
    <w:rsid w:val="00187F65"/>
    <w:rsid w:val="0019009B"/>
    <w:rsid w:val="00190CE0"/>
    <w:rsid w:val="001915E6"/>
    <w:rsid w:val="0019166D"/>
    <w:rsid w:val="00191BE5"/>
    <w:rsid w:val="00192766"/>
    <w:rsid w:val="00192E8A"/>
    <w:rsid w:val="001931E5"/>
    <w:rsid w:val="001937D2"/>
    <w:rsid w:val="001940E9"/>
    <w:rsid w:val="00195050"/>
    <w:rsid w:val="00195115"/>
    <w:rsid w:val="00195138"/>
    <w:rsid w:val="00196B92"/>
    <w:rsid w:val="00196EE7"/>
    <w:rsid w:val="00197471"/>
    <w:rsid w:val="00197BEA"/>
    <w:rsid w:val="001A0183"/>
    <w:rsid w:val="001A0A7A"/>
    <w:rsid w:val="001A0FD8"/>
    <w:rsid w:val="001A1289"/>
    <w:rsid w:val="001A1352"/>
    <w:rsid w:val="001A268F"/>
    <w:rsid w:val="001A3769"/>
    <w:rsid w:val="001A38EF"/>
    <w:rsid w:val="001A3A05"/>
    <w:rsid w:val="001A3F4A"/>
    <w:rsid w:val="001A4628"/>
    <w:rsid w:val="001A4766"/>
    <w:rsid w:val="001A4BA8"/>
    <w:rsid w:val="001A6D61"/>
    <w:rsid w:val="001A71A2"/>
    <w:rsid w:val="001A779B"/>
    <w:rsid w:val="001A79D8"/>
    <w:rsid w:val="001B04FD"/>
    <w:rsid w:val="001B10D5"/>
    <w:rsid w:val="001B155F"/>
    <w:rsid w:val="001B187D"/>
    <w:rsid w:val="001B309B"/>
    <w:rsid w:val="001B3E90"/>
    <w:rsid w:val="001B445C"/>
    <w:rsid w:val="001B4637"/>
    <w:rsid w:val="001B485F"/>
    <w:rsid w:val="001B5062"/>
    <w:rsid w:val="001B51E2"/>
    <w:rsid w:val="001B5974"/>
    <w:rsid w:val="001B5C43"/>
    <w:rsid w:val="001B61BE"/>
    <w:rsid w:val="001B6557"/>
    <w:rsid w:val="001B6D67"/>
    <w:rsid w:val="001B7AF6"/>
    <w:rsid w:val="001C0511"/>
    <w:rsid w:val="001C0D0E"/>
    <w:rsid w:val="001C0E8D"/>
    <w:rsid w:val="001C193D"/>
    <w:rsid w:val="001C2B8E"/>
    <w:rsid w:val="001C2DBC"/>
    <w:rsid w:val="001C34AA"/>
    <w:rsid w:val="001C36B4"/>
    <w:rsid w:val="001C3B33"/>
    <w:rsid w:val="001C4049"/>
    <w:rsid w:val="001C4A08"/>
    <w:rsid w:val="001C4ABC"/>
    <w:rsid w:val="001C54CC"/>
    <w:rsid w:val="001C5553"/>
    <w:rsid w:val="001C6089"/>
    <w:rsid w:val="001C74A5"/>
    <w:rsid w:val="001D004A"/>
    <w:rsid w:val="001D0227"/>
    <w:rsid w:val="001D06FA"/>
    <w:rsid w:val="001D0786"/>
    <w:rsid w:val="001D078A"/>
    <w:rsid w:val="001D0814"/>
    <w:rsid w:val="001D0A7D"/>
    <w:rsid w:val="001D165B"/>
    <w:rsid w:val="001D1C9E"/>
    <w:rsid w:val="001D400A"/>
    <w:rsid w:val="001D4104"/>
    <w:rsid w:val="001D49A6"/>
    <w:rsid w:val="001D5054"/>
    <w:rsid w:val="001D5A1B"/>
    <w:rsid w:val="001D5D48"/>
    <w:rsid w:val="001D704D"/>
    <w:rsid w:val="001D72A3"/>
    <w:rsid w:val="001D7381"/>
    <w:rsid w:val="001D7AE3"/>
    <w:rsid w:val="001E007A"/>
    <w:rsid w:val="001E0857"/>
    <w:rsid w:val="001E1CB4"/>
    <w:rsid w:val="001E227C"/>
    <w:rsid w:val="001E3E54"/>
    <w:rsid w:val="001E3E58"/>
    <w:rsid w:val="001E46AE"/>
    <w:rsid w:val="001E4920"/>
    <w:rsid w:val="001E51ED"/>
    <w:rsid w:val="001E5249"/>
    <w:rsid w:val="001E54B7"/>
    <w:rsid w:val="001E5863"/>
    <w:rsid w:val="001E586F"/>
    <w:rsid w:val="001E58AA"/>
    <w:rsid w:val="001E5BCA"/>
    <w:rsid w:val="001E5F34"/>
    <w:rsid w:val="001E7086"/>
    <w:rsid w:val="001E7406"/>
    <w:rsid w:val="001E74B1"/>
    <w:rsid w:val="001E7BB7"/>
    <w:rsid w:val="001E7FFB"/>
    <w:rsid w:val="001F01C7"/>
    <w:rsid w:val="001F02E5"/>
    <w:rsid w:val="001F0C7D"/>
    <w:rsid w:val="001F1246"/>
    <w:rsid w:val="001F1559"/>
    <w:rsid w:val="001F1D83"/>
    <w:rsid w:val="001F205C"/>
    <w:rsid w:val="001F3200"/>
    <w:rsid w:val="001F37DF"/>
    <w:rsid w:val="001F4092"/>
    <w:rsid w:val="001F440E"/>
    <w:rsid w:val="001F4A2C"/>
    <w:rsid w:val="001F4B3C"/>
    <w:rsid w:val="001F5130"/>
    <w:rsid w:val="001F52F8"/>
    <w:rsid w:val="001F5564"/>
    <w:rsid w:val="001F5608"/>
    <w:rsid w:val="001F5673"/>
    <w:rsid w:val="001F57DE"/>
    <w:rsid w:val="001F5A9D"/>
    <w:rsid w:val="001F5D01"/>
    <w:rsid w:val="001F61FC"/>
    <w:rsid w:val="001F6C89"/>
    <w:rsid w:val="001F7B86"/>
    <w:rsid w:val="001F7D57"/>
    <w:rsid w:val="0020006F"/>
    <w:rsid w:val="00200766"/>
    <w:rsid w:val="0020115E"/>
    <w:rsid w:val="00201216"/>
    <w:rsid w:val="00201BB0"/>
    <w:rsid w:val="00201C8F"/>
    <w:rsid w:val="00202124"/>
    <w:rsid w:val="002022A3"/>
    <w:rsid w:val="002022AD"/>
    <w:rsid w:val="00202929"/>
    <w:rsid w:val="002034D9"/>
    <w:rsid w:val="00203578"/>
    <w:rsid w:val="00203A3C"/>
    <w:rsid w:val="00203DB4"/>
    <w:rsid w:val="0020408E"/>
    <w:rsid w:val="0020423D"/>
    <w:rsid w:val="00204A7A"/>
    <w:rsid w:val="00204E6C"/>
    <w:rsid w:val="00204EA8"/>
    <w:rsid w:val="002057CE"/>
    <w:rsid w:val="00205F8C"/>
    <w:rsid w:val="002063B0"/>
    <w:rsid w:val="00206415"/>
    <w:rsid w:val="00206E93"/>
    <w:rsid w:val="00207C25"/>
    <w:rsid w:val="00210062"/>
    <w:rsid w:val="00210334"/>
    <w:rsid w:val="002109D8"/>
    <w:rsid w:val="0021134F"/>
    <w:rsid w:val="002117D4"/>
    <w:rsid w:val="00211C98"/>
    <w:rsid w:val="002120EA"/>
    <w:rsid w:val="002125B5"/>
    <w:rsid w:val="002127FA"/>
    <w:rsid w:val="00212AA1"/>
    <w:rsid w:val="00212B2C"/>
    <w:rsid w:val="00212BC5"/>
    <w:rsid w:val="00214049"/>
    <w:rsid w:val="00214849"/>
    <w:rsid w:val="00214A1F"/>
    <w:rsid w:val="00214A26"/>
    <w:rsid w:val="00214C42"/>
    <w:rsid w:val="00214CAA"/>
    <w:rsid w:val="00214D31"/>
    <w:rsid w:val="00214E68"/>
    <w:rsid w:val="00215A92"/>
    <w:rsid w:val="00215C44"/>
    <w:rsid w:val="00215E6D"/>
    <w:rsid w:val="00216481"/>
    <w:rsid w:val="00216E8A"/>
    <w:rsid w:val="00217183"/>
    <w:rsid w:val="00217602"/>
    <w:rsid w:val="00217755"/>
    <w:rsid w:val="00217946"/>
    <w:rsid w:val="00217ADA"/>
    <w:rsid w:val="00220521"/>
    <w:rsid w:val="002206FF"/>
    <w:rsid w:val="00220998"/>
    <w:rsid w:val="0022335D"/>
    <w:rsid w:val="0022399F"/>
    <w:rsid w:val="00223C38"/>
    <w:rsid w:val="00223E6D"/>
    <w:rsid w:val="00223E90"/>
    <w:rsid w:val="00224042"/>
    <w:rsid w:val="00224048"/>
    <w:rsid w:val="002246F8"/>
    <w:rsid w:val="00224761"/>
    <w:rsid w:val="002255B4"/>
    <w:rsid w:val="00226122"/>
    <w:rsid w:val="002266E5"/>
    <w:rsid w:val="00226DCA"/>
    <w:rsid w:val="002278B3"/>
    <w:rsid w:val="0022799A"/>
    <w:rsid w:val="00227BF4"/>
    <w:rsid w:val="00227C93"/>
    <w:rsid w:val="00227E24"/>
    <w:rsid w:val="00227FDF"/>
    <w:rsid w:val="0023000F"/>
    <w:rsid w:val="00231021"/>
    <w:rsid w:val="00231888"/>
    <w:rsid w:val="00231C7A"/>
    <w:rsid w:val="00231DA2"/>
    <w:rsid w:val="00231E85"/>
    <w:rsid w:val="00232197"/>
    <w:rsid w:val="00232438"/>
    <w:rsid w:val="0023253C"/>
    <w:rsid w:val="002326CA"/>
    <w:rsid w:val="00232894"/>
    <w:rsid w:val="002329B9"/>
    <w:rsid w:val="002331B2"/>
    <w:rsid w:val="0023343B"/>
    <w:rsid w:val="00233F75"/>
    <w:rsid w:val="00234822"/>
    <w:rsid w:val="00234F68"/>
    <w:rsid w:val="002354FA"/>
    <w:rsid w:val="00235AED"/>
    <w:rsid w:val="00237734"/>
    <w:rsid w:val="00237BD1"/>
    <w:rsid w:val="00237FAE"/>
    <w:rsid w:val="00240184"/>
    <w:rsid w:val="00240935"/>
    <w:rsid w:val="0024097B"/>
    <w:rsid w:val="00240F1E"/>
    <w:rsid w:val="002410A3"/>
    <w:rsid w:val="00241150"/>
    <w:rsid w:val="002411F6"/>
    <w:rsid w:val="00241E7C"/>
    <w:rsid w:val="00242688"/>
    <w:rsid w:val="00242889"/>
    <w:rsid w:val="002431FA"/>
    <w:rsid w:val="00243DE1"/>
    <w:rsid w:val="00243E04"/>
    <w:rsid w:val="00243EA2"/>
    <w:rsid w:val="002441DE"/>
    <w:rsid w:val="0024525F"/>
    <w:rsid w:val="00245D85"/>
    <w:rsid w:val="00245E4A"/>
    <w:rsid w:val="002462E5"/>
    <w:rsid w:val="00246DCB"/>
    <w:rsid w:val="002475CE"/>
    <w:rsid w:val="00247B47"/>
    <w:rsid w:val="00250047"/>
    <w:rsid w:val="00250CD7"/>
    <w:rsid w:val="00251CE4"/>
    <w:rsid w:val="00252AD0"/>
    <w:rsid w:val="00253316"/>
    <w:rsid w:val="00254ADD"/>
    <w:rsid w:val="00254EB5"/>
    <w:rsid w:val="00254F26"/>
    <w:rsid w:val="002551C9"/>
    <w:rsid w:val="00255256"/>
    <w:rsid w:val="00255497"/>
    <w:rsid w:val="00255619"/>
    <w:rsid w:val="0025681D"/>
    <w:rsid w:val="00257BBA"/>
    <w:rsid w:val="00260AA0"/>
    <w:rsid w:val="00261208"/>
    <w:rsid w:val="002612BA"/>
    <w:rsid w:val="00261D7A"/>
    <w:rsid w:val="00262584"/>
    <w:rsid w:val="0026290B"/>
    <w:rsid w:val="0026305C"/>
    <w:rsid w:val="00263E16"/>
    <w:rsid w:val="002641FF"/>
    <w:rsid w:val="00264580"/>
    <w:rsid w:val="002648ED"/>
    <w:rsid w:val="002649B3"/>
    <w:rsid w:val="00264E68"/>
    <w:rsid w:val="00265145"/>
    <w:rsid w:val="002655AC"/>
    <w:rsid w:val="00266646"/>
    <w:rsid w:val="00266FE5"/>
    <w:rsid w:val="00270CFC"/>
    <w:rsid w:val="00270FE0"/>
    <w:rsid w:val="00271236"/>
    <w:rsid w:val="0027163D"/>
    <w:rsid w:val="0027274D"/>
    <w:rsid w:val="0027285D"/>
    <w:rsid w:val="00272B4A"/>
    <w:rsid w:val="00272EBA"/>
    <w:rsid w:val="00273389"/>
    <w:rsid w:val="0027378F"/>
    <w:rsid w:val="002737E6"/>
    <w:rsid w:val="0027383B"/>
    <w:rsid w:val="00273DC3"/>
    <w:rsid w:val="00274622"/>
    <w:rsid w:val="002746F5"/>
    <w:rsid w:val="002767D4"/>
    <w:rsid w:val="00277037"/>
    <w:rsid w:val="0027704B"/>
    <w:rsid w:val="00277940"/>
    <w:rsid w:val="00277B6A"/>
    <w:rsid w:val="002803F8"/>
    <w:rsid w:val="002806B9"/>
    <w:rsid w:val="002807CF"/>
    <w:rsid w:val="00280C25"/>
    <w:rsid w:val="00280F51"/>
    <w:rsid w:val="00281010"/>
    <w:rsid w:val="002811E9"/>
    <w:rsid w:val="0028160D"/>
    <w:rsid w:val="00281A99"/>
    <w:rsid w:val="00282E7A"/>
    <w:rsid w:val="002831D2"/>
    <w:rsid w:val="0028387C"/>
    <w:rsid w:val="00283894"/>
    <w:rsid w:val="00283AA9"/>
    <w:rsid w:val="0028404A"/>
    <w:rsid w:val="0028437B"/>
    <w:rsid w:val="00284DB1"/>
    <w:rsid w:val="00284DC0"/>
    <w:rsid w:val="002854BE"/>
    <w:rsid w:val="0028688B"/>
    <w:rsid w:val="00287CA1"/>
    <w:rsid w:val="0029066C"/>
    <w:rsid w:val="00290887"/>
    <w:rsid w:val="00290BF0"/>
    <w:rsid w:val="00291740"/>
    <w:rsid w:val="002939F7"/>
    <w:rsid w:val="00294226"/>
    <w:rsid w:val="00294C8F"/>
    <w:rsid w:val="00294CF5"/>
    <w:rsid w:val="00294E60"/>
    <w:rsid w:val="002954CD"/>
    <w:rsid w:val="00295719"/>
    <w:rsid w:val="00296E2B"/>
    <w:rsid w:val="00296F0B"/>
    <w:rsid w:val="002972BF"/>
    <w:rsid w:val="0029744F"/>
    <w:rsid w:val="0029772E"/>
    <w:rsid w:val="00297DA4"/>
    <w:rsid w:val="002A036A"/>
    <w:rsid w:val="002A0BEF"/>
    <w:rsid w:val="002A1075"/>
    <w:rsid w:val="002A1409"/>
    <w:rsid w:val="002A15D0"/>
    <w:rsid w:val="002A1649"/>
    <w:rsid w:val="002A17C9"/>
    <w:rsid w:val="002A18E4"/>
    <w:rsid w:val="002A19AE"/>
    <w:rsid w:val="002A1FA6"/>
    <w:rsid w:val="002A2429"/>
    <w:rsid w:val="002A27B0"/>
    <w:rsid w:val="002A38CE"/>
    <w:rsid w:val="002A3EC3"/>
    <w:rsid w:val="002A4450"/>
    <w:rsid w:val="002A44CC"/>
    <w:rsid w:val="002A4BF9"/>
    <w:rsid w:val="002A4FBB"/>
    <w:rsid w:val="002A5594"/>
    <w:rsid w:val="002A5D51"/>
    <w:rsid w:val="002A5E8E"/>
    <w:rsid w:val="002A6144"/>
    <w:rsid w:val="002A61F0"/>
    <w:rsid w:val="002A6E79"/>
    <w:rsid w:val="002A7010"/>
    <w:rsid w:val="002A73A7"/>
    <w:rsid w:val="002A750F"/>
    <w:rsid w:val="002B16EE"/>
    <w:rsid w:val="002B22A7"/>
    <w:rsid w:val="002B2BC1"/>
    <w:rsid w:val="002B3BB5"/>
    <w:rsid w:val="002B4061"/>
    <w:rsid w:val="002B4396"/>
    <w:rsid w:val="002B4658"/>
    <w:rsid w:val="002B4900"/>
    <w:rsid w:val="002B5888"/>
    <w:rsid w:val="002B5F64"/>
    <w:rsid w:val="002B7B50"/>
    <w:rsid w:val="002B7D8C"/>
    <w:rsid w:val="002B7FE1"/>
    <w:rsid w:val="002C051E"/>
    <w:rsid w:val="002C0A35"/>
    <w:rsid w:val="002C0C0E"/>
    <w:rsid w:val="002C1043"/>
    <w:rsid w:val="002C1234"/>
    <w:rsid w:val="002C18CC"/>
    <w:rsid w:val="002C216E"/>
    <w:rsid w:val="002C244F"/>
    <w:rsid w:val="002C29EA"/>
    <w:rsid w:val="002C32E7"/>
    <w:rsid w:val="002C3379"/>
    <w:rsid w:val="002C3B73"/>
    <w:rsid w:val="002C486D"/>
    <w:rsid w:val="002C4CB3"/>
    <w:rsid w:val="002C5C0C"/>
    <w:rsid w:val="002C5DC3"/>
    <w:rsid w:val="002C622E"/>
    <w:rsid w:val="002C6AE3"/>
    <w:rsid w:val="002C6BEB"/>
    <w:rsid w:val="002C72F4"/>
    <w:rsid w:val="002C773B"/>
    <w:rsid w:val="002C7D75"/>
    <w:rsid w:val="002C7E21"/>
    <w:rsid w:val="002D09AB"/>
    <w:rsid w:val="002D0FE8"/>
    <w:rsid w:val="002D1402"/>
    <w:rsid w:val="002D2DC5"/>
    <w:rsid w:val="002D31BD"/>
    <w:rsid w:val="002D3296"/>
    <w:rsid w:val="002D43BA"/>
    <w:rsid w:val="002D447B"/>
    <w:rsid w:val="002D5722"/>
    <w:rsid w:val="002D7497"/>
    <w:rsid w:val="002E0679"/>
    <w:rsid w:val="002E0C90"/>
    <w:rsid w:val="002E1C7C"/>
    <w:rsid w:val="002E1D4A"/>
    <w:rsid w:val="002E240A"/>
    <w:rsid w:val="002E28E6"/>
    <w:rsid w:val="002E2CF1"/>
    <w:rsid w:val="002E332D"/>
    <w:rsid w:val="002E36C1"/>
    <w:rsid w:val="002E3BF6"/>
    <w:rsid w:val="002E4496"/>
    <w:rsid w:val="002E4736"/>
    <w:rsid w:val="002E49D7"/>
    <w:rsid w:val="002E4AB1"/>
    <w:rsid w:val="002E5E94"/>
    <w:rsid w:val="002E6DD2"/>
    <w:rsid w:val="002E70AA"/>
    <w:rsid w:val="002E756B"/>
    <w:rsid w:val="002E7730"/>
    <w:rsid w:val="002E7DFE"/>
    <w:rsid w:val="002F013A"/>
    <w:rsid w:val="002F02B5"/>
    <w:rsid w:val="002F045B"/>
    <w:rsid w:val="002F0CCD"/>
    <w:rsid w:val="002F0DCE"/>
    <w:rsid w:val="002F0E84"/>
    <w:rsid w:val="002F0FFF"/>
    <w:rsid w:val="002F2027"/>
    <w:rsid w:val="002F221C"/>
    <w:rsid w:val="002F245D"/>
    <w:rsid w:val="002F27A0"/>
    <w:rsid w:val="002F45B9"/>
    <w:rsid w:val="002F4F46"/>
    <w:rsid w:val="002F6633"/>
    <w:rsid w:val="002F67E3"/>
    <w:rsid w:val="002F73E6"/>
    <w:rsid w:val="002F7525"/>
    <w:rsid w:val="00300321"/>
    <w:rsid w:val="003007D9"/>
    <w:rsid w:val="00300833"/>
    <w:rsid w:val="0030193C"/>
    <w:rsid w:val="003020A4"/>
    <w:rsid w:val="003032D9"/>
    <w:rsid w:val="003034C1"/>
    <w:rsid w:val="00303522"/>
    <w:rsid w:val="00304B40"/>
    <w:rsid w:val="00304B6F"/>
    <w:rsid w:val="00304DCB"/>
    <w:rsid w:val="00305071"/>
    <w:rsid w:val="0030554F"/>
    <w:rsid w:val="003058A6"/>
    <w:rsid w:val="0030599B"/>
    <w:rsid w:val="00305E43"/>
    <w:rsid w:val="003061B4"/>
    <w:rsid w:val="00307606"/>
    <w:rsid w:val="00310E9E"/>
    <w:rsid w:val="003111ED"/>
    <w:rsid w:val="00311CED"/>
    <w:rsid w:val="003121E8"/>
    <w:rsid w:val="003128A9"/>
    <w:rsid w:val="00313305"/>
    <w:rsid w:val="0031353F"/>
    <w:rsid w:val="00313D60"/>
    <w:rsid w:val="003143F0"/>
    <w:rsid w:val="003144D9"/>
    <w:rsid w:val="00314BE4"/>
    <w:rsid w:val="00314EA1"/>
    <w:rsid w:val="003159C6"/>
    <w:rsid w:val="003161B6"/>
    <w:rsid w:val="003165CE"/>
    <w:rsid w:val="00316A61"/>
    <w:rsid w:val="00316F89"/>
    <w:rsid w:val="0031714A"/>
    <w:rsid w:val="00317359"/>
    <w:rsid w:val="00317A1B"/>
    <w:rsid w:val="00320310"/>
    <w:rsid w:val="0032051A"/>
    <w:rsid w:val="00320FC6"/>
    <w:rsid w:val="003228B0"/>
    <w:rsid w:val="00323749"/>
    <w:rsid w:val="0032425F"/>
    <w:rsid w:val="0032497C"/>
    <w:rsid w:val="00324E0D"/>
    <w:rsid w:val="00324EB7"/>
    <w:rsid w:val="00324EF9"/>
    <w:rsid w:val="0032514B"/>
    <w:rsid w:val="003263D3"/>
    <w:rsid w:val="003270DE"/>
    <w:rsid w:val="00327610"/>
    <w:rsid w:val="00327C68"/>
    <w:rsid w:val="00327D33"/>
    <w:rsid w:val="00330147"/>
    <w:rsid w:val="00330373"/>
    <w:rsid w:val="00330950"/>
    <w:rsid w:val="00330D2E"/>
    <w:rsid w:val="0033120C"/>
    <w:rsid w:val="0033155A"/>
    <w:rsid w:val="003324D1"/>
    <w:rsid w:val="00333224"/>
    <w:rsid w:val="0033359D"/>
    <w:rsid w:val="003338FD"/>
    <w:rsid w:val="0033462F"/>
    <w:rsid w:val="00335019"/>
    <w:rsid w:val="003357C7"/>
    <w:rsid w:val="003359F5"/>
    <w:rsid w:val="0033631F"/>
    <w:rsid w:val="00336659"/>
    <w:rsid w:val="00336A66"/>
    <w:rsid w:val="00337D5E"/>
    <w:rsid w:val="003408B2"/>
    <w:rsid w:val="0034124B"/>
    <w:rsid w:val="0034156B"/>
    <w:rsid w:val="0034253B"/>
    <w:rsid w:val="003425C8"/>
    <w:rsid w:val="00342EF8"/>
    <w:rsid w:val="003434FD"/>
    <w:rsid w:val="003435DC"/>
    <w:rsid w:val="00343A94"/>
    <w:rsid w:val="003450B3"/>
    <w:rsid w:val="003453B0"/>
    <w:rsid w:val="0034540E"/>
    <w:rsid w:val="00345871"/>
    <w:rsid w:val="00346189"/>
    <w:rsid w:val="00346191"/>
    <w:rsid w:val="00346245"/>
    <w:rsid w:val="003462D8"/>
    <w:rsid w:val="003466F5"/>
    <w:rsid w:val="00346A68"/>
    <w:rsid w:val="003475D8"/>
    <w:rsid w:val="00347F20"/>
    <w:rsid w:val="003508DA"/>
    <w:rsid w:val="0035261F"/>
    <w:rsid w:val="00353080"/>
    <w:rsid w:val="003532E5"/>
    <w:rsid w:val="00353391"/>
    <w:rsid w:val="0035414F"/>
    <w:rsid w:val="0035462A"/>
    <w:rsid w:val="00354C3C"/>
    <w:rsid w:val="00355882"/>
    <w:rsid w:val="0035625F"/>
    <w:rsid w:val="00356369"/>
    <w:rsid w:val="003568DC"/>
    <w:rsid w:val="00356908"/>
    <w:rsid w:val="00356A8A"/>
    <w:rsid w:val="00357358"/>
    <w:rsid w:val="003573DD"/>
    <w:rsid w:val="00357706"/>
    <w:rsid w:val="00357AEB"/>
    <w:rsid w:val="00360670"/>
    <w:rsid w:val="00360686"/>
    <w:rsid w:val="0036098B"/>
    <w:rsid w:val="00360D32"/>
    <w:rsid w:val="00360DB6"/>
    <w:rsid w:val="003613EA"/>
    <w:rsid w:val="00361C06"/>
    <w:rsid w:val="00362A3C"/>
    <w:rsid w:val="00362B85"/>
    <w:rsid w:val="00362EA4"/>
    <w:rsid w:val="00362FC9"/>
    <w:rsid w:val="00362FE8"/>
    <w:rsid w:val="003630F4"/>
    <w:rsid w:val="00363192"/>
    <w:rsid w:val="00363B71"/>
    <w:rsid w:val="00364028"/>
    <w:rsid w:val="00364650"/>
    <w:rsid w:val="00364AB0"/>
    <w:rsid w:val="00364EB2"/>
    <w:rsid w:val="00365327"/>
    <w:rsid w:val="00365F76"/>
    <w:rsid w:val="00366562"/>
    <w:rsid w:val="00366E2C"/>
    <w:rsid w:val="00366FEF"/>
    <w:rsid w:val="00367CE2"/>
    <w:rsid w:val="00370FB3"/>
    <w:rsid w:val="003714DF"/>
    <w:rsid w:val="0037214D"/>
    <w:rsid w:val="00373297"/>
    <w:rsid w:val="0037336A"/>
    <w:rsid w:val="0037456E"/>
    <w:rsid w:val="003745E1"/>
    <w:rsid w:val="003748A1"/>
    <w:rsid w:val="00374CFB"/>
    <w:rsid w:val="00375512"/>
    <w:rsid w:val="00376156"/>
    <w:rsid w:val="003762FC"/>
    <w:rsid w:val="0037714E"/>
    <w:rsid w:val="00377579"/>
    <w:rsid w:val="00377A01"/>
    <w:rsid w:val="003804DB"/>
    <w:rsid w:val="00380BA2"/>
    <w:rsid w:val="00380CBF"/>
    <w:rsid w:val="00381D5E"/>
    <w:rsid w:val="003827B4"/>
    <w:rsid w:val="00383549"/>
    <w:rsid w:val="00383980"/>
    <w:rsid w:val="0038472F"/>
    <w:rsid w:val="00384B15"/>
    <w:rsid w:val="00384CD3"/>
    <w:rsid w:val="00384D57"/>
    <w:rsid w:val="00384E6D"/>
    <w:rsid w:val="00384E89"/>
    <w:rsid w:val="00386AE7"/>
    <w:rsid w:val="00386B62"/>
    <w:rsid w:val="00387023"/>
    <w:rsid w:val="00387898"/>
    <w:rsid w:val="00387F2F"/>
    <w:rsid w:val="00390019"/>
    <w:rsid w:val="00390245"/>
    <w:rsid w:val="003905E8"/>
    <w:rsid w:val="003905FD"/>
    <w:rsid w:val="00390DF5"/>
    <w:rsid w:val="003910FC"/>
    <w:rsid w:val="00391471"/>
    <w:rsid w:val="00391843"/>
    <w:rsid w:val="00391C49"/>
    <w:rsid w:val="00392674"/>
    <w:rsid w:val="003958A9"/>
    <w:rsid w:val="003967F2"/>
    <w:rsid w:val="003972D5"/>
    <w:rsid w:val="00397902"/>
    <w:rsid w:val="00397C9E"/>
    <w:rsid w:val="00397E2B"/>
    <w:rsid w:val="003A004E"/>
    <w:rsid w:val="003A18E7"/>
    <w:rsid w:val="003A20D7"/>
    <w:rsid w:val="003A2769"/>
    <w:rsid w:val="003A2F8D"/>
    <w:rsid w:val="003A3BCC"/>
    <w:rsid w:val="003A4D12"/>
    <w:rsid w:val="003A5A7C"/>
    <w:rsid w:val="003A5F6C"/>
    <w:rsid w:val="003A67EC"/>
    <w:rsid w:val="003A6989"/>
    <w:rsid w:val="003A6A07"/>
    <w:rsid w:val="003A6A33"/>
    <w:rsid w:val="003A6A67"/>
    <w:rsid w:val="003A6CB3"/>
    <w:rsid w:val="003A7121"/>
    <w:rsid w:val="003A7284"/>
    <w:rsid w:val="003A7389"/>
    <w:rsid w:val="003A7495"/>
    <w:rsid w:val="003A77D3"/>
    <w:rsid w:val="003A7980"/>
    <w:rsid w:val="003B031B"/>
    <w:rsid w:val="003B0EF1"/>
    <w:rsid w:val="003B1134"/>
    <w:rsid w:val="003B12E6"/>
    <w:rsid w:val="003B2347"/>
    <w:rsid w:val="003B2401"/>
    <w:rsid w:val="003B2F1E"/>
    <w:rsid w:val="003B315D"/>
    <w:rsid w:val="003B31A3"/>
    <w:rsid w:val="003B40DE"/>
    <w:rsid w:val="003B46A5"/>
    <w:rsid w:val="003B4B00"/>
    <w:rsid w:val="003B4EC0"/>
    <w:rsid w:val="003B51B6"/>
    <w:rsid w:val="003B5263"/>
    <w:rsid w:val="003B5295"/>
    <w:rsid w:val="003B5867"/>
    <w:rsid w:val="003B5A78"/>
    <w:rsid w:val="003B629B"/>
    <w:rsid w:val="003B6C9C"/>
    <w:rsid w:val="003B6E37"/>
    <w:rsid w:val="003B751B"/>
    <w:rsid w:val="003B7986"/>
    <w:rsid w:val="003C00A7"/>
    <w:rsid w:val="003C1305"/>
    <w:rsid w:val="003C1C85"/>
    <w:rsid w:val="003C30E3"/>
    <w:rsid w:val="003C3120"/>
    <w:rsid w:val="003C39F6"/>
    <w:rsid w:val="003C3CD0"/>
    <w:rsid w:val="003C43F0"/>
    <w:rsid w:val="003C5486"/>
    <w:rsid w:val="003C575C"/>
    <w:rsid w:val="003C5DF7"/>
    <w:rsid w:val="003C6692"/>
    <w:rsid w:val="003C6BD3"/>
    <w:rsid w:val="003C6E7D"/>
    <w:rsid w:val="003C72C4"/>
    <w:rsid w:val="003C7A6E"/>
    <w:rsid w:val="003C7BF5"/>
    <w:rsid w:val="003C7EA5"/>
    <w:rsid w:val="003D0567"/>
    <w:rsid w:val="003D0617"/>
    <w:rsid w:val="003D0F16"/>
    <w:rsid w:val="003D10EF"/>
    <w:rsid w:val="003D14CC"/>
    <w:rsid w:val="003D1818"/>
    <w:rsid w:val="003D2220"/>
    <w:rsid w:val="003D25A7"/>
    <w:rsid w:val="003D339D"/>
    <w:rsid w:val="003D35CA"/>
    <w:rsid w:val="003D382B"/>
    <w:rsid w:val="003D4233"/>
    <w:rsid w:val="003D4423"/>
    <w:rsid w:val="003D4C14"/>
    <w:rsid w:val="003D510B"/>
    <w:rsid w:val="003D589C"/>
    <w:rsid w:val="003D62EB"/>
    <w:rsid w:val="003D6AA1"/>
    <w:rsid w:val="003D7407"/>
    <w:rsid w:val="003E07CF"/>
    <w:rsid w:val="003E0A5B"/>
    <w:rsid w:val="003E0AB0"/>
    <w:rsid w:val="003E0AD8"/>
    <w:rsid w:val="003E118A"/>
    <w:rsid w:val="003E2617"/>
    <w:rsid w:val="003E2859"/>
    <w:rsid w:val="003E352F"/>
    <w:rsid w:val="003E49F7"/>
    <w:rsid w:val="003E4CCD"/>
    <w:rsid w:val="003E63B9"/>
    <w:rsid w:val="003E6527"/>
    <w:rsid w:val="003E6B16"/>
    <w:rsid w:val="003E768C"/>
    <w:rsid w:val="003E7AE0"/>
    <w:rsid w:val="003E7BE5"/>
    <w:rsid w:val="003F093C"/>
    <w:rsid w:val="003F0EAD"/>
    <w:rsid w:val="003F14EE"/>
    <w:rsid w:val="003F15AC"/>
    <w:rsid w:val="003F172B"/>
    <w:rsid w:val="003F180E"/>
    <w:rsid w:val="003F1A03"/>
    <w:rsid w:val="003F1B63"/>
    <w:rsid w:val="003F1E93"/>
    <w:rsid w:val="003F2620"/>
    <w:rsid w:val="003F3132"/>
    <w:rsid w:val="003F3A53"/>
    <w:rsid w:val="003F55E8"/>
    <w:rsid w:val="003F59D5"/>
    <w:rsid w:val="003F675D"/>
    <w:rsid w:val="003F6A40"/>
    <w:rsid w:val="003F6D76"/>
    <w:rsid w:val="003F728D"/>
    <w:rsid w:val="003F755D"/>
    <w:rsid w:val="003F763D"/>
    <w:rsid w:val="00400455"/>
    <w:rsid w:val="00400BB7"/>
    <w:rsid w:val="00400DFB"/>
    <w:rsid w:val="00400EF1"/>
    <w:rsid w:val="004014BF"/>
    <w:rsid w:val="00401EE0"/>
    <w:rsid w:val="00402BEE"/>
    <w:rsid w:val="00402C98"/>
    <w:rsid w:val="00402D6D"/>
    <w:rsid w:val="0040312A"/>
    <w:rsid w:val="00403C66"/>
    <w:rsid w:val="004043E2"/>
    <w:rsid w:val="004055A1"/>
    <w:rsid w:val="004055D2"/>
    <w:rsid w:val="00406047"/>
    <w:rsid w:val="00406459"/>
    <w:rsid w:val="004071C9"/>
    <w:rsid w:val="0040753A"/>
    <w:rsid w:val="00410380"/>
    <w:rsid w:val="00410735"/>
    <w:rsid w:val="004107EC"/>
    <w:rsid w:val="00411C60"/>
    <w:rsid w:val="00412655"/>
    <w:rsid w:val="00412BA6"/>
    <w:rsid w:val="0041326E"/>
    <w:rsid w:val="004132DA"/>
    <w:rsid w:val="00413762"/>
    <w:rsid w:val="004143A1"/>
    <w:rsid w:val="00415F7E"/>
    <w:rsid w:val="004170CC"/>
    <w:rsid w:val="00417281"/>
    <w:rsid w:val="00417AB6"/>
    <w:rsid w:val="004202C5"/>
    <w:rsid w:val="004206D1"/>
    <w:rsid w:val="0042171E"/>
    <w:rsid w:val="00421968"/>
    <w:rsid w:val="004221C6"/>
    <w:rsid w:val="00422968"/>
    <w:rsid w:val="00423102"/>
    <w:rsid w:val="00423314"/>
    <w:rsid w:val="00423364"/>
    <w:rsid w:val="004235E0"/>
    <w:rsid w:val="00423ED2"/>
    <w:rsid w:val="00424D90"/>
    <w:rsid w:val="00425244"/>
    <w:rsid w:val="0042555E"/>
    <w:rsid w:val="0042574A"/>
    <w:rsid w:val="00425A60"/>
    <w:rsid w:val="00425B8B"/>
    <w:rsid w:val="00425C7B"/>
    <w:rsid w:val="00426322"/>
    <w:rsid w:val="004270D8"/>
    <w:rsid w:val="00427123"/>
    <w:rsid w:val="00427460"/>
    <w:rsid w:val="004277EB"/>
    <w:rsid w:val="00427C05"/>
    <w:rsid w:val="00427CA0"/>
    <w:rsid w:val="004300CB"/>
    <w:rsid w:val="00430E4E"/>
    <w:rsid w:val="00431300"/>
    <w:rsid w:val="00431690"/>
    <w:rsid w:val="00432407"/>
    <w:rsid w:val="004331BE"/>
    <w:rsid w:val="004333B4"/>
    <w:rsid w:val="00433787"/>
    <w:rsid w:val="00433E33"/>
    <w:rsid w:val="00434D6D"/>
    <w:rsid w:val="004356ED"/>
    <w:rsid w:val="00435C74"/>
    <w:rsid w:val="00435EA1"/>
    <w:rsid w:val="004379A0"/>
    <w:rsid w:val="00440984"/>
    <w:rsid w:val="00441011"/>
    <w:rsid w:val="00441743"/>
    <w:rsid w:val="00441D97"/>
    <w:rsid w:val="0044229B"/>
    <w:rsid w:val="0044362F"/>
    <w:rsid w:val="00443D88"/>
    <w:rsid w:val="00444779"/>
    <w:rsid w:val="00444999"/>
    <w:rsid w:val="00444CB1"/>
    <w:rsid w:val="004450B2"/>
    <w:rsid w:val="00445573"/>
    <w:rsid w:val="00446C4A"/>
    <w:rsid w:val="00447F63"/>
    <w:rsid w:val="004502A1"/>
    <w:rsid w:val="004510C0"/>
    <w:rsid w:val="004511C2"/>
    <w:rsid w:val="00451246"/>
    <w:rsid w:val="0045141D"/>
    <w:rsid w:val="004519FE"/>
    <w:rsid w:val="0045234E"/>
    <w:rsid w:val="004523BD"/>
    <w:rsid w:val="004537AB"/>
    <w:rsid w:val="004558B2"/>
    <w:rsid w:val="00456115"/>
    <w:rsid w:val="004568DD"/>
    <w:rsid w:val="00456DE2"/>
    <w:rsid w:val="00456FD3"/>
    <w:rsid w:val="0045705C"/>
    <w:rsid w:val="00457170"/>
    <w:rsid w:val="004572F5"/>
    <w:rsid w:val="00457354"/>
    <w:rsid w:val="00460380"/>
    <w:rsid w:val="00460958"/>
    <w:rsid w:val="00460D42"/>
    <w:rsid w:val="00462290"/>
    <w:rsid w:val="004639B3"/>
    <w:rsid w:val="00463B6A"/>
    <w:rsid w:val="0046468C"/>
    <w:rsid w:val="00464BD4"/>
    <w:rsid w:val="00465919"/>
    <w:rsid w:val="00465B3F"/>
    <w:rsid w:val="004660EE"/>
    <w:rsid w:val="004664A5"/>
    <w:rsid w:val="0046669D"/>
    <w:rsid w:val="0046700A"/>
    <w:rsid w:val="004675BD"/>
    <w:rsid w:val="0046778C"/>
    <w:rsid w:val="00471150"/>
    <w:rsid w:val="00471CEE"/>
    <w:rsid w:val="00471D07"/>
    <w:rsid w:val="00471D89"/>
    <w:rsid w:val="004729CE"/>
    <w:rsid w:val="00472C9B"/>
    <w:rsid w:val="00473054"/>
    <w:rsid w:val="004739AF"/>
    <w:rsid w:val="0047437E"/>
    <w:rsid w:val="00474A14"/>
    <w:rsid w:val="0047609A"/>
    <w:rsid w:val="004765B0"/>
    <w:rsid w:val="00477D03"/>
    <w:rsid w:val="00477D2A"/>
    <w:rsid w:val="00477F42"/>
    <w:rsid w:val="00480E79"/>
    <w:rsid w:val="004819FB"/>
    <w:rsid w:val="00481AB9"/>
    <w:rsid w:val="00481BE4"/>
    <w:rsid w:val="00482381"/>
    <w:rsid w:val="00482958"/>
    <w:rsid w:val="00482DCB"/>
    <w:rsid w:val="0048339C"/>
    <w:rsid w:val="004839A7"/>
    <w:rsid w:val="00483B79"/>
    <w:rsid w:val="00483E9D"/>
    <w:rsid w:val="00484252"/>
    <w:rsid w:val="00484305"/>
    <w:rsid w:val="0048502C"/>
    <w:rsid w:val="004852CD"/>
    <w:rsid w:val="00485BAE"/>
    <w:rsid w:val="00486688"/>
    <w:rsid w:val="00486A5D"/>
    <w:rsid w:val="0048701E"/>
    <w:rsid w:val="004874D6"/>
    <w:rsid w:val="00487531"/>
    <w:rsid w:val="00490059"/>
    <w:rsid w:val="004938B3"/>
    <w:rsid w:val="00493B73"/>
    <w:rsid w:val="00493BB8"/>
    <w:rsid w:val="00493D30"/>
    <w:rsid w:val="00493E19"/>
    <w:rsid w:val="00494365"/>
    <w:rsid w:val="004952F5"/>
    <w:rsid w:val="004959BB"/>
    <w:rsid w:val="00496C8F"/>
    <w:rsid w:val="00496E7F"/>
    <w:rsid w:val="00496F43"/>
    <w:rsid w:val="004970FE"/>
    <w:rsid w:val="0049740C"/>
    <w:rsid w:val="004A035F"/>
    <w:rsid w:val="004A0C39"/>
    <w:rsid w:val="004A10A5"/>
    <w:rsid w:val="004A19C1"/>
    <w:rsid w:val="004A1E06"/>
    <w:rsid w:val="004A4779"/>
    <w:rsid w:val="004A5705"/>
    <w:rsid w:val="004A5AA1"/>
    <w:rsid w:val="004A6A0E"/>
    <w:rsid w:val="004A71AA"/>
    <w:rsid w:val="004A71FE"/>
    <w:rsid w:val="004A7D4B"/>
    <w:rsid w:val="004B0177"/>
    <w:rsid w:val="004B0D79"/>
    <w:rsid w:val="004B0E56"/>
    <w:rsid w:val="004B1A26"/>
    <w:rsid w:val="004B1AB8"/>
    <w:rsid w:val="004B1C59"/>
    <w:rsid w:val="004B220E"/>
    <w:rsid w:val="004B27AC"/>
    <w:rsid w:val="004B27FD"/>
    <w:rsid w:val="004B2F8E"/>
    <w:rsid w:val="004B3236"/>
    <w:rsid w:val="004B3249"/>
    <w:rsid w:val="004B35C3"/>
    <w:rsid w:val="004B39C0"/>
    <w:rsid w:val="004B3B5D"/>
    <w:rsid w:val="004B3FBC"/>
    <w:rsid w:val="004B417D"/>
    <w:rsid w:val="004B444A"/>
    <w:rsid w:val="004B561C"/>
    <w:rsid w:val="004B5943"/>
    <w:rsid w:val="004B5A64"/>
    <w:rsid w:val="004B5BE3"/>
    <w:rsid w:val="004B6C30"/>
    <w:rsid w:val="004B77A8"/>
    <w:rsid w:val="004B7FD0"/>
    <w:rsid w:val="004C007B"/>
    <w:rsid w:val="004C0C2B"/>
    <w:rsid w:val="004C1621"/>
    <w:rsid w:val="004C1E8C"/>
    <w:rsid w:val="004C1FE9"/>
    <w:rsid w:val="004C206E"/>
    <w:rsid w:val="004C22FE"/>
    <w:rsid w:val="004C2B44"/>
    <w:rsid w:val="004C2CC9"/>
    <w:rsid w:val="004C2D09"/>
    <w:rsid w:val="004C3236"/>
    <w:rsid w:val="004C3867"/>
    <w:rsid w:val="004C3B4A"/>
    <w:rsid w:val="004C3BF3"/>
    <w:rsid w:val="004C4420"/>
    <w:rsid w:val="004C45C9"/>
    <w:rsid w:val="004C4E03"/>
    <w:rsid w:val="004C4EC4"/>
    <w:rsid w:val="004C4FCC"/>
    <w:rsid w:val="004C515A"/>
    <w:rsid w:val="004C5475"/>
    <w:rsid w:val="004C57E2"/>
    <w:rsid w:val="004C5F69"/>
    <w:rsid w:val="004C6348"/>
    <w:rsid w:val="004C7325"/>
    <w:rsid w:val="004C733A"/>
    <w:rsid w:val="004C7669"/>
    <w:rsid w:val="004C7842"/>
    <w:rsid w:val="004C7F4E"/>
    <w:rsid w:val="004D0768"/>
    <w:rsid w:val="004D1516"/>
    <w:rsid w:val="004D194B"/>
    <w:rsid w:val="004D1B78"/>
    <w:rsid w:val="004D1BF5"/>
    <w:rsid w:val="004D1D7D"/>
    <w:rsid w:val="004D1EB2"/>
    <w:rsid w:val="004D223F"/>
    <w:rsid w:val="004D22C5"/>
    <w:rsid w:val="004D27A6"/>
    <w:rsid w:val="004D286F"/>
    <w:rsid w:val="004D3802"/>
    <w:rsid w:val="004D3AB4"/>
    <w:rsid w:val="004D43F0"/>
    <w:rsid w:val="004D5A57"/>
    <w:rsid w:val="004D5D9D"/>
    <w:rsid w:val="004D5DD1"/>
    <w:rsid w:val="004D616A"/>
    <w:rsid w:val="004D6203"/>
    <w:rsid w:val="004D68F7"/>
    <w:rsid w:val="004D7393"/>
    <w:rsid w:val="004E0B87"/>
    <w:rsid w:val="004E10C9"/>
    <w:rsid w:val="004E11DC"/>
    <w:rsid w:val="004E1596"/>
    <w:rsid w:val="004E1B7A"/>
    <w:rsid w:val="004E1CBD"/>
    <w:rsid w:val="004E20AA"/>
    <w:rsid w:val="004E2481"/>
    <w:rsid w:val="004E2FF5"/>
    <w:rsid w:val="004E3CFD"/>
    <w:rsid w:val="004E5355"/>
    <w:rsid w:val="004E54BE"/>
    <w:rsid w:val="004E5F8D"/>
    <w:rsid w:val="004E61A5"/>
    <w:rsid w:val="004E6730"/>
    <w:rsid w:val="004E6934"/>
    <w:rsid w:val="004E6A8C"/>
    <w:rsid w:val="004E6D5F"/>
    <w:rsid w:val="004E7BAE"/>
    <w:rsid w:val="004E7D44"/>
    <w:rsid w:val="004F0566"/>
    <w:rsid w:val="004F0671"/>
    <w:rsid w:val="004F10CF"/>
    <w:rsid w:val="004F17FE"/>
    <w:rsid w:val="004F1B35"/>
    <w:rsid w:val="004F2220"/>
    <w:rsid w:val="004F2DF8"/>
    <w:rsid w:val="004F33E5"/>
    <w:rsid w:val="004F3B57"/>
    <w:rsid w:val="004F3D39"/>
    <w:rsid w:val="004F43F8"/>
    <w:rsid w:val="004F4BFF"/>
    <w:rsid w:val="004F4C88"/>
    <w:rsid w:val="004F55B6"/>
    <w:rsid w:val="004F583B"/>
    <w:rsid w:val="004F728F"/>
    <w:rsid w:val="004F75FA"/>
    <w:rsid w:val="004F7923"/>
    <w:rsid w:val="00500253"/>
    <w:rsid w:val="00500C89"/>
    <w:rsid w:val="00500E3F"/>
    <w:rsid w:val="00501236"/>
    <w:rsid w:val="0050174D"/>
    <w:rsid w:val="005018C1"/>
    <w:rsid w:val="005018C4"/>
    <w:rsid w:val="005019C6"/>
    <w:rsid w:val="005022FA"/>
    <w:rsid w:val="0050272E"/>
    <w:rsid w:val="005028C5"/>
    <w:rsid w:val="00502C68"/>
    <w:rsid w:val="00503C2F"/>
    <w:rsid w:val="0050584F"/>
    <w:rsid w:val="00506277"/>
    <w:rsid w:val="005066AC"/>
    <w:rsid w:val="00506818"/>
    <w:rsid w:val="005068DA"/>
    <w:rsid w:val="005076B5"/>
    <w:rsid w:val="005076FE"/>
    <w:rsid w:val="00507BEA"/>
    <w:rsid w:val="00510F5B"/>
    <w:rsid w:val="0051101C"/>
    <w:rsid w:val="00511682"/>
    <w:rsid w:val="00511779"/>
    <w:rsid w:val="00511A86"/>
    <w:rsid w:val="00511CA7"/>
    <w:rsid w:val="00512008"/>
    <w:rsid w:val="005122E5"/>
    <w:rsid w:val="00512408"/>
    <w:rsid w:val="005126ED"/>
    <w:rsid w:val="00512855"/>
    <w:rsid w:val="00513853"/>
    <w:rsid w:val="0051398D"/>
    <w:rsid w:val="00513F95"/>
    <w:rsid w:val="0051405E"/>
    <w:rsid w:val="0051470F"/>
    <w:rsid w:val="0051513F"/>
    <w:rsid w:val="00515267"/>
    <w:rsid w:val="005158F8"/>
    <w:rsid w:val="00515F7A"/>
    <w:rsid w:val="005163F0"/>
    <w:rsid w:val="0052000F"/>
    <w:rsid w:val="00520273"/>
    <w:rsid w:val="00520A03"/>
    <w:rsid w:val="00521545"/>
    <w:rsid w:val="005215A7"/>
    <w:rsid w:val="005218EB"/>
    <w:rsid w:val="005229A7"/>
    <w:rsid w:val="005230C9"/>
    <w:rsid w:val="00523592"/>
    <w:rsid w:val="00523AEB"/>
    <w:rsid w:val="00523E05"/>
    <w:rsid w:val="005244B3"/>
    <w:rsid w:val="005245D1"/>
    <w:rsid w:val="0052562E"/>
    <w:rsid w:val="00526341"/>
    <w:rsid w:val="00526D41"/>
    <w:rsid w:val="00526F00"/>
    <w:rsid w:val="005301A7"/>
    <w:rsid w:val="005301DA"/>
    <w:rsid w:val="00530533"/>
    <w:rsid w:val="005305B6"/>
    <w:rsid w:val="00531848"/>
    <w:rsid w:val="00531FA9"/>
    <w:rsid w:val="00532132"/>
    <w:rsid w:val="00532CBD"/>
    <w:rsid w:val="00532D86"/>
    <w:rsid w:val="00532DCB"/>
    <w:rsid w:val="0053347E"/>
    <w:rsid w:val="0053380B"/>
    <w:rsid w:val="005341D1"/>
    <w:rsid w:val="0053447C"/>
    <w:rsid w:val="0053452B"/>
    <w:rsid w:val="00534B7A"/>
    <w:rsid w:val="00534E08"/>
    <w:rsid w:val="00536A67"/>
    <w:rsid w:val="0053709D"/>
    <w:rsid w:val="005376AE"/>
    <w:rsid w:val="0053792A"/>
    <w:rsid w:val="00540BBD"/>
    <w:rsid w:val="0054103A"/>
    <w:rsid w:val="005412EE"/>
    <w:rsid w:val="00541B86"/>
    <w:rsid w:val="00542443"/>
    <w:rsid w:val="00542A2A"/>
    <w:rsid w:val="00542C84"/>
    <w:rsid w:val="0054494A"/>
    <w:rsid w:val="00544DDB"/>
    <w:rsid w:val="00544EB2"/>
    <w:rsid w:val="005450B2"/>
    <w:rsid w:val="005451B6"/>
    <w:rsid w:val="005456FF"/>
    <w:rsid w:val="005460FA"/>
    <w:rsid w:val="0054680B"/>
    <w:rsid w:val="00546DEB"/>
    <w:rsid w:val="00547D97"/>
    <w:rsid w:val="00550001"/>
    <w:rsid w:val="005505BB"/>
    <w:rsid w:val="005506A3"/>
    <w:rsid w:val="00550D65"/>
    <w:rsid w:val="005516DC"/>
    <w:rsid w:val="00551C0B"/>
    <w:rsid w:val="00552137"/>
    <w:rsid w:val="005524D8"/>
    <w:rsid w:val="00553482"/>
    <w:rsid w:val="00553647"/>
    <w:rsid w:val="00553D66"/>
    <w:rsid w:val="00553EBB"/>
    <w:rsid w:val="005552EF"/>
    <w:rsid w:val="005554D6"/>
    <w:rsid w:val="005557A9"/>
    <w:rsid w:val="00555E17"/>
    <w:rsid w:val="00555F75"/>
    <w:rsid w:val="00556F20"/>
    <w:rsid w:val="00557870"/>
    <w:rsid w:val="00557A14"/>
    <w:rsid w:val="00557B8C"/>
    <w:rsid w:val="00557BAB"/>
    <w:rsid w:val="00557E44"/>
    <w:rsid w:val="00560523"/>
    <w:rsid w:val="0056091E"/>
    <w:rsid w:val="00560B90"/>
    <w:rsid w:val="00560D33"/>
    <w:rsid w:val="005610FD"/>
    <w:rsid w:val="00561D2D"/>
    <w:rsid w:val="00562650"/>
    <w:rsid w:val="0056366A"/>
    <w:rsid w:val="00563C99"/>
    <w:rsid w:val="00563F98"/>
    <w:rsid w:val="00564436"/>
    <w:rsid w:val="00564DB2"/>
    <w:rsid w:val="00565722"/>
    <w:rsid w:val="00565A74"/>
    <w:rsid w:val="005660BF"/>
    <w:rsid w:val="00566115"/>
    <w:rsid w:val="005661A5"/>
    <w:rsid w:val="00566598"/>
    <w:rsid w:val="00567056"/>
    <w:rsid w:val="00567F1C"/>
    <w:rsid w:val="00570A0F"/>
    <w:rsid w:val="00570F41"/>
    <w:rsid w:val="005712F2"/>
    <w:rsid w:val="005723F5"/>
    <w:rsid w:val="00572B1B"/>
    <w:rsid w:val="00572F45"/>
    <w:rsid w:val="005734AA"/>
    <w:rsid w:val="00574011"/>
    <w:rsid w:val="00574D34"/>
    <w:rsid w:val="00575500"/>
    <w:rsid w:val="00575670"/>
    <w:rsid w:val="00575A23"/>
    <w:rsid w:val="00575A29"/>
    <w:rsid w:val="00575A30"/>
    <w:rsid w:val="00575E8E"/>
    <w:rsid w:val="00576EFF"/>
    <w:rsid w:val="0057712E"/>
    <w:rsid w:val="00577EA8"/>
    <w:rsid w:val="00580FB3"/>
    <w:rsid w:val="00582180"/>
    <w:rsid w:val="005830B2"/>
    <w:rsid w:val="00583536"/>
    <w:rsid w:val="005835E0"/>
    <w:rsid w:val="00583DB0"/>
    <w:rsid w:val="00583F35"/>
    <w:rsid w:val="005842E0"/>
    <w:rsid w:val="00584550"/>
    <w:rsid w:val="00584DCA"/>
    <w:rsid w:val="00586679"/>
    <w:rsid w:val="005867E1"/>
    <w:rsid w:val="00586B0B"/>
    <w:rsid w:val="00586DDC"/>
    <w:rsid w:val="005870A4"/>
    <w:rsid w:val="00587703"/>
    <w:rsid w:val="005900E4"/>
    <w:rsid w:val="00591A5C"/>
    <w:rsid w:val="0059228C"/>
    <w:rsid w:val="005939E9"/>
    <w:rsid w:val="00593EE6"/>
    <w:rsid w:val="0059512D"/>
    <w:rsid w:val="00595662"/>
    <w:rsid w:val="00596DB2"/>
    <w:rsid w:val="00596EA7"/>
    <w:rsid w:val="00596ED7"/>
    <w:rsid w:val="005970F2"/>
    <w:rsid w:val="005974A9"/>
    <w:rsid w:val="005978D4"/>
    <w:rsid w:val="005A05AC"/>
    <w:rsid w:val="005A0A99"/>
    <w:rsid w:val="005A1317"/>
    <w:rsid w:val="005A16E4"/>
    <w:rsid w:val="005A25E2"/>
    <w:rsid w:val="005A29FF"/>
    <w:rsid w:val="005A2FE0"/>
    <w:rsid w:val="005A3760"/>
    <w:rsid w:val="005A37AE"/>
    <w:rsid w:val="005A3950"/>
    <w:rsid w:val="005A4483"/>
    <w:rsid w:val="005A4713"/>
    <w:rsid w:val="005A52B8"/>
    <w:rsid w:val="005A5D4F"/>
    <w:rsid w:val="005A625C"/>
    <w:rsid w:val="005A6265"/>
    <w:rsid w:val="005A6400"/>
    <w:rsid w:val="005A6C6B"/>
    <w:rsid w:val="005A734F"/>
    <w:rsid w:val="005A7366"/>
    <w:rsid w:val="005A74F6"/>
    <w:rsid w:val="005B089F"/>
    <w:rsid w:val="005B205A"/>
    <w:rsid w:val="005B21B7"/>
    <w:rsid w:val="005B3CFF"/>
    <w:rsid w:val="005B43E3"/>
    <w:rsid w:val="005B478E"/>
    <w:rsid w:val="005B4CE9"/>
    <w:rsid w:val="005B777B"/>
    <w:rsid w:val="005C0777"/>
    <w:rsid w:val="005C07AD"/>
    <w:rsid w:val="005C08F0"/>
    <w:rsid w:val="005C0C26"/>
    <w:rsid w:val="005C0EA9"/>
    <w:rsid w:val="005C176A"/>
    <w:rsid w:val="005C1C5A"/>
    <w:rsid w:val="005C1DB2"/>
    <w:rsid w:val="005C20C2"/>
    <w:rsid w:val="005C2674"/>
    <w:rsid w:val="005C2CF6"/>
    <w:rsid w:val="005C3866"/>
    <w:rsid w:val="005C3E54"/>
    <w:rsid w:val="005C4392"/>
    <w:rsid w:val="005C43EF"/>
    <w:rsid w:val="005C4678"/>
    <w:rsid w:val="005C4717"/>
    <w:rsid w:val="005C471B"/>
    <w:rsid w:val="005C4E8B"/>
    <w:rsid w:val="005C54CC"/>
    <w:rsid w:val="005C5D7C"/>
    <w:rsid w:val="005C5EEB"/>
    <w:rsid w:val="005C5F3F"/>
    <w:rsid w:val="005C69AD"/>
    <w:rsid w:val="005C6D43"/>
    <w:rsid w:val="005C6DA2"/>
    <w:rsid w:val="005C6E65"/>
    <w:rsid w:val="005C70DF"/>
    <w:rsid w:val="005C7AC9"/>
    <w:rsid w:val="005C7C28"/>
    <w:rsid w:val="005C7EAD"/>
    <w:rsid w:val="005D12C7"/>
    <w:rsid w:val="005D1687"/>
    <w:rsid w:val="005D1AAE"/>
    <w:rsid w:val="005D37AA"/>
    <w:rsid w:val="005D3AEF"/>
    <w:rsid w:val="005D4576"/>
    <w:rsid w:val="005D4785"/>
    <w:rsid w:val="005D491C"/>
    <w:rsid w:val="005D678A"/>
    <w:rsid w:val="005E0C6C"/>
    <w:rsid w:val="005E10BD"/>
    <w:rsid w:val="005E151C"/>
    <w:rsid w:val="005E194B"/>
    <w:rsid w:val="005E1CDD"/>
    <w:rsid w:val="005E3226"/>
    <w:rsid w:val="005E3D33"/>
    <w:rsid w:val="005E4037"/>
    <w:rsid w:val="005E43B5"/>
    <w:rsid w:val="005E4970"/>
    <w:rsid w:val="005E4ED3"/>
    <w:rsid w:val="005E4FAD"/>
    <w:rsid w:val="005E59E5"/>
    <w:rsid w:val="005E64B2"/>
    <w:rsid w:val="005E6C23"/>
    <w:rsid w:val="005E6E72"/>
    <w:rsid w:val="005E7626"/>
    <w:rsid w:val="005E7B8C"/>
    <w:rsid w:val="005F13C8"/>
    <w:rsid w:val="005F1F67"/>
    <w:rsid w:val="005F27C2"/>
    <w:rsid w:val="005F294F"/>
    <w:rsid w:val="005F3DB6"/>
    <w:rsid w:val="005F4B54"/>
    <w:rsid w:val="005F664F"/>
    <w:rsid w:val="005F734B"/>
    <w:rsid w:val="005F7478"/>
    <w:rsid w:val="005F75EB"/>
    <w:rsid w:val="005F7BCC"/>
    <w:rsid w:val="005F7C6B"/>
    <w:rsid w:val="005F7D49"/>
    <w:rsid w:val="006009E5"/>
    <w:rsid w:val="0060225D"/>
    <w:rsid w:val="006023EE"/>
    <w:rsid w:val="00602991"/>
    <w:rsid w:val="00602A0D"/>
    <w:rsid w:val="00603AB5"/>
    <w:rsid w:val="00604A17"/>
    <w:rsid w:val="006051B1"/>
    <w:rsid w:val="00605302"/>
    <w:rsid w:val="00605BF3"/>
    <w:rsid w:val="00605D0B"/>
    <w:rsid w:val="00605D84"/>
    <w:rsid w:val="006063A6"/>
    <w:rsid w:val="0060657F"/>
    <w:rsid w:val="006077AD"/>
    <w:rsid w:val="00607A27"/>
    <w:rsid w:val="00607E99"/>
    <w:rsid w:val="006100D5"/>
    <w:rsid w:val="0061017C"/>
    <w:rsid w:val="00610654"/>
    <w:rsid w:val="00610E15"/>
    <w:rsid w:val="00610EB7"/>
    <w:rsid w:val="0061108E"/>
    <w:rsid w:val="00611530"/>
    <w:rsid w:val="00611D37"/>
    <w:rsid w:val="00611EB9"/>
    <w:rsid w:val="0061223C"/>
    <w:rsid w:val="00612554"/>
    <w:rsid w:val="00612EE0"/>
    <w:rsid w:val="00614A6F"/>
    <w:rsid w:val="00614B61"/>
    <w:rsid w:val="00614CF7"/>
    <w:rsid w:val="00615458"/>
    <w:rsid w:val="0061568B"/>
    <w:rsid w:val="00616024"/>
    <w:rsid w:val="00616885"/>
    <w:rsid w:val="006168A1"/>
    <w:rsid w:val="00616DBB"/>
    <w:rsid w:val="00617786"/>
    <w:rsid w:val="0061790C"/>
    <w:rsid w:val="00617B68"/>
    <w:rsid w:val="00617C2D"/>
    <w:rsid w:val="00620C6A"/>
    <w:rsid w:val="006218DB"/>
    <w:rsid w:val="00621E14"/>
    <w:rsid w:val="00621E9D"/>
    <w:rsid w:val="00621FB1"/>
    <w:rsid w:val="00622C8A"/>
    <w:rsid w:val="00624404"/>
    <w:rsid w:val="00624506"/>
    <w:rsid w:val="006255D3"/>
    <w:rsid w:val="006259D8"/>
    <w:rsid w:val="00625DB2"/>
    <w:rsid w:val="00625EBE"/>
    <w:rsid w:val="006260EA"/>
    <w:rsid w:val="0062671D"/>
    <w:rsid w:val="00626CC9"/>
    <w:rsid w:val="00627314"/>
    <w:rsid w:val="0063048F"/>
    <w:rsid w:val="006314D1"/>
    <w:rsid w:val="00631C9C"/>
    <w:rsid w:val="00632194"/>
    <w:rsid w:val="0063222C"/>
    <w:rsid w:val="00632277"/>
    <w:rsid w:val="0063239E"/>
    <w:rsid w:val="00632A78"/>
    <w:rsid w:val="006334D8"/>
    <w:rsid w:val="006337F4"/>
    <w:rsid w:val="006339F2"/>
    <w:rsid w:val="0063593A"/>
    <w:rsid w:val="00635B63"/>
    <w:rsid w:val="00635DD7"/>
    <w:rsid w:val="00636969"/>
    <w:rsid w:val="00637D50"/>
    <w:rsid w:val="00640093"/>
    <w:rsid w:val="00640127"/>
    <w:rsid w:val="0064064A"/>
    <w:rsid w:val="00641660"/>
    <w:rsid w:val="0064170F"/>
    <w:rsid w:val="006418D1"/>
    <w:rsid w:val="00641F27"/>
    <w:rsid w:val="006425BE"/>
    <w:rsid w:val="00642625"/>
    <w:rsid w:val="00642B72"/>
    <w:rsid w:val="0064317C"/>
    <w:rsid w:val="00643AD1"/>
    <w:rsid w:val="00643C62"/>
    <w:rsid w:val="00643CD0"/>
    <w:rsid w:val="00643D50"/>
    <w:rsid w:val="00643D6E"/>
    <w:rsid w:val="0064435E"/>
    <w:rsid w:val="00644762"/>
    <w:rsid w:val="0064486E"/>
    <w:rsid w:val="0064506A"/>
    <w:rsid w:val="00645602"/>
    <w:rsid w:val="00646A14"/>
    <w:rsid w:val="00646EBC"/>
    <w:rsid w:val="006470C6"/>
    <w:rsid w:val="00647D34"/>
    <w:rsid w:val="00647FE7"/>
    <w:rsid w:val="0065033C"/>
    <w:rsid w:val="00650C03"/>
    <w:rsid w:val="00651D10"/>
    <w:rsid w:val="006520BB"/>
    <w:rsid w:val="00652A29"/>
    <w:rsid w:val="00652CAE"/>
    <w:rsid w:val="00653194"/>
    <w:rsid w:val="00653383"/>
    <w:rsid w:val="00653B04"/>
    <w:rsid w:val="006552AC"/>
    <w:rsid w:val="006554E1"/>
    <w:rsid w:val="006558B1"/>
    <w:rsid w:val="00655AD3"/>
    <w:rsid w:val="0065615C"/>
    <w:rsid w:val="00656ABC"/>
    <w:rsid w:val="0065703D"/>
    <w:rsid w:val="00657261"/>
    <w:rsid w:val="006572B4"/>
    <w:rsid w:val="00660397"/>
    <w:rsid w:val="006610CC"/>
    <w:rsid w:val="00661E0B"/>
    <w:rsid w:val="00661F17"/>
    <w:rsid w:val="0066212B"/>
    <w:rsid w:val="00662720"/>
    <w:rsid w:val="00662A89"/>
    <w:rsid w:val="00663C87"/>
    <w:rsid w:val="0066404C"/>
    <w:rsid w:val="0066482E"/>
    <w:rsid w:val="006656B1"/>
    <w:rsid w:val="00665DD7"/>
    <w:rsid w:val="00665EFB"/>
    <w:rsid w:val="00666A9C"/>
    <w:rsid w:val="006678EB"/>
    <w:rsid w:val="00667F6A"/>
    <w:rsid w:val="0067008C"/>
    <w:rsid w:val="00670ADB"/>
    <w:rsid w:val="00670E1B"/>
    <w:rsid w:val="0067144C"/>
    <w:rsid w:val="00672CB6"/>
    <w:rsid w:val="006738D4"/>
    <w:rsid w:val="00673B5F"/>
    <w:rsid w:val="00673CF2"/>
    <w:rsid w:val="0067453C"/>
    <w:rsid w:val="00674B5E"/>
    <w:rsid w:val="00674E61"/>
    <w:rsid w:val="006752C7"/>
    <w:rsid w:val="0067590A"/>
    <w:rsid w:val="00675B21"/>
    <w:rsid w:val="00676AEB"/>
    <w:rsid w:val="00676B25"/>
    <w:rsid w:val="00676B2D"/>
    <w:rsid w:val="00676F09"/>
    <w:rsid w:val="00677573"/>
    <w:rsid w:val="006775D2"/>
    <w:rsid w:val="0067761D"/>
    <w:rsid w:val="0067775A"/>
    <w:rsid w:val="006779DF"/>
    <w:rsid w:val="00677CCA"/>
    <w:rsid w:val="00677F8A"/>
    <w:rsid w:val="006802BA"/>
    <w:rsid w:val="006804EE"/>
    <w:rsid w:val="00680604"/>
    <w:rsid w:val="006806DC"/>
    <w:rsid w:val="006809FC"/>
    <w:rsid w:val="00682076"/>
    <w:rsid w:val="00682274"/>
    <w:rsid w:val="00682877"/>
    <w:rsid w:val="0068295E"/>
    <w:rsid w:val="00682C21"/>
    <w:rsid w:val="00682CDA"/>
    <w:rsid w:val="00684300"/>
    <w:rsid w:val="00684382"/>
    <w:rsid w:val="00685D18"/>
    <w:rsid w:val="00686DF5"/>
    <w:rsid w:val="006901A3"/>
    <w:rsid w:val="006904D8"/>
    <w:rsid w:val="006909F2"/>
    <w:rsid w:val="00690D14"/>
    <w:rsid w:val="006919CF"/>
    <w:rsid w:val="00692838"/>
    <w:rsid w:val="00694D7F"/>
    <w:rsid w:val="006956E4"/>
    <w:rsid w:val="00695820"/>
    <w:rsid w:val="00695850"/>
    <w:rsid w:val="00695F35"/>
    <w:rsid w:val="00696D78"/>
    <w:rsid w:val="00696E1D"/>
    <w:rsid w:val="00697538"/>
    <w:rsid w:val="0069755B"/>
    <w:rsid w:val="0069762D"/>
    <w:rsid w:val="006A0060"/>
    <w:rsid w:val="006A08B4"/>
    <w:rsid w:val="006A0B4D"/>
    <w:rsid w:val="006A122D"/>
    <w:rsid w:val="006A1924"/>
    <w:rsid w:val="006A220F"/>
    <w:rsid w:val="006A231B"/>
    <w:rsid w:val="006A2798"/>
    <w:rsid w:val="006A2EF6"/>
    <w:rsid w:val="006A4A95"/>
    <w:rsid w:val="006A4C2A"/>
    <w:rsid w:val="006A4D48"/>
    <w:rsid w:val="006A5B13"/>
    <w:rsid w:val="006A5C06"/>
    <w:rsid w:val="006A6A3F"/>
    <w:rsid w:val="006A7FC6"/>
    <w:rsid w:val="006B0E62"/>
    <w:rsid w:val="006B16A0"/>
    <w:rsid w:val="006B1A05"/>
    <w:rsid w:val="006B245C"/>
    <w:rsid w:val="006B2609"/>
    <w:rsid w:val="006B2FE2"/>
    <w:rsid w:val="006B34B3"/>
    <w:rsid w:val="006B3700"/>
    <w:rsid w:val="006B3BAB"/>
    <w:rsid w:val="006B3DCF"/>
    <w:rsid w:val="006B4738"/>
    <w:rsid w:val="006B5788"/>
    <w:rsid w:val="006B5E9D"/>
    <w:rsid w:val="006B6433"/>
    <w:rsid w:val="006B6537"/>
    <w:rsid w:val="006B6B54"/>
    <w:rsid w:val="006B75A6"/>
    <w:rsid w:val="006B7B7B"/>
    <w:rsid w:val="006C07F9"/>
    <w:rsid w:val="006C0AD2"/>
    <w:rsid w:val="006C13CA"/>
    <w:rsid w:val="006C186C"/>
    <w:rsid w:val="006C1D7F"/>
    <w:rsid w:val="006C23EA"/>
    <w:rsid w:val="006C2422"/>
    <w:rsid w:val="006C2448"/>
    <w:rsid w:val="006C2C44"/>
    <w:rsid w:val="006C2D20"/>
    <w:rsid w:val="006C2F3B"/>
    <w:rsid w:val="006C3454"/>
    <w:rsid w:val="006C3B20"/>
    <w:rsid w:val="006C3BB5"/>
    <w:rsid w:val="006C40C7"/>
    <w:rsid w:val="006C4CDA"/>
    <w:rsid w:val="006C519B"/>
    <w:rsid w:val="006C51AA"/>
    <w:rsid w:val="006C550D"/>
    <w:rsid w:val="006C55F0"/>
    <w:rsid w:val="006C5D6B"/>
    <w:rsid w:val="006C5EC8"/>
    <w:rsid w:val="006C6258"/>
    <w:rsid w:val="006C689F"/>
    <w:rsid w:val="006C6FB8"/>
    <w:rsid w:val="006C70A1"/>
    <w:rsid w:val="006C77CA"/>
    <w:rsid w:val="006C79BD"/>
    <w:rsid w:val="006D0244"/>
    <w:rsid w:val="006D07C7"/>
    <w:rsid w:val="006D23AB"/>
    <w:rsid w:val="006D24E2"/>
    <w:rsid w:val="006D25B9"/>
    <w:rsid w:val="006D2A1A"/>
    <w:rsid w:val="006D449B"/>
    <w:rsid w:val="006D4736"/>
    <w:rsid w:val="006D5303"/>
    <w:rsid w:val="006D58AC"/>
    <w:rsid w:val="006D59B5"/>
    <w:rsid w:val="006D5A27"/>
    <w:rsid w:val="006D6162"/>
    <w:rsid w:val="006D64F4"/>
    <w:rsid w:val="006D6610"/>
    <w:rsid w:val="006D69E5"/>
    <w:rsid w:val="006D6DBC"/>
    <w:rsid w:val="006D773F"/>
    <w:rsid w:val="006D7C16"/>
    <w:rsid w:val="006E0509"/>
    <w:rsid w:val="006E09C7"/>
    <w:rsid w:val="006E1414"/>
    <w:rsid w:val="006E144A"/>
    <w:rsid w:val="006E2711"/>
    <w:rsid w:val="006E2E92"/>
    <w:rsid w:val="006E31CC"/>
    <w:rsid w:val="006E33C8"/>
    <w:rsid w:val="006E3477"/>
    <w:rsid w:val="006E3ED4"/>
    <w:rsid w:val="006E407A"/>
    <w:rsid w:val="006E4122"/>
    <w:rsid w:val="006E41C8"/>
    <w:rsid w:val="006E47C3"/>
    <w:rsid w:val="006E5106"/>
    <w:rsid w:val="006E55EB"/>
    <w:rsid w:val="006E6D5B"/>
    <w:rsid w:val="006E6EBC"/>
    <w:rsid w:val="006E7C1C"/>
    <w:rsid w:val="006E7CCE"/>
    <w:rsid w:val="006F016D"/>
    <w:rsid w:val="006F0AE1"/>
    <w:rsid w:val="006F0D33"/>
    <w:rsid w:val="006F1A5F"/>
    <w:rsid w:val="006F1BE3"/>
    <w:rsid w:val="006F1D64"/>
    <w:rsid w:val="006F333D"/>
    <w:rsid w:val="006F3649"/>
    <w:rsid w:val="006F39A1"/>
    <w:rsid w:val="006F4285"/>
    <w:rsid w:val="006F4371"/>
    <w:rsid w:val="006F55D9"/>
    <w:rsid w:val="006F6633"/>
    <w:rsid w:val="006F6F81"/>
    <w:rsid w:val="006F771D"/>
    <w:rsid w:val="00701096"/>
    <w:rsid w:val="007010A4"/>
    <w:rsid w:val="00701BCA"/>
    <w:rsid w:val="007021AC"/>
    <w:rsid w:val="007023CC"/>
    <w:rsid w:val="007028AC"/>
    <w:rsid w:val="00702D6B"/>
    <w:rsid w:val="007030C9"/>
    <w:rsid w:val="00703C10"/>
    <w:rsid w:val="00703CC1"/>
    <w:rsid w:val="00704100"/>
    <w:rsid w:val="00706B09"/>
    <w:rsid w:val="00707691"/>
    <w:rsid w:val="00707FD0"/>
    <w:rsid w:val="00710B80"/>
    <w:rsid w:val="007110EB"/>
    <w:rsid w:val="007117EF"/>
    <w:rsid w:val="00711D38"/>
    <w:rsid w:val="00711D58"/>
    <w:rsid w:val="00711F87"/>
    <w:rsid w:val="00712018"/>
    <w:rsid w:val="0071214C"/>
    <w:rsid w:val="007124AC"/>
    <w:rsid w:val="00712D55"/>
    <w:rsid w:val="00712EC5"/>
    <w:rsid w:val="00713CC3"/>
    <w:rsid w:val="007140E3"/>
    <w:rsid w:val="00714647"/>
    <w:rsid w:val="00715888"/>
    <w:rsid w:val="00715915"/>
    <w:rsid w:val="00715B19"/>
    <w:rsid w:val="00715E92"/>
    <w:rsid w:val="0071615B"/>
    <w:rsid w:val="007165F8"/>
    <w:rsid w:val="007168AF"/>
    <w:rsid w:val="0071699B"/>
    <w:rsid w:val="00716C2D"/>
    <w:rsid w:val="0071702E"/>
    <w:rsid w:val="007174BF"/>
    <w:rsid w:val="00717E6B"/>
    <w:rsid w:val="00720582"/>
    <w:rsid w:val="007207D7"/>
    <w:rsid w:val="00720EC8"/>
    <w:rsid w:val="007210AB"/>
    <w:rsid w:val="0072184B"/>
    <w:rsid w:val="007218CD"/>
    <w:rsid w:val="00721B83"/>
    <w:rsid w:val="00722F31"/>
    <w:rsid w:val="007235B0"/>
    <w:rsid w:val="0072394F"/>
    <w:rsid w:val="007257F6"/>
    <w:rsid w:val="00725C77"/>
    <w:rsid w:val="00726860"/>
    <w:rsid w:val="00726F59"/>
    <w:rsid w:val="00730718"/>
    <w:rsid w:val="007308AF"/>
    <w:rsid w:val="00730BE3"/>
    <w:rsid w:val="00730CC7"/>
    <w:rsid w:val="00730E98"/>
    <w:rsid w:val="0073178C"/>
    <w:rsid w:val="00732D48"/>
    <w:rsid w:val="00733322"/>
    <w:rsid w:val="007337CC"/>
    <w:rsid w:val="0073380C"/>
    <w:rsid w:val="00733C42"/>
    <w:rsid w:val="00733F83"/>
    <w:rsid w:val="00734269"/>
    <w:rsid w:val="0073519E"/>
    <w:rsid w:val="0073563B"/>
    <w:rsid w:val="0073594A"/>
    <w:rsid w:val="0073625C"/>
    <w:rsid w:val="007374A2"/>
    <w:rsid w:val="00737A7E"/>
    <w:rsid w:val="00737E54"/>
    <w:rsid w:val="0074104C"/>
    <w:rsid w:val="007419BC"/>
    <w:rsid w:val="00742361"/>
    <w:rsid w:val="007426DA"/>
    <w:rsid w:val="007428D8"/>
    <w:rsid w:val="00742AD5"/>
    <w:rsid w:val="0074325A"/>
    <w:rsid w:val="007432D7"/>
    <w:rsid w:val="007440BB"/>
    <w:rsid w:val="00744472"/>
    <w:rsid w:val="00744A9A"/>
    <w:rsid w:val="0074510C"/>
    <w:rsid w:val="00745A7F"/>
    <w:rsid w:val="00745B63"/>
    <w:rsid w:val="007469C9"/>
    <w:rsid w:val="00746DB0"/>
    <w:rsid w:val="0074765A"/>
    <w:rsid w:val="00750CFB"/>
    <w:rsid w:val="0075111B"/>
    <w:rsid w:val="0075134F"/>
    <w:rsid w:val="007513F1"/>
    <w:rsid w:val="00751BBE"/>
    <w:rsid w:val="00751CCA"/>
    <w:rsid w:val="00751D9C"/>
    <w:rsid w:val="00751E99"/>
    <w:rsid w:val="0075287A"/>
    <w:rsid w:val="00752C73"/>
    <w:rsid w:val="00752D1F"/>
    <w:rsid w:val="00753675"/>
    <w:rsid w:val="00754FF4"/>
    <w:rsid w:val="0075563D"/>
    <w:rsid w:val="00755757"/>
    <w:rsid w:val="00755A1A"/>
    <w:rsid w:val="00756355"/>
    <w:rsid w:val="00757512"/>
    <w:rsid w:val="007579C7"/>
    <w:rsid w:val="007601E7"/>
    <w:rsid w:val="007603FC"/>
    <w:rsid w:val="00760823"/>
    <w:rsid w:val="007608B1"/>
    <w:rsid w:val="007614F2"/>
    <w:rsid w:val="0076197C"/>
    <w:rsid w:val="00761A0D"/>
    <w:rsid w:val="00761ABF"/>
    <w:rsid w:val="00762060"/>
    <w:rsid w:val="0076210D"/>
    <w:rsid w:val="0076228A"/>
    <w:rsid w:val="00762CD0"/>
    <w:rsid w:val="0076310A"/>
    <w:rsid w:val="00763284"/>
    <w:rsid w:val="0076354A"/>
    <w:rsid w:val="00763580"/>
    <w:rsid w:val="007637AA"/>
    <w:rsid w:val="00763879"/>
    <w:rsid w:val="007641F8"/>
    <w:rsid w:val="00764229"/>
    <w:rsid w:val="00764348"/>
    <w:rsid w:val="00764B36"/>
    <w:rsid w:val="00764CD9"/>
    <w:rsid w:val="0076524B"/>
    <w:rsid w:val="00766564"/>
    <w:rsid w:val="00766B0E"/>
    <w:rsid w:val="00766F8B"/>
    <w:rsid w:val="007675B6"/>
    <w:rsid w:val="007678E7"/>
    <w:rsid w:val="00770BD4"/>
    <w:rsid w:val="00771101"/>
    <w:rsid w:val="00771723"/>
    <w:rsid w:val="00771734"/>
    <w:rsid w:val="00771CBB"/>
    <w:rsid w:val="00771F3E"/>
    <w:rsid w:val="0077255A"/>
    <w:rsid w:val="00772575"/>
    <w:rsid w:val="00772DC4"/>
    <w:rsid w:val="00773728"/>
    <w:rsid w:val="007737C8"/>
    <w:rsid w:val="007745E1"/>
    <w:rsid w:val="007748DD"/>
    <w:rsid w:val="00774C62"/>
    <w:rsid w:val="00774D7B"/>
    <w:rsid w:val="00774E5A"/>
    <w:rsid w:val="007752BE"/>
    <w:rsid w:val="007756F8"/>
    <w:rsid w:val="007757EA"/>
    <w:rsid w:val="00777604"/>
    <w:rsid w:val="00777B25"/>
    <w:rsid w:val="007807AA"/>
    <w:rsid w:val="00780EE1"/>
    <w:rsid w:val="00781BE1"/>
    <w:rsid w:val="00781CF7"/>
    <w:rsid w:val="00781DAD"/>
    <w:rsid w:val="007827BF"/>
    <w:rsid w:val="00782E5B"/>
    <w:rsid w:val="00783296"/>
    <w:rsid w:val="007834DB"/>
    <w:rsid w:val="0078444F"/>
    <w:rsid w:val="00784B41"/>
    <w:rsid w:val="00784F0E"/>
    <w:rsid w:val="00784F59"/>
    <w:rsid w:val="007851F5"/>
    <w:rsid w:val="0078529D"/>
    <w:rsid w:val="0078545F"/>
    <w:rsid w:val="0078636B"/>
    <w:rsid w:val="0078768C"/>
    <w:rsid w:val="00787BC8"/>
    <w:rsid w:val="00787BE8"/>
    <w:rsid w:val="00790662"/>
    <w:rsid w:val="00790B5E"/>
    <w:rsid w:val="00790E5F"/>
    <w:rsid w:val="0079145E"/>
    <w:rsid w:val="007915B7"/>
    <w:rsid w:val="00791B55"/>
    <w:rsid w:val="00791DA8"/>
    <w:rsid w:val="00792064"/>
    <w:rsid w:val="0079213D"/>
    <w:rsid w:val="00792722"/>
    <w:rsid w:val="00792ECC"/>
    <w:rsid w:val="007931E0"/>
    <w:rsid w:val="0079330F"/>
    <w:rsid w:val="00793614"/>
    <w:rsid w:val="00793F08"/>
    <w:rsid w:val="0079403F"/>
    <w:rsid w:val="00794CCB"/>
    <w:rsid w:val="0079598B"/>
    <w:rsid w:val="007960AB"/>
    <w:rsid w:val="00796446"/>
    <w:rsid w:val="007968D4"/>
    <w:rsid w:val="00797005"/>
    <w:rsid w:val="00797295"/>
    <w:rsid w:val="0079791F"/>
    <w:rsid w:val="007A111D"/>
    <w:rsid w:val="007A1619"/>
    <w:rsid w:val="007A1A1A"/>
    <w:rsid w:val="007A2018"/>
    <w:rsid w:val="007A2200"/>
    <w:rsid w:val="007A2324"/>
    <w:rsid w:val="007A2576"/>
    <w:rsid w:val="007A25B9"/>
    <w:rsid w:val="007A3144"/>
    <w:rsid w:val="007A31E1"/>
    <w:rsid w:val="007A33E2"/>
    <w:rsid w:val="007A36A1"/>
    <w:rsid w:val="007A3B88"/>
    <w:rsid w:val="007A4F88"/>
    <w:rsid w:val="007A5D1F"/>
    <w:rsid w:val="007A5F62"/>
    <w:rsid w:val="007A5F8E"/>
    <w:rsid w:val="007A616E"/>
    <w:rsid w:val="007A64D0"/>
    <w:rsid w:val="007A7C68"/>
    <w:rsid w:val="007B01C6"/>
    <w:rsid w:val="007B108A"/>
    <w:rsid w:val="007B1A3E"/>
    <w:rsid w:val="007B23FA"/>
    <w:rsid w:val="007B32EA"/>
    <w:rsid w:val="007B3C84"/>
    <w:rsid w:val="007B4647"/>
    <w:rsid w:val="007B5222"/>
    <w:rsid w:val="007B5A83"/>
    <w:rsid w:val="007B6C80"/>
    <w:rsid w:val="007B6F09"/>
    <w:rsid w:val="007B794A"/>
    <w:rsid w:val="007B7A3A"/>
    <w:rsid w:val="007B7C46"/>
    <w:rsid w:val="007B7E87"/>
    <w:rsid w:val="007C05AB"/>
    <w:rsid w:val="007C083F"/>
    <w:rsid w:val="007C0AD3"/>
    <w:rsid w:val="007C17CE"/>
    <w:rsid w:val="007C19A6"/>
    <w:rsid w:val="007C1C89"/>
    <w:rsid w:val="007C1FEE"/>
    <w:rsid w:val="007C2478"/>
    <w:rsid w:val="007C24C6"/>
    <w:rsid w:val="007C2D89"/>
    <w:rsid w:val="007C2F51"/>
    <w:rsid w:val="007C3305"/>
    <w:rsid w:val="007C3D19"/>
    <w:rsid w:val="007C40E9"/>
    <w:rsid w:val="007C4314"/>
    <w:rsid w:val="007C4531"/>
    <w:rsid w:val="007C4B86"/>
    <w:rsid w:val="007C4C9F"/>
    <w:rsid w:val="007C51C3"/>
    <w:rsid w:val="007C5203"/>
    <w:rsid w:val="007C6B31"/>
    <w:rsid w:val="007C7BF9"/>
    <w:rsid w:val="007D033E"/>
    <w:rsid w:val="007D1BD3"/>
    <w:rsid w:val="007D207E"/>
    <w:rsid w:val="007D20AD"/>
    <w:rsid w:val="007D2113"/>
    <w:rsid w:val="007D29BC"/>
    <w:rsid w:val="007D2CE0"/>
    <w:rsid w:val="007D2D1E"/>
    <w:rsid w:val="007D418A"/>
    <w:rsid w:val="007D42EF"/>
    <w:rsid w:val="007D4328"/>
    <w:rsid w:val="007D47D7"/>
    <w:rsid w:val="007D48AA"/>
    <w:rsid w:val="007D4FE8"/>
    <w:rsid w:val="007D5956"/>
    <w:rsid w:val="007D6174"/>
    <w:rsid w:val="007D65C6"/>
    <w:rsid w:val="007D6741"/>
    <w:rsid w:val="007D6FD1"/>
    <w:rsid w:val="007D7127"/>
    <w:rsid w:val="007D7146"/>
    <w:rsid w:val="007D75D1"/>
    <w:rsid w:val="007D75FA"/>
    <w:rsid w:val="007D7DC3"/>
    <w:rsid w:val="007E014F"/>
    <w:rsid w:val="007E06F4"/>
    <w:rsid w:val="007E0B77"/>
    <w:rsid w:val="007E0E48"/>
    <w:rsid w:val="007E14C9"/>
    <w:rsid w:val="007E1CAD"/>
    <w:rsid w:val="007E28B6"/>
    <w:rsid w:val="007E2D7F"/>
    <w:rsid w:val="007E3858"/>
    <w:rsid w:val="007E3E10"/>
    <w:rsid w:val="007E40C4"/>
    <w:rsid w:val="007E4494"/>
    <w:rsid w:val="007E49FF"/>
    <w:rsid w:val="007E50F7"/>
    <w:rsid w:val="007E5AB7"/>
    <w:rsid w:val="007E5FF4"/>
    <w:rsid w:val="007E60BF"/>
    <w:rsid w:val="007E6814"/>
    <w:rsid w:val="007E6F14"/>
    <w:rsid w:val="007E73A2"/>
    <w:rsid w:val="007E7479"/>
    <w:rsid w:val="007F02D4"/>
    <w:rsid w:val="007F0F39"/>
    <w:rsid w:val="007F10E0"/>
    <w:rsid w:val="007F1104"/>
    <w:rsid w:val="007F1235"/>
    <w:rsid w:val="007F139C"/>
    <w:rsid w:val="007F14F7"/>
    <w:rsid w:val="007F16AC"/>
    <w:rsid w:val="007F18DC"/>
    <w:rsid w:val="007F2A43"/>
    <w:rsid w:val="007F2E06"/>
    <w:rsid w:val="007F318F"/>
    <w:rsid w:val="007F388B"/>
    <w:rsid w:val="007F468C"/>
    <w:rsid w:val="007F4B33"/>
    <w:rsid w:val="007F4BEA"/>
    <w:rsid w:val="007F58F4"/>
    <w:rsid w:val="007F6C16"/>
    <w:rsid w:val="007F7752"/>
    <w:rsid w:val="007F7A3E"/>
    <w:rsid w:val="007F7EB1"/>
    <w:rsid w:val="008012A2"/>
    <w:rsid w:val="00801B40"/>
    <w:rsid w:val="00801B76"/>
    <w:rsid w:val="00802B6A"/>
    <w:rsid w:val="0080377F"/>
    <w:rsid w:val="00803917"/>
    <w:rsid w:val="008039A2"/>
    <w:rsid w:val="00804252"/>
    <w:rsid w:val="00804B18"/>
    <w:rsid w:val="008053C2"/>
    <w:rsid w:val="00805A90"/>
    <w:rsid w:val="00805D65"/>
    <w:rsid w:val="0080615D"/>
    <w:rsid w:val="00806488"/>
    <w:rsid w:val="008068D0"/>
    <w:rsid w:val="00806D13"/>
    <w:rsid w:val="00806DC8"/>
    <w:rsid w:val="008070E9"/>
    <w:rsid w:val="00807435"/>
    <w:rsid w:val="00807CC6"/>
    <w:rsid w:val="00807FF6"/>
    <w:rsid w:val="00810070"/>
    <w:rsid w:val="0081160D"/>
    <w:rsid w:val="00811CC2"/>
    <w:rsid w:val="00811F78"/>
    <w:rsid w:val="00811F9D"/>
    <w:rsid w:val="0081210B"/>
    <w:rsid w:val="008123A4"/>
    <w:rsid w:val="008128C5"/>
    <w:rsid w:val="00812FB3"/>
    <w:rsid w:val="00813418"/>
    <w:rsid w:val="00813CAF"/>
    <w:rsid w:val="00814106"/>
    <w:rsid w:val="00814A09"/>
    <w:rsid w:val="008152D6"/>
    <w:rsid w:val="00816CBF"/>
    <w:rsid w:val="00817F7A"/>
    <w:rsid w:val="00817FBA"/>
    <w:rsid w:val="00820365"/>
    <w:rsid w:val="00820461"/>
    <w:rsid w:val="008204EB"/>
    <w:rsid w:val="008208B7"/>
    <w:rsid w:val="00821448"/>
    <w:rsid w:val="00821648"/>
    <w:rsid w:val="0082169F"/>
    <w:rsid w:val="0082194B"/>
    <w:rsid w:val="00821BDB"/>
    <w:rsid w:val="00821E61"/>
    <w:rsid w:val="00821EA1"/>
    <w:rsid w:val="008226AA"/>
    <w:rsid w:val="0082292A"/>
    <w:rsid w:val="00822CDA"/>
    <w:rsid w:val="00823002"/>
    <w:rsid w:val="00823006"/>
    <w:rsid w:val="00823009"/>
    <w:rsid w:val="00823DD3"/>
    <w:rsid w:val="00826A5D"/>
    <w:rsid w:val="008279E2"/>
    <w:rsid w:val="008279E6"/>
    <w:rsid w:val="00827D6D"/>
    <w:rsid w:val="008303D6"/>
    <w:rsid w:val="00830A70"/>
    <w:rsid w:val="00830BCC"/>
    <w:rsid w:val="008313C2"/>
    <w:rsid w:val="00831533"/>
    <w:rsid w:val="0083160E"/>
    <w:rsid w:val="00831987"/>
    <w:rsid w:val="00832B15"/>
    <w:rsid w:val="00833C0C"/>
    <w:rsid w:val="00834B39"/>
    <w:rsid w:val="008371F7"/>
    <w:rsid w:val="00840490"/>
    <w:rsid w:val="00840E0D"/>
    <w:rsid w:val="0084111D"/>
    <w:rsid w:val="00841C38"/>
    <w:rsid w:val="00841C73"/>
    <w:rsid w:val="00842B66"/>
    <w:rsid w:val="00842CA8"/>
    <w:rsid w:val="00842CC3"/>
    <w:rsid w:val="00842E64"/>
    <w:rsid w:val="00843EB0"/>
    <w:rsid w:val="00844759"/>
    <w:rsid w:val="00845901"/>
    <w:rsid w:val="00845C46"/>
    <w:rsid w:val="00845D41"/>
    <w:rsid w:val="00845E44"/>
    <w:rsid w:val="00846301"/>
    <w:rsid w:val="008464E8"/>
    <w:rsid w:val="008467C1"/>
    <w:rsid w:val="0084690C"/>
    <w:rsid w:val="008471C3"/>
    <w:rsid w:val="0084727D"/>
    <w:rsid w:val="0084781B"/>
    <w:rsid w:val="00850B0C"/>
    <w:rsid w:val="00850E68"/>
    <w:rsid w:val="00851B22"/>
    <w:rsid w:val="00851C22"/>
    <w:rsid w:val="00851DCF"/>
    <w:rsid w:val="00851FD0"/>
    <w:rsid w:val="00852019"/>
    <w:rsid w:val="008521BF"/>
    <w:rsid w:val="0085257B"/>
    <w:rsid w:val="008533E1"/>
    <w:rsid w:val="00853BCB"/>
    <w:rsid w:val="0085415C"/>
    <w:rsid w:val="00854779"/>
    <w:rsid w:val="00854CA7"/>
    <w:rsid w:val="00855C14"/>
    <w:rsid w:val="0085602A"/>
    <w:rsid w:val="008571C5"/>
    <w:rsid w:val="00857847"/>
    <w:rsid w:val="00857D48"/>
    <w:rsid w:val="00857D64"/>
    <w:rsid w:val="008604A6"/>
    <w:rsid w:val="008604DD"/>
    <w:rsid w:val="00860FB9"/>
    <w:rsid w:val="00860FBE"/>
    <w:rsid w:val="008616E3"/>
    <w:rsid w:val="00861793"/>
    <w:rsid w:val="00862A69"/>
    <w:rsid w:val="00863A33"/>
    <w:rsid w:val="008644CA"/>
    <w:rsid w:val="0086450A"/>
    <w:rsid w:val="00864F3E"/>
    <w:rsid w:val="008655DC"/>
    <w:rsid w:val="00865674"/>
    <w:rsid w:val="008658C4"/>
    <w:rsid w:val="008659A6"/>
    <w:rsid w:val="00867066"/>
    <w:rsid w:val="00867673"/>
    <w:rsid w:val="00867824"/>
    <w:rsid w:val="00867AF2"/>
    <w:rsid w:val="00870266"/>
    <w:rsid w:val="0087042F"/>
    <w:rsid w:val="00870896"/>
    <w:rsid w:val="00871302"/>
    <w:rsid w:val="0087146E"/>
    <w:rsid w:val="00872507"/>
    <w:rsid w:val="008727C5"/>
    <w:rsid w:val="00872E37"/>
    <w:rsid w:val="00872FC2"/>
    <w:rsid w:val="00873224"/>
    <w:rsid w:val="00873281"/>
    <w:rsid w:val="008737AF"/>
    <w:rsid w:val="0087395B"/>
    <w:rsid w:val="00873B7D"/>
    <w:rsid w:val="00874004"/>
    <w:rsid w:val="008749EF"/>
    <w:rsid w:val="00874A55"/>
    <w:rsid w:val="00874CC7"/>
    <w:rsid w:val="00874F06"/>
    <w:rsid w:val="008753BE"/>
    <w:rsid w:val="00875C35"/>
    <w:rsid w:val="00875D94"/>
    <w:rsid w:val="00876C3D"/>
    <w:rsid w:val="00876C5E"/>
    <w:rsid w:val="00876EEA"/>
    <w:rsid w:val="008772DC"/>
    <w:rsid w:val="00877458"/>
    <w:rsid w:val="00877DD3"/>
    <w:rsid w:val="008801AC"/>
    <w:rsid w:val="00881435"/>
    <w:rsid w:val="0088166A"/>
    <w:rsid w:val="0088197C"/>
    <w:rsid w:val="008819C8"/>
    <w:rsid w:val="00881C97"/>
    <w:rsid w:val="008825EA"/>
    <w:rsid w:val="00882BB7"/>
    <w:rsid w:val="008830AD"/>
    <w:rsid w:val="008830CE"/>
    <w:rsid w:val="00883907"/>
    <w:rsid w:val="00883E15"/>
    <w:rsid w:val="00884E36"/>
    <w:rsid w:val="0088501A"/>
    <w:rsid w:val="00885455"/>
    <w:rsid w:val="008863A5"/>
    <w:rsid w:val="00886A7C"/>
    <w:rsid w:val="00886B86"/>
    <w:rsid w:val="0088797B"/>
    <w:rsid w:val="00887AA7"/>
    <w:rsid w:val="00890304"/>
    <w:rsid w:val="00891504"/>
    <w:rsid w:val="008916EE"/>
    <w:rsid w:val="00891CC6"/>
    <w:rsid w:val="0089234A"/>
    <w:rsid w:val="008925D1"/>
    <w:rsid w:val="0089286C"/>
    <w:rsid w:val="0089327C"/>
    <w:rsid w:val="0089338D"/>
    <w:rsid w:val="00893FF1"/>
    <w:rsid w:val="00894079"/>
    <w:rsid w:val="00894168"/>
    <w:rsid w:val="00894A73"/>
    <w:rsid w:val="00894D2A"/>
    <w:rsid w:val="00894D63"/>
    <w:rsid w:val="00895A45"/>
    <w:rsid w:val="00895D57"/>
    <w:rsid w:val="0089601F"/>
    <w:rsid w:val="00896179"/>
    <w:rsid w:val="0089697B"/>
    <w:rsid w:val="00896E85"/>
    <w:rsid w:val="00897115"/>
    <w:rsid w:val="0089713D"/>
    <w:rsid w:val="008974AE"/>
    <w:rsid w:val="0089790D"/>
    <w:rsid w:val="008A02D9"/>
    <w:rsid w:val="008A113F"/>
    <w:rsid w:val="008A138F"/>
    <w:rsid w:val="008A172F"/>
    <w:rsid w:val="008A18DA"/>
    <w:rsid w:val="008A1BE3"/>
    <w:rsid w:val="008A2317"/>
    <w:rsid w:val="008A3119"/>
    <w:rsid w:val="008A4101"/>
    <w:rsid w:val="008A42E3"/>
    <w:rsid w:val="008A5090"/>
    <w:rsid w:val="008A5FB5"/>
    <w:rsid w:val="008A6CF8"/>
    <w:rsid w:val="008A7C95"/>
    <w:rsid w:val="008A7FFA"/>
    <w:rsid w:val="008B0243"/>
    <w:rsid w:val="008B037A"/>
    <w:rsid w:val="008B054D"/>
    <w:rsid w:val="008B0E84"/>
    <w:rsid w:val="008B126A"/>
    <w:rsid w:val="008B13F8"/>
    <w:rsid w:val="008B1508"/>
    <w:rsid w:val="008B326D"/>
    <w:rsid w:val="008B3553"/>
    <w:rsid w:val="008B35DC"/>
    <w:rsid w:val="008B376F"/>
    <w:rsid w:val="008B3DC6"/>
    <w:rsid w:val="008B44BA"/>
    <w:rsid w:val="008B48F2"/>
    <w:rsid w:val="008B4A55"/>
    <w:rsid w:val="008B5148"/>
    <w:rsid w:val="008B5193"/>
    <w:rsid w:val="008B54A7"/>
    <w:rsid w:val="008B6C0A"/>
    <w:rsid w:val="008B70A1"/>
    <w:rsid w:val="008B74B9"/>
    <w:rsid w:val="008B7679"/>
    <w:rsid w:val="008B77AF"/>
    <w:rsid w:val="008C1774"/>
    <w:rsid w:val="008C24A7"/>
    <w:rsid w:val="008C24C8"/>
    <w:rsid w:val="008C2593"/>
    <w:rsid w:val="008C36E4"/>
    <w:rsid w:val="008C47CD"/>
    <w:rsid w:val="008C589A"/>
    <w:rsid w:val="008C6491"/>
    <w:rsid w:val="008D01E6"/>
    <w:rsid w:val="008D0692"/>
    <w:rsid w:val="008D075F"/>
    <w:rsid w:val="008D0B7E"/>
    <w:rsid w:val="008D12A6"/>
    <w:rsid w:val="008D1DAF"/>
    <w:rsid w:val="008D243F"/>
    <w:rsid w:val="008D2A37"/>
    <w:rsid w:val="008D2BB8"/>
    <w:rsid w:val="008D2BC3"/>
    <w:rsid w:val="008D399B"/>
    <w:rsid w:val="008D3C09"/>
    <w:rsid w:val="008D3C2F"/>
    <w:rsid w:val="008D3E10"/>
    <w:rsid w:val="008D41F4"/>
    <w:rsid w:val="008D483F"/>
    <w:rsid w:val="008D536B"/>
    <w:rsid w:val="008D59E9"/>
    <w:rsid w:val="008D5E50"/>
    <w:rsid w:val="008D62BF"/>
    <w:rsid w:val="008D7049"/>
    <w:rsid w:val="008E026F"/>
    <w:rsid w:val="008E0745"/>
    <w:rsid w:val="008E07E0"/>
    <w:rsid w:val="008E089E"/>
    <w:rsid w:val="008E0C2E"/>
    <w:rsid w:val="008E0DAF"/>
    <w:rsid w:val="008E2E01"/>
    <w:rsid w:val="008E2F45"/>
    <w:rsid w:val="008E2FB8"/>
    <w:rsid w:val="008E3293"/>
    <w:rsid w:val="008E3EA4"/>
    <w:rsid w:val="008E4047"/>
    <w:rsid w:val="008E4209"/>
    <w:rsid w:val="008E43E6"/>
    <w:rsid w:val="008E5370"/>
    <w:rsid w:val="008E53C7"/>
    <w:rsid w:val="008E56FF"/>
    <w:rsid w:val="008E5837"/>
    <w:rsid w:val="008E630C"/>
    <w:rsid w:val="008E6EB2"/>
    <w:rsid w:val="008E7189"/>
    <w:rsid w:val="008E730E"/>
    <w:rsid w:val="008E7367"/>
    <w:rsid w:val="008E74FD"/>
    <w:rsid w:val="008E7860"/>
    <w:rsid w:val="008F094B"/>
    <w:rsid w:val="008F110A"/>
    <w:rsid w:val="008F1753"/>
    <w:rsid w:val="008F1A92"/>
    <w:rsid w:val="008F2299"/>
    <w:rsid w:val="008F2F5F"/>
    <w:rsid w:val="008F3958"/>
    <w:rsid w:val="008F395C"/>
    <w:rsid w:val="008F3C80"/>
    <w:rsid w:val="008F40F6"/>
    <w:rsid w:val="008F4103"/>
    <w:rsid w:val="008F470A"/>
    <w:rsid w:val="008F4F4D"/>
    <w:rsid w:val="008F5E11"/>
    <w:rsid w:val="008F6088"/>
    <w:rsid w:val="008F712F"/>
    <w:rsid w:val="008F7540"/>
    <w:rsid w:val="009003A5"/>
    <w:rsid w:val="00900B09"/>
    <w:rsid w:val="0090115E"/>
    <w:rsid w:val="00901FBB"/>
    <w:rsid w:val="00902014"/>
    <w:rsid w:val="009024A1"/>
    <w:rsid w:val="009033A0"/>
    <w:rsid w:val="00903AE7"/>
    <w:rsid w:val="00903EEF"/>
    <w:rsid w:val="00903F8E"/>
    <w:rsid w:val="009044E6"/>
    <w:rsid w:val="00905367"/>
    <w:rsid w:val="00905B95"/>
    <w:rsid w:val="00906451"/>
    <w:rsid w:val="009070AE"/>
    <w:rsid w:val="009073B3"/>
    <w:rsid w:val="00907933"/>
    <w:rsid w:val="00907A7B"/>
    <w:rsid w:val="00907BE1"/>
    <w:rsid w:val="009108E5"/>
    <w:rsid w:val="009110F9"/>
    <w:rsid w:val="009112F8"/>
    <w:rsid w:val="00911DE7"/>
    <w:rsid w:val="00912248"/>
    <w:rsid w:val="009124D4"/>
    <w:rsid w:val="00912658"/>
    <w:rsid w:val="00912762"/>
    <w:rsid w:val="00912A0B"/>
    <w:rsid w:val="00912C61"/>
    <w:rsid w:val="00912FF1"/>
    <w:rsid w:val="00913416"/>
    <w:rsid w:val="009139D6"/>
    <w:rsid w:val="00914B5E"/>
    <w:rsid w:val="00914D77"/>
    <w:rsid w:val="00914F24"/>
    <w:rsid w:val="00915323"/>
    <w:rsid w:val="0091532E"/>
    <w:rsid w:val="009156B8"/>
    <w:rsid w:val="00915783"/>
    <w:rsid w:val="00915F74"/>
    <w:rsid w:val="0091647E"/>
    <w:rsid w:val="00916D52"/>
    <w:rsid w:val="00917122"/>
    <w:rsid w:val="009172BA"/>
    <w:rsid w:val="00917758"/>
    <w:rsid w:val="00917FD9"/>
    <w:rsid w:val="0092042E"/>
    <w:rsid w:val="00921AEC"/>
    <w:rsid w:val="0092258E"/>
    <w:rsid w:val="00922A83"/>
    <w:rsid w:val="00922CCA"/>
    <w:rsid w:val="00923364"/>
    <w:rsid w:val="00923657"/>
    <w:rsid w:val="00923856"/>
    <w:rsid w:val="00923A87"/>
    <w:rsid w:val="00924853"/>
    <w:rsid w:val="009255B3"/>
    <w:rsid w:val="00925AFF"/>
    <w:rsid w:val="00925C2C"/>
    <w:rsid w:val="00926588"/>
    <w:rsid w:val="009269CF"/>
    <w:rsid w:val="00926D58"/>
    <w:rsid w:val="009270BB"/>
    <w:rsid w:val="00927F3D"/>
    <w:rsid w:val="009303F2"/>
    <w:rsid w:val="00930B57"/>
    <w:rsid w:val="00930CB3"/>
    <w:rsid w:val="00930FDD"/>
    <w:rsid w:val="00932269"/>
    <w:rsid w:val="00934C5B"/>
    <w:rsid w:val="00934EB8"/>
    <w:rsid w:val="0093530E"/>
    <w:rsid w:val="009362BB"/>
    <w:rsid w:val="00936D53"/>
    <w:rsid w:val="0093729D"/>
    <w:rsid w:val="00937379"/>
    <w:rsid w:val="00937DAB"/>
    <w:rsid w:val="00937E56"/>
    <w:rsid w:val="00937F07"/>
    <w:rsid w:val="00940EE4"/>
    <w:rsid w:val="00941027"/>
    <w:rsid w:val="009413D7"/>
    <w:rsid w:val="009414D7"/>
    <w:rsid w:val="00941553"/>
    <w:rsid w:val="009415C4"/>
    <w:rsid w:val="00941D42"/>
    <w:rsid w:val="009423C3"/>
    <w:rsid w:val="0094285D"/>
    <w:rsid w:val="00942DFE"/>
    <w:rsid w:val="0094324F"/>
    <w:rsid w:val="009438E2"/>
    <w:rsid w:val="00943B31"/>
    <w:rsid w:val="00944091"/>
    <w:rsid w:val="009446D6"/>
    <w:rsid w:val="00944837"/>
    <w:rsid w:val="009448F0"/>
    <w:rsid w:val="00944CD0"/>
    <w:rsid w:val="009454A7"/>
    <w:rsid w:val="00945839"/>
    <w:rsid w:val="009460F6"/>
    <w:rsid w:val="009468D7"/>
    <w:rsid w:val="00947311"/>
    <w:rsid w:val="009473BF"/>
    <w:rsid w:val="00950527"/>
    <w:rsid w:val="00950C0A"/>
    <w:rsid w:val="009510FF"/>
    <w:rsid w:val="00951F40"/>
    <w:rsid w:val="009521F5"/>
    <w:rsid w:val="0095294B"/>
    <w:rsid w:val="00952B7A"/>
    <w:rsid w:val="00952FBC"/>
    <w:rsid w:val="009535D4"/>
    <w:rsid w:val="00953F7A"/>
    <w:rsid w:val="0095516B"/>
    <w:rsid w:val="00955650"/>
    <w:rsid w:val="0095579B"/>
    <w:rsid w:val="00955941"/>
    <w:rsid w:val="0095651E"/>
    <w:rsid w:val="00956BA3"/>
    <w:rsid w:val="00957653"/>
    <w:rsid w:val="00957936"/>
    <w:rsid w:val="00957C23"/>
    <w:rsid w:val="00957C8B"/>
    <w:rsid w:val="00960035"/>
    <w:rsid w:val="0096042C"/>
    <w:rsid w:val="00960614"/>
    <w:rsid w:val="00960F68"/>
    <w:rsid w:val="0096109A"/>
    <w:rsid w:val="009611EC"/>
    <w:rsid w:val="009615CE"/>
    <w:rsid w:val="00961BCC"/>
    <w:rsid w:val="00961E43"/>
    <w:rsid w:val="009623AD"/>
    <w:rsid w:val="0096339E"/>
    <w:rsid w:val="00963521"/>
    <w:rsid w:val="009639FA"/>
    <w:rsid w:val="00963D44"/>
    <w:rsid w:val="0096407A"/>
    <w:rsid w:val="009645FC"/>
    <w:rsid w:val="0096476A"/>
    <w:rsid w:val="00964A66"/>
    <w:rsid w:val="00964C03"/>
    <w:rsid w:val="009653FA"/>
    <w:rsid w:val="00966315"/>
    <w:rsid w:val="00966490"/>
    <w:rsid w:val="00966756"/>
    <w:rsid w:val="009671DF"/>
    <w:rsid w:val="0096771E"/>
    <w:rsid w:val="00967874"/>
    <w:rsid w:val="00967F0E"/>
    <w:rsid w:val="009705A8"/>
    <w:rsid w:val="00970AE5"/>
    <w:rsid w:val="00972DBA"/>
    <w:rsid w:val="009734C1"/>
    <w:rsid w:val="00973672"/>
    <w:rsid w:val="009737D9"/>
    <w:rsid w:val="00973C3C"/>
    <w:rsid w:val="00973DF1"/>
    <w:rsid w:val="00973EA4"/>
    <w:rsid w:val="00974442"/>
    <w:rsid w:val="0097481D"/>
    <w:rsid w:val="009749B1"/>
    <w:rsid w:val="00974E4D"/>
    <w:rsid w:val="00974F85"/>
    <w:rsid w:val="0097546D"/>
    <w:rsid w:val="00975CBD"/>
    <w:rsid w:val="00975F10"/>
    <w:rsid w:val="0097610C"/>
    <w:rsid w:val="0097655C"/>
    <w:rsid w:val="00976E9D"/>
    <w:rsid w:val="0097789B"/>
    <w:rsid w:val="009778C6"/>
    <w:rsid w:val="00977C72"/>
    <w:rsid w:val="00977F37"/>
    <w:rsid w:val="00980516"/>
    <w:rsid w:val="00981E42"/>
    <w:rsid w:val="009828EB"/>
    <w:rsid w:val="009832CB"/>
    <w:rsid w:val="00983329"/>
    <w:rsid w:val="0098348D"/>
    <w:rsid w:val="009838F3"/>
    <w:rsid w:val="00983A89"/>
    <w:rsid w:val="00983E1D"/>
    <w:rsid w:val="00984668"/>
    <w:rsid w:val="009849ED"/>
    <w:rsid w:val="00985924"/>
    <w:rsid w:val="00985F81"/>
    <w:rsid w:val="0098668E"/>
    <w:rsid w:val="00987AA3"/>
    <w:rsid w:val="0099100C"/>
    <w:rsid w:val="00991CE2"/>
    <w:rsid w:val="00993209"/>
    <w:rsid w:val="009939C2"/>
    <w:rsid w:val="00993E1A"/>
    <w:rsid w:val="00994A39"/>
    <w:rsid w:val="00994ECE"/>
    <w:rsid w:val="00995ADE"/>
    <w:rsid w:val="00996009"/>
    <w:rsid w:val="0099603D"/>
    <w:rsid w:val="009960D2"/>
    <w:rsid w:val="0099611B"/>
    <w:rsid w:val="0099641B"/>
    <w:rsid w:val="00996770"/>
    <w:rsid w:val="00996800"/>
    <w:rsid w:val="00997145"/>
    <w:rsid w:val="00997A0B"/>
    <w:rsid w:val="00997BC0"/>
    <w:rsid w:val="009A0405"/>
    <w:rsid w:val="009A04EA"/>
    <w:rsid w:val="009A074B"/>
    <w:rsid w:val="009A0861"/>
    <w:rsid w:val="009A0942"/>
    <w:rsid w:val="009A10DF"/>
    <w:rsid w:val="009A25ED"/>
    <w:rsid w:val="009A28EC"/>
    <w:rsid w:val="009A2DDA"/>
    <w:rsid w:val="009A34E7"/>
    <w:rsid w:val="009A3C33"/>
    <w:rsid w:val="009A415D"/>
    <w:rsid w:val="009A446F"/>
    <w:rsid w:val="009A4592"/>
    <w:rsid w:val="009A4B74"/>
    <w:rsid w:val="009A4C06"/>
    <w:rsid w:val="009A5328"/>
    <w:rsid w:val="009A61B2"/>
    <w:rsid w:val="009A686F"/>
    <w:rsid w:val="009A6920"/>
    <w:rsid w:val="009A6A48"/>
    <w:rsid w:val="009A7068"/>
    <w:rsid w:val="009A7BA2"/>
    <w:rsid w:val="009A7BD8"/>
    <w:rsid w:val="009B0F03"/>
    <w:rsid w:val="009B1B97"/>
    <w:rsid w:val="009B1BF9"/>
    <w:rsid w:val="009B1EA9"/>
    <w:rsid w:val="009B21B3"/>
    <w:rsid w:val="009B274E"/>
    <w:rsid w:val="009B317C"/>
    <w:rsid w:val="009B3C61"/>
    <w:rsid w:val="009B3D46"/>
    <w:rsid w:val="009B3F07"/>
    <w:rsid w:val="009B59D1"/>
    <w:rsid w:val="009B5C81"/>
    <w:rsid w:val="009B5FC3"/>
    <w:rsid w:val="009B65E1"/>
    <w:rsid w:val="009B7044"/>
    <w:rsid w:val="009B7074"/>
    <w:rsid w:val="009B7AD6"/>
    <w:rsid w:val="009C0385"/>
    <w:rsid w:val="009C09F0"/>
    <w:rsid w:val="009C0B00"/>
    <w:rsid w:val="009C0B14"/>
    <w:rsid w:val="009C1004"/>
    <w:rsid w:val="009C1C2E"/>
    <w:rsid w:val="009C2A97"/>
    <w:rsid w:val="009C2E2A"/>
    <w:rsid w:val="009C3355"/>
    <w:rsid w:val="009C365D"/>
    <w:rsid w:val="009C3665"/>
    <w:rsid w:val="009C3895"/>
    <w:rsid w:val="009C3C1A"/>
    <w:rsid w:val="009C3FA4"/>
    <w:rsid w:val="009C402F"/>
    <w:rsid w:val="009C4791"/>
    <w:rsid w:val="009C4887"/>
    <w:rsid w:val="009C49ED"/>
    <w:rsid w:val="009C4DDC"/>
    <w:rsid w:val="009C4F1F"/>
    <w:rsid w:val="009C5687"/>
    <w:rsid w:val="009C592A"/>
    <w:rsid w:val="009C5FCA"/>
    <w:rsid w:val="009C5FCD"/>
    <w:rsid w:val="009C688E"/>
    <w:rsid w:val="009C6ABC"/>
    <w:rsid w:val="009D1318"/>
    <w:rsid w:val="009D133F"/>
    <w:rsid w:val="009D1778"/>
    <w:rsid w:val="009D18ED"/>
    <w:rsid w:val="009D295F"/>
    <w:rsid w:val="009D2BA1"/>
    <w:rsid w:val="009D35BC"/>
    <w:rsid w:val="009D37EA"/>
    <w:rsid w:val="009D3BDA"/>
    <w:rsid w:val="009D3E95"/>
    <w:rsid w:val="009D3F56"/>
    <w:rsid w:val="009D443F"/>
    <w:rsid w:val="009D4CC5"/>
    <w:rsid w:val="009D5721"/>
    <w:rsid w:val="009D58E4"/>
    <w:rsid w:val="009D6EA3"/>
    <w:rsid w:val="009D6EE2"/>
    <w:rsid w:val="009D6F07"/>
    <w:rsid w:val="009D788B"/>
    <w:rsid w:val="009D79F3"/>
    <w:rsid w:val="009E0461"/>
    <w:rsid w:val="009E1F83"/>
    <w:rsid w:val="009E2015"/>
    <w:rsid w:val="009E2949"/>
    <w:rsid w:val="009E2AF9"/>
    <w:rsid w:val="009E2D7E"/>
    <w:rsid w:val="009E3915"/>
    <w:rsid w:val="009E3934"/>
    <w:rsid w:val="009E3A44"/>
    <w:rsid w:val="009E40B6"/>
    <w:rsid w:val="009E45A4"/>
    <w:rsid w:val="009E50D9"/>
    <w:rsid w:val="009E53E7"/>
    <w:rsid w:val="009E567A"/>
    <w:rsid w:val="009E5AB8"/>
    <w:rsid w:val="009E5DDF"/>
    <w:rsid w:val="009E6023"/>
    <w:rsid w:val="009E60EA"/>
    <w:rsid w:val="009E641A"/>
    <w:rsid w:val="009E6A78"/>
    <w:rsid w:val="009E6A84"/>
    <w:rsid w:val="009E6F86"/>
    <w:rsid w:val="009E7821"/>
    <w:rsid w:val="009E79D0"/>
    <w:rsid w:val="009F02AD"/>
    <w:rsid w:val="009F085C"/>
    <w:rsid w:val="009F0950"/>
    <w:rsid w:val="009F1116"/>
    <w:rsid w:val="009F12BA"/>
    <w:rsid w:val="009F1B1C"/>
    <w:rsid w:val="009F1C12"/>
    <w:rsid w:val="009F2034"/>
    <w:rsid w:val="009F21E1"/>
    <w:rsid w:val="009F2596"/>
    <w:rsid w:val="009F29F5"/>
    <w:rsid w:val="009F2DB1"/>
    <w:rsid w:val="009F2EBE"/>
    <w:rsid w:val="009F3057"/>
    <w:rsid w:val="009F3810"/>
    <w:rsid w:val="009F3F73"/>
    <w:rsid w:val="009F4118"/>
    <w:rsid w:val="009F428E"/>
    <w:rsid w:val="009F43BD"/>
    <w:rsid w:val="009F5318"/>
    <w:rsid w:val="009F5EF5"/>
    <w:rsid w:val="009F640E"/>
    <w:rsid w:val="009F6739"/>
    <w:rsid w:val="009F6808"/>
    <w:rsid w:val="009F69AE"/>
    <w:rsid w:val="009F6BAF"/>
    <w:rsid w:val="009F7749"/>
    <w:rsid w:val="009F7908"/>
    <w:rsid w:val="00A00410"/>
    <w:rsid w:val="00A004DF"/>
    <w:rsid w:val="00A00F82"/>
    <w:rsid w:val="00A00F8E"/>
    <w:rsid w:val="00A010F8"/>
    <w:rsid w:val="00A01603"/>
    <w:rsid w:val="00A01946"/>
    <w:rsid w:val="00A020C1"/>
    <w:rsid w:val="00A02C2A"/>
    <w:rsid w:val="00A02F62"/>
    <w:rsid w:val="00A0325F"/>
    <w:rsid w:val="00A03621"/>
    <w:rsid w:val="00A03E41"/>
    <w:rsid w:val="00A03FA0"/>
    <w:rsid w:val="00A040D8"/>
    <w:rsid w:val="00A04352"/>
    <w:rsid w:val="00A0493D"/>
    <w:rsid w:val="00A049F4"/>
    <w:rsid w:val="00A05285"/>
    <w:rsid w:val="00A056F4"/>
    <w:rsid w:val="00A05BA9"/>
    <w:rsid w:val="00A05BB5"/>
    <w:rsid w:val="00A05BC4"/>
    <w:rsid w:val="00A05C30"/>
    <w:rsid w:val="00A05E70"/>
    <w:rsid w:val="00A06CDC"/>
    <w:rsid w:val="00A06D64"/>
    <w:rsid w:val="00A07CD3"/>
    <w:rsid w:val="00A07D82"/>
    <w:rsid w:val="00A100A5"/>
    <w:rsid w:val="00A10BAB"/>
    <w:rsid w:val="00A10DD6"/>
    <w:rsid w:val="00A114A1"/>
    <w:rsid w:val="00A11DD1"/>
    <w:rsid w:val="00A11E22"/>
    <w:rsid w:val="00A120AF"/>
    <w:rsid w:val="00A12262"/>
    <w:rsid w:val="00A122A7"/>
    <w:rsid w:val="00A132EA"/>
    <w:rsid w:val="00A13D7F"/>
    <w:rsid w:val="00A13F9D"/>
    <w:rsid w:val="00A14361"/>
    <w:rsid w:val="00A14822"/>
    <w:rsid w:val="00A15A11"/>
    <w:rsid w:val="00A168CD"/>
    <w:rsid w:val="00A16B37"/>
    <w:rsid w:val="00A16FF2"/>
    <w:rsid w:val="00A172A3"/>
    <w:rsid w:val="00A1758A"/>
    <w:rsid w:val="00A179E1"/>
    <w:rsid w:val="00A20041"/>
    <w:rsid w:val="00A200B9"/>
    <w:rsid w:val="00A20D55"/>
    <w:rsid w:val="00A20E63"/>
    <w:rsid w:val="00A20F65"/>
    <w:rsid w:val="00A20FB9"/>
    <w:rsid w:val="00A2128C"/>
    <w:rsid w:val="00A224E3"/>
    <w:rsid w:val="00A227C0"/>
    <w:rsid w:val="00A23003"/>
    <w:rsid w:val="00A2364C"/>
    <w:rsid w:val="00A23764"/>
    <w:rsid w:val="00A23E7C"/>
    <w:rsid w:val="00A24A04"/>
    <w:rsid w:val="00A24E74"/>
    <w:rsid w:val="00A2514C"/>
    <w:rsid w:val="00A25807"/>
    <w:rsid w:val="00A25A6C"/>
    <w:rsid w:val="00A25BB1"/>
    <w:rsid w:val="00A2629B"/>
    <w:rsid w:val="00A267A3"/>
    <w:rsid w:val="00A26902"/>
    <w:rsid w:val="00A26DFF"/>
    <w:rsid w:val="00A27124"/>
    <w:rsid w:val="00A300C9"/>
    <w:rsid w:val="00A31765"/>
    <w:rsid w:val="00A318D4"/>
    <w:rsid w:val="00A333AA"/>
    <w:rsid w:val="00A334EE"/>
    <w:rsid w:val="00A335AB"/>
    <w:rsid w:val="00A34207"/>
    <w:rsid w:val="00A35DCD"/>
    <w:rsid w:val="00A36CDE"/>
    <w:rsid w:val="00A36FBF"/>
    <w:rsid w:val="00A37B4C"/>
    <w:rsid w:val="00A4037C"/>
    <w:rsid w:val="00A408F0"/>
    <w:rsid w:val="00A40AB6"/>
    <w:rsid w:val="00A40BA6"/>
    <w:rsid w:val="00A41216"/>
    <w:rsid w:val="00A4244A"/>
    <w:rsid w:val="00A42507"/>
    <w:rsid w:val="00A42529"/>
    <w:rsid w:val="00A42A05"/>
    <w:rsid w:val="00A42B78"/>
    <w:rsid w:val="00A431D1"/>
    <w:rsid w:val="00A43707"/>
    <w:rsid w:val="00A43954"/>
    <w:rsid w:val="00A43991"/>
    <w:rsid w:val="00A43A03"/>
    <w:rsid w:val="00A44DBB"/>
    <w:rsid w:val="00A45B6F"/>
    <w:rsid w:val="00A461F4"/>
    <w:rsid w:val="00A46F06"/>
    <w:rsid w:val="00A47316"/>
    <w:rsid w:val="00A47A88"/>
    <w:rsid w:val="00A47E15"/>
    <w:rsid w:val="00A5012D"/>
    <w:rsid w:val="00A50B7C"/>
    <w:rsid w:val="00A50E2F"/>
    <w:rsid w:val="00A51061"/>
    <w:rsid w:val="00A5140D"/>
    <w:rsid w:val="00A51555"/>
    <w:rsid w:val="00A522CC"/>
    <w:rsid w:val="00A5251A"/>
    <w:rsid w:val="00A532AE"/>
    <w:rsid w:val="00A53DD5"/>
    <w:rsid w:val="00A54298"/>
    <w:rsid w:val="00A54F6D"/>
    <w:rsid w:val="00A55902"/>
    <w:rsid w:val="00A55C65"/>
    <w:rsid w:val="00A55D96"/>
    <w:rsid w:val="00A55DE9"/>
    <w:rsid w:val="00A56817"/>
    <w:rsid w:val="00A5686D"/>
    <w:rsid w:val="00A56FF5"/>
    <w:rsid w:val="00A570C1"/>
    <w:rsid w:val="00A575FE"/>
    <w:rsid w:val="00A5774B"/>
    <w:rsid w:val="00A600FF"/>
    <w:rsid w:val="00A604B9"/>
    <w:rsid w:val="00A60560"/>
    <w:rsid w:val="00A6062A"/>
    <w:rsid w:val="00A60849"/>
    <w:rsid w:val="00A6084A"/>
    <w:rsid w:val="00A60A6E"/>
    <w:rsid w:val="00A61983"/>
    <w:rsid w:val="00A61C86"/>
    <w:rsid w:val="00A61F4D"/>
    <w:rsid w:val="00A626F3"/>
    <w:rsid w:val="00A62958"/>
    <w:rsid w:val="00A62B2B"/>
    <w:rsid w:val="00A62B90"/>
    <w:rsid w:val="00A63349"/>
    <w:rsid w:val="00A633D0"/>
    <w:rsid w:val="00A6486E"/>
    <w:rsid w:val="00A64A9A"/>
    <w:rsid w:val="00A64E08"/>
    <w:rsid w:val="00A65275"/>
    <w:rsid w:val="00A65280"/>
    <w:rsid w:val="00A65BBE"/>
    <w:rsid w:val="00A65F98"/>
    <w:rsid w:val="00A660E2"/>
    <w:rsid w:val="00A66FF7"/>
    <w:rsid w:val="00A67A7D"/>
    <w:rsid w:val="00A67C24"/>
    <w:rsid w:val="00A71487"/>
    <w:rsid w:val="00A71C07"/>
    <w:rsid w:val="00A71C95"/>
    <w:rsid w:val="00A71CA4"/>
    <w:rsid w:val="00A71DEE"/>
    <w:rsid w:val="00A727D1"/>
    <w:rsid w:val="00A72E87"/>
    <w:rsid w:val="00A739AD"/>
    <w:rsid w:val="00A73EDD"/>
    <w:rsid w:val="00A74A3C"/>
    <w:rsid w:val="00A751CA"/>
    <w:rsid w:val="00A75F40"/>
    <w:rsid w:val="00A761F5"/>
    <w:rsid w:val="00A7794F"/>
    <w:rsid w:val="00A80DB0"/>
    <w:rsid w:val="00A8126C"/>
    <w:rsid w:val="00A81A04"/>
    <w:rsid w:val="00A81B0B"/>
    <w:rsid w:val="00A832E4"/>
    <w:rsid w:val="00A835EB"/>
    <w:rsid w:val="00A83957"/>
    <w:rsid w:val="00A846E1"/>
    <w:rsid w:val="00A8548C"/>
    <w:rsid w:val="00A855A3"/>
    <w:rsid w:val="00A86753"/>
    <w:rsid w:val="00A87058"/>
    <w:rsid w:val="00A87329"/>
    <w:rsid w:val="00A874FB"/>
    <w:rsid w:val="00A876C6"/>
    <w:rsid w:val="00A87903"/>
    <w:rsid w:val="00A87AB2"/>
    <w:rsid w:val="00A87C84"/>
    <w:rsid w:val="00A87EEC"/>
    <w:rsid w:val="00A900AE"/>
    <w:rsid w:val="00A9046E"/>
    <w:rsid w:val="00A90F5A"/>
    <w:rsid w:val="00A91171"/>
    <w:rsid w:val="00A912E4"/>
    <w:rsid w:val="00A918E9"/>
    <w:rsid w:val="00A924AE"/>
    <w:rsid w:val="00A92F6E"/>
    <w:rsid w:val="00A92FBB"/>
    <w:rsid w:val="00A93241"/>
    <w:rsid w:val="00A935C9"/>
    <w:rsid w:val="00A93718"/>
    <w:rsid w:val="00A93958"/>
    <w:rsid w:val="00A94246"/>
    <w:rsid w:val="00A9426B"/>
    <w:rsid w:val="00A943E5"/>
    <w:rsid w:val="00A94531"/>
    <w:rsid w:val="00A946E0"/>
    <w:rsid w:val="00A94935"/>
    <w:rsid w:val="00A94BB4"/>
    <w:rsid w:val="00A961E2"/>
    <w:rsid w:val="00A9699A"/>
    <w:rsid w:val="00A9785C"/>
    <w:rsid w:val="00A97CDC"/>
    <w:rsid w:val="00AA029E"/>
    <w:rsid w:val="00AA0870"/>
    <w:rsid w:val="00AA0E25"/>
    <w:rsid w:val="00AA119F"/>
    <w:rsid w:val="00AA11C0"/>
    <w:rsid w:val="00AA1960"/>
    <w:rsid w:val="00AA2001"/>
    <w:rsid w:val="00AA21F9"/>
    <w:rsid w:val="00AA3228"/>
    <w:rsid w:val="00AA371F"/>
    <w:rsid w:val="00AA39DF"/>
    <w:rsid w:val="00AA3AB0"/>
    <w:rsid w:val="00AA3ECC"/>
    <w:rsid w:val="00AA4929"/>
    <w:rsid w:val="00AA529F"/>
    <w:rsid w:val="00AA5614"/>
    <w:rsid w:val="00AA5E2C"/>
    <w:rsid w:val="00AA63CD"/>
    <w:rsid w:val="00AA7043"/>
    <w:rsid w:val="00AA70DF"/>
    <w:rsid w:val="00AA7B80"/>
    <w:rsid w:val="00AA7BD2"/>
    <w:rsid w:val="00AA7C98"/>
    <w:rsid w:val="00AA7E1E"/>
    <w:rsid w:val="00AA7EE1"/>
    <w:rsid w:val="00AB003D"/>
    <w:rsid w:val="00AB00EC"/>
    <w:rsid w:val="00AB06C5"/>
    <w:rsid w:val="00AB0A2E"/>
    <w:rsid w:val="00AB0B1C"/>
    <w:rsid w:val="00AB0EE0"/>
    <w:rsid w:val="00AB137E"/>
    <w:rsid w:val="00AB2945"/>
    <w:rsid w:val="00AB399A"/>
    <w:rsid w:val="00AB4520"/>
    <w:rsid w:val="00AB4652"/>
    <w:rsid w:val="00AB4692"/>
    <w:rsid w:val="00AB4F24"/>
    <w:rsid w:val="00AB4FA2"/>
    <w:rsid w:val="00AB51D6"/>
    <w:rsid w:val="00AB5511"/>
    <w:rsid w:val="00AB6D68"/>
    <w:rsid w:val="00AB6FB0"/>
    <w:rsid w:val="00AB7457"/>
    <w:rsid w:val="00AB7703"/>
    <w:rsid w:val="00AC1F93"/>
    <w:rsid w:val="00AC28DE"/>
    <w:rsid w:val="00AC333C"/>
    <w:rsid w:val="00AC34F5"/>
    <w:rsid w:val="00AC54BB"/>
    <w:rsid w:val="00AC54D6"/>
    <w:rsid w:val="00AC57F8"/>
    <w:rsid w:val="00AC5805"/>
    <w:rsid w:val="00AC60E2"/>
    <w:rsid w:val="00AC6166"/>
    <w:rsid w:val="00AC6732"/>
    <w:rsid w:val="00AC6B5C"/>
    <w:rsid w:val="00AC6BB5"/>
    <w:rsid w:val="00AD0A33"/>
    <w:rsid w:val="00AD0DC3"/>
    <w:rsid w:val="00AD0EB1"/>
    <w:rsid w:val="00AD1B27"/>
    <w:rsid w:val="00AD30FF"/>
    <w:rsid w:val="00AD310A"/>
    <w:rsid w:val="00AD38B5"/>
    <w:rsid w:val="00AD3FE2"/>
    <w:rsid w:val="00AD42B1"/>
    <w:rsid w:val="00AD4A6B"/>
    <w:rsid w:val="00AD5502"/>
    <w:rsid w:val="00AD5FA6"/>
    <w:rsid w:val="00AD60B1"/>
    <w:rsid w:val="00AD6982"/>
    <w:rsid w:val="00AD7018"/>
    <w:rsid w:val="00AD71C0"/>
    <w:rsid w:val="00AD7525"/>
    <w:rsid w:val="00AD7BFC"/>
    <w:rsid w:val="00AE0BFA"/>
    <w:rsid w:val="00AE0C18"/>
    <w:rsid w:val="00AE0DA9"/>
    <w:rsid w:val="00AE15E1"/>
    <w:rsid w:val="00AE176A"/>
    <w:rsid w:val="00AE1D67"/>
    <w:rsid w:val="00AE23B8"/>
    <w:rsid w:val="00AE24CA"/>
    <w:rsid w:val="00AE2E94"/>
    <w:rsid w:val="00AE3131"/>
    <w:rsid w:val="00AE328E"/>
    <w:rsid w:val="00AE3C52"/>
    <w:rsid w:val="00AE449C"/>
    <w:rsid w:val="00AE4B96"/>
    <w:rsid w:val="00AE4BB2"/>
    <w:rsid w:val="00AE4E4A"/>
    <w:rsid w:val="00AE516A"/>
    <w:rsid w:val="00AE559A"/>
    <w:rsid w:val="00AE5919"/>
    <w:rsid w:val="00AE6372"/>
    <w:rsid w:val="00AE6639"/>
    <w:rsid w:val="00AE6801"/>
    <w:rsid w:val="00AE6A0B"/>
    <w:rsid w:val="00AE6C64"/>
    <w:rsid w:val="00AF1BFC"/>
    <w:rsid w:val="00AF1F6E"/>
    <w:rsid w:val="00AF2421"/>
    <w:rsid w:val="00AF2884"/>
    <w:rsid w:val="00AF29DB"/>
    <w:rsid w:val="00AF2A5C"/>
    <w:rsid w:val="00AF2F31"/>
    <w:rsid w:val="00AF311F"/>
    <w:rsid w:val="00AF3C3A"/>
    <w:rsid w:val="00AF427D"/>
    <w:rsid w:val="00AF619F"/>
    <w:rsid w:val="00AF7717"/>
    <w:rsid w:val="00B005FE"/>
    <w:rsid w:val="00B00D3B"/>
    <w:rsid w:val="00B00E31"/>
    <w:rsid w:val="00B014E1"/>
    <w:rsid w:val="00B01998"/>
    <w:rsid w:val="00B020C4"/>
    <w:rsid w:val="00B022F1"/>
    <w:rsid w:val="00B02380"/>
    <w:rsid w:val="00B024C2"/>
    <w:rsid w:val="00B02B86"/>
    <w:rsid w:val="00B02C92"/>
    <w:rsid w:val="00B03297"/>
    <w:rsid w:val="00B0458C"/>
    <w:rsid w:val="00B047E0"/>
    <w:rsid w:val="00B04E08"/>
    <w:rsid w:val="00B05F18"/>
    <w:rsid w:val="00B0638E"/>
    <w:rsid w:val="00B06F92"/>
    <w:rsid w:val="00B0716D"/>
    <w:rsid w:val="00B07235"/>
    <w:rsid w:val="00B0780F"/>
    <w:rsid w:val="00B07918"/>
    <w:rsid w:val="00B10005"/>
    <w:rsid w:val="00B1118C"/>
    <w:rsid w:val="00B1151F"/>
    <w:rsid w:val="00B11723"/>
    <w:rsid w:val="00B11A49"/>
    <w:rsid w:val="00B12A45"/>
    <w:rsid w:val="00B12C0B"/>
    <w:rsid w:val="00B12E0D"/>
    <w:rsid w:val="00B138CC"/>
    <w:rsid w:val="00B141AB"/>
    <w:rsid w:val="00B14879"/>
    <w:rsid w:val="00B14896"/>
    <w:rsid w:val="00B148AD"/>
    <w:rsid w:val="00B14C39"/>
    <w:rsid w:val="00B1505B"/>
    <w:rsid w:val="00B156B1"/>
    <w:rsid w:val="00B1621C"/>
    <w:rsid w:val="00B16BB2"/>
    <w:rsid w:val="00B1733C"/>
    <w:rsid w:val="00B17468"/>
    <w:rsid w:val="00B17919"/>
    <w:rsid w:val="00B20BDB"/>
    <w:rsid w:val="00B210ED"/>
    <w:rsid w:val="00B21360"/>
    <w:rsid w:val="00B229C9"/>
    <w:rsid w:val="00B23189"/>
    <w:rsid w:val="00B2360E"/>
    <w:rsid w:val="00B2365C"/>
    <w:rsid w:val="00B24134"/>
    <w:rsid w:val="00B247E6"/>
    <w:rsid w:val="00B25246"/>
    <w:rsid w:val="00B253AC"/>
    <w:rsid w:val="00B25593"/>
    <w:rsid w:val="00B2683D"/>
    <w:rsid w:val="00B26DD6"/>
    <w:rsid w:val="00B26E5E"/>
    <w:rsid w:val="00B275BD"/>
    <w:rsid w:val="00B3042F"/>
    <w:rsid w:val="00B307D8"/>
    <w:rsid w:val="00B3084F"/>
    <w:rsid w:val="00B3087B"/>
    <w:rsid w:val="00B30C35"/>
    <w:rsid w:val="00B30D02"/>
    <w:rsid w:val="00B33408"/>
    <w:rsid w:val="00B3353E"/>
    <w:rsid w:val="00B33885"/>
    <w:rsid w:val="00B33A70"/>
    <w:rsid w:val="00B33D16"/>
    <w:rsid w:val="00B33D99"/>
    <w:rsid w:val="00B352A4"/>
    <w:rsid w:val="00B3757C"/>
    <w:rsid w:val="00B37A34"/>
    <w:rsid w:val="00B37C80"/>
    <w:rsid w:val="00B37D2D"/>
    <w:rsid w:val="00B406CC"/>
    <w:rsid w:val="00B40CCC"/>
    <w:rsid w:val="00B40D2B"/>
    <w:rsid w:val="00B41671"/>
    <w:rsid w:val="00B416C8"/>
    <w:rsid w:val="00B419CC"/>
    <w:rsid w:val="00B41D5F"/>
    <w:rsid w:val="00B41E0C"/>
    <w:rsid w:val="00B41F07"/>
    <w:rsid w:val="00B42007"/>
    <w:rsid w:val="00B425D5"/>
    <w:rsid w:val="00B42E94"/>
    <w:rsid w:val="00B4351B"/>
    <w:rsid w:val="00B43B79"/>
    <w:rsid w:val="00B44B1E"/>
    <w:rsid w:val="00B44C86"/>
    <w:rsid w:val="00B44EA3"/>
    <w:rsid w:val="00B4551B"/>
    <w:rsid w:val="00B45BF2"/>
    <w:rsid w:val="00B45D97"/>
    <w:rsid w:val="00B46192"/>
    <w:rsid w:val="00B46585"/>
    <w:rsid w:val="00B46B24"/>
    <w:rsid w:val="00B46C6C"/>
    <w:rsid w:val="00B46FB8"/>
    <w:rsid w:val="00B474CB"/>
    <w:rsid w:val="00B4769D"/>
    <w:rsid w:val="00B50693"/>
    <w:rsid w:val="00B50DF5"/>
    <w:rsid w:val="00B50F68"/>
    <w:rsid w:val="00B51113"/>
    <w:rsid w:val="00B512B9"/>
    <w:rsid w:val="00B512CB"/>
    <w:rsid w:val="00B515E6"/>
    <w:rsid w:val="00B52C43"/>
    <w:rsid w:val="00B52F29"/>
    <w:rsid w:val="00B5330E"/>
    <w:rsid w:val="00B54056"/>
    <w:rsid w:val="00B55225"/>
    <w:rsid w:val="00B55AC3"/>
    <w:rsid w:val="00B574BC"/>
    <w:rsid w:val="00B57922"/>
    <w:rsid w:val="00B57ADB"/>
    <w:rsid w:val="00B57E7C"/>
    <w:rsid w:val="00B60F3F"/>
    <w:rsid w:val="00B6102A"/>
    <w:rsid w:val="00B619E1"/>
    <w:rsid w:val="00B61DA7"/>
    <w:rsid w:val="00B62579"/>
    <w:rsid w:val="00B62817"/>
    <w:rsid w:val="00B62848"/>
    <w:rsid w:val="00B633CD"/>
    <w:rsid w:val="00B6341A"/>
    <w:rsid w:val="00B64C4D"/>
    <w:rsid w:val="00B64E6E"/>
    <w:rsid w:val="00B65419"/>
    <w:rsid w:val="00B65B66"/>
    <w:rsid w:val="00B66063"/>
    <w:rsid w:val="00B660EE"/>
    <w:rsid w:val="00B661E0"/>
    <w:rsid w:val="00B662FB"/>
    <w:rsid w:val="00B664D9"/>
    <w:rsid w:val="00B66546"/>
    <w:rsid w:val="00B66D33"/>
    <w:rsid w:val="00B67138"/>
    <w:rsid w:val="00B672CC"/>
    <w:rsid w:val="00B674D9"/>
    <w:rsid w:val="00B7010A"/>
    <w:rsid w:val="00B703AE"/>
    <w:rsid w:val="00B704CD"/>
    <w:rsid w:val="00B7110D"/>
    <w:rsid w:val="00B711CB"/>
    <w:rsid w:val="00B71A0D"/>
    <w:rsid w:val="00B71B40"/>
    <w:rsid w:val="00B71B62"/>
    <w:rsid w:val="00B7272A"/>
    <w:rsid w:val="00B72EF9"/>
    <w:rsid w:val="00B7345B"/>
    <w:rsid w:val="00B739B4"/>
    <w:rsid w:val="00B7488E"/>
    <w:rsid w:val="00B7496B"/>
    <w:rsid w:val="00B74DC4"/>
    <w:rsid w:val="00B74DFE"/>
    <w:rsid w:val="00B750FA"/>
    <w:rsid w:val="00B75450"/>
    <w:rsid w:val="00B75907"/>
    <w:rsid w:val="00B75CEC"/>
    <w:rsid w:val="00B769EE"/>
    <w:rsid w:val="00B771D3"/>
    <w:rsid w:val="00B7775F"/>
    <w:rsid w:val="00B77B83"/>
    <w:rsid w:val="00B8093E"/>
    <w:rsid w:val="00B80E72"/>
    <w:rsid w:val="00B81501"/>
    <w:rsid w:val="00B81730"/>
    <w:rsid w:val="00B81897"/>
    <w:rsid w:val="00B81EB7"/>
    <w:rsid w:val="00B82156"/>
    <w:rsid w:val="00B82BA1"/>
    <w:rsid w:val="00B83341"/>
    <w:rsid w:val="00B8372B"/>
    <w:rsid w:val="00B837BF"/>
    <w:rsid w:val="00B83AA1"/>
    <w:rsid w:val="00B840E2"/>
    <w:rsid w:val="00B85A10"/>
    <w:rsid w:val="00B862BA"/>
    <w:rsid w:val="00B8695D"/>
    <w:rsid w:val="00B86D77"/>
    <w:rsid w:val="00B87412"/>
    <w:rsid w:val="00B90032"/>
    <w:rsid w:val="00B9035E"/>
    <w:rsid w:val="00B90C5B"/>
    <w:rsid w:val="00B90EFB"/>
    <w:rsid w:val="00B91588"/>
    <w:rsid w:val="00B91599"/>
    <w:rsid w:val="00B916E7"/>
    <w:rsid w:val="00B91AB3"/>
    <w:rsid w:val="00B91C2A"/>
    <w:rsid w:val="00B91C92"/>
    <w:rsid w:val="00B922FB"/>
    <w:rsid w:val="00B925EF"/>
    <w:rsid w:val="00B93061"/>
    <w:rsid w:val="00B93D03"/>
    <w:rsid w:val="00B95018"/>
    <w:rsid w:val="00B95582"/>
    <w:rsid w:val="00B95C12"/>
    <w:rsid w:val="00B95D0C"/>
    <w:rsid w:val="00B95D5D"/>
    <w:rsid w:val="00B95DA4"/>
    <w:rsid w:val="00B971AC"/>
    <w:rsid w:val="00BA01C1"/>
    <w:rsid w:val="00BA0400"/>
    <w:rsid w:val="00BA12A4"/>
    <w:rsid w:val="00BA195E"/>
    <w:rsid w:val="00BA1B75"/>
    <w:rsid w:val="00BA2319"/>
    <w:rsid w:val="00BA26C8"/>
    <w:rsid w:val="00BA2EBC"/>
    <w:rsid w:val="00BA2F06"/>
    <w:rsid w:val="00BA33F0"/>
    <w:rsid w:val="00BA3D83"/>
    <w:rsid w:val="00BA3E2A"/>
    <w:rsid w:val="00BA3F41"/>
    <w:rsid w:val="00BA5346"/>
    <w:rsid w:val="00BA60FC"/>
    <w:rsid w:val="00BA6F29"/>
    <w:rsid w:val="00BA725E"/>
    <w:rsid w:val="00BB002A"/>
    <w:rsid w:val="00BB0122"/>
    <w:rsid w:val="00BB0ABC"/>
    <w:rsid w:val="00BB0EFC"/>
    <w:rsid w:val="00BB0FC7"/>
    <w:rsid w:val="00BB115F"/>
    <w:rsid w:val="00BB1602"/>
    <w:rsid w:val="00BB1A8C"/>
    <w:rsid w:val="00BB234E"/>
    <w:rsid w:val="00BB2D6F"/>
    <w:rsid w:val="00BB2F8D"/>
    <w:rsid w:val="00BB39A0"/>
    <w:rsid w:val="00BB3AAB"/>
    <w:rsid w:val="00BB3F45"/>
    <w:rsid w:val="00BB4313"/>
    <w:rsid w:val="00BB503B"/>
    <w:rsid w:val="00BB636B"/>
    <w:rsid w:val="00BB6AF7"/>
    <w:rsid w:val="00BB6BA7"/>
    <w:rsid w:val="00BB771A"/>
    <w:rsid w:val="00BB7E6B"/>
    <w:rsid w:val="00BC0B5A"/>
    <w:rsid w:val="00BC135D"/>
    <w:rsid w:val="00BC167F"/>
    <w:rsid w:val="00BC1F27"/>
    <w:rsid w:val="00BC23CE"/>
    <w:rsid w:val="00BC2613"/>
    <w:rsid w:val="00BC2A89"/>
    <w:rsid w:val="00BC2F78"/>
    <w:rsid w:val="00BC315D"/>
    <w:rsid w:val="00BC3339"/>
    <w:rsid w:val="00BC37BF"/>
    <w:rsid w:val="00BC3B23"/>
    <w:rsid w:val="00BC4298"/>
    <w:rsid w:val="00BC4A5F"/>
    <w:rsid w:val="00BC4F58"/>
    <w:rsid w:val="00BC504E"/>
    <w:rsid w:val="00BC526D"/>
    <w:rsid w:val="00BC52A3"/>
    <w:rsid w:val="00BC6006"/>
    <w:rsid w:val="00BC64DA"/>
    <w:rsid w:val="00BC68A7"/>
    <w:rsid w:val="00BC6C90"/>
    <w:rsid w:val="00BC71CF"/>
    <w:rsid w:val="00BC71F1"/>
    <w:rsid w:val="00BD0997"/>
    <w:rsid w:val="00BD0E07"/>
    <w:rsid w:val="00BD0F01"/>
    <w:rsid w:val="00BD14E2"/>
    <w:rsid w:val="00BD15DD"/>
    <w:rsid w:val="00BD24EC"/>
    <w:rsid w:val="00BD28E0"/>
    <w:rsid w:val="00BD2AD1"/>
    <w:rsid w:val="00BD2DC9"/>
    <w:rsid w:val="00BD30FD"/>
    <w:rsid w:val="00BD3680"/>
    <w:rsid w:val="00BD3827"/>
    <w:rsid w:val="00BD3BF5"/>
    <w:rsid w:val="00BD3D45"/>
    <w:rsid w:val="00BD42BE"/>
    <w:rsid w:val="00BD44E8"/>
    <w:rsid w:val="00BD4FC8"/>
    <w:rsid w:val="00BD513F"/>
    <w:rsid w:val="00BD570F"/>
    <w:rsid w:val="00BD5AE9"/>
    <w:rsid w:val="00BD71A1"/>
    <w:rsid w:val="00BD791B"/>
    <w:rsid w:val="00BD7BF0"/>
    <w:rsid w:val="00BD7F47"/>
    <w:rsid w:val="00BE0510"/>
    <w:rsid w:val="00BE06BE"/>
    <w:rsid w:val="00BE0794"/>
    <w:rsid w:val="00BE0884"/>
    <w:rsid w:val="00BE0C25"/>
    <w:rsid w:val="00BE0DC2"/>
    <w:rsid w:val="00BE12B8"/>
    <w:rsid w:val="00BE21C8"/>
    <w:rsid w:val="00BE2371"/>
    <w:rsid w:val="00BE2506"/>
    <w:rsid w:val="00BE28B3"/>
    <w:rsid w:val="00BE29AB"/>
    <w:rsid w:val="00BE2F36"/>
    <w:rsid w:val="00BE3573"/>
    <w:rsid w:val="00BE394E"/>
    <w:rsid w:val="00BE3F3C"/>
    <w:rsid w:val="00BE4148"/>
    <w:rsid w:val="00BE5238"/>
    <w:rsid w:val="00BE54A0"/>
    <w:rsid w:val="00BE552B"/>
    <w:rsid w:val="00BE57DF"/>
    <w:rsid w:val="00BE5E74"/>
    <w:rsid w:val="00BE638E"/>
    <w:rsid w:val="00BE6514"/>
    <w:rsid w:val="00BE6648"/>
    <w:rsid w:val="00BE6A54"/>
    <w:rsid w:val="00BE6BD1"/>
    <w:rsid w:val="00BE7371"/>
    <w:rsid w:val="00BE79DB"/>
    <w:rsid w:val="00BE7D27"/>
    <w:rsid w:val="00BF03B3"/>
    <w:rsid w:val="00BF0CC7"/>
    <w:rsid w:val="00BF0D96"/>
    <w:rsid w:val="00BF1ACC"/>
    <w:rsid w:val="00BF2CE1"/>
    <w:rsid w:val="00BF3754"/>
    <w:rsid w:val="00BF628F"/>
    <w:rsid w:val="00BF70DE"/>
    <w:rsid w:val="00BF7B0F"/>
    <w:rsid w:val="00BF7B1F"/>
    <w:rsid w:val="00BF7B7D"/>
    <w:rsid w:val="00C0105A"/>
    <w:rsid w:val="00C011AE"/>
    <w:rsid w:val="00C014F4"/>
    <w:rsid w:val="00C0153D"/>
    <w:rsid w:val="00C015B6"/>
    <w:rsid w:val="00C01635"/>
    <w:rsid w:val="00C01721"/>
    <w:rsid w:val="00C029F7"/>
    <w:rsid w:val="00C03204"/>
    <w:rsid w:val="00C03A9A"/>
    <w:rsid w:val="00C03AC6"/>
    <w:rsid w:val="00C03B4C"/>
    <w:rsid w:val="00C0489B"/>
    <w:rsid w:val="00C04E7D"/>
    <w:rsid w:val="00C05345"/>
    <w:rsid w:val="00C05401"/>
    <w:rsid w:val="00C05DE4"/>
    <w:rsid w:val="00C06874"/>
    <w:rsid w:val="00C06A89"/>
    <w:rsid w:val="00C076F7"/>
    <w:rsid w:val="00C07D05"/>
    <w:rsid w:val="00C1089A"/>
    <w:rsid w:val="00C11888"/>
    <w:rsid w:val="00C12B07"/>
    <w:rsid w:val="00C12B93"/>
    <w:rsid w:val="00C12EB6"/>
    <w:rsid w:val="00C12EC9"/>
    <w:rsid w:val="00C12ED0"/>
    <w:rsid w:val="00C13469"/>
    <w:rsid w:val="00C1376D"/>
    <w:rsid w:val="00C13816"/>
    <w:rsid w:val="00C13A8C"/>
    <w:rsid w:val="00C14450"/>
    <w:rsid w:val="00C14B2F"/>
    <w:rsid w:val="00C14F68"/>
    <w:rsid w:val="00C155F8"/>
    <w:rsid w:val="00C15A13"/>
    <w:rsid w:val="00C163A9"/>
    <w:rsid w:val="00C16901"/>
    <w:rsid w:val="00C16CC5"/>
    <w:rsid w:val="00C20D14"/>
    <w:rsid w:val="00C2102F"/>
    <w:rsid w:val="00C215DB"/>
    <w:rsid w:val="00C215FA"/>
    <w:rsid w:val="00C21623"/>
    <w:rsid w:val="00C21AD2"/>
    <w:rsid w:val="00C2215E"/>
    <w:rsid w:val="00C226E0"/>
    <w:rsid w:val="00C229A2"/>
    <w:rsid w:val="00C229DB"/>
    <w:rsid w:val="00C2348C"/>
    <w:rsid w:val="00C23E66"/>
    <w:rsid w:val="00C23E6D"/>
    <w:rsid w:val="00C24704"/>
    <w:rsid w:val="00C24BC0"/>
    <w:rsid w:val="00C24D5E"/>
    <w:rsid w:val="00C25024"/>
    <w:rsid w:val="00C2526A"/>
    <w:rsid w:val="00C25F02"/>
    <w:rsid w:val="00C27650"/>
    <w:rsid w:val="00C27672"/>
    <w:rsid w:val="00C30F1C"/>
    <w:rsid w:val="00C31078"/>
    <w:rsid w:val="00C3151F"/>
    <w:rsid w:val="00C3189E"/>
    <w:rsid w:val="00C31B96"/>
    <w:rsid w:val="00C32EDF"/>
    <w:rsid w:val="00C33516"/>
    <w:rsid w:val="00C33556"/>
    <w:rsid w:val="00C340F8"/>
    <w:rsid w:val="00C341A7"/>
    <w:rsid w:val="00C3426D"/>
    <w:rsid w:val="00C34DB5"/>
    <w:rsid w:val="00C3522B"/>
    <w:rsid w:val="00C35753"/>
    <w:rsid w:val="00C3577A"/>
    <w:rsid w:val="00C3612A"/>
    <w:rsid w:val="00C36558"/>
    <w:rsid w:val="00C40061"/>
    <w:rsid w:val="00C4084E"/>
    <w:rsid w:val="00C41343"/>
    <w:rsid w:val="00C41E12"/>
    <w:rsid w:val="00C434EE"/>
    <w:rsid w:val="00C43AEF"/>
    <w:rsid w:val="00C450FE"/>
    <w:rsid w:val="00C45250"/>
    <w:rsid w:val="00C452C4"/>
    <w:rsid w:val="00C46E6B"/>
    <w:rsid w:val="00C46E98"/>
    <w:rsid w:val="00C473D8"/>
    <w:rsid w:val="00C47761"/>
    <w:rsid w:val="00C47815"/>
    <w:rsid w:val="00C50019"/>
    <w:rsid w:val="00C507FC"/>
    <w:rsid w:val="00C50D2D"/>
    <w:rsid w:val="00C52C01"/>
    <w:rsid w:val="00C5330D"/>
    <w:rsid w:val="00C533C8"/>
    <w:rsid w:val="00C53594"/>
    <w:rsid w:val="00C5366E"/>
    <w:rsid w:val="00C537B9"/>
    <w:rsid w:val="00C54354"/>
    <w:rsid w:val="00C54B3B"/>
    <w:rsid w:val="00C55AF1"/>
    <w:rsid w:val="00C55EEA"/>
    <w:rsid w:val="00C55F44"/>
    <w:rsid w:val="00C5614A"/>
    <w:rsid w:val="00C5623D"/>
    <w:rsid w:val="00C5686F"/>
    <w:rsid w:val="00C56C3E"/>
    <w:rsid w:val="00C574DA"/>
    <w:rsid w:val="00C57CE0"/>
    <w:rsid w:val="00C607EB"/>
    <w:rsid w:val="00C60C3A"/>
    <w:rsid w:val="00C60CD8"/>
    <w:rsid w:val="00C6233E"/>
    <w:rsid w:val="00C64199"/>
    <w:rsid w:val="00C64862"/>
    <w:rsid w:val="00C6509B"/>
    <w:rsid w:val="00C662E2"/>
    <w:rsid w:val="00C66780"/>
    <w:rsid w:val="00C66CC8"/>
    <w:rsid w:val="00C674F8"/>
    <w:rsid w:val="00C7000B"/>
    <w:rsid w:val="00C70E51"/>
    <w:rsid w:val="00C71669"/>
    <w:rsid w:val="00C71780"/>
    <w:rsid w:val="00C71F3D"/>
    <w:rsid w:val="00C72003"/>
    <w:rsid w:val="00C72D9E"/>
    <w:rsid w:val="00C72E17"/>
    <w:rsid w:val="00C72F4C"/>
    <w:rsid w:val="00C73201"/>
    <w:rsid w:val="00C7324B"/>
    <w:rsid w:val="00C73D62"/>
    <w:rsid w:val="00C73E98"/>
    <w:rsid w:val="00C73F92"/>
    <w:rsid w:val="00C742DB"/>
    <w:rsid w:val="00C74643"/>
    <w:rsid w:val="00C7530C"/>
    <w:rsid w:val="00C754F7"/>
    <w:rsid w:val="00C7587E"/>
    <w:rsid w:val="00C75B55"/>
    <w:rsid w:val="00C75EFD"/>
    <w:rsid w:val="00C7707E"/>
    <w:rsid w:val="00C7771A"/>
    <w:rsid w:val="00C77D03"/>
    <w:rsid w:val="00C809DF"/>
    <w:rsid w:val="00C80D5D"/>
    <w:rsid w:val="00C80EAF"/>
    <w:rsid w:val="00C814FB"/>
    <w:rsid w:val="00C824C9"/>
    <w:rsid w:val="00C82D81"/>
    <w:rsid w:val="00C8559E"/>
    <w:rsid w:val="00C86537"/>
    <w:rsid w:val="00C8727E"/>
    <w:rsid w:val="00C87986"/>
    <w:rsid w:val="00C87A67"/>
    <w:rsid w:val="00C87C26"/>
    <w:rsid w:val="00C87D39"/>
    <w:rsid w:val="00C87D77"/>
    <w:rsid w:val="00C87D81"/>
    <w:rsid w:val="00C9002B"/>
    <w:rsid w:val="00C90782"/>
    <w:rsid w:val="00C91BA4"/>
    <w:rsid w:val="00C9259D"/>
    <w:rsid w:val="00C92752"/>
    <w:rsid w:val="00C92A41"/>
    <w:rsid w:val="00C92C68"/>
    <w:rsid w:val="00C92F2A"/>
    <w:rsid w:val="00C931A2"/>
    <w:rsid w:val="00C9357D"/>
    <w:rsid w:val="00C9453C"/>
    <w:rsid w:val="00C94A01"/>
    <w:rsid w:val="00C94C35"/>
    <w:rsid w:val="00C94DDE"/>
    <w:rsid w:val="00C94ED7"/>
    <w:rsid w:val="00C958DF"/>
    <w:rsid w:val="00C95AF2"/>
    <w:rsid w:val="00C95FB8"/>
    <w:rsid w:val="00C96110"/>
    <w:rsid w:val="00C9720A"/>
    <w:rsid w:val="00C973D3"/>
    <w:rsid w:val="00C9788A"/>
    <w:rsid w:val="00C97B94"/>
    <w:rsid w:val="00CA05B9"/>
    <w:rsid w:val="00CA13FC"/>
    <w:rsid w:val="00CA1726"/>
    <w:rsid w:val="00CA1759"/>
    <w:rsid w:val="00CA19CD"/>
    <w:rsid w:val="00CA25B9"/>
    <w:rsid w:val="00CA3979"/>
    <w:rsid w:val="00CA3A84"/>
    <w:rsid w:val="00CA3DD5"/>
    <w:rsid w:val="00CA57FF"/>
    <w:rsid w:val="00CA59AA"/>
    <w:rsid w:val="00CA6A6C"/>
    <w:rsid w:val="00CA7240"/>
    <w:rsid w:val="00CA734A"/>
    <w:rsid w:val="00CB0418"/>
    <w:rsid w:val="00CB067A"/>
    <w:rsid w:val="00CB0E3E"/>
    <w:rsid w:val="00CB0F60"/>
    <w:rsid w:val="00CB1143"/>
    <w:rsid w:val="00CB11FC"/>
    <w:rsid w:val="00CB1B63"/>
    <w:rsid w:val="00CB2111"/>
    <w:rsid w:val="00CB29BF"/>
    <w:rsid w:val="00CB2FFF"/>
    <w:rsid w:val="00CB3252"/>
    <w:rsid w:val="00CB3426"/>
    <w:rsid w:val="00CB36A1"/>
    <w:rsid w:val="00CB41C1"/>
    <w:rsid w:val="00CB442E"/>
    <w:rsid w:val="00CB49DE"/>
    <w:rsid w:val="00CB53DA"/>
    <w:rsid w:val="00CB5D09"/>
    <w:rsid w:val="00CB5E55"/>
    <w:rsid w:val="00CB6832"/>
    <w:rsid w:val="00CB7297"/>
    <w:rsid w:val="00CB74CD"/>
    <w:rsid w:val="00CB7EFD"/>
    <w:rsid w:val="00CC0260"/>
    <w:rsid w:val="00CC0295"/>
    <w:rsid w:val="00CC0D82"/>
    <w:rsid w:val="00CC207F"/>
    <w:rsid w:val="00CC2A71"/>
    <w:rsid w:val="00CC2C31"/>
    <w:rsid w:val="00CC2D72"/>
    <w:rsid w:val="00CC3E02"/>
    <w:rsid w:val="00CC3E84"/>
    <w:rsid w:val="00CC4950"/>
    <w:rsid w:val="00CC4DA9"/>
    <w:rsid w:val="00CC5E0B"/>
    <w:rsid w:val="00CC6779"/>
    <w:rsid w:val="00CC6E21"/>
    <w:rsid w:val="00CC7CB6"/>
    <w:rsid w:val="00CD0423"/>
    <w:rsid w:val="00CD04E8"/>
    <w:rsid w:val="00CD07CF"/>
    <w:rsid w:val="00CD0BCB"/>
    <w:rsid w:val="00CD0EF3"/>
    <w:rsid w:val="00CD2293"/>
    <w:rsid w:val="00CD2502"/>
    <w:rsid w:val="00CD2D44"/>
    <w:rsid w:val="00CD3873"/>
    <w:rsid w:val="00CD3D85"/>
    <w:rsid w:val="00CD3F26"/>
    <w:rsid w:val="00CD416D"/>
    <w:rsid w:val="00CD4ACE"/>
    <w:rsid w:val="00CD50B2"/>
    <w:rsid w:val="00CD52BB"/>
    <w:rsid w:val="00CD571B"/>
    <w:rsid w:val="00CD7062"/>
    <w:rsid w:val="00CD7EFB"/>
    <w:rsid w:val="00CD7FA1"/>
    <w:rsid w:val="00CE01AD"/>
    <w:rsid w:val="00CE01D7"/>
    <w:rsid w:val="00CE0682"/>
    <w:rsid w:val="00CE069A"/>
    <w:rsid w:val="00CE07E8"/>
    <w:rsid w:val="00CE0C72"/>
    <w:rsid w:val="00CE0D53"/>
    <w:rsid w:val="00CE0F9F"/>
    <w:rsid w:val="00CE164E"/>
    <w:rsid w:val="00CE19F8"/>
    <w:rsid w:val="00CE289E"/>
    <w:rsid w:val="00CE2A6D"/>
    <w:rsid w:val="00CE4584"/>
    <w:rsid w:val="00CE6A66"/>
    <w:rsid w:val="00CE72C7"/>
    <w:rsid w:val="00CE7718"/>
    <w:rsid w:val="00CE7A97"/>
    <w:rsid w:val="00CE7AA9"/>
    <w:rsid w:val="00CE7D16"/>
    <w:rsid w:val="00CF0991"/>
    <w:rsid w:val="00CF1135"/>
    <w:rsid w:val="00CF1B36"/>
    <w:rsid w:val="00CF2550"/>
    <w:rsid w:val="00CF2B1E"/>
    <w:rsid w:val="00CF31FE"/>
    <w:rsid w:val="00CF3BE8"/>
    <w:rsid w:val="00CF3E4B"/>
    <w:rsid w:val="00CF4103"/>
    <w:rsid w:val="00CF433F"/>
    <w:rsid w:val="00CF4968"/>
    <w:rsid w:val="00CF4FE1"/>
    <w:rsid w:val="00CF53ED"/>
    <w:rsid w:val="00CF637B"/>
    <w:rsid w:val="00CF6A1E"/>
    <w:rsid w:val="00CF6BD6"/>
    <w:rsid w:val="00CF6D94"/>
    <w:rsid w:val="00CF6F8F"/>
    <w:rsid w:val="00CF72C5"/>
    <w:rsid w:val="00CF74F0"/>
    <w:rsid w:val="00D00592"/>
    <w:rsid w:val="00D00627"/>
    <w:rsid w:val="00D023DC"/>
    <w:rsid w:val="00D02870"/>
    <w:rsid w:val="00D02AED"/>
    <w:rsid w:val="00D02CE5"/>
    <w:rsid w:val="00D03287"/>
    <w:rsid w:val="00D034B1"/>
    <w:rsid w:val="00D03BB8"/>
    <w:rsid w:val="00D03C71"/>
    <w:rsid w:val="00D03E1D"/>
    <w:rsid w:val="00D04716"/>
    <w:rsid w:val="00D05DA9"/>
    <w:rsid w:val="00D06324"/>
    <w:rsid w:val="00D06801"/>
    <w:rsid w:val="00D0687F"/>
    <w:rsid w:val="00D068D1"/>
    <w:rsid w:val="00D069A1"/>
    <w:rsid w:val="00D07606"/>
    <w:rsid w:val="00D079B3"/>
    <w:rsid w:val="00D07A6A"/>
    <w:rsid w:val="00D11AD4"/>
    <w:rsid w:val="00D11C65"/>
    <w:rsid w:val="00D11EB0"/>
    <w:rsid w:val="00D126B0"/>
    <w:rsid w:val="00D12948"/>
    <w:rsid w:val="00D130E4"/>
    <w:rsid w:val="00D136F3"/>
    <w:rsid w:val="00D13800"/>
    <w:rsid w:val="00D14953"/>
    <w:rsid w:val="00D14C57"/>
    <w:rsid w:val="00D14E63"/>
    <w:rsid w:val="00D153F2"/>
    <w:rsid w:val="00D15A08"/>
    <w:rsid w:val="00D15FF5"/>
    <w:rsid w:val="00D160F8"/>
    <w:rsid w:val="00D17C3A"/>
    <w:rsid w:val="00D204DD"/>
    <w:rsid w:val="00D20E42"/>
    <w:rsid w:val="00D211B7"/>
    <w:rsid w:val="00D21982"/>
    <w:rsid w:val="00D224DA"/>
    <w:rsid w:val="00D22AAB"/>
    <w:rsid w:val="00D235FF"/>
    <w:rsid w:val="00D23B57"/>
    <w:rsid w:val="00D23BB2"/>
    <w:rsid w:val="00D2405F"/>
    <w:rsid w:val="00D25DE3"/>
    <w:rsid w:val="00D26C02"/>
    <w:rsid w:val="00D26C85"/>
    <w:rsid w:val="00D27C4C"/>
    <w:rsid w:val="00D30042"/>
    <w:rsid w:val="00D30B0B"/>
    <w:rsid w:val="00D30D0C"/>
    <w:rsid w:val="00D3148A"/>
    <w:rsid w:val="00D31E7C"/>
    <w:rsid w:val="00D31EFF"/>
    <w:rsid w:val="00D32448"/>
    <w:rsid w:val="00D324C3"/>
    <w:rsid w:val="00D3254A"/>
    <w:rsid w:val="00D32DB8"/>
    <w:rsid w:val="00D3323B"/>
    <w:rsid w:val="00D3438E"/>
    <w:rsid w:val="00D34C76"/>
    <w:rsid w:val="00D34D5E"/>
    <w:rsid w:val="00D37673"/>
    <w:rsid w:val="00D37D51"/>
    <w:rsid w:val="00D37EC0"/>
    <w:rsid w:val="00D402C7"/>
    <w:rsid w:val="00D40B82"/>
    <w:rsid w:val="00D418AF"/>
    <w:rsid w:val="00D41D9B"/>
    <w:rsid w:val="00D42005"/>
    <w:rsid w:val="00D42033"/>
    <w:rsid w:val="00D429B1"/>
    <w:rsid w:val="00D44032"/>
    <w:rsid w:val="00D4407A"/>
    <w:rsid w:val="00D44763"/>
    <w:rsid w:val="00D45344"/>
    <w:rsid w:val="00D46067"/>
    <w:rsid w:val="00D46118"/>
    <w:rsid w:val="00D4660E"/>
    <w:rsid w:val="00D46A94"/>
    <w:rsid w:val="00D4724B"/>
    <w:rsid w:val="00D472FD"/>
    <w:rsid w:val="00D474DF"/>
    <w:rsid w:val="00D47789"/>
    <w:rsid w:val="00D4781D"/>
    <w:rsid w:val="00D4799B"/>
    <w:rsid w:val="00D47C42"/>
    <w:rsid w:val="00D47E0A"/>
    <w:rsid w:val="00D50CF4"/>
    <w:rsid w:val="00D514AD"/>
    <w:rsid w:val="00D51683"/>
    <w:rsid w:val="00D52832"/>
    <w:rsid w:val="00D52B7C"/>
    <w:rsid w:val="00D52EDC"/>
    <w:rsid w:val="00D52F9E"/>
    <w:rsid w:val="00D53953"/>
    <w:rsid w:val="00D53BD5"/>
    <w:rsid w:val="00D54F2E"/>
    <w:rsid w:val="00D55338"/>
    <w:rsid w:val="00D55694"/>
    <w:rsid w:val="00D55D2C"/>
    <w:rsid w:val="00D56D25"/>
    <w:rsid w:val="00D577F2"/>
    <w:rsid w:val="00D57FB4"/>
    <w:rsid w:val="00D60A77"/>
    <w:rsid w:val="00D60B1C"/>
    <w:rsid w:val="00D6169B"/>
    <w:rsid w:val="00D619D3"/>
    <w:rsid w:val="00D61ED9"/>
    <w:rsid w:val="00D622B1"/>
    <w:rsid w:val="00D622DD"/>
    <w:rsid w:val="00D624BB"/>
    <w:rsid w:val="00D6280B"/>
    <w:rsid w:val="00D6285B"/>
    <w:rsid w:val="00D63292"/>
    <w:rsid w:val="00D6333A"/>
    <w:rsid w:val="00D635F8"/>
    <w:rsid w:val="00D63A77"/>
    <w:rsid w:val="00D63DA3"/>
    <w:rsid w:val="00D643D8"/>
    <w:rsid w:val="00D65105"/>
    <w:rsid w:val="00D65173"/>
    <w:rsid w:val="00D65717"/>
    <w:rsid w:val="00D65E05"/>
    <w:rsid w:val="00D66618"/>
    <w:rsid w:val="00D66D80"/>
    <w:rsid w:val="00D67CE3"/>
    <w:rsid w:val="00D707D5"/>
    <w:rsid w:val="00D71699"/>
    <w:rsid w:val="00D72268"/>
    <w:rsid w:val="00D7245D"/>
    <w:rsid w:val="00D72563"/>
    <w:rsid w:val="00D7271F"/>
    <w:rsid w:val="00D7334B"/>
    <w:rsid w:val="00D736FD"/>
    <w:rsid w:val="00D74A93"/>
    <w:rsid w:val="00D74AAF"/>
    <w:rsid w:val="00D75D9A"/>
    <w:rsid w:val="00D76218"/>
    <w:rsid w:val="00D76D42"/>
    <w:rsid w:val="00D77602"/>
    <w:rsid w:val="00D77DCD"/>
    <w:rsid w:val="00D8037E"/>
    <w:rsid w:val="00D81921"/>
    <w:rsid w:val="00D8220E"/>
    <w:rsid w:val="00D82F80"/>
    <w:rsid w:val="00D83050"/>
    <w:rsid w:val="00D8351C"/>
    <w:rsid w:val="00D837DE"/>
    <w:rsid w:val="00D83B15"/>
    <w:rsid w:val="00D83F91"/>
    <w:rsid w:val="00D8503C"/>
    <w:rsid w:val="00D85AB0"/>
    <w:rsid w:val="00D85DB9"/>
    <w:rsid w:val="00D86328"/>
    <w:rsid w:val="00D86BF1"/>
    <w:rsid w:val="00D86EBC"/>
    <w:rsid w:val="00D904E4"/>
    <w:rsid w:val="00D90549"/>
    <w:rsid w:val="00D91210"/>
    <w:rsid w:val="00D918C6"/>
    <w:rsid w:val="00D91DFD"/>
    <w:rsid w:val="00D9216E"/>
    <w:rsid w:val="00D9244A"/>
    <w:rsid w:val="00D93A97"/>
    <w:rsid w:val="00D93B7E"/>
    <w:rsid w:val="00D946B0"/>
    <w:rsid w:val="00D94BB2"/>
    <w:rsid w:val="00D95537"/>
    <w:rsid w:val="00D973B8"/>
    <w:rsid w:val="00D979BE"/>
    <w:rsid w:val="00D97B27"/>
    <w:rsid w:val="00DA000E"/>
    <w:rsid w:val="00DA003D"/>
    <w:rsid w:val="00DA0137"/>
    <w:rsid w:val="00DA030F"/>
    <w:rsid w:val="00DA0E60"/>
    <w:rsid w:val="00DA11F4"/>
    <w:rsid w:val="00DA1B4F"/>
    <w:rsid w:val="00DA2083"/>
    <w:rsid w:val="00DA24BC"/>
    <w:rsid w:val="00DA33F4"/>
    <w:rsid w:val="00DA3F25"/>
    <w:rsid w:val="00DA4333"/>
    <w:rsid w:val="00DA55C8"/>
    <w:rsid w:val="00DA6551"/>
    <w:rsid w:val="00DA74EE"/>
    <w:rsid w:val="00DA7BB3"/>
    <w:rsid w:val="00DA7D56"/>
    <w:rsid w:val="00DB009B"/>
    <w:rsid w:val="00DB0488"/>
    <w:rsid w:val="00DB0A69"/>
    <w:rsid w:val="00DB10FE"/>
    <w:rsid w:val="00DB11AC"/>
    <w:rsid w:val="00DB1434"/>
    <w:rsid w:val="00DB1BBF"/>
    <w:rsid w:val="00DB2288"/>
    <w:rsid w:val="00DB38DC"/>
    <w:rsid w:val="00DB3F94"/>
    <w:rsid w:val="00DB4C87"/>
    <w:rsid w:val="00DB55E0"/>
    <w:rsid w:val="00DB5BE5"/>
    <w:rsid w:val="00DB5F44"/>
    <w:rsid w:val="00DB5F81"/>
    <w:rsid w:val="00DB62C2"/>
    <w:rsid w:val="00DB6476"/>
    <w:rsid w:val="00DB65AD"/>
    <w:rsid w:val="00DB65F2"/>
    <w:rsid w:val="00DB6A2F"/>
    <w:rsid w:val="00DB6B6D"/>
    <w:rsid w:val="00DB6CEF"/>
    <w:rsid w:val="00DB7D54"/>
    <w:rsid w:val="00DC00B3"/>
    <w:rsid w:val="00DC00EF"/>
    <w:rsid w:val="00DC012E"/>
    <w:rsid w:val="00DC0A7E"/>
    <w:rsid w:val="00DC0E2B"/>
    <w:rsid w:val="00DC0F33"/>
    <w:rsid w:val="00DC18D7"/>
    <w:rsid w:val="00DC1D20"/>
    <w:rsid w:val="00DC22BD"/>
    <w:rsid w:val="00DC2978"/>
    <w:rsid w:val="00DC2CE2"/>
    <w:rsid w:val="00DC2E71"/>
    <w:rsid w:val="00DC3002"/>
    <w:rsid w:val="00DC3081"/>
    <w:rsid w:val="00DC3681"/>
    <w:rsid w:val="00DC3CA7"/>
    <w:rsid w:val="00DC3D2A"/>
    <w:rsid w:val="00DC3E77"/>
    <w:rsid w:val="00DC4BC3"/>
    <w:rsid w:val="00DC5698"/>
    <w:rsid w:val="00DC58C3"/>
    <w:rsid w:val="00DC6994"/>
    <w:rsid w:val="00DC6F0D"/>
    <w:rsid w:val="00DC71A7"/>
    <w:rsid w:val="00DC7351"/>
    <w:rsid w:val="00DC7771"/>
    <w:rsid w:val="00DD000F"/>
    <w:rsid w:val="00DD0141"/>
    <w:rsid w:val="00DD0664"/>
    <w:rsid w:val="00DD06FE"/>
    <w:rsid w:val="00DD0C55"/>
    <w:rsid w:val="00DD110B"/>
    <w:rsid w:val="00DD110F"/>
    <w:rsid w:val="00DD12A3"/>
    <w:rsid w:val="00DD1472"/>
    <w:rsid w:val="00DD18B7"/>
    <w:rsid w:val="00DD1D1E"/>
    <w:rsid w:val="00DD1D27"/>
    <w:rsid w:val="00DD2500"/>
    <w:rsid w:val="00DD3A88"/>
    <w:rsid w:val="00DD472B"/>
    <w:rsid w:val="00DD4DEA"/>
    <w:rsid w:val="00DD5145"/>
    <w:rsid w:val="00DD5A47"/>
    <w:rsid w:val="00DD5DA2"/>
    <w:rsid w:val="00DD6678"/>
    <w:rsid w:val="00DD791A"/>
    <w:rsid w:val="00DD797B"/>
    <w:rsid w:val="00DD7BF9"/>
    <w:rsid w:val="00DE192C"/>
    <w:rsid w:val="00DE26FF"/>
    <w:rsid w:val="00DE27D8"/>
    <w:rsid w:val="00DE2E6E"/>
    <w:rsid w:val="00DE3219"/>
    <w:rsid w:val="00DE360E"/>
    <w:rsid w:val="00DE394F"/>
    <w:rsid w:val="00DE3D82"/>
    <w:rsid w:val="00DE443A"/>
    <w:rsid w:val="00DE48B4"/>
    <w:rsid w:val="00DE4C3C"/>
    <w:rsid w:val="00DE4E2E"/>
    <w:rsid w:val="00DE5242"/>
    <w:rsid w:val="00DE5645"/>
    <w:rsid w:val="00DE58BD"/>
    <w:rsid w:val="00DE5A3F"/>
    <w:rsid w:val="00DE6166"/>
    <w:rsid w:val="00DE6B86"/>
    <w:rsid w:val="00DE6CA2"/>
    <w:rsid w:val="00DE6F13"/>
    <w:rsid w:val="00DE76E4"/>
    <w:rsid w:val="00DE76F9"/>
    <w:rsid w:val="00DF03B1"/>
    <w:rsid w:val="00DF04E0"/>
    <w:rsid w:val="00DF1217"/>
    <w:rsid w:val="00DF2999"/>
    <w:rsid w:val="00DF2D15"/>
    <w:rsid w:val="00DF30A6"/>
    <w:rsid w:val="00DF3367"/>
    <w:rsid w:val="00DF3D75"/>
    <w:rsid w:val="00DF4858"/>
    <w:rsid w:val="00DF5750"/>
    <w:rsid w:val="00DF57A2"/>
    <w:rsid w:val="00DF5B06"/>
    <w:rsid w:val="00DF6A4E"/>
    <w:rsid w:val="00DF6B67"/>
    <w:rsid w:val="00E000B9"/>
    <w:rsid w:val="00E0048C"/>
    <w:rsid w:val="00E005D0"/>
    <w:rsid w:val="00E00BBF"/>
    <w:rsid w:val="00E018E1"/>
    <w:rsid w:val="00E01B41"/>
    <w:rsid w:val="00E02450"/>
    <w:rsid w:val="00E031F8"/>
    <w:rsid w:val="00E0377F"/>
    <w:rsid w:val="00E04236"/>
    <w:rsid w:val="00E0472D"/>
    <w:rsid w:val="00E048E3"/>
    <w:rsid w:val="00E04B55"/>
    <w:rsid w:val="00E04C0E"/>
    <w:rsid w:val="00E04F5D"/>
    <w:rsid w:val="00E05BBA"/>
    <w:rsid w:val="00E05C86"/>
    <w:rsid w:val="00E05F6F"/>
    <w:rsid w:val="00E065AC"/>
    <w:rsid w:val="00E06955"/>
    <w:rsid w:val="00E07096"/>
    <w:rsid w:val="00E072FB"/>
    <w:rsid w:val="00E07419"/>
    <w:rsid w:val="00E0784A"/>
    <w:rsid w:val="00E10BC2"/>
    <w:rsid w:val="00E10F55"/>
    <w:rsid w:val="00E10F68"/>
    <w:rsid w:val="00E112CC"/>
    <w:rsid w:val="00E118F5"/>
    <w:rsid w:val="00E11A2C"/>
    <w:rsid w:val="00E12251"/>
    <w:rsid w:val="00E1284E"/>
    <w:rsid w:val="00E130BC"/>
    <w:rsid w:val="00E132D0"/>
    <w:rsid w:val="00E13945"/>
    <w:rsid w:val="00E13EC4"/>
    <w:rsid w:val="00E1417A"/>
    <w:rsid w:val="00E14408"/>
    <w:rsid w:val="00E145DC"/>
    <w:rsid w:val="00E146EF"/>
    <w:rsid w:val="00E15508"/>
    <w:rsid w:val="00E15B49"/>
    <w:rsid w:val="00E15D64"/>
    <w:rsid w:val="00E16C6A"/>
    <w:rsid w:val="00E174B2"/>
    <w:rsid w:val="00E175D1"/>
    <w:rsid w:val="00E17BD4"/>
    <w:rsid w:val="00E17CD4"/>
    <w:rsid w:val="00E20248"/>
    <w:rsid w:val="00E203DC"/>
    <w:rsid w:val="00E205DE"/>
    <w:rsid w:val="00E21487"/>
    <w:rsid w:val="00E21521"/>
    <w:rsid w:val="00E21F7C"/>
    <w:rsid w:val="00E22657"/>
    <w:rsid w:val="00E2393E"/>
    <w:rsid w:val="00E23BBD"/>
    <w:rsid w:val="00E23D97"/>
    <w:rsid w:val="00E24629"/>
    <w:rsid w:val="00E246FD"/>
    <w:rsid w:val="00E254B1"/>
    <w:rsid w:val="00E27B15"/>
    <w:rsid w:val="00E3004B"/>
    <w:rsid w:val="00E30934"/>
    <w:rsid w:val="00E30B19"/>
    <w:rsid w:val="00E30F09"/>
    <w:rsid w:val="00E3128B"/>
    <w:rsid w:val="00E331E0"/>
    <w:rsid w:val="00E33A43"/>
    <w:rsid w:val="00E358F6"/>
    <w:rsid w:val="00E359F8"/>
    <w:rsid w:val="00E35CC6"/>
    <w:rsid w:val="00E35F8C"/>
    <w:rsid w:val="00E35F8F"/>
    <w:rsid w:val="00E35FC0"/>
    <w:rsid w:val="00E36403"/>
    <w:rsid w:val="00E368C2"/>
    <w:rsid w:val="00E377A5"/>
    <w:rsid w:val="00E378AD"/>
    <w:rsid w:val="00E37A3B"/>
    <w:rsid w:val="00E40927"/>
    <w:rsid w:val="00E4150E"/>
    <w:rsid w:val="00E417FE"/>
    <w:rsid w:val="00E42107"/>
    <w:rsid w:val="00E42C85"/>
    <w:rsid w:val="00E4416D"/>
    <w:rsid w:val="00E44A8E"/>
    <w:rsid w:val="00E44B9E"/>
    <w:rsid w:val="00E44D5F"/>
    <w:rsid w:val="00E44DEC"/>
    <w:rsid w:val="00E44E7C"/>
    <w:rsid w:val="00E45085"/>
    <w:rsid w:val="00E45673"/>
    <w:rsid w:val="00E47286"/>
    <w:rsid w:val="00E500B1"/>
    <w:rsid w:val="00E50169"/>
    <w:rsid w:val="00E50CDD"/>
    <w:rsid w:val="00E51BEE"/>
    <w:rsid w:val="00E51DA5"/>
    <w:rsid w:val="00E51E6E"/>
    <w:rsid w:val="00E52FAB"/>
    <w:rsid w:val="00E53735"/>
    <w:rsid w:val="00E53CB1"/>
    <w:rsid w:val="00E54749"/>
    <w:rsid w:val="00E54A7F"/>
    <w:rsid w:val="00E5546E"/>
    <w:rsid w:val="00E55A7E"/>
    <w:rsid w:val="00E55ECD"/>
    <w:rsid w:val="00E56C6D"/>
    <w:rsid w:val="00E5778E"/>
    <w:rsid w:val="00E57890"/>
    <w:rsid w:val="00E6079D"/>
    <w:rsid w:val="00E61B4B"/>
    <w:rsid w:val="00E61D54"/>
    <w:rsid w:val="00E61F2F"/>
    <w:rsid w:val="00E621E0"/>
    <w:rsid w:val="00E628BD"/>
    <w:rsid w:val="00E62D6D"/>
    <w:rsid w:val="00E62EBE"/>
    <w:rsid w:val="00E6343F"/>
    <w:rsid w:val="00E63682"/>
    <w:rsid w:val="00E63876"/>
    <w:rsid w:val="00E63952"/>
    <w:rsid w:val="00E63A0F"/>
    <w:rsid w:val="00E63EB6"/>
    <w:rsid w:val="00E650AA"/>
    <w:rsid w:val="00E66223"/>
    <w:rsid w:val="00E66983"/>
    <w:rsid w:val="00E66D68"/>
    <w:rsid w:val="00E67104"/>
    <w:rsid w:val="00E67781"/>
    <w:rsid w:val="00E70694"/>
    <w:rsid w:val="00E71872"/>
    <w:rsid w:val="00E7220D"/>
    <w:rsid w:val="00E72E83"/>
    <w:rsid w:val="00E73D49"/>
    <w:rsid w:val="00E74874"/>
    <w:rsid w:val="00E74E1F"/>
    <w:rsid w:val="00E7562D"/>
    <w:rsid w:val="00E75BD8"/>
    <w:rsid w:val="00E75EFA"/>
    <w:rsid w:val="00E7646E"/>
    <w:rsid w:val="00E7654A"/>
    <w:rsid w:val="00E766DA"/>
    <w:rsid w:val="00E7704A"/>
    <w:rsid w:val="00E77591"/>
    <w:rsid w:val="00E7770D"/>
    <w:rsid w:val="00E77968"/>
    <w:rsid w:val="00E7799B"/>
    <w:rsid w:val="00E80515"/>
    <w:rsid w:val="00E80A36"/>
    <w:rsid w:val="00E80A41"/>
    <w:rsid w:val="00E812DC"/>
    <w:rsid w:val="00E81B23"/>
    <w:rsid w:val="00E81E28"/>
    <w:rsid w:val="00E8209A"/>
    <w:rsid w:val="00E820C6"/>
    <w:rsid w:val="00E82423"/>
    <w:rsid w:val="00E8296F"/>
    <w:rsid w:val="00E83493"/>
    <w:rsid w:val="00E8423F"/>
    <w:rsid w:val="00E8493D"/>
    <w:rsid w:val="00E84992"/>
    <w:rsid w:val="00E849C8"/>
    <w:rsid w:val="00E84C6A"/>
    <w:rsid w:val="00E871E2"/>
    <w:rsid w:val="00E87992"/>
    <w:rsid w:val="00E90664"/>
    <w:rsid w:val="00E90CE7"/>
    <w:rsid w:val="00E90FB2"/>
    <w:rsid w:val="00E90FC1"/>
    <w:rsid w:val="00E91706"/>
    <w:rsid w:val="00E91F68"/>
    <w:rsid w:val="00E920E2"/>
    <w:rsid w:val="00E9224C"/>
    <w:rsid w:val="00E92447"/>
    <w:rsid w:val="00E92A17"/>
    <w:rsid w:val="00E92C9C"/>
    <w:rsid w:val="00E93620"/>
    <w:rsid w:val="00E947D2"/>
    <w:rsid w:val="00E949F6"/>
    <w:rsid w:val="00E957DD"/>
    <w:rsid w:val="00E95D0D"/>
    <w:rsid w:val="00E95F38"/>
    <w:rsid w:val="00E964CE"/>
    <w:rsid w:val="00EA0CC8"/>
    <w:rsid w:val="00EA0E42"/>
    <w:rsid w:val="00EA2E18"/>
    <w:rsid w:val="00EA2F09"/>
    <w:rsid w:val="00EA3986"/>
    <w:rsid w:val="00EA3CE1"/>
    <w:rsid w:val="00EA3CF5"/>
    <w:rsid w:val="00EA446F"/>
    <w:rsid w:val="00EA5118"/>
    <w:rsid w:val="00EA5149"/>
    <w:rsid w:val="00EA522A"/>
    <w:rsid w:val="00EA5DCD"/>
    <w:rsid w:val="00EA637B"/>
    <w:rsid w:val="00EA6719"/>
    <w:rsid w:val="00EA74BD"/>
    <w:rsid w:val="00EA7C82"/>
    <w:rsid w:val="00EA7E37"/>
    <w:rsid w:val="00EA7E5A"/>
    <w:rsid w:val="00EA7F2F"/>
    <w:rsid w:val="00EB10C9"/>
    <w:rsid w:val="00EB10D1"/>
    <w:rsid w:val="00EB14EA"/>
    <w:rsid w:val="00EB15BF"/>
    <w:rsid w:val="00EB185A"/>
    <w:rsid w:val="00EB1CF6"/>
    <w:rsid w:val="00EB258F"/>
    <w:rsid w:val="00EB36A1"/>
    <w:rsid w:val="00EB3915"/>
    <w:rsid w:val="00EB3D22"/>
    <w:rsid w:val="00EB3DAE"/>
    <w:rsid w:val="00EB57D0"/>
    <w:rsid w:val="00EB5E4D"/>
    <w:rsid w:val="00EB6384"/>
    <w:rsid w:val="00EB7233"/>
    <w:rsid w:val="00EC0995"/>
    <w:rsid w:val="00EC18D1"/>
    <w:rsid w:val="00EC1FC5"/>
    <w:rsid w:val="00EC20D7"/>
    <w:rsid w:val="00EC3D64"/>
    <w:rsid w:val="00EC4564"/>
    <w:rsid w:val="00EC4DB8"/>
    <w:rsid w:val="00EC55D0"/>
    <w:rsid w:val="00EC5830"/>
    <w:rsid w:val="00EC6565"/>
    <w:rsid w:val="00EC6612"/>
    <w:rsid w:val="00EC6B24"/>
    <w:rsid w:val="00EC6B48"/>
    <w:rsid w:val="00EC7671"/>
    <w:rsid w:val="00EC7915"/>
    <w:rsid w:val="00EC7AE5"/>
    <w:rsid w:val="00ED0242"/>
    <w:rsid w:val="00ED04F3"/>
    <w:rsid w:val="00ED0548"/>
    <w:rsid w:val="00ED0819"/>
    <w:rsid w:val="00ED0F0C"/>
    <w:rsid w:val="00ED25E3"/>
    <w:rsid w:val="00ED26DA"/>
    <w:rsid w:val="00ED37CE"/>
    <w:rsid w:val="00ED3DF8"/>
    <w:rsid w:val="00ED3F74"/>
    <w:rsid w:val="00ED4ACA"/>
    <w:rsid w:val="00ED4B31"/>
    <w:rsid w:val="00ED4F51"/>
    <w:rsid w:val="00ED54EA"/>
    <w:rsid w:val="00ED57E2"/>
    <w:rsid w:val="00ED65EB"/>
    <w:rsid w:val="00ED6E8F"/>
    <w:rsid w:val="00ED78B9"/>
    <w:rsid w:val="00ED7B48"/>
    <w:rsid w:val="00EE00B8"/>
    <w:rsid w:val="00EE03C2"/>
    <w:rsid w:val="00EE0BD0"/>
    <w:rsid w:val="00EE1915"/>
    <w:rsid w:val="00EE1F8C"/>
    <w:rsid w:val="00EE2830"/>
    <w:rsid w:val="00EE3D80"/>
    <w:rsid w:val="00EE3F4C"/>
    <w:rsid w:val="00EE4020"/>
    <w:rsid w:val="00EE47C2"/>
    <w:rsid w:val="00EE4A84"/>
    <w:rsid w:val="00EE4FD7"/>
    <w:rsid w:val="00EE6EC7"/>
    <w:rsid w:val="00EE7077"/>
    <w:rsid w:val="00EE7F9B"/>
    <w:rsid w:val="00EF07D0"/>
    <w:rsid w:val="00EF0D91"/>
    <w:rsid w:val="00EF14C6"/>
    <w:rsid w:val="00EF1D64"/>
    <w:rsid w:val="00EF1F67"/>
    <w:rsid w:val="00EF216F"/>
    <w:rsid w:val="00EF2395"/>
    <w:rsid w:val="00EF265F"/>
    <w:rsid w:val="00EF30A2"/>
    <w:rsid w:val="00EF34D1"/>
    <w:rsid w:val="00EF3AC7"/>
    <w:rsid w:val="00EF3F27"/>
    <w:rsid w:val="00EF3F45"/>
    <w:rsid w:val="00EF42DF"/>
    <w:rsid w:val="00EF4DC6"/>
    <w:rsid w:val="00EF4DE6"/>
    <w:rsid w:val="00EF5526"/>
    <w:rsid w:val="00EF58B5"/>
    <w:rsid w:val="00EF5DCA"/>
    <w:rsid w:val="00EF5F5B"/>
    <w:rsid w:val="00EF63CC"/>
    <w:rsid w:val="00EF6A58"/>
    <w:rsid w:val="00EF6CD9"/>
    <w:rsid w:val="00EF7BBE"/>
    <w:rsid w:val="00F007FA"/>
    <w:rsid w:val="00F02597"/>
    <w:rsid w:val="00F029B0"/>
    <w:rsid w:val="00F02B71"/>
    <w:rsid w:val="00F02BBA"/>
    <w:rsid w:val="00F03197"/>
    <w:rsid w:val="00F037E9"/>
    <w:rsid w:val="00F04DF6"/>
    <w:rsid w:val="00F065BF"/>
    <w:rsid w:val="00F077A9"/>
    <w:rsid w:val="00F07929"/>
    <w:rsid w:val="00F07995"/>
    <w:rsid w:val="00F07BA8"/>
    <w:rsid w:val="00F102E0"/>
    <w:rsid w:val="00F10E4E"/>
    <w:rsid w:val="00F10F6D"/>
    <w:rsid w:val="00F1174C"/>
    <w:rsid w:val="00F125DC"/>
    <w:rsid w:val="00F12D2A"/>
    <w:rsid w:val="00F12E20"/>
    <w:rsid w:val="00F13394"/>
    <w:rsid w:val="00F13958"/>
    <w:rsid w:val="00F13E1C"/>
    <w:rsid w:val="00F149A2"/>
    <w:rsid w:val="00F14DE9"/>
    <w:rsid w:val="00F16017"/>
    <w:rsid w:val="00F16727"/>
    <w:rsid w:val="00F1672C"/>
    <w:rsid w:val="00F16CED"/>
    <w:rsid w:val="00F1720C"/>
    <w:rsid w:val="00F17A89"/>
    <w:rsid w:val="00F202E3"/>
    <w:rsid w:val="00F20394"/>
    <w:rsid w:val="00F20DE8"/>
    <w:rsid w:val="00F2154D"/>
    <w:rsid w:val="00F22079"/>
    <w:rsid w:val="00F22176"/>
    <w:rsid w:val="00F225F2"/>
    <w:rsid w:val="00F22B72"/>
    <w:rsid w:val="00F22BD8"/>
    <w:rsid w:val="00F2332D"/>
    <w:rsid w:val="00F2348A"/>
    <w:rsid w:val="00F23CD4"/>
    <w:rsid w:val="00F23EA3"/>
    <w:rsid w:val="00F23EB7"/>
    <w:rsid w:val="00F2425A"/>
    <w:rsid w:val="00F24A99"/>
    <w:rsid w:val="00F24ADC"/>
    <w:rsid w:val="00F25991"/>
    <w:rsid w:val="00F26B56"/>
    <w:rsid w:val="00F3033B"/>
    <w:rsid w:val="00F30BAE"/>
    <w:rsid w:val="00F31B21"/>
    <w:rsid w:val="00F31ECE"/>
    <w:rsid w:val="00F323E5"/>
    <w:rsid w:val="00F32619"/>
    <w:rsid w:val="00F334A6"/>
    <w:rsid w:val="00F335EB"/>
    <w:rsid w:val="00F3398D"/>
    <w:rsid w:val="00F33C94"/>
    <w:rsid w:val="00F33DC1"/>
    <w:rsid w:val="00F33FEE"/>
    <w:rsid w:val="00F34E95"/>
    <w:rsid w:val="00F354FC"/>
    <w:rsid w:val="00F357A9"/>
    <w:rsid w:val="00F35A58"/>
    <w:rsid w:val="00F3713D"/>
    <w:rsid w:val="00F37C6D"/>
    <w:rsid w:val="00F411C3"/>
    <w:rsid w:val="00F41278"/>
    <w:rsid w:val="00F4170F"/>
    <w:rsid w:val="00F41DE5"/>
    <w:rsid w:val="00F420ED"/>
    <w:rsid w:val="00F42505"/>
    <w:rsid w:val="00F43A25"/>
    <w:rsid w:val="00F43EFD"/>
    <w:rsid w:val="00F44B39"/>
    <w:rsid w:val="00F466A5"/>
    <w:rsid w:val="00F469D3"/>
    <w:rsid w:val="00F47087"/>
    <w:rsid w:val="00F47274"/>
    <w:rsid w:val="00F47F22"/>
    <w:rsid w:val="00F5037E"/>
    <w:rsid w:val="00F5058D"/>
    <w:rsid w:val="00F50976"/>
    <w:rsid w:val="00F50EF2"/>
    <w:rsid w:val="00F51B04"/>
    <w:rsid w:val="00F51B85"/>
    <w:rsid w:val="00F525B4"/>
    <w:rsid w:val="00F5395E"/>
    <w:rsid w:val="00F5413F"/>
    <w:rsid w:val="00F54308"/>
    <w:rsid w:val="00F54704"/>
    <w:rsid w:val="00F547BE"/>
    <w:rsid w:val="00F54F8C"/>
    <w:rsid w:val="00F551FC"/>
    <w:rsid w:val="00F55413"/>
    <w:rsid w:val="00F5587A"/>
    <w:rsid w:val="00F55FC5"/>
    <w:rsid w:val="00F56464"/>
    <w:rsid w:val="00F5724F"/>
    <w:rsid w:val="00F57C73"/>
    <w:rsid w:val="00F60175"/>
    <w:rsid w:val="00F6031F"/>
    <w:rsid w:val="00F61DEC"/>
    <w:rsid w:val="00F62D0A"/>
    <w:rsid w:val="00F6324A"/>
    <w:rsid w:val="00F63511"/>
    <w:rsid w:val="00F648A3"/>
    <w:rsid w:val="00F659B9"/>
    <w:rsid w:val="00F65A78"/>
    <w:rsid w:val="00F661E2"/>
    <w:rsid w:val="00F66B0D"/>
    <w:rsid w:val="00F67AF9"/>
    <w:rsid w:val="00F70705"/>
    <w:rsid w:val="00F707FD"/>
    <w:rsid w:val="00F7089C"/>
    <w:rsid w:val="00F721CC"/>
    <w:rsid w:val="00F734D7"/>
    <w:rsid w:val="00F73820"/>
    <w:rsid w:val="00F73C92"/>
    <w:rsid w:val="00F748DE"/>
    <w:rsid w:val="00F749A0"/>
    <w:rsid w:val="00F7503B"/>
    <w:rsid w:val="00F750BD"/>
    <w:rsid w:val="00F77063"/>
    <w:rsid w:val="00F770BB"/>
    <w:rsid w:val="00F77E6C"/>
    <w:rsid w:val="00F77EC2"/>
    <w:rsid w:val="00F80050"/>
    <w:rsid w:val="00F807B8"/>
    <w:rsid w:val="00F80A35"/>
    <w:rsid w:val="00F80B2B"/>
    <w:rsid w:val="00F817AB"/>
    <w:rsid w:val="00F820A8"/>
    <w:rsid w:val="00F836E9"/>
    <w:rsid w:val="00F83769"/>
    <w:rsid w:val="00F83CA0"/>
    <w:rsid w:val="00F83E5B"/>
    <w:rsid w:val="00F83ECF"/>
    <w:rsid w:val="00F85792"/>
    <w:rsid w:val="00F86088"/>
    <w:rsid w:val="00F8619A"/>
    <w:rsid w:val="00F8697B"/>
    <w:rsid w:val="00F86A02"/>
    <w:rsid w:val="00F86B3F"/>
    <w:rsid w:val="00F86F13"/>
    <w:rsid w:val="00F8705E"/>
    <w:rsid w:val="00F90402"/>
    <w:rsid w:val="00F9170A"/>
    <w:rsid w:val="00F91AA4"/>
    <w:rsid w:val="00F91B50"/>
    <w:rsid w:val="00F922C5"/>
    <w:rsid w:val="00F92378"/>
    <w:rsid w:val="00F92524"/>
    <w:rsid w:val="00F92781"/>
    <w:rsid w:val="00F92B4A"/>
    <w:rsid w:val="00F9367C"/>
    <w:rsid w:val="00F939DB"/>
    <w:rsid w:val="00F93D28"/>
    <w:rsid w:val="00F93E77"/>
    <w:rsid w:val="00F940B1"/>
    <w:rsid w:val="00F94BAC"/>
    <w:rsid w:val="00F950FF"/>
    <w:rsid w:val="00F96568"/>
    <w:rsid w:val="00F97CBF"/>
    <w:rsid w:val="00FA06D8"/>
    <w:rsid w:val="00FA0B4B"/>
    <w:rsid w:val="00FA0DB8"/>
    <w:rsid w:val="00FA1307"/>
    <w:rsid w:val="00FA1809"/>
    <w:rsid w:val="00FA1FB9"/>
    <w:rsid w:val="00FA230E"/>
    <w:rsid w:val="00FA2404"/>
    <w:rsid w:val="00FA2469"/>
    <w:rsid w:val="00FA2662"/>
    <w:rsid w:val="00FA26FB"/>
    <w:rsid w:val="00FA3443"/>
    <w:rsid w:val="00FA3643"/>
    <w:rsid w:val="00FA3D57"/>
    <w:rsid w:val="00FA3F47"/>
    <w:rsid w:val="00FA4552"/>
    <w:rsid w:val="00FA4873"/>
    <w:rsid w:val="00FA4C2E"/>
    <w:rsid w:val="00FA4C95"/>
    <w:rsid w:val="00FA4F2F"/>
    <w:rsid w:val="00FA5A0B"/>
    <w:rsid w:val="00FA605D"/>
    <w:rsid w:val="00FA6633"/>
    <w:rsid w:val="00FA717F"/>
    <w:rsid w:val="00FA7384"/>
    <w:rsid w:val="00FA760F"/>
    <w:rsid w:val="00FA76F7"/>
    <w:rsid w:val="00FA7FCA"/>
    <w:rsid w:val="00FB02DA"/>
    <w:rsid w:val="00FB146E"/>
    <w:rsid w:val="00FB1D63"/>
    <w:rsid w:val="00FB2542"/>
    <w:rsid w:val="00FB3802"/>
    <w:rsid w:val="00FB3E60"/>
    <w:rsid w:val="00FB42BA"/>
    <w:rsid w:val="00FB5354"/>
    <w:rsid w:val="00FB7087"/>
    <w:rsid w:val="00FC0458"/>
    <w:rsid w:val="00FC062D"/>
    <w:rsid w:val="00FC0FCB"/>
    <w:rsid w:val="00FC14A6"/>
    <w:rsid w:val="00FC15FD"/>
    <w:rsid w:val="00FC17B1"/>
    <w:rsid w:val="00FC1820"/>
    <w:rsid w:val="00FC2052"/>
    <w:rsid w:val="00FC219F"/>
    <w:rsid w:val="00FC2F10"/>
    <w:rsid w:val="00FC307F"/>
    <w:rsid w:val="00FC3095"/>
    <w:rsid w:val="00FC3608"/>
    <w:rsid w:val="00FC4C1F"/>
    <w:rsid w:val="00FC5D5E"/>
    <w:rsid w:val="00FC6493"/>
    <w:rsid w:val="00FC6EEB"/>
    <w:rsid w:val="00FC7574"/>
    <w:rsid w:val="00FD0717"/>
    <w:rsid w:val="00FD10EF"/>
    <w:rsid w:val="00FD1141"/>
    <w:rsid w:val="00FD1470"/>
    <w:rsid w:val="00FD15FC"/>
    <w:rsid w:val="00FD175B"/>
    <w:rsid w:val="00FD1BE8"/>
    <w:rsid w:val="00FD2807"/>
    <w:rsid w:val="00FD282B"/>
    <w:rsid w:val="00FD2B07"/>
    <w:rsid w:val="00FD2F76"/>
    <w:rsid w:val="00FD3703"/>
    <w:rsid w:val="00FD379A"/>
    <w:rsid w:val="00FD3BAA"/>
    <w:rsid w:val="00FD4195"/>
    <w:rsid w:val="00FD4DE3"/>
    <w:rsid w:val="00FD4DF8"/>
    <w:rsid w:val="00FD5335"/>
    <w:rsid w:val="00FD62A3"/>
    <w:rsid w:val="00FD6307"/>
    <w:rsid w:val="00FD6497"/>
    <w:rsid w:val="00FD7023"/>
    <w:rsid w:val="00FD7043"/>
    <w:rsid w:val="00FE0439"/>
    <w:rsid w:val="00FE085D"/>
    <w:rsid w:val="00FE13DA"/>
    <w:rsid w:val="00FE1754"/>
    <w:rsid w:val="00FE1DBD"/>
    <w:rsid w:val="00FE2577"/>
    <w:rsid w:val="00FE3B9E"/>
    <w:rsid w:val="00FE3F8A"/>
    <w:rsid w:val="00FE455B"/>
    <w:rsid w:val="00FE4F12"/>
    <w:rsid w:val="00FE5045"/>
    <w:rsid w:val="00FE5246"/>
    <w:rsid w:val="00FE6002"/>
    <w:rsid w:val="00FE6E5A"/>
    <w:rsid w:val="00FE7373"/>
    <w:rsid w:val="00FF0227"/>
    <w:rsid w:val="00FF024D"/>
    <w:rsid w:val="00FF1003"/>
    <w:rsid w:val="00FF1570"/>
    <w:rsid w:val="00FF15D9"/>
    <w:rsid w:val="00FF25CA"/>
    <w:rsid w:val="00FF2817"/>
    <w:rsid w:val="00FF2E42"/>
    <w:rsid w:val="00FF2ED8"/>
    <w:rsid w:val="00FF363D"/>
    <w:rsid w:val="00FF36D2"/>
    <w:rsid w:val="00FF38E3"/>
    <w:rsid w:val="00FF3E90"/>
    <w:rsid w:val="00FF40FE"/>
    <w:rsid w:val="00FF45FC"/>
    <w:rsid w:val="00FF482F"/>
    <w:rsid w:val="00FF58B6"/>
    <w:rsid w:val="00FF59A9"/>
    <w:rsid w:val="00FF676C"/>
    <w:rsid w:val="00FF69AC"/>
    <w:rsid w:val="00FF7302"/>
    <w:rsid w:val="00FF7A5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15"/>
    <w:rPr>
      <w:rFonts w:ascii="Garamond" w:hAnsi="Garamond" w:cs="Arial"/>
      <w:sz w:val="22"/>
      <w:lang w:eastAsia="en-US"/>
    </w:rPr>
  </w:style>
  <w:style w:type="paragraph" w:styleId="Heading1">
    <w:name w:val="heading 1"/>
    <w:basedOn w:val="Normal"/>
    <w:next w:val="BodyText"/>
    <w:link w:val="Heading1Char"/>
    <w:qFormat/>
    <w:rsid w:val="00182994"/>
    <w:pPr>
      <w:keepNext/>
      <w:spacing w:before="120" w:after="120" w:line="260" w:lineRule="atLeast"/>
      <w:outlineLvl w:val="0"/>
    </w:pPr>
    <w:rPr>
      <w:rFonts w:cs="Times New Roman"/>
      <w:b/>
      <w:bCs/>
      <w:color w:val="5D2884"/>
      <w:kern w:val="32"/>
      <w:sz w:val="24"/>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qFormat/>
    <w:rsid w:val="00425244"/>
    <w:pPr>
      <w:outlineLvl w:val="2"/>
    </w:pPr>
    <w:rPr>
      <w:rFonts w:ascii="Arial" w:hAnsi="Arial"/>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after="60"/>
      <w:outlineLvl w:val="4"/>
    </w:pPr>
    <w:rPr>
      <w:b/>
      <w:bCs/>
      <w:i/>
      <w:iCs/>
      <w:sz w:val="26"/>
      <w:szCs w:val="26"/>
    </w:rPr>
  </w:style>
  <w:style w:type="paragraph" w:styleId="Heading6">
    <w:name w:val="heading 6"/>
    <w:basedOn w:val="Normal"/>
    <w:next w:val="Normal"/>
    <w:qFormat/>
    <w:rsid w:val="00425244"/>
    <w:pPr>
      <w:numPr>
        <w:ilvl w:val="5"/>
        <w:numId w:val="1"/>
      </w:num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rsid w:val="00425244"/>
    <w:pPr>
      <w:spacing w:after="284" w:line="280" w:lineRule="atLeast"/>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val="en-GB" w:eastAsia="en-US"/>
    </w:rPr>
  </w:style>
  <w:style w:type="paragraph" w:styleId="Footer">
    <w:name w:val="footer"/>
    <w:link w:val="FooterChar"/>
    <w:rsid w:val="00425244"/>
    <w:pPr>
      <w:tabs>
        <w:tab w:val="center" w:pos="4153"/>
        <w:tab w:val="right" w:pos="8306"/>
      </w:tabs>
    </w:pPr>
    <w:rPr>
      <w:rFonts w:ascii="Arial" w:hAnsi="Arial" w:cs="Arial"/>
      <w:b/>
      <w:color w:val="747678"/>
      <w:sz w:val="13"/>
      <w:lang w:val="en-GB"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val="en-GB"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val="en-GB" w:eastAsia="en-US"/>
    </w:rPr>
  </w:style>
  <w:style w:type="paragraph" w:customStyle="1" w:styleId="SectionTitle">
    <w:name w:val="Section Title"/>
    <w:next w:val="BodyText"/>
    <w:link w:val="SectionTitleChar"/>
    <w:rsid w:val="00425244"/>
    <w:pPr>
      <w:spacing w:after="2520"/>
    </w:pPr>
    <w:rPr>
      <w:rFonts w:ascii="Garamond" w:hAnsi="Garamond" w:cs="Arial"/>
      <w:sz w:val="48"/>
      <w:lang w:val="en-GB" w:eastAsia="en-US"/>
    </w:rPr>
  </w:style>
  <w:style w:type="paragraph" w:customStyle="1" w:styleId="TableHeading">
    <w:name w:val="Table Heading"/>
    <w:rsid w:val="00425244"/>
    <w:rPr>
      <w:rFonts w:ascii="Arial" w:hAnsi="Arial" w:cs="Arial"/>
      <w:b/>
      <w:bCs/>
      <w:kern w:val="28"/>
      <w:sz w:val="16"/>
      <w:szCs w:val="32"/>
      <w:lang w:val="en-GB" w:eastAsia="en-US"/>
    </w:rPr>
  </w:style>
  <w:style w:type="paragraph" w:customStyle="1" w:styleId="TableText">
    <w:name w:val="Table Text"/>
    <w:link w:val="TableTextChar1"/>
    <w:rsid w:val="00425244"/>
    <w:rPr>
      <w:rFonts w:ascii="Arial" w:hAnsi="Arial" w:cs="Arial"/>
      <w:sz w:val="16"/>
      <w:lang w:val="en-GB" w:eastAsia="en-US"/>
    </w:rPr>
  </w:style>
  <w:style w:type="paragraph" w:customStyle="1" w:styleId="TintBoxTextBlack">
    <w:name w:val="Tint Box Text Black"/>
    <w:rsid w:val="00425244"/>
    <w:pPr>
      <w:spacing w:after="280" w:line="280" w:lineRule="atLeast"/>
    </w:pPr>
    <w:rPr>
      <w:rFonts w:ascii="Arial" w:hAnsi="Arial" w:cs="Arial"/>
      <w:b/>
      <w:lang w:val="en-GB"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val="en-GB"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val="en-GB"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val="en-GB" w:eastAsia="en-US"/>
    </w:rPr>
  </w:style>
  <w:style w:type="character" w:styleId="PageNumber">
    <w:name w:val="page number"/>
    <w:basedOn w:val="DefaultParagraphFont"/>
    <w:semiHidden/>
    <w:rsid w:val="00A876C6"/>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val="en-GB" w:eastAsia="en-US"/>
    </w:rPr>
  </w:style>
  <w:style w:type="paragraph" w:customStyle="1" w:styleId="ReferenceText">
    <w:name w:val="Reference Text"/>
    <w:rsid w:val="00425244"/>
    <w:rPr>
      <w:rFonts w:ascii="Arial" w:hAnsi="Arial" w:cs="Arial"/>
      <w:kern w:val="32"/>
      <w:sz w:val="18"/>
      <w:szCs w:val="24"/>
      <w:lang w:val="en-GB" w:eastAsia="en-US"/>
    </w:rPr>
  </w:style>
  <w:style w:type="paragraph" w:customStyle="1" w:styleId="Backpage">
    <w:name w:val="Back page"/>
    <w:rsid w:val="00A876C6"/>
    <w:rPr>
      <w:rFonts w:ascii="Arial Black" w:hAnsi="Arial Black" w:cs="Arial"/>
      <w:sz w:val="18"/>
      <w:lang w:val="en-GB" w:eastAsia="en-US"/>
    </w:rPr>
  </w:style>
  <w:style w:type="paragraph" w:customStyle="1" w:styleId="Copyright">
    <w:name w:val="Copyright"/>
    <w:semiHidden/>
    <w:rsid w:val="00425244"/>
    <w:pPr>
      <w:spacing w:line="220" w:lineRule="atLeast"/>
    </w:pPr>
    <w:rPr>
      <w:rFonts w:ascii="Garamond" w:hAnsi="Garamond" w:cs="Arial"/>
      <w:lang w:val="en-GB" w:eastAsia="en-US"/>
    </w:rPr>
  </w:style>
  <w:style w:type="paragraph" w:customStyle="1" w:styleId="TradingName">
    <w:name w:val="Trading Name"/>
    <w:semiHidden/>
    <w:rsid w:val="00513853"/>
    <w:pPr>
      <w:spacing w:line="180" w:lineRule="atLeast"/>
    </w:pPr>
    <w:rPr>
      <w:rFonts w:ascii="Arial Narrow" w:eastAsia="SimHei" w:hAnsi="Arial Narrow" w:cs="Arial"/>
      <w:b/>
      <w:sz w:val="14"/>
      <w:lang w:val="en-GB" w:eastAsia="en-US"/>
    </w:rPr>
  </w:style>
  <w:style w:type="paragraph" w:customStyle="1" w:styleId="PartnerAddress">
    <w:name w:val="Partner Address"/>
    <w:semiHidden/>
    <w:rsid w:val="00513853"/>
    <w:rPr>
      <w:rFonts w:ascii="Arial Narrow" w:eastAsia="SimHei" w:hAnsi="Arial Narrow" w:cs="Arial"/>
      <w:sz w:val="14"/>
      <w:lang w:val="en-GB"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val="en-GB" w:eastAsia="en-US"/>
    </w:rPr>
  </w:style>
  <w:style w:type="paragraph" w:customStyle="1" w:styleId="LetterFooter">
    <w:name w:val="Letter Footer"/>
    <w:semiHidden/>
    <w:rsid w:val="00A51555"/>
    <w:pPr>
      <w:spacing w:line="140" w:lineRule="atLeast"/>
    </w:pPr>
    <w:rPr>
      <w:rFonts w:ascii="Arial Narrow" w:hAnsi="Arial Narrow" w:cs="Arial"/>
      <w:sz w:val="11"/>
      <w:lang w:val="en-GB"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val="en-GB" w:eastAsia="en-US"/>
    </w:rPr>
  </w:style>
  <w:style w:type="paragraph" w:customStyle="1" w:styleId="LandscapeHeader">
    <w:name w:val="Landscape Header"/>
    <w:basedOn w:val="Header"/>
    <w:semiHidden/>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val="en-GB"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val="en-GB" w:eastAsia="en-US"/>
    </w:rPr>
  </w:style>
  <w:style w:type="table" w:styleId="TableGrid">
    <w:name w:val="Table Grid"/>
    <w:basedOn w:val="TableNormal"/>
    <w:rsid w:val="00650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val="en-GB"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semiHidden/>
    <w:rsid w:val="000A560C"/>
    <w:pPr>
      <w:spacing w:after="120"/>
      <w:ind w:left="1080" w:hanging="1080"/>
    </w:pPr>
    <w:rPr>
      <w:rFonts w:cs="Times New Roman"/>
      <w:sz w:val="20"/>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sz w:val="20"/>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uiPriority w:val="99"/>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715B19"/>
    <w:rPr>
      <w:rFonts w:ascii="Garamond" w:hAnsi="Garamond" w:cs="Arial"/>
      <w:sz w:val="22"/>
      <w:lang w:eastAsia="en-US" w:bidi="ar-SA"/>
    </w:rPr>
  </w:style>
  <w:style w:type="paragraph" w:styleId="BalloonText">
    <w:name w:val="Balloon Text"/>
    <w:basedOn w:val="Normal"/>
    <w:link w:val="BalloonTextChar"/>
    <w:uiPriority w:val="99"/>
    <w:semiHidden/>
    <w:rsid w:val="002A1FA6"/>
    <w:pPr>
      <w:spacing w:after="120"/>
    </w:pPr>
    <w:rPr>
      <w:rFonts w:ascii="Tahoma" w:hAnsi="Tahoma" w:cs="Times New Roman"/>
      <w:sz w:val="16"/>
      <w:szCs w:val="16"/>
    </w:rPr>
  </w:style>
  <w:style w:type="paragraph" w:styleId="EndnoteText">
    <w:name w:val="endnote text"/>
    <w:basedOn w:val="Normal"/>
    <w:semiHidden/>
    <w:rsid w:val="00983A89"/>
    <w:pPr>
      <w:spacing w:after="120"/>
    </w:pPr>
    <w:rPr>
      <w:rFonts w:cs="Garamond"/>
      <w:sz w:val="20"/>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link w:val="CommentTextChar"/>
    <w:uiPriority w:val="99"/>
    <w:rsid w:val="00B12A45"/>
    <w:rPr>
      <w:sz w:val="20"/>
    </w:rPr>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sz w:val="20"/>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rPr>
      <w:rFonts w:cs="Times New Roman"/>
    </w:r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semiHidden/>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locked/>
    <w:rsid w:val="00652CAE"/>
    <w:rPr>
      <w:rFonts w:ascii="Arial" w:hAnsi="Arial" w:cs="Arial"/>
      <w:b/>
      <w:color w:val="747678"/>
      <w:sz w:val="13"/>
      <w:lang w:val="en-GB" w:eastAsia="en-US" w:bidi="ar-SA"/>
    </w:rPr>
  </w:style>
  <w:style w:type="character" w:customStyle="1" w:styleId="BalloonTextChar">
    <w:name w:val="Balloon Text Char"/>
    <w:link w:val="BalloonText"/>
    <w:uiPriority w:val="99"/>
    <w:semiHidden/>
    <w:locked/>
    <w:rsid w:val="00652CAE"/>
    <w:rPr>
      <w:rFonts w:ascii="Tahoma" w:hAnsi="Tahoma" w:cs="Tahoma"/>
      <w:sz w:val="16"/>
      <w:szCs w:val="16"/>
      <w:lang w:eastAsia="en-US"/>
    </w:rPr>
  </w:style>
  <w:style w:type="character" w:customStyle="1" w:styleId="Heading1Char">
    <w:name w:val="Heading 1 Char"/>
    <w:link w:val="Heading1"/>
    <w:rsid w:val="00182994"/>
    <w:rPr>
      <w:rFonts w:ascii="Garamond" w:hAnsi="Garamond" w:cs="Arial"/>
      <w:b/>
      <w:bCs/>
      <w:color w:val="5D2884"/>
      <w:kern w:val="32"/>
      <w:sz w:val="24"/>
      <w:szCs w:val="28"/>
      <w:lang w:val="bg-BG"/>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rFonts w:cs="Times New Roman"/>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uiPriority w:val="99"/>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rPr>
      <w:rFonts w:cs="Times New Roman"/>
    </w:r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customStyle="1" w:styleId="wfxRecipient">
    <w:name w:val="wfxRecipient"/>
    <w:basedOn w:val="Normal"/>
    <w:rsid w:val="0072394F"/>
    <w:pPr>
      <w:spacing w:line="240" w:lineRule="atLeast"/>
      <w:jc w:val="both"/>
    </w:pPr>
    <w:rPr>
      <w:rFonts w:ascii="Times New Roman" w:hAnsi="Times New Roman" w:cs="Times New Roman"/>
      <w:sz w:val="20"/>
      <w:lang w:val="en-US"/>
    </w:rPr>
  </w:style>
  <w:style w:type="paragraph" w:styleId="BodyTextIndent">
    <w:name w:val="Body Text Indent"/>
    <w:basedOn w:val="Normal"/>
    <w:link w:val="BodyTextIndentChar"/>
    <w:rsid w:val="00C70E51"/>
    <w:pPr>
      <w:spacing w:after="120"/>
      <w:ind w:left="283"/>
    </w:pPr>
    <w:rPr>
      <w:rFonts w:cs="Times New Roman"/>
    </w:rPr>
  </w:style>
  <w:style w:type="character" w:customStyle="1" w:styleId="BodyTextIndentChar">
    <w:name w:val="Body Text Indent Char"/>
    <w:link w:val="BodyTextIndent"/>
    <w:rsid w:val="00C70E51"/>
    <w:rPr>
      <w:rFonts w:ascii="Garamond" w:hAnsi="Garamond" w:cs="Arial"/>
      <w:sz w:val="22"/>
      <w:lang w:val="bg-BG"/>
    </w:rPr>
  </w:style>
  <w:style w:type="paragraph" w:customStyle="1" w:styleId="BodyText21">
    <w:name w:val="Body Text 21"/>
    <w:basedOn w:val="Normal"/>
    <w:rsid w:val="00C70E51"/>
    <w:pPr>
      <w:autoSpaceDE w:val="0"/>
      <w:autoSpaceDN w:val="0"/>
      <w:adjustRightInd w:val="0"/>
      <w:jc w:val="both"/>
    </w:pPr>
    <w:rPr>
      <w:rFonts w:ascii="Geneve" w:hAnsi="Geneve" w:cs="Courier New"/>
      <w:sz w:val="24"/>
      <w:szCs w:val="24"/>
    </w:rPr>
  </w:style>
  <w:style w:type="paragraph" w:customStyle="1" w:styleId="Style6">
    <w:name w:val="Style6"/>
    <w:basedOn w:val="Normal"/>
    <w:uiPriority w:val="99"/>
    <w:rsid w:val="00C70E51"/>
    <w:pPr>
      <w:widowControl w:val="0"/>
      <w:autoSpaceDE w:val="0"/>
      <w:autoSpaceDN w:val="0"/>
      <w:adjustRightInd w:val="0"/>
      <w:spacing w:line="223" w:lineRule="exact"/>
      <w:jc w:val="both"/>
    </w:pPr>
    <w:rPr>
      <w:rFonts w:ascii="Times New Roman" w:hAnsi="Times New Roman" w:cs="Times New Roman"/>
      <w:sz w:val="24"/>
      <w:szCs w:val="24"/>
      <w:lang w:eastAsia="bg-BG"/>
    </w:rPr>
  </w:style>
  <w:style w:type="paragraph" w:customStyle="1" w:styleId="Style16">
    <w:name w:val="Style16"/>
    <w:basedOn w:val="Normal"/>
    <w:uiPriority w:val="99"/>
    <w:rsid w:val="00C70E51"/>
    <w:pPr>
      <w:widowControl w:val="0"/>
      <w:autoSpaceDE w:val="0"/>
      <w:autoSpaceDN w:val="0"/>
      <w:adjustRightInd w:val="0"/>
      <w:spacing w:line="461" w:lineRule="exact"/>
      <w:ind w:firstLine="338"/>
    </w:pPr>
    <w:rPr>
      <w:rFonts w:ascii="Times New Roman" w:hAnsi="Times New Roman" w:cs="Times New Roman"/>
      <w:sz w:val="24"/>
      <w:szCs w:val="24"/>
      <w:lang w:eastAsia="bg-BG"/>
    </w:rPr>
  </w:style>
  <w:style w:type="character" w:customStyle="1" w:styleId="FontStyle60">
    <w:name w:val="Font Style60"/>
    <w:uiPriority w:val="99"/>
    <w:rsid w:val="00C70E51"/>
    <w:rPr>
      <w:rFonts w:ascii="Times New Roman" w:hAnsi="Times New Roman" w:cs="Times New Roman"/>
      <w:sz w:val="18"/>
      <w:szCs w:val="18"/>
    </w:rPr>
  </w:style>
  <w:style w:type="character" w:customStyle="1" w:styleId="FontStyle144">
    <w:name w:val="Font Style144"/>
    <w:uiPriority w:val="99"/>
    <w:rsid w:val="003034C1"/>
    <w:rPr>
      <w:rFonts w:ascii="Times New Roman" w:hAnsi="Times New Roman" w:cs="Times New Roman"/>
      <w:sz w:val="20"/>
      <w:szCs w:val="20"/>
    </w:rPr>
  </w:style>
  <w:style w:type="paragraph" w:customStyle="1" w:styleId="Style104">
    <w:name w:val="Style104"/>
    <w:basedOn w:val="Normal"/>
    <w:uiPriority w:val="99"/>
    <w:rsid w:val="003034C1"/>
    <w:pPr>
      <w:widowControl w:val="0"/>
      <w:autoSpaceDE w:val="0"/>
      <w:autoSpaceDN w:val="0"/>
      <w:adjustRightInd w:val="0"/>
      <w:spacing w:line="226" w:lineRule="exact"/>
      <w:ind w:firstLine="540"/>
      <w:jc w:val="both"/>
    </w:pPr>
    <w:rPr>
      <w:rFonts w:ascii="Bookman Old Style" w:hAnsi="Bookman Old Style" w:cs="Times New Roman"/>
      <w:sz w:val="24"/>
      <w:szCs w:val="24"/>
      <w:lang w:eastAsia="bg-BG"/>
    </w:rPr>
  </w:style>
  <w:style w:type="paragraph" w:customStyle="1" w:styleId="Style112">
    <w:name w:val="Style112"/>
    <w:basedOn w:val="Normal"/>
    <w:uiPriority w:val="99"/>
    <w:rsid w:val="003034C1"/>
    <w:pPr>
      <w:widowControl w:val="0"/>
      <w:autoSpaceDE w:val="0"/>
      <w:autoSpaceDN w:val="0"/>
      <w:adjustRightInd w:val="0"/>
      <w:spacing w:line="227" w:lineRule="exact"/>
      <w:ind w:firstLine="691"/>
    </w:pPr>
    <w:rPr>
      <w:rFonts w:ascii="Bookman Old Style" w:hAnsi="Bookman Old Style" w:cs="Times New Roman"/>
      <w:sz w:val="24"/>
      <w:szCs w:val="24"/>
      <w:lang w:eastAsia="bg-BG"/>
    </w:rPr>
  </w:style>
  <w:style w:type="paragraph" w:customStyle="1" w:styleId="Style80">
    <w:name w:val="Style80"/>
    <w:basedOn w:val="Normal"/>
    <w:uiPriority w:val="99"/>
    <w:rsid w:val="003034C1"/>
    <w:pPr>
      <w:widowControl w:val="0"/>
      <w:autoSpaceDE w:val="0"/>
      <w:autoSpaceDN w:val="0"/>
      <w:adjustRightInd w:val="0"/>
      <w:spacing w:line="223" w:lineRule="exact"/>
      <w:ind w:firstLine="547"/>
      <w:jc w:val="both"/>
    </w:pPr>
    <w:rPr>
      <w:rFonts w:ascii="Bookman Old Style" w:hAnsi="Bookman Old Style" w:cs="Times New Roman"/>
      <w:sz w:val="24"/>
      <w:szCs w:val="24"/>
      <w:lang w:eastAsia="bg-BG"/>
    </w:rPr>
  </w:style>
  <w:style w:type="paragraph" w:customStyle="1" w:styleId="Style19">
    <w:name w:val="Style19"/>
    <w:basedOn w:val="Normal"/>
    <w:uiPriority w:val="99"/>
    <w:rsid w:val="00C229DB"/>
    <w:pPr>
      <w:widowControl w:val="0"/>
      <w:autoSpaceDE w:val="0"/>
      <w:autoSpaceDN w:val="0"/>
      <w:adjustRightInd w:val="0"/>
      <w:spacing w:line="253" w:lineRule="exact"/>
      <w:jc w:val="both"/>
    </w:pPr>
    <w:rPr>
      <w:rFonts w:ascii="Arial" w:hAnsi="Arial"/>
      <w:sz w:val="24"/>
      <w:szCs w:val="24"/>
      <w:lang w:eastAsia="bg-BG"/>
    </w:rPr>
  </w:style>
  <w:style w:type="character" w:customStyle="1" w:styleId="FontStyle39">
    <w:name w:val="Font Style39"/>
    <w:uiPriority w:val="99"/>
    <w:rsid w:val="00C229DB"/>
    <w:rPr>
      <w:rFonts w:ascii="Arial" w:hAnsi="Arial" w:cs="Arial"/>
      <w:sz w:val="22"/>
      <w:szCs w:val="22"/>
    </w:rPr>
  </w:style>
  <w:style w:type="paragraph" w:customStyle="1" w:styleId="Style5">
    <w:name w:val="Style5"/>
    <w:basedOn w:val="Normal"/>
    <w:uiPriority w:val="99"/>
    <w:rsid w:val="00C229DB"/>
    <w:pPr>
      <w:widowControl w:val="0"/>
      <w:autoSpaceDE w:val="0"/>
      <w:autoSpaceDN w:val="0"/>
      <w:adjustRightInd w:val="0"/>
      <w:jc w:val="both"/>
    </w:pPr>
    <w:rPr>
      <w:rFonts w:ascii="Bookman Old Style" w:hAnsi="Bookman Old Style" w:cs="Times New Roman"/>
      <w:sz w:val="24"/>
      <w:szCs w:val="24"/>
      <w:lang w:eastAsia="bg-BG"/>
    </w:rPr>
  </w:style>
  <w:style w:type="paragraph" w:styleId="ListParagraph">
    <w:name w:val="List Paragraph"/>
    <w:basedOn w:val="Normal"/>
    <w:link w:val="ListParagraphChar"/>
    <w:uiPriority w:val="34"/>
    <w:qFormat/>
    <w:rsid w:val="00DD0C55"/>
    <w:pPr>
      <w:ind w:left="720"/>
      <w:contextualSpacing/>
    </w:pPr>
  </w:style>
  <w:style w:type="paragraph" w:styleId="Revision">
    <w:name w:val="Revision"/>
    <w:hidden/>
    <w:uiPriority w:val="99"/>
    <w:semiHidden/>
    <w:rsid w:val="00237734"/>
    <w:rPr>
      <w:rFonts w:ascii="Garamond" w:hAnsi="Garamond" w:cs="Arial"/>
      <w:sz w:val="22"/>
      <w:lang w:eastAsia="en-US"/>
    </w:rPr>
  </w:style>
  <w:style w:type="paragraph" w:customStyle="1" w:styleId="Style3">
    <w:name w:val="Style3"/>
    <w:basedOn w:val="Normal"/>
    <w:uiPriority w:val="99"/>
    <w:rsid w:val="004B417D"/>
    <w:pPr>
      <w:widowControl w:val="0"/>
      <w:autoSpaceDE w:val="0"/>
      <w:autoSpaceDN w:val="0"/>
      <w:adjustRightInd w:val="0"/>
      <w:spacing w:line="253" w:lineRule="exact"/>
      <w:ind w:firstLine="691"/>
      <w:jc w:val="both"/>
    </w:pPr>
    <w:rPr>
      <w:rFonts w:ascii="Times New Roman" w:hAnsi="Times New Roman" w:cs="Times New Roman"/>
      <w:sz w:val="24"/>
      <w:szCs w:val="24"/>
      <w:lang w:eastAsia="bg-BG"/>
    </w:rPr>
  </w:style>
  <w:style w:type="character" w:customStyle="1" w:styleId="FontStyle20">
    <w:name w:val="Font Style20"/>
    <w:uiPriority w:val="99"/>
    <w:rsid w:val="004B417D"/>
    <w:rPr>
      <w:rFonts w:ascii="Times New Roman" w:hAnsi="Times New Roman" w:cs="Times New Roman"/>
      <w:sz w:val="20"/>
      <w:szCs w:val="20"/>
    </w:rPr>
  </w:style>
  <w:style w:type="character" w:customStyle="1" w:styleId="FontStyle22">
    <w:name w:val="Font Style22"/>
    <w:uiPriority w:val="99"/>
    <w:rsid w:val="004B417D"/>
    <w:rPr>
      <w:rFonts w:ascii="Times New Roman" w:hAnsi="Times New Roman" w:cs="Times New Roman"/>
      <w:b/>
      <w:bCs/>
      <w:sz w:val="20"/>
      <w:szCs w:val="20"/>
    </w:rPr>
  </w:style>
  <w:style w:type="character" w:customStyle="1" w:styleId="FontStyle44">
    <w:name w:val="Font Style44"/>
    <w:uiPriority w:val="99"/>
    <w:rsid w:val="004B417D"/>
    <w:rPr>
      <w:rFonts w:ascii="Times New Roman" w:hAnsi="Times New Roman" w:cs="Times New Roman"/>
      <w:sz w:val="20"/>
      <w:szCs w:val="20"/>
    </w:rPr>
  </w:style>
  <w:style w:type="paragraph" w:customStyle="1" w:styleId="Style11">
    <w:name w:val="Style11"/>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character" w:customStyle="1" w:styleId="FontStyle108">
    <w:name w:val="Font Style108"/>
    <w:uiPriority w:val="99"/>
    <w:rsid w:val="004B417D"/>
    <w:rPr>
      <w:rFonts w:ascii="Times New Roman" w:hAnsi="Times New Roman" w:cs="Times New Roman"/>
      <w:sz w:val="18"/>
      <w:szCs w:val="18"/>
    </w:rPr>
  </w:style>
  <w:style w:type="character" w:customStyle="1" w:styleId="FontStyle109">
    <w:name w:val="Font Style109"/>
    <w:uiPriority w:val="99"/>
    <w:rsid w:val="004B417D"/>
    <w:rPr>
      <w:rFonts w:ascii="Times New Roman" w:hAnsi="Times New Roman" w:cs="Times New Roman"/>
      <w:b/>
      <w:bCs/>
      <w:sz w:val="18"/>
      <w:szCs w:val="18"/>
    </w:rPr>
  </w:style>
  <w:style w:type="paragraph" w:customStyle="1" w:styleId="Style13">
    <w:name w:val="Style13"/>
    <w:basedOn w:val="Normal"/>
    <w:uiPriority w:val="99"/>
    <w:rsid w:val="004B417D"/>
    <w:pPr>
      <w:widowControl w:val="0"/>
      <w:autoSpaceDE w:val="0"/>
      <w:autoSpaceDN w:val="0"/>
      <w:adjustRightInd w:val="0"/>
      <w:spacing w:line="275" w:lineRule="exact"/>
      <w:jc w:val="both"/>
    </w:pPr>
    <w:rPr>
      <w:rFonts w:ascii="Arial Black" w:hAnsi="Arial Black" w:cs="Times New Roman"/>
      <w:sz w:val="24"/>
      <w:szCs w:val="24"/>
      <w:lang w:eastAsia="bg-BG"/>
    </w:rPr>
  </w:style>
  <w:style w:type="character" w:customStyle="1" w:styleId="FontStyle101">
    <w:name w:val="Font Style101"/>
    <w:uiPriority w:val="99"/>
    <w:rsid w:val="004B417D"/>
    <w:rPr>
      <w:rFonts w:ascii="Times New Roman" w:hAnsi="Times New Roman" w:cs="Times New Roman"/>
      <w:sz w:val="22"/>
      <w:szCs w:val="22"/>
    </w:rPr>
  </w:style>
  <w:style w:type="paragraph" w:customStyle="1" w:styleId="Style40">
    <w:name w:val="Style40"/>
    <w:basedOn w:val="Normal"/>
    <w:uiPriority w:val="99"/>
    <w:rsid w:val="004B417D"/>
    <w:pPr>
      <w:widowControl w:val="0"/>
      <w:autoSpaceDE w:val="0"/>
      <w:autoSpaceDN w:val="0"/>
      <w:adjustRightInd w:val="0"/>
    </w:pPr>
    <w:rPr>
      <w:rFonts w:ascii="Times New Roman" w:hAnsi="Times New Roman" w:cs="Times New Roman"/>
      <w:sz w:val="24"/>
      <w:szCs w:val="24"/>
      <w:lang w:eastAsia="bg-BG"/>
    </w:rPr>
  </w:style>
  <w:style w:type="paragraph" w:customStyle="1" w:styleId="Style4">
    <w:name w:val="Style4"/>
    <w:basedOn w:val="Normal"/>
    <w:uiPriority w:val="99"/>
    <w:rsid w:val="004B417D"/>
    <w:pPr>
      <w:widowControl w:val="0"/>
      <w:autoSpaceDE w:val="0"/>
      <w:autoSpaceDN w:val="0"/>
      <w:adjustRightInd w:val="0"/>
      <w:jc w:val="both"/>
    </w:pPr>
    <w:rPr>
      <w:rFonts w:ascii="Times New Roman" w:hAnsi="Times New Roman" w:cs="Times New Roman"/>
      <w:sz w:val="24"/>
      <w:szCs w:val="24"/>
      <w:lang w:eastAsia="bg-BG"/>
    </w:rPr>
  </w:style>
  <w:style w:type="paragraph" w:customStyle="1" w:styleId="Style9">
    <w:name w:val="Style9"/>
    <w:basedOn w:val="Normal"/>
    <w:uiPriority w:val="99"/>
    <w:rsid w:val="004B417D"/>
    <w:pPr>
      <w:widowControl w:val="0"/>
      <w:autoSpaceDE w:val="0"/>
      <w:autoSpaceDN w:val="0"/>
      <w:adjustRightInd w:val="0"/>
      <w:spacing w:line="220" w:lineRule="exact"/>
      <w:jc w:val="both"/>
    </w:pPr>
    <w:rPr>
      <w:rFonts w:ascii="Times New Roman" w:hAnsi="Times New Roman" w:cs="Times New Roman"/>
      <w:sz w:val="24"/>
      <w:szCs w:val="24"/>
      <w:lang w:eastAsia="bg-BG"/>
    </w:rPr>
  </w:style>
  <w:style w:type="paragraph" w:customStyle="1" w:styleId="Style2">
    <w:name w:val="Style2"/>
    <w:basedOn w:val="Normal"/>
    <w:uiPriority w:val="99"/>
    <w:rsid w:val="004B417D"/>
    <w:pPr>
      <w:widowControl w:val="0"/>
      <w:autoSpaceDE w:val="0"/>
      <w:autoSpaceDN w:val="0"/>
      <w:adjustRightInd w:val="0"/>
      <w:spacing w:line="292" w:lineRule="exact"/>
      <w:ind w:firstLine="655"/>
      <w:jc w:val="both"/>
    </w:pPr>
    <w:rPr>
      <w:rFonts w:ascii="Times New Roman" w:hAnsi="Times New Roman" w:cs="Times New Roman"/>
      <w:sz w:val="24"/>
      <w:szCs w:val="24"/>
      <w:lang w:eastAsia="bg-BG"/>
    </w:rPr>
  </w:style>
  <w:style w:type="paragraph" w:customStyle="1" w:styleId="Style22">
    <w:name w:val="Style22"/>
    <w:basedOn w:val="Normal"/>
    <w:uiPriority w:val="99"/>
    <w:rsid w:val="004B417D"/>
    <w:pPr>
      <w:widowControl w:val="0"/>
      <w:autoSpaceDE w:val="0"/>
      <w:autoSpaceDN w:val="0"/>
      <w:adjustRightInd w:val="0"/>
      <w:spacing w:line="511" w:lineRule="exact"/>
    </w:pPr>
    <w:rPr>
      <w:rFonts w:ascii="Times New Roman" w:hAnsi="Times New Roman" w:cs="Times New Roman"/>
      <w:sz w:val="24"/>
      <w:szCs w:val="24"/>
      <w:lang w:eastAsia="bg-BG"/>
    </w:rPr>
  </w:style>
  <w:style w:type="paragraph" w:customStyle="1" w:styleId="Style29">
    <w:name w:val="Style29"/>
    <w:basedOn w:val="Normal"/>
    <w:uiPriority w:val="99"/>
    <w:rsid w:val="004B417D"/>
    <w:pPr>
      <w:widowControl w:val="0"/>
      <w:autoSpaceDE w:val="0"/>
      <w:autoSpaceDN w:val="0"/>
      <w:adjustRightInd w:val="0"/>
      <w:spacing w:line="256" w:lineRule="exact"/>
      <w:ind w:firstLine="677"/>
      <w:jc w:val="both"/>
    </w:pPr>
    <w:rPr>
      <w:rFonts w:ascii="Times New Roman" w:hAnsi="Times New Roman" w:cs="Times New Roman"/>
      <w:sz w:val="24"/>
      <w:szCs w:val="24"/>
      <w:lang w:eastAsia="bg-BG"/>
    </w:rPr>
  </w:style>
  <w:style w:type="character" w:customStyle="1" w:styleId="FontStyle51">
    <w:name w:val="Font Style51"/>
    <w:uiPriority w:val="99"/>
    <w:rsid w:val="004B417D"/>
    <w:rPr>
      <w:rFonts w:ascii="Times New Roman" w:hAnsi="Times New Roman" w:cs="Times New Roman"/>
      <w:b/>
      <w:bCs/>
      <w:sz w:val="20"/>
      <w:szCs w:val="20"/>
    </w:rPr>
  </w:style>
  <w:style w:type="paragraph" w:customStyle="1" w:styleId="Style12">
    <w:name w:val="Style12"/>
    <w:basedOn w:val="Normal"/>
    <w:uiPriority w:val="99"/>
    <w:rsid w:val="004B417D"/>
    <w:pPr>
      <w:widowControl w:val="0"/>
      <w:autoSpaceDE w:val="0"/>
      <w:autoSpaceDN w:val="0"/>
      <w:adjustRightInd w:val="0"/>
      <w:spacing w:line="252" w:lineRule="exact"/>
    </w:pPr>
    <w:rPr>
      <w:rFonts w:ascii="Times New Roman" w:hAnsi="Times New Roman" w:cs="Times New Roman"/>
      <w:sz w:val="24"/>
      <w:szCs w:val="24"/>
      <w:lang w:eastAsia="bg-BG"/>
    </w:rPr>
  </w:style>
  <w:style w:type="character" w:customStyle="1" w:styleId="FontStyle14">
    <w:name w:val="Font Style14"/>
    <w:uiPriority w:val="99"/>
    <w:rsid w:val="00EE3F4C"/>
    <w:rPr>
      <w:rFonts w:ascii="Times New Roman" w:hAnsi="Times New Roman" w:cs="Times New Roman"/>
      <w:sz w:val="20"/>
      <w:szCs w:val="20"/>
    </w:rPr>
  </w:style>
  <w:style w:type="character" w:customStyle="1" w:styleId="ListParagraphChar">
    <w:name w:val="List Paragraph Char"/>
    <w:link w:val="ListParagraph"/>
    <w:uiPriority w:val="34"/>
    <w:locked/>
    <w:rsid w:val="0014779A"/>
    <w:rPr>
      <w:rFonts w:ascii="Garamond" w:hAnsi="Garamond" w:cs="Arial"/>
      <w:sz w:val="22"/>
      <w:lang w:eastAsia="en-US"/>
    </w:rPr>
  </w:style>
  <w:style w:type="character" w:customStyle="1" w:styleId="italsubhdChar">
    <w:name w:val="italsubhd Char"/>
    <w:link w:val="italsubhd"/>
    <w:rsid w:val="00D02AED"/>
    <w:rPr>
      <w:rFonts w:ascii="EY Gothic Comp BookPS" w:hAnsi="EY Gothic Comp BookPS"/>
      <w:i/>
      <w:iCs/>
      <w:noProof/>
      <w:color w:val="000000"/>
      <w:lang w:val="en-GB"/>
    </w:rPr>
  </w:style>
  <w:style w:type="paragraph" w:customStyle="1" w:styleId="italsubhd">
    <w:name w:val="italsubhd"/>
    <w:basedOn w:val="Normal"/>
    <w:link w:val="italsubhdChar"/>
    <w:rsid w:val="00D02AED"/>
    <w:pPr>
      <w:tabs>
        <w:tab w:val="right" w:leader="dot" w:pos="9739"/>
      </w:tabs>
      <w:overflowPunct w:val="0"/>
      <w:autoSpaceDE w:val="0"/>
      <w:autoSpaceDN w:val="0"/>
      <w:adjustRightInd w:val="0"/>
      <w:spacing w:before="60" w:line="240" w:lineRule="exact"/>
      <w:textAlignment w:val="baseline"/>
    </w:pPr>
    <w:rPr>
      <w:rFonts w:ascii="EY Gothic Comp BookPS" w:hAnsi="EY Gothic Comp BookPS" w:cs="Times New Roman"/>
      <w:i/>
      <w:iCs/>
      <w:noProof/>
      <w:color w:val="000000"/>
      <w:sz w:val="20"/>
      <w:lang w:val="en-GB" w:eastAsia="bg-BG"/>
    </w:rPr>
  </w:style>
  <w:style w:type="paragraph" w:customStyle="1" w:styleId="2">
    <w:name w:val="Основной текст (2)"/>
    <w:basedOn w:val="Normal"/>
    <w:rsid w:val="00730718"/>
    <w:pPr>
      <w:widowControl w:val="0"/>
      <w:shd w:val="clear" w:color="auto" w:fill="FFFFFF"/>
      <w:suppressAutoHyphens/>
      <w:autoSpaceDN w:val="0"/>
      <w:spacing w:before="240" w:after="60" w:line="254" w:lineRule="exact"/>
      <w:ind w:hanging="340"/>
      <w:jc w:val="both"/>
      <w:textAlignment w:val="baseline"/>
    </w:pPr>
    <w:rPr>
      <w:rFonts w:ascii="Times New Roman" w:hAnsi="Times New Roman" w:cs="Times New Roman"/>
      <w:color w:val="000000"/>
      <w:sz w:val="24"/>
      <w:szCs w:val="22"/>
      <w:lang w:eastAsia="bg-BG" w:bidi="bg-BG"/>
    </w:rPr>
  </w:style>
  <w:style w:type="character" w:customStyle="1" w:styleId="CommentTextChar">
    <w:name w:val="Comment Text Char"/>
    <w:link w:val="CommentText"/>
    <w:uiPriority w:val="99"/>
    <w:locked/>
    <w:rsid w:val="009D18ED"/>
    <w:rPr>
      <w:rFonts w:ascii="Garamond" w:hAnsi="Garamond" w:cs="Arial"/>
      <w:lang w:eastAsia="en-US"/>
    </w:rPr>
  </w:style>
  <w:style w:type="paragraph" w:customStyle="1" w:styleId="tabelLinks">
    <w:name w:val="tabelLinks"/>
    <w:basedOn w:val="Normal"/>
    <w:rsid w:val="00FF40FE"/>
    <w:pPr>
      <w:overflowPunct w:val="0"/>
      <w:autoSpaceDE w:val="0"/>
      <w:autoSpaceDN w:val="0"/>
      <w:adjustRightInd w:val="0"/>
      <w:spacing w:line="260" w:lineRule="exact"/>
      <w:jc w:val="both"/>
      <w:textAlignment w:val="baseline"/>
    </w:pPr>
    <w:rPr>
      <w:rFonts w:ascii="Times New Roman" w:hAnsi="Times New Roman" w:cs="Times New Roman"/>
      <w:sz w:val="18"/>
      <w:lang w:val="en-GB"/>
    </w:rPr>
  </w:style>
</w:styles>
</file>

<file path=word/webSettings.xml><?xml version="1.0" encoding="utf-8"?>
<w:webSettings xmlns:r="http://schemas.openxmlformats.org/officeDocument/2006/relationships" xmlns:w="http://schemas.openxmlformats.org/wordprocessingml/2006/main">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0178825">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6890700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277221653">
      <w:bodyDiv w:val="1"/>
      <w:marLeft w:val="0"/>
      <w:marRight w:val="0"/>
      <w:marTop w:val="0"/>
      <w:marBottom w:val="0"/>
      <w:divBdr>
        <w:top w:val="none" w:sz="0" w:space="0" w:color="auto"/>
        <w:left w:val="none" w:sz="0" w:space="0" w:color="auto"/>
        <w:bottom w:val="none" w:sz="0" w:space="0" w:color="auto"/>
        <w:right w:val="none" w:sz="0" w:space="0" w:color="auto"/>
      </w:divBdr>
    </w:div>
    <w:div w:id="290281894">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94616708">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456081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3">
          <w:marLeft w:val="0"/>
          <w:marRight w:val="0"/>
          <w:marTop w:val="0"/>
          <w:marBottom w:val="0"/>
          <w:divBdr>
            <w:top w:val="none" w:sz="0" w:space="0" w:color="auto"/>
            <w:left w:val="none" w:sz="0" w:space="0" w:color="auto"/>
            <w:bottom w:val="none" w:sz="0" w:space="0" w:color="auto"/>
            <w:right w:val="none" w:sz="0" w:space="0" w:color="auto"/>
          </w:divBdr>
        </w:div>
        <w:div w:id="449400517">
          <w:marLeft w:val="0"/>
          <w:marRight w:val="0"/>
          <w:marTop w:val="0"/>
          <w:marBottom w:val="0"/>
          <w:divBdr>
            <w:top w:val="none" w:sz="0" w:space="0" w:color="auto"/>
            <w:left w:val="none" w:sz="0" w:space="0" w:color="auto"/>
            <w:bottom w:val="none" w:sz="0" w:space="0" w:color="auto"/>
            <w:right w:val="none" w:sz="0" w:space="0" w:color="auto"/>
          </w:divBdr>
        </w:div>
        <w:div w:id="591818555">
          <w:marLeft w:val="0"/>
          <w:marRight w:val="0"/>
          <w:marTop w:val="0"/>
          <w:marBottom w:val="0"/>
          <w:divBdr>
            <w:top w:val="none" w:sz="0" w:space="0" w:color="auto"/>
            <w:left w:val="none" w:sz="0" w:space="0" w:color="auto"/>
            <w:bottom w:val="none" w:sz="0" w:space="0" w:color="auto"/>
            <w:right w:val="none" w:sz="0" w:space="0" w:color="auto"/>
          </w:divBdr>
        </w:div>
        <w:div w:id="667102293">
          <w:marLeft w:val="0"/>
          <w:marRight w:val="0"/>
          <w:marTop w:val="0"/>
          <w:marBottom w:val="0"/>
          <w:divBdr>
            <w:top w:val="none" w:sz="0" w:space="0" w:color="auto"/>
            <w:left w:val="none" w:sz="0" w:space="0" w:color="auto"/>
            <w:bottom w:val="none" w:sz="0" w:space="0" w:color="auto"/>
            <w:right w:val="none" w:sz="0" w:space="0" w:color="auto"/>
          </w:divBdr>
        </w:div>
        <w:div w:id="1151211949">
          <w:marLeft w:val="0"/>
          <w:marRight w:val="0"/>
          <w:marTop w:val="0"/>
          <w:marBottom w:val="0"/>
          <w:divBdr>
            <w:top w:val="none" w:sz="0" w:space="0" w:color="auto"/>
            <w:left w:val="none" w:sz="0" w:space="0" w:color="auto"/>
            <w:bottom w:val="none" w:sz="0" w:space="0" w:color="auto"/>
            <w:right w:val="none" w:sz="0" w:space="0" w:color="auto"/>
          </w:divBdr>
        </w:div>
        <w:div w:id="1374497735">
          <w:marLeft w:val="0"/>
          <w:marRight w:val="0"/>
          <w:marTop w:val="0"/>
          <w:marBottom w:val="0"/>
          <w:divBdr>
            <w:top w:val="none" w:sz="0" w:space="0" w:color="auto"/>
            <w:left w:val="none" w:sz="0" w:space="0" w:color="auto"/>
            <w:bottom w:val="none" w:sz="0" w:space="0" w:color="auto"/>
            <w:right w:val="none" w:sz="0" w:space="0" w:color="auto"/>
          </w:divBdr>
        </w:div>
        <w:div w:id="1508473475">
          <w:marLeft w:val="0"/>
          <w:marRight w:val="0"/>
          <w:marTop w:val="0"/>
          <w:marBottom w:val="0"/>
          <w:divBdr>
            <w:top w:val="none" w:sz="0" w:space="0" w:color="auto"/>
            <w:left w:val="none" w:sz="0" w:space="0" w:color="auto"/>
            <w:bottom w:val="none" w:sz="0" w:space="0" w:color="auto"/>
            <w:right w:val="none" w:sz="0" w:space="0" w:color="auto"/>
          </w:divBdr>
        </w:div>
        <w:div w:id="1691368227">
          <w:marLeft w:val="0"/>
          <w:marRight w:val="0"/>
          <w:marTop w:val="0"/>
          <w:marBottom w:val="0"/>
          <w:divBdr>
            <w:top w:val="none" w:sz="0" w:space="0" w:color="auto"/>
            <w:left w:val="none" w:sz="0" w:space="0" w:color="auto"/>
            <w:bottom w:val="none" w:sz="0" w:space="0" w:color="auto"/>
            <w:right w:val="none" w:sz="0" w:space="0" w:color="auto"/>
          </w:divBdr>
        </w:div>
        <w:div w:id="1788545364">
          <w:marLeft w:val="0"/>
          <w:marRight w:val="0"/>
          <w:marTop w:val="0"/>
          <w:marBottom w:val="0"/>
          <w:divBdr>
            <w:top w:val="none" w:sz="0" w:space="0" w:color="auto"/>
            <w:left w:val="none" w:sz="0" w:space="0" w:color="auto"/>
            <w:bottom w:val="none" w:sz="0" w:space="0" w:color="auto"/>
            <w:right w:val="none" w:sz="0" w:space="0" w:color="auto"/>
          </w:divBdr>
        </w:div>
        <w:div w:id="1795981080">
          <w:marLeft w:val="0"/>
          <w:marRight w:val="0"/>
          <w:marTop w:val="0"/>
          <w:marBottom w:val="0"/>
          <w:divBdr>
            <w:top w:val="none" w:sz="0" w:space="0" w:color="auto"/>
            <w:left w:val="none" w:sz="0" w:space="0" w:color="auto"/>
            <w:bottom w:val="none" w:sz="0" w:space="0" w:color="auto"/>
            <w:right w:val="none" w:sz="0" w:space="0" w:color="auto"/>
          </w:divBdr>
        </w:div>
        <w:div w:id="1835222822">
          <w:marLeft w:val="0"/>
          <w:marRight w:val="0"/>
          <w:marTop w:val="0"/>
          <w:marBottom w:val="0"/>
          <w:divBdr>
            <w:top w:val="none" w:sz="0" w:space="0" w:color="auto"/>
            <w:left w:val="none" w:sz="0" w:space="0" w:color="auto"/>
            <w:bottom w:val="none" w:sz="0" w:space="0" w:color="auto"/>
            <w:right w:val="none" w:sz="0" w:space="0" w:color="auto"/>
          </w:divBdr>
        </w:div>
        <w:div w:id="1952591658">
          <w:marLeft w:val="0"/>
          <w:marRight w:val="0"/>
          <w:marTop w:val="0"/>
          <w:marBottom w:val="0"/>
          <w:divBdr>
            <w:top w:val="none" w:sz="0" w:space="0" w:color="auto"/>
            <w:left w:val="none" w:sz="0" w:space="0" w:color="auto"/>
            <w:bottom w:val="none" w:sz="0" w:space="0" w:color="auto"/>
            <w:right w:val="none" w:sz="0" w:space="0" w:color="auto"/>
          </w:divBdr>
        </w:div>
        <w:div w:id="2013292629">
          <w:marLeft w:val="0"/>
          <w:marRight w:val="0"/>
          <w:marTop w:val="0"/>
          <w:marBottom w:val="0"/>
          <w:divBdr>
            <w:top w:val="none" w:sz="0" w:space="0" w:color="auto"/>
            <w:left w:val="none" w:sz="0" w:space="0" w:color="auto"/>
            <w:bottom w:val="none" w:sz="0" w:space="0" w:color="auto"/>
            <w:right w:val="none" w:sz="0" w:space="0" w:color="auto"/>
          </w:divBdr>
        </w:div>
      </w:divsChild>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8502077">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33707035">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55522510">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09073963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153335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31428403">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08779624">
      <w:bodyDiv w:val="1"/>
      <w:marLeft w:val="0"/>
      <w:marRight w:val="0"/>
      <w:marTop w:val="0"/>
      <w:marBottom w:val="0"/>
      <w:divBdr>
        <w:top w:val="none" w:sz="0" w:space="0" w:color="auto"/>
        <w:left w:val="none" w:sz="0" w:space="0" w:color="auto"/>
        <w:bottom w:val="none" w:sz="0" w:space="0" w:color="auto"/>
        <w:right w:val="none" w:sz="0" w:space="0" w:color="auto"/>
      </w:divBdr>
    </w:div>
    <w:div w:id="1329751075">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23010113">
      <w:bodyDiv w:val="1"/>
      <w:marLeft w:val="0"/>
      <w:marRight w:val="0"/>
      <w:marTop w:val="0"/>
      <w:marBottom w:val="0"/>
      <w:divBdr>
        <w:top w:val="none" w:sz="0" w:space="0" w:color="auto"/>
        <w:left w:val="none" w:sz="0" w:space="0" w:color="auto"/>
        <w:bottom w:val="none" w:sz="0" w:space="0" w:color="auto"/>
        <w:right w:val="none" w:sz="0" w:space="0" w:color="auto"/>
      </w:divBdr>
    </w:div>
    <w:div w:id="1545946053">
      <w:bodyDiv w:val="1"/>
      <w:marLeft w:val="0"/>
      <w:marRight w:val="0"/>
      <w:marTop w:val="0"/>
      <w:marBottom w:val="0"/>
      <w:divBdr>
        <w:top w:val="none" w:sz="0" w:space="0" w:color="auto"/>
        <w:left w:val="none" w:sz="0" w:space="0" w:color="auto"/>
        <w:bottom w:val="none" w:sz="0" w:space="0" w:color="auto"/>
        <w:right w:val="none" w:sz="0" w:space="0" w:color="auto"/>
      </w:divBdr>
      <w:divsChild>
        <w:div w:id="267928555">
          <w:marLeft w:val="0"/>
          <w:marRight w:val="0"/>
          <w:marTop w:val="0"/>
          <w:marBottom w:val="0"/>
          <w:divBdr>
            <w:top w:val="none" w:sz="0" w:space="0" w:color="auto"/>
            <w:left w:val="none" w:sz="0" w:space="0" w:color="auto"/>
            <w:bottom w:val="none" w:sz="0" w:space="0" w:color="auto"/>
            <w:right w:val="none" w:sz="0" w:space="0" w:color="auto"/>
          </w:divBdr>
        </w:div>
        <w:div w:id="512768477">
          <w:marLeft w:val="0"/>
          <w:marRight w:val="0"/>
          <w:marTop w:val="0"/>
          <w:marBottom w:val="0"/>
          <w:divBdr>
            <w:top w:val="none" w:sz="0" w:space="0" w:color="auto"/>
            <w:left w:val="none" w:sz="0" w:space="0" w:color="auto"/>
            <w:bottom w:val="none" w:sz="0" w:space="0" w:color="auto"/>
            <w:right w:val="none" w:sz="0" w:space="0" w:color="auto"/>
          </w:divBdr>
        </w:div>
        <w:div w:id="809902089">
          <w:marLeft w:val="0"/>
          <w:marRight w:val="0"/>
          <w:marTop w:val="0"/>
          <w:marBottom w:val="0"/>
          <w:divBdr>
            <w:top w:val="none" w:sz="0" w:space="0" w:color="auto"/>
            <w:left w:val="none" w:sz="0" w:space="0" w:color="auto"/>
            <w:bottom w:val="none" w:sz="0" w:space="0" w:color="auto"/>
            <w:right w:val="none" w:sz="0" w:space="0" w:color="auto"/>
          </w:divBdr>
        </w:div>
        <w:div w:id="1762750140">
          <w:marLeft w:val="0"/>
          <w:marRight w:val="0"/>
          <w:marTop w:val="0"/>
          <w:marBottom w:val="0"/>
          <w:divBdr>
            <w:top w:val="none" w:sz="0" w:space="0" w:color="auto"/>
            <w:left w:val="none" w:sz="0" w:space="0" w:color="auto"/>
            <w:bottom w:val="none" w:sz="0" w:space="0" w:color="auto"/>
            <w:right w:val="none" w:sz="0" w:space="0" w:color="auto"/>
          </w:divBdr>
        </w:div>
      </w:divsChild>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09333562">
      <w:bodyDiv w:val="1"/>
      <w:marLeft w:val="0"/>
      <w:marRight w:val="0"/>
      <w:marTop w:val="0"/>
      <w:marBottom w:val="0"/>
      <w:divBdr>
        <w:top w:val="none" w:sz="0" w:space="0" w:color="auto"/>
        <w:left w:val="none" w:sz="0" w:space="0" w:color="auto"/>
        <w:bottom w:val="none" w:sz="0" w:space="0" w:color="auto"/>
        <w:right w:val="none" w:sz="0" w:space="0" w:color="auto"/>
      </w:divBdr>
    </w:div>
    <w:div w:id="1725057104">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45759587">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214389">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72495975">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6C6E-0A65-4DC7-A07B-AF027A7A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Statements_A4_GTI.dot</Template>
  <TotalTime>1</TotalTime>
  <Pages>13</Pages>
  <Words>4099</Words>
  <Characters>23369</Characters>
  <Application>Microsoft Office Word</Application>
  <DocSecurity>0</DocSecurity>
  <Lines>194</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Grant Thornton</Company>
  <LinksUpToDate>false</LinksUpToDate>
  <CharactersWithSpaces>27414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Fitzgibbon</dc:creator>
  <cp:lastModifiedBy>mariya</cp:lastModifiedBy>
  <cp:revision>2</cp:revision>
  <cp:lastPrinted>2019-08-02T09:51:00Z</cp:lastPrinted>
  <dcterms:created xsi:type="dcterms:W3CDTF">2019-08-07T11:47:00Z</dcterms:created>
  <dcterms:modified xsi:type="dcterms:W3CDTF">2019-08-07T11:47:00Z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