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5F" w:rsidRPr="006809FF" w:rsidRDefault="000B7A9D" w:rsidP="00B35F4C">
      <w:pPr>
        <w:pBdr>
          <w:top w:val="single" w:sz="5" w:space="24" w:color="000000"/>
        </w:pBdr>
        <w:spacing w:before="8" w:line="278" w:lineRule="auto"/>
        <w:jc w:val="center"/>
        <w:rPr>
          <w:rFonts w:ascii="Times New Roman" w:hAnsi="Times New Roman" w:cs="Times New Roman"/>
          <w:b/>
          <w:color w:val="000000"/>
          <w:spacing w:val="-9"/>
          <w:w w:val="105"/>
        </w:rPr>
      </w:pPr>
      <w:r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</w:rPr>
        <w:t>Допълнителна информа</w:t>
      </w:r>
      <w:r w:rsidR="004B109A"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</w:rPr>
        <w:t>ц</w:t>
      </w:r>
      <w:r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</w:rPr>
        <w:t>ия</w:t>
      </w:r>
      <w:r w:rsidR="005D2B93"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  <w:lang w:val="en-US"/>
        </w:rPr>
        <w:t xml:space="preserve"> </w:t>
      </w:r>
      <w:r w:rsidRPr="005D2B93">
        <w:rPr>
          <w:rFonts w:ascii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5D2B93">
        <w:rPr>
          <w:rFonts w:ascii="Times New Roman" w:hAnsi="Times New Roman" w:cs="Times New Roman"/>
          <w:color w:val="000000"/>
          <w:spacing w:val="-8"/>
          <w:sz w:val="32"/>
          <w:szCs w:val="32"/>
        </w:rPr>
        <w:br/>
      </w:r>
      <w:r w:rsidRPr="007C2232">
        <w:rPr>
          <w:rFonts w:ascii="Times New Roman" w:hAnsi="Times New Roman" w:cs="Times New Roman"/>
          <w:b/>
          <w:color w:val="000000"/>
          <w:spacing w:val="-7"/>
          <w:w w:val="105"/>
        </w:rPr>
        <w:t>на основание чл.</w:t>
      </w:r>
      <w:r w:rsidR="007E466F">
        <w:rPr>
          <w:rFonts w:ascii="Times New Roman" w:hAnsi="Times New Roman" w:cs="Times New Roman"/>
          <w:b/>
          <w:color w:val="000000"/>
          <w:spacing w:val="-7"/>
          <w:w w:val="105"/>
          <w:lang w:val="en-US"/>
        </w:rPr>
        <w:t xml:space="preserve"> </w:t>
      </w:r>
      <w:r w:rsidRPr="007C2232">
        <w:rPr>
          <w:rFonts w:ascii="Times New Roman" w:hAnsi="Times New Roman" w:cs="Times New Roman"/>
          <w:b/>
          <w:color w:val="000000"/>
          <w:spacing w:val="-7"/>
          <w:w w:val="105"/>
        </w:rPr>
        <w:t>33, ал.1, т.</w:t>
      </w:r>
      <w:r w:rsidR="00740F4E">
        <w:rPr>
          <w:rFonts w:ascii="Times New Roman" w:hAnsi="Times New Roman" w:cs="Times New Roman"/>
          <w:b/>
          <w:color w:val="000000"/>
          <w:spacing w:val="-7"/>
          <w:w w:val="105"/>
        </w:rPr>
        <w:t>7</w:t>
      </w:r>
      <w:r w:rsidRPr="007C2232">
        <w:rPr>
          <w:rFonts w:ascii="Times New Roman" w:hAnsi="Times New Roman" w:cs="Times New Roman"/>
          <w:b/>
          <w:color w:val="000000"/>
          <w:spacing w:val="-7"/>
          <w:w w:val="105"/>
        </w:rPr>
        <w:t xml:space="preserve"> от Наредба №2 от 17.09.2003 г. </w:t>
      </w:r>
      <w:r w:rsidR="006809FF" w:rsidRPr="006809FF">
        <w:rPr>
          <w:rFonts w:ascii="Times New Roman" w:hAnsi="Times New Roman" w:cs="Times New Roman"/>
          <w:b/>
          <w:color w:val="000000"/>
          <w:spacing w:val="-9"/>
          <w:w w:val="105"/>
        </w:rPr>
        <w:t>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</w:t>
      </w:r>
    </w:p>
    <w:p w:rsidR="0084025F" w:rsidRPr="007B7956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504" w:line="280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3"/>
        </w:rPr>
      </w:pPr>
      <w:r w:rsidRPr="007B7956">
        <w:rPr>
          <w:rFonts w:ascii="Times New Roman" w:hAnsi="Times New Roman" w:cs="Times New Roman"/>
          <w:color w:val="000000"/>
          <w:spacing w:val="-3"/>
        </w:rPr>
        <w:t xml:space="preserve">Информация за промените в </w:t>
      </w:r>
      <w:r w:rsidR="00166E62" w:rsidRPr="007B7956">
        <w:rPr>
          <w:rFonts w:ascii="Times New Roman" w:hAnsi="Times New Roman" w:cs="Times New Roman"/>
          <w:color w:val="000000"/>
          <w:spacing w:val="-3"/>
        </w:rPr>
        <w:t>счетоводната</w:t>
      </w:r>
      <w:r w:rsidRPr="007B7956">
        <w:rPr>
          <w:rFonts w:ascii="Times New Roman" w:hAnsi="Times New Roman" w:cs="Times New Roman"/>
          <w:color w:val="000000"/>
          <w:spacing w:val="-3"/>
        </w:rPr>
        <w:t xml:space="preserve"> политика през </w:t>
      </w:r>
      <w:r w:rsidR="00E22D41" w:rsidRPr="007B7956">
        <w:rPr>
          <w:rFonts w:ascii="Times New Roman" w:hAnsi="Times New Roman" w:cs="Times New Roman"/>
          <w:color w:val="000000"/>
          <w:spacing w:val="-3"/>
        </w:rPr>
        <w:t>о</w:t>
      </w:r>
      <w:r w:rsidRPr="007B7956">
        <w:rPr>
          <w:rFonts w:ascii="Times New Roman" w:hAnsi="Times New Roman" w:cs="Times New Roman"/>
          <w:color w:val="000000"/>
          <w:spacing w:val="-3"/>
        </w:rPr>
        <w:t>тчетния пери</w:t>
      </w:r>
      <w:r w:rsidR="00E22D41" w:rsidRPr="007B7956">
        <w:rPr>
          <w:rFonts w:ascii="Times New Roman" w:hAnsi="Times New Roman" w:cs="Times New Roman"/>
          <w:color w:val="000000"/>
          <w:spacing w:val="-3"/>
        </w:rPr>
        <w:t>о</w:t>
      </w:r>
      <w:r w:rsidRPr="007B7956">
        <w:rPr>
          <w:rFonts w:ascii="Times New Roman" w:hAnsi="Times New Roman" w:cs="Times New Roman"/>
          <w:color w:val="000000"/>
          <w:spacing w:val="-3"/>
        </w:rPr>
        <w:t xml:space="preserve">д, причините за </w:t>
      </w:r>
      <w:r w:rsidRPr="007B7956">
        <w:rPr>
          <w:rFonts w:ascii="Times New Roman" w:hAnsi="Times New Roman" w:cs="Times New Roman"/>
          <w:color w:val="000000"/>
          <w:spacing w:val="-4"/>
        </w:rPr>
        <w:t xml:space="preserve">тяхното извършване u по какъв начин се отразяват на финансовия резултат и собствения </w:t>
      </w:r>
      <w:r w:rsidRPr="007B7956">
        <w:rPr>
          <w:rFonts w:ascii="Times New Roman" w:hAnsi="Times New Roman" w:cs="Times New Roman"/>
          <w:color w:val="000000"/>
          <w:spacing w:val="-8"/>
        </w:rPr>
        <w:t>капитал на ем</w:t>
      </w:r>
      <w:r w:rsidR="00E22D41" w:rsidRPr="007B7956">
        <w:rPr>
          <w:rFonts w:ascii="Times New Roman" w:hAnsi="Times New Roman" w:cs="Times New Roman"/>
          <w:color w:val="000000"/>
          <w:spacing w:val="-8"/>
        </w:rPr>
        <w:t>и</w:t>
      </w:r>
      <w:r w:rsidRPr="007B7956">
        <w:rPr>
          <w:rFonts w:ascii="Times New Roman" w:hAnsi="Times New Roman" w:cs="Times New Roman"/>
          <w:color w:val="000000"/>
          <w:spacing w:val="-8"/>
        </w:rPr>
        <w:t>тента.</w:t>
      </w:r>
    </w:p>
    <w:p w:rsidR="00B35F4C" w:rsidRPr="00B35F4C" w:rsidRDefault="00B35F4C" w:rsidP="00B35F4C">
      <w:pPr>
        <w:spacing w:before="252" w:line="285" w:lineRule="auto"/>
        <w:ind w:right="144"/>
        <w:rPr>
          <w:rFonts w:ascii="Times New Roman" w:hAnsi="Times New Roman" w:cs="Times New Roman"/>
          <w:i/>
          <w:color w:val="000000"/>
          <w:spacing w:val="-6"/>
          <w:w w:val="95"/>
        </w:rPr>
      </w:pPr>
      <w:r w:rsidRPr="00B35F4C">
        <w:rPr>
          <w:rFonts w:ascii="Times New Roman" w:hAnsi="Times New Roman" w:cs="Times New Roman"/>
          <w:i/>
          <w:color w:val="000000"/>
          <w:spacing w:val="-6"/>
          <w:w w:val="95"/>
        </w:rPr>
        <w:t>Няма настъпили промени.</w:t>
      </w:r>
      <w:bookmarkStart w:id="0" w:name="_GoBack"/>
      <w:bookmarkEnd w:id="0"/>
    </w:p>
    <w:p w:rsidR="0084025F" w:rsidRPr="007B7956" w:rsidRDefault="000B7A9D" w:rsidP="00072161">
      <w:pPr>
        <w:numPr>
          <w:ilvl w:val="0"/>
          <w:numId w:val="1"/>
        </w:numPr>
        <w:tabs>
          <w:tab w:val="clear" w:pos="432"/>
          <w:tab w:val="decimal" w:pos="792"/>
        </w:tabs>
        <w:spacing w:before="252" w:line="28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1"/>
        </w:rPr>
      </w:pPr>
      <w:r w:rsidRPr="007B7956">
        <w:rPr>
          <w:rFonts w:ascii="Times New Roman" w:hAnsi="Times New Roman" w:cs="Times New Roman"/>
          <w:color w:val="000000"/>
          <w:spacing w:val="-1"/>
        </w:rPr>
        <w:t>Инф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рмация за </w:t>
      </w:r>
      <w:r w:rsidR="00166E62" w:rsidRPr="007B7956">
        <w:rPr>
          <w:rFonts w:ascii="Times New Roman" w:hAnsi="Times New Roman" w:cs="Times New Roman"/>
          <w:color w:val="000000"/>
          <w:spacing w:val="-1"/>
        </w:rPr>
        <w:t>настъпили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 пр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>мени в икономиче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с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ката група на емитента, ако участва в </w:t>
      </w:r>
      <w:r w:rsidRPr="007B7956">
        <w:rPr>
          <w:rFonts w:ascii="Times New Roman" w:hAnsi="Times New Roman" w:cs="Times New Roman"/>
          <w:color w:val="000000"/>
          <w:spacing w:val="-9"/>
        </w:rPr>
        <w:t>такава група.</w:t>
      </w:r>
    </w:p>
    <w:p w:rsidR="0084025F" w:rsidRPr="007C2232" w:rsidRDefault="000B7A9D" w:rsidP="00C02AB4">
      <w:pPr>
        <w:spacing w:before="252"/>
        <w:rPr>
          <w:rFonts w:ascii="Times New Roman" w:hAnsi="Times New Roman" w:cs="Times New Roman"/>
          <w:i/>
          <w:color w:val="000000"/>
          <w:spacing w:val="-4"/>
        </w:rPr>
      </w:pPr>
      <w:r w:rsidRPr="007C2232">
        <w:rPr>
          <w:rFonts w:ascii="Times New Roman" w:hAnsi="Times New Roman" w:cs="Times New Roman"/>
          <w:i/>
          <w:color w:val="000000"/>
          <w:spacing w:val="-4"/>
        </w:rPr>
        <w:t>Н</w:t>
      </w:r>
      <w:r w:rsidR="00166E62" w:rsidRPr="007C2232">
        <w:rPr>
          <w:rFonts w:ascii="Times New Roman" w:hAnsi="Times New Roman" w:cs="Times New Roman"/>
          <w:i/>
          <w:color w:val="000000"/>
          <w:spacing w:val="-4"/>
        </w:rPr>
        <w:t>я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ма </w:t>
      </w:r>
      <w:r w:rsidR="00166E62" w:rsidRPr="007C2232">
        <w:rPr>
          <w:rFonts w:ascii="Times New Roman" w:hAnsi="Times New Roman" w:cs="Times New Roman"/>
          <w:i/>
          <w:color w:val="000000"/>
          <w:spacing w:val="-4"/>
        </w:rPr>
        <w:t>настъпили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 пр</w:t>
      </w:r>
      <w:r w:rsidR="002A66EB" w:rsidRPr="007C2232">
        <w:rPr>
          <w:rFonts w:ascii="Times New Roman" w:hAnsi="Times New Roman" w:cs="Times New Roman"/>
          <w:i/>
          <w:color w:val="000000"/>
          <w:spacing w:val="-4"/>
        </w:rPr>
        <w:t>о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>мени.</w:t>
      </w:r>
    </w:p>
    <w:p w:rsidR="0084025F" w:rsidRPr="007B7956" w:rsidRDefault="00166E62" w:rsidP="004C7A26">
      <w:pPr>
        <w:numPr>
          <w:ilvl w:val="0"/>
          <w:numId w:val="1"/>
        </w:numPr>
        <w:tabs>
          <w:tab w:val="clear" w:pos="432"/>
          <w:tab w:val="decimal" w:pos="792"/>
        </w:tabs>
        <w:spacing w:before="324" w:line="278" w:lineRule="auto"/>
        <w:ind w:left="792" w:right="168" w:hanging="432"/>
        <w:jc w:val="both"/>
        <w:rPr>
          <w:rFonts w:ascii="Times New Roman" w:hAnsi="Times New Roman" w:cs="Times New Roman"/>
          <w:color w:val="000000"/>
          <w:spacing w:val="1"/>
        </w:rPr>
      </w:pPr>
      <w:r w:rsidRPr="007B7956">
        <w:rPr>
          <w:rFonts w:ascii="Times New Roman" w:hAnsi="Times New Roman" w:cs="Times New Roman"/>
          <w:color w:val="000000"/>
          <w:spacing w:val="1"/>
        </w:rPr>
        <w:t>Информация</w:t>
      </w:r>
      <w:r w:rsidR="000B7A9D" w:rsidRPr="007B7956">
        <w:rPr>
          <w:rFonts w:ascii="Times New Roman" w:hAnsi="Times New Roman" w:cs="Times New Roman"/>
          <w:color w:val="000000"/>
          <w:spacing w:val="1"/>
        </w:rPr>
        <w:t xml:space="preserve"> за резултатите от </w:t>
      </w:r>
      <w:r w:rsidRPr="007B7956">
        <w:rPr>
          <w:rFonts w:ascii="Times New Roman" w:hAnsi="Times New Roman" w:cs="Times New Roman"/>
          <w:color w:val="000000"/>
          <w:spacing w:val="1"/>
        </w:rPr>
        <w:t>организационни</w:t>
      </w:r>
      <w:r w:rsidR="000B7A9D" w:rsidRPr="007B795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B7956">
        <w:rPr>
          <w:rFonts w:ascii="Times New Roman" w:hAnsi="Times New Roman" w:cs="Times New Roman"/>
          <w:color w:val="000000"/>
          <w:spacing w:val="1"/>
        </w:rPr>
        <w:t>променен</w:t>
      </w:r>
      <w:r w:rsidR="000B7A9D" w:rsidRPr="007B7956">
        <w:rPr>
          <w:rFonts w:ascii="Times New Roman" w:hAnsi="Times New Roman" w:cs="Times New Roman"/>
          <w:color w:val="000000"/>
          <w:spacing w:val="1"/>
        </w:rPr>
        <w:t xml:space="preserve"> в рамките на емитента, като 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>преобразуване, пр</w:t>
      </w:r>
      <w:r w:rsidR="00223850" w:rsidRPr="007B7956">
        <w:rPr>
          <w:rFonts w:ascii="Times New Roman" w:hAnsi="Times New Roman" w:cs="Times New Roman"/>
          <w:color w:val="000000"/>
          <w:spacing w:val="3"/>
        </w:rPr>
        <w:t>о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>дажб</w:t>
      </w:r>
      <w:r w:rsidR="00223850" w:rsidRPr="007B7956">
        <w:rPr>
          <w:rFonts w:ascii="Times New Roman" w:hAnsi="Times New Roman" w:cs="Times New Roman"/>
          <w:color w:val="000000"/>
          <w:spacing w:val="3"/>
        </w:rPr>
        <w:t>и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 xml:space="preserve"> на дружества от </w:t>
      </w:r>
      <w:r w:rsidRPr="007B7956">
        <w:rPr>
          <w:rFonts w:ascii="Times New Roman" w:hAnsi="Times New Roman" w:cs="Times New Roman"/>
          <w:color w:val="000000"/>
          <w:spacing w:val="3"/>
        </w:rPr>
        <w:t>икономическата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 xml:space="preserve"> група, апортни вноски </w:t>
      </w:r>
      <w:r w:rsidR="00223850" w:rsidRPr="007B7956">
        <w:rPr>
          <w:rFonts w:ascii="Times New Roman" w:hAnsi="Times New Roman" w:cs="Times New Roman"/>
          <w:color w:val="000000"/>
          <w:spacing w:val="3"/>
        </w:rPr>
        <w:t>от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 xml:space="preserve"> 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>дружеството, даване п</w:t>
      </w:r>
      <w:r w:rsidR="00223850" w:rsidRPr="007B7956">
        <w:rPr>
          <w:rFonts w:ascii="Times New Roman" w:hAnsi="Times New Roman" w:cs="Times New Roman"/>
          <w:color w:val="000000"/>
          <w:spacing w:val="-4"/>
        </w:rPr>
        <w:t>о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>д на</w:t>
      </w:r>
      <w:r w:rsidR="00223850" w:rsidRPr="007B7956">
        <w:rPr>
          <w:rFonts w:ascii="Times New Roman" w:hAnsi="Times New Roman" w:cs="Times New Roman"/>
          <w:color w:val="000000"/>
          <w:spacing w:val="-4"/>
        </w:rPr>
        <w:t>е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 xml:space="preserve">м на </w:t>
      </w:r>
      <w:r w:rsidR="00223850" w:rsidRPr="007B7956">
        <w:rPr>
          <w:rFonts w:ascii="Times New Roman" w:hAnsi="Times New Roman" w:cs="Times New Roman"/>
          <w:color w:val="000000"/>
          <w:spacing w:val="-4"/>
        </w:rPr>
        <w:t>и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 xml:space="preserve">мущество, дългосрочни инвестиции, преустановяване на </w:t>
      </w:r>
      <w:r w:rsidR="000B7A9D" w:rsidRPr="007B7956">
        <w:rPr>
          <w:rFonts w:ascii="Times New Roman" w:hAnsi="Times New Roman" w:cs="Times New Roman"/>
          <w:color w:val="000000"/>
          <w:spacing w:val="-17"/>
        </w:rPr>
        <w:t>дейн</w:t>
      </w:r>
      <w:r w:rsidR="00223850" w:rsidRPr="007B7956">
        <w:rPr>
          <w:rFonts w:ascii="Times New Roman" w:hAnsi="Times New Roman" w:cs="Times New Roman"/>
          <w:color w:val="000000"/>
          <w:spacing w:val="-17"/>
        </w:rPr>
        <w:t>о</w:t>
      </w:r>
      <w:r w:rsidR="000B7A9D" w:rsidRPr="007B7956">
        <w:rPr>
          <w:rFonts w:ascii="Times New Roman" w:hAnsi="Times New Roman" w:cs="Times New Roman"/>
          <w:color w:val="000000"/>
          <w:spacing w:val="-17"/>
        </w:rPr>
        <w:t>с</w:t>
      </w:r>
      <w:r w:rsidR="00223850" w:rsidRPr="007B7956">
        <w:rPr>
          <w:rFonts w:ascii="Times New Roman" w:hAnsi="Times New Roman" w:cs="Times New Roman"/>
          <w:color w:val="000000"/>
          <w:spacing w:val="-17"/>
        </w:rPr>
        <w:t>т</w:t>
      </w:r>
      <w:r w:rsidR="000B7A9D" w:rsidRPr="007B7956">
        <w:rPr>
          <w:rFonts w:ascii="Times New Roman" w:hAnsi="Times New Roman" w:cs="Times New Roman"/>
          <w:color w:val="000000"/>
          <w:spacing w:val="-17"/>
        </w:rPr>
        <w:t>.</w:t>
      </w:r>
    </w:p>
    <w:p w:rsidR="0084025F" w:rsidRPr="007C2232" w:rsidRDefault="000B7A9D" w:rsidP="00C02AB4">
      <w:pPr>
        <w:spacing w:before="252"/>
        <w:rPr>
          <w:rFonts w:ascii="Times New Roman" w:hAnsi="Times New Roman" w:cs="Times New Roman"/>
          <w:i/>
          <w:color w:val="000000"/>
          <w:spacing w:val="-4"/>
        </w:rPr>
      </w:pP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Няма </w:t>
      </w:r>
      <w:r w:rsidR="00E66869" w:rsidRPr="007C2232">
        <w:rPr>
          <w:rFonts w:ascii="Times New Roman" w:hAnsi="Times New Roman" w:cs="Times New Roman"/>
          <w:i/>
          <w:color w:val="000000"/>
          <w:spacing w:val="-4"/>
        </w:rPr>
        <w:t>настъпили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 пр</w:t>
      </w:r>
      <w:r w:rsidR="00223850" w:rsidRPr="007C2232">
        <w:rPr>
          <w:rFonts w:ascii="Times New Roman" w:hAnsi="Times New Roman" w:cs="Times New Roman"/>
          <w:i/>
          <w:color w:val="000000"/>
          <w:spacing w:val="-4"/>
        </w:rPr>
        <w:t>о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>мени.</w:t>
      </w:r>
    </w:p>
    <w:p w:rsidR="0084025F" w:rsidRPr="007B7956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6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5"/>
        </w:rPr>
      </w:pPr>
      <w:r w:rsidRPr="007B7956">
        <w:rPr>
          <w:rFonts w:ascii="Times New Roman" w:hAnsi="Times New Roman" w:cs="Times New Roman"/>
          <w:color w:val="000000"/>
          <w:spacing w:val="-5"/>
        </w:rPr>
        <w:t>Становище на управителния орган относн</w:t>
      </w:r>
      <w:r w:rsidR="00223850" w:rsidRPr="007B7956">
        <w:rPr>
          <w:rFonts w:ascii="Times New Roman" w:hAnsi="Times New Roman" w:cs="Times New Roman"/>
          <w:color w:val="000000"/>
          <w:spacing w:val="-5"/>
        </w:rPr>
        <w:t>о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 възможностите за реа</w:t>
      </w:r>
      <w:r w:rsidR="00223850" w:rsidRPr="007B7956">
        <w:rPr>
          <w:rFonts w:ascii="Times New Roman" w:hAnsi="Times New Roman" w:cs="Times New Roman"/>
          <w:color w:val="000000"/>
          <w:spacing w:val="-5"/>
        </w:rPr>
        <w:t>л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изация на публикувани </w:t>
      </w:r>
      <w:r w:rsidRPr="007B7956">
        <w:rPr>
          <w:rFonts w:ascii="Times New Roman" w:hAnsi="Times New Roman" w:cs="Times New Roman"/>
          <w:color w:val="000000"/>
          <w:spacing w:val="-2"/>
        </w:rPr>
        <w:t>прогнози за резу</w:t>
      </w:r>
      <w:r w:rsidR="00223850" w:rsidRPr="007B7956">
        <w:rPr>
          <w:rFonts w:ascii="Times New Roman" w:hAnsi="Times New Roman" w:cs="Times New Roman"/>
          <w:color w:val="000000"/>
          <w:spacing w:val="-2"/>
        </w:rPr>
        <w:t>л</w:t>
      </w:r>
      <w:r w:rsidRPr="007B7956">
        <w:rPr>
          <w:rFonts w:ascii="Times New Roman" w:hAnsi="Times New Roman" w:cs="Times New Roman"/>
          <w:color w:val="000000"/>
          <w:spacing w:val="-2"/>
        </w:rPr>
        <w:t>татите от текущата финансова година, кат</w:t>
      </w:r>
      <w:r w:rsidR="0022385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се </w:t>
      </w:r>
      <w:r w:rsidR="0022385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тчитат резултатите </w:t>
      </w:r>
      <w:r w:rsidR="00EB53CC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т </w:t>
      </w:r>
      <w:r w:rsidRPr="007B7956">
        <w:rPr>
          <w:rFonts w:ascii="Times New Roman" w:hAnsi="Times New Roman" w:cs="Times New Roman"/>
          <w:color w:val="000000"/>
          <w:spacing w:val="-1"/>
        </w:rPr>
        <w:t>текущ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>то тр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и</w:t>
      </w:r>
      <w:r w:rsidRPr="007B7956">
        <w:rPr>
          <w:rFonts w:ascii="Times New Roman" w:hAnsi="Times New Roman" w:cs="Times New Roman"/>
          <w:color w:val="000000"/>
          <w:spacing w:val="-1"/>
        </w:rPr>
        <w:t>месечие, както и информаци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я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 за факторите и обст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ятелствата, които ще 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повлияят на постигането на прогнозните резултати най-малко за </w:t>
      </w:r>
      <w:r w:rsidR="00166E62" w:rsidRPr="007B7956">
        <w:rPr>
          <w:rFonts w:ascii="Times New Roman" w:hAnsi="Times New Roman" w:cs="Times New Roman"/>
          <w:color w:val="000000"/>
          <w:spacing w:val="-2"/>
        </w:rPr>
        <w:t>следващото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тримесечие.</w:t>
      </w:r>
    </w:p>
    <w:p w:rsidR="0084025F" w:rsidRDefault="00E66869" w:rsidP="00C02AB4">
      <w:pPr>
        <w:spacing w:before="288"/>
        <w:rPr>
          <w:rFonts w:ascii="Times New Roman" w:hAnsi="Times New Roman" w:cs="Times New Roman"/>
          <w:i/>
          <w:color w:val="000000"/>
          <w:spacing w:val="-1"/>
        </w:rPr>
      </w:pPr>
      <w:r w:rsidRPr="007C2232">
        <w:rPr>
          <w:rFonts w:ascii="Times New Roman" w:hAnsi="Times New Roman" w:cs="Times New Roman"/>
          <w:i/>
          <w:color w:val="000000"/>
          <w:spacing w:val="-1"/>
        </w:rPr>
        <w:t>Дружеството не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 xml:space="preserve"> публи</w:t>
      </w:r>
      <w:r w:rsidR="00223850" w:rsidRPr="007C2232">
        <w:rPr>
          <w:rFonts w:ascii="Times New Roman" w:hAnsi="Times New Roman" w:cs="Times New Roman"/>
          <w:i/>
          <w:color w:val="000000"/>
          <w:spacing w:val="-1"/>
        </w:rPr>
        <w:t>к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>ува финанс</w:t>
      </w:r>
      <w:r w:rsidR="00223850" w:rsidRPr="007C2232">
        <w:rPr>
          <w:rFonts w:ascii="Times New Roman" w:hAnsi="Times New Roman" w:cs="Times New Roman"/>
          <w:i/>
          <w:color w:val="000000"/>
          <w:spacing w:val="-1"/>
        </w:rPr>
        <w:t>о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>ви про</w:t>
      </w:r>
      <w:r w:rsidR="00223850" w:rsidRPr="007C2232">
        <w:rPr>
          <w:rFonts w:ascii="Times New Roman" w:hAnsi="Times New Roman" w:cs="Times New Roman"/>
          <w:i/>
          <w:color w:val="000000"/>
          <w:spacing w:val="-1"/>
        </w:rPr>
        <w:t>г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>нози.</w:t>
      </w:r>
    </w:p>
    <w:p w:rsidR="004C7A26" w:rsidRPr="007B7956" w:rsidRDefault="004C7A26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6"/>
        </w:rPr>
      </w:pPr>
      <w:r w:rsidRPr="007B7956">
        <w:rPr>
          <w:rFonts w:ascii="Times New Roman" w:hAnsi="Times New Roman" w:cs="Times New Roman"/>
          <w:color w:val="000000"/>
          <w:spacing w:val="-6"/>
        </w:rPr>
        <w:t>Информация за публичните дружества – данни за лицата, притежаващи пряко и непряко най-малко 5 на 100 от гласовете в общото събрание към края на съответното шест месечие, и промените в притежаваните от лицата гласове за периода от края на предходния шест месечен период:</w:t>
      </w:r>
    </w:p>
    <w:p w:rsidR="004C7A26" w:rsidRPr="004C7A26" w:rsidRDefault="004C7A26" w:rsidP="00C02AB4">
      <w:pPr>
        <w:spacing w:before="288"/>
        <w:jc w:val="both"/>
        <w:rPr>
          <w:rFonts w:ascii="Times New Roman" w:hAnsi="Times New Roman" w:cs="Times New Roman"/>
          <w:i/>
          <w:color w:val="000000"/>
          <w:spacing w:val="-1"/>
        </w:rPr>
      </w:pPr>
      <w:r w:rsidRPr="004C7A26">
        <w:rPr>
          <w:rFonts w:ascii="Times New Roman" w:hAnsi="Times New Roman" w:cs="Times New Roman"/>
          <w:i/>
          <w:color w:val="000000"/>
          <w:spacing w:val="-1"/>
        </w:rPr>
        <w:t xml:space="preserve">"Булгаргаз” ЕАД е еднолично акционерно Дружество от структурата на „Български енергиен холдинг” ЕАД.  Регистрираният капитал е разпределен в </w:t>
      </w:r>
      <w:r w:rsidR="001B44D4" w:rsidRPr="001B44D4">
        <w:rPr>
          <w:rFonts w:ascii="Times New Roman" w:hAnsi="Times New Roman" w:cs="Times New Roman"/>
          <w:i/>
          <w:color w:val="000000"/>
          <w:spacing w:val="-1"/>
        </w:rPr>
        <w:t>231 698</w:t>
      </w:r>
      <w:r w:rsidR="001B44D4">
        <w:rPr>
          <w:rFonts w:ascii="Times New Roman" w:hAnsi="Times New Roman" w:cs="Times New Roman"/>
          <w:i/>
          <w:color w:val="000000"/>
          <w:spacing w:val="-1"/>
        </w:rPr>
        <w:t> </w:t>
      </w:r>
      <w:r w:rsidR="001B44D4" w:rsidRPr="001B44D4">
        <w:rPr>
          <w:rFonts w:ascii="Times New Roman" w:hAnsi="Times New Roman" w:cs="Times New Roman"/>
          <w:i/>
          <w:color w:val="000000"/>
          <w:spacing w:val="-1"/>
        </w:rPr>
        <w:t>584</w:t>
      </w:r>
      <w:r w:rsidR="001B44D4">
        <w:rPr>
          <w:rFonts w:ascii="Times New Roman" w:hAnsi="Times New Roman" w:cs="Times New Roman"/>
          <w:i/>
          <w:color w:val="000000"/>
          <w:spacing w:val="-1"/>
          <w:lang w:val="en-US"/>
        </w:rPr>
        <w:t xml:space="preserve"> </w:t>
      </w:r>
      <w:r w:rsidRPr="004C7A26">
        <w:rPr>
          <w:rFonts w:ascii="Times New Roman" w:hAnsi="Times New Roman" w:cs="Times New Roman"/>
          <w:i/>
          <w:color w:val="000000"/>
          <w:spacing w:val="-1"/>
        </w:rPr>
        <w:t>поименни акции. Целият размер на капитала на Дружеството е записан и изцяло внесен от „Български Енергиен Холдинг” ЕАД. Всички акции са с номинал от 1 лев. Акциите на Дружеството са обикновени, поименни, непривилегировани акции, с право на глас. В едноличния собственик на капитала на „Булгаргаз” ЕАД –„Български Енергиен Холдинг” ЕАД държавата притежава 100% от регистрирания капитал.</w:t>
      </w:r>
    </w:p>
    <w:p w:rsidR="004C7A26" w:rsidRPr="007B7956" w:rsidRDefault="004C7A26" w:rsidP="004C7A26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6"/>
        </w:rPr>
      </w:pPr>
      <w:r w:rsidRPr="007B7956">
        <w:rPr>
          <w:rFonts w:ascii="Times New Roman" w:hAnsi="Times New Roman" w:cs="Times New Roman"/>
          <w:color w:val="000000"/>
          <w:spacing w:val="-6"/>
        </w:rPr>
        <w:t>Информация за публичните дружества – данни за акциите, притежавани от управителните и контролни органи на емитен</w:t>
      </w:r>
      <w:r w:rsidR="00062C2D">
        <w:rPr>
          <w:rFonts w:ascii="Times New Roman" w:hAnsi="Times New Roman" w:cs="Times New Roman"/>
          <w:color w:val="000000"/>
          <w:spacing w:val="-6"/>
        </w:rPr>
        <w:t>та към края на съответното шест</w:t>
      </w:r>
      <w:r w:rsidRPr="007B7956">
        <w:rPr>
          <w:rFonts w:ascii="Times New Roman" w:hAnsi="Times New Roman" w:cs="Times New Roman"/>
          <w:color w:val="000000"/>
          <w:spacing w:val="-6"/>
        </w:rPr>
        <w:t>месечие, и промените настъпили за периода от края на предходния шест месечен период  за всяко лице по отделно:</w:t>
      </w:r>
    </w:p>
    <w:p w:rsidR="009A1D0E" w:rsidRDefault="004C7A26" w:rsidP="00C02AB4">
      <w:pPr>
        <w:spacing w:before="288"/>
        <w:jc w:val="both"/>
        <w:rPr>
          <w:rFonts w:ascii="Times New Roman" w:hAnsi="Times New Roman" w:cs="Times New Roman"/>
          <w:i/>
          <w:color w:val="000000"/>
          <w:spacing w:val="-1"/>
        </w:rPr>
      </w:pPr>
      <w:r w:rsidRPr="004C7A26">
        <w:rPr>
          <w:rFonts w:ascii="Times New Roman" w:hAnsi="Times New Roman" w:cs="Times New Roman"/>
          <w:i/>
          <w:color w:val="000000"/>
          <w:spacing w:val="-1"/>
        </w:rPr>
        <w:lastRenderedPageBreak/>
        <w:t>Булгаргаз” ЕАД е еднолично акционерно Дружество от структурата на „Български енергиен холдинг” ЕАД.</w:t>
      </w:r>
    </w:p>
    <w:p w:rsidR="0084025F" w:rsidRPr="007B7956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6"/>
        </w:rPr>
      </w:pPr>
      <w:r w:rsidRPr="007B7956">
        <w:rPr>
          <w:rFonts w:ascii="Times New Roman" w:hAnsi="Times New Roman" w:cs="Times New Roman"/>
          <w:color w:val="000000"/>
          <w:spacing w:val="-6"/>
        </w:rPr>
        <w:t>Инф</w:t>
      </w:r>
      <w:r w:rsidR="000D0340" w:rsidRPr="007B7956">
        <w:rPr>
          <w:rFonts w:ascii="Times New Roman" w:hAnsi="Times New Roman" w:cs="Times New Roman"/>
          <w:color w:val="000000"/>
          <w:spacing w:val="-6"/>
        </w:rPr>
        <w:t>о</w:t>
      </w:r>
      <w:r w:rsidRPr="007B7956">
        <w:rPr>
          <w:rFonts w:ascii="Times New Roman" w:hAnsi="Times New Roman" w:cs="Times New Roman"/>
          <w:color w:val="000000"/>
          <w:spacing w:val="-6"/>
        </w:rPr>
        <w:t>рмация за висящи съдебни, административни или арбитражни пр</w:t>
      </w:r>
      <w:r w:rsidR="000D0340" w:rsidRPr="007B7956">
        <w:rPr>
          <w:rFonts w:ascii="Times New Roman" w:hAnsi="Times New Roman" w:cs="Times New Roman"/>
          <w:color w:val="000000"/>
          <w:spacing w:val="-6"/>
        </w:rPr>
        <w:t>о</w:t>
      </w:r>
      <w:r w:rsidRPr="007B7956">
        <w:rPr>
          <w:rFonts w:ascii="Times New Roman" w:hAnsi="Times New Roman" w:cs="Times New Roman"/>
          <w:color w:val="000000"/>
          <w:spacing w:val="-6"/>
        </w:rPr>
        <w:t xml:space="preserve">изводства, касаещи </w:t>
      </w:r>
      <w:r w:rsidRPr="007B7956">
        <w:rPr>
          <w:rFonts w:ascii="Times New Roman" w:hAnsi="Times New Roman" w:cs="Times New Roman"/>
          <w:color w:val="000000"/>
          <w:spacing w:val="-2"/>
        </w:rPr>
        <w:t>задължения или вземания в размер най-малко 1</w:t>
      </w:r>
      <w:r w:rsidR="00DE083E">
        <w:rPr>
          <w:rFonts w:ascii="Times New Roman" w:hAnsi="Times New Roman" w:cs="Times New Roman"/>
          <w:color w:val="000000"/>
          <w:spacing w:val="-2"/>
        </w:rPr>
        <w:t>0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на сто от с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бствения капитал на емитента, </w:t>
      </w:r>
      <w:r w:rsidRPr="007B7956">
        <w:rPr>
          <w:rFonts w:ascii="Times New Roman" w:hAnsi="Times New Roman" w:cs="Times New Roman"/>
          <w:color w:val="000000"/>
          <w:spacing w:val="-5"/>
        </w:rPr>
        <w:t>ак</w:t>
      </w:r>
      <w:r w:rsidR="000D0340" w:rsidRPr="007B7956">
        <w:rPr>
          <w:rFonts w:ascii="Times New Roman" w:hAnsi="Times New Roman" w:cs="Times New Roman"/>
          <w:color w:val="000000"/>
          <w:spacing w:val="-5"/>
        </w:rPr>
        <w:t>о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 общата стойност на задълженията или вземанията на емитента по всички </w:t>
      </w:r>
      <w:r w:rsidR="000D0340" w:rsidRPr="007B7956">
        <w:rPr>
          <w:rFonts w:ascii="Times New Roman" w:hAnsi="Times New Roman" w:cs="Times New Roman"/>
          <w:color w:val="000000"/>
          <w:spacing w:val="-5"/>
        </w:rPr>
        <w:t>о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бразувани </w:t>
      </w:r>
      <w:r w:rsidRPr="007B7956">
        <w:rPr>
          <w:rFonts w:ascii="Times New Roman" w:hAnsi="Times New Roman" w:cs="Times New Roman"/>
          <w:color w:val="000000"/>
          <w:spacing w:val="-2"/>
        </w:rPr>
        <w:t>производства надхвърля 1</w:t>
      </w:r>
      <w:r w:rsidR="00DE083E">
        <w:rPr>
          <w:rFonts w:ascii="Times New Roman" w:hAnsi="Times New Roman" w:cs="Times New Roman"/>
          <w:color w:val="000000"/>
          <w:spacing w:val="-2"/>
        </w:rPr>
        <w:t>0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на сто от собствения му капитал, се представя </w:t>
      </w:r>
      <w:r w:rsidR="00166E62" w:rsidRPr="007B7956">
        <w:rPr>
          <w:rFonts w:ascii="Times New Roman" w:hAnsi="Times New Roman" w:cs="Times New Roman"/>
          <w:color w:val="000000"/>
          <w:spacing w:val="-2"/>
        </w:rPr>
        <w:t>информация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за 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в</w:t>
      </w:r>
      <w:r w:rsidRPr="007B7956">
        <w:rPr>
          <w:rFonts w:ascii="Times New Roman" w:hAnsi="Times New Roman" w:cs="Times New Roman"/>
          <w:color w:val="000000"/>
          <w:spacing w:val="-4"/>
        </w:rPr>
        <w:t>сяко производства поотделно.</w:t>
      </w:r>
    </w:p>
    <w:p w:rsidR="009A1D0E" w:rsidRDefault="009A1D0E" w:rsidP="009A1D0E">
      <w:pPr>
        <w:jc w:val="both"/>
        <w:rPr>
          <w:rFonts w:ascii="Times New Roman" w:hAnsi="Times New Roman" w:cs="Times New Roman"/>
          <w:i/>
        </w:rPr>
      </w:pPr>
    </w:p>
    <w:p w:rsidR="008475F2" w:rsidRPr="0025547B" w:rsidRDefault="008475F2" w:rsidP="009A1D0E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both"/>
        <w:rPr>
          <w:rFonts w:ascii="Times New Roman" w:hAnsi="Times New Roman" w:cs="Times New Roman"/>
          <w:i/>
          <w:lang w:val="ru-RU"/>
        </w:rPr>
      </w:pPr>
    </w:p>
    <w:p w:rsidR="009A1D0E" w:rsidRPr="0025547B" w:rsidRDefault="009A1D0E" w:rsidP="009A1D0E">
      <w:pPr>
        <w:pStyle w:val="PlainText"/>
        <w:jc w:val="both"/>
        <w:rPr>
          <w:rFonts w:ascii="Times New Roman" w:hAnsi="Times New Roman"/>
          <w:b/>
          <w:i/>
          <w:lang w:val="bg-BG"/>
        </w:rPr>
      </w:pPr>
      <w:r w:rsidRPr="0025547B">
        <w:rPr>
          <w:rFonts w:ascii="Times New Roman" w:hAnsi="Times New Roman"/>
          <w:b/>
          <w:i/>
          <w:lang w:val="bg-BG"/>
        </w:rPr>
        <w:t>Процедури на Европейската комисия</w:t>
      </w:r>
    </w:p>
    <w:p w:rsidR="009A1D0E" w:rsidRDefault="009A1D0E" w:rsidP="009A1D0E">
      <w:pPr>
        <w:pStyle w:val="PlainText"/>
        <w:jc w:val="both"/>
        <w:rPr>
          <w:rFonts w:ascii="Times New Roman" w:hAnsi="Times New Roman"/>
          <w:b/>
          <w:i/>
          <w:lang w:val="bg-BG"/>
        </w:rPr>
      </w:pP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Дело COMP/B1/АТ.39849 – BEH gas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 xml:space="preserve">Делото има за предмет евентуално нарушение на член 102 от ДФЕС във връзка с твърдени действия на </w:t>
      </w:r>
      <w:r w:rsidRPr="00C724DF">
        <w:rPr>
          <w:rFonts w:ascii="Times New Roman" w:hAnsi="Times New Roman" w:cs="Times New Roman"/>
          <w:bCs/>
          <w:sz w:val="20"/>
          <w:szCs w:val="20"/>
        </w:rPr>
        <w:t>„Български енергиен холдинг“ ЕАД</w:t>
      </w:r>
      <w:r w:rsidRPr="00C724DF">
        <w:rPr>
          <w:rFonts w:ascii="Times New Roman" w:hAnsi="Times New Roman" w:cs="Times New Roman"/>
          <w:sz w:val="20"/>
          <w:szCs w:val="20"/>
        </w:rPr>
        <w:t xml:space="preserve"> и дъщерните му дружества – „Булгаргаз” ЕАД и „Булгартрансгаз” ЕАД насочени към: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- възпрепятстване на техни конкуренти да получат достъп до ключова газова инфраструктура (газопреносна мрежа и до съоръжението за съхранение на природен газ) в България, като изрично или мълчаливо отказване на достъп на трети страни или забавяне;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- възпрепятстване на конкурентите да получат достъп до главен газопровод за внос чрез резервиране на капацитет, който остава неизползван.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Производството е образувано през 2013 г. с оглед приемането на решение по глава 3 (членове 7 – 10) от Регламент 1/2003.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На 23 март 2015 г. ЕК издаде Изложение на възраженията (Statement of Objections). „Български Енергиен Холдинг” ЕАД и газовите му дъщерни дружества представиха съответните си отговори на ЕК на 9 юли 2015 г. („Булгаргаз” ЕАД), 10 юли 2015 г. („Български Енергиен Холдинг” ЕАД) и 17 юли 2015 г. („Булгартрансгаз” ЕАД).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На 24 ноември 2017 г. e прието решение от 44-тото Народно събрание (НС) на Република България за предприемане необходимите действия за приключване на Дело COMP/B1/AT.39849 – БЕХ Газ, с което НС подкрепя приключването на делото по реда на чл. 7 от Регламент (ЕО) № 1/2003 без признаване на твърдените нарушения и без поемане на отговорност за тях, като бъдат изпълнени задълженията, произтичащи от евентуално забранително решение, включително относно евентуална финансова санкция.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На 26 юли 2018 г. е прието решение от 44-тото Народно събрание (НС) на Република България за предприемане на действия за приключване на Дело COMP/B1/AT.39849 – БЕХ Газ по реда на чл. 9 от Регламент (ЕО) №1/2003 чрез поемане на ангажименти от страна от българска страна и постигане на споразумение с Европейската комисия. Второто решение на НС е мотивирано от развитието на дело COMP/B1/AT.39816 между ЕК и Газпром, по което на 24 май 2018 г. Комисията обяви, че е постигнато споразумение и същото е приключено по реда на чл. 9 от Регламент (ЕО) №1/2003 без финансова санкция.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На 17.12.2018 г. Европейската комисия извести за прието Решение С(2018)8806 по Дело АТ.39849 БЕХ-газ, с което Европейската комисия наложи глоба на „Български енергиен холдинг“ ЕАД (БЕХ), неговото дъщерно дружество за доставка на газ „Булгаргаз“ ЕАД и неговото дъщерно дружество за газова инфраструктура „Булгартрансгаз“ ЕАД („групата БЕХ“) в размер на 77,068,000 евро за блокиране на достъпа на конкуренти до ключова газова инфраструктура в България в нарушение на антитръстовите правила на ЕС. Решението е получено в деловодствата на трите дружества на 19.12.2018 г., което определя началото на срока за обжалване на Решението на ЕК (два месеца и десет дни от нотификация на Решението до Страните) и за плащане на глобата (три месеца от нотификацията на Решението до Страните), определена в същото. Обжалването на решението не забавя плащането на глобата.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На 28 февруари 2019 г., „Български Енергиен Холдинг“ ЕАД и дъщерните му дружества „Булгаргаз“ ЕАД и „Булгартрансгаз“ ЕАД, подадоха жалба срещу Решението на Европейската комисия от 17.12.2018 г. относно производство по член 102 от Договора за функциониране на Европейския съюз по Дело AT.39849 БЕХ-газ пред Общия съд на Европейския съюз.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bCs/>
          <w:sz w:val="20"/>
          <w:szCs w:val="20"/>
        </w:rPr>
        <w:t>„Български енергиен холдинг“ ЕАД</w:t>
      </w:r>
      <w:r w:rsidRPr="00C724DF">
        <w:rPr>
          <w:rFonts w:ascii="Times New Roman" w:hAnsi="Times New Roman" w:cs="Times New Roman"/>
          <w:sz w:val="20"/>
          <w:szCs w:val="20"/>
        </w:rPr>
        <w:t xml:space="preserve"> и дъщерните му дружества не приемат заключението на Европейската комисия, че са злоупотребили с господстващо положение на българския газов пазар. Жалбата цели отмяна на Решението на Европейската комисия и на наложената глоба.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На 18 март 2019 г. ING Bank NV издава две необезпечени банкови гаранции в полза на ЕК за обща сума, равна на размера на глобата от 77,068,000 евро, както следва: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lastRenderedPageBreak/>
        <w:t>- банкова гаранция в размер на 51,379 хил. евро, покриваща 2/3 от общата сума на глобата, осигуряваща задълженията на „Български Енергиен Холдинг” ЕАД и „Булгаргаз” ЕАД;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- банкова гаранция в размер на 25,689 хил. евро, обезпечаваща задължението на „Булгартрансгаз” ЕАД за наложеното наказание.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  <w:r w:rsidRPr="00C724DF">
        <w:rPr>
          <w:rFonts w:ascii="Times New Roman" w:hAnsi="Times New Roman" w:cs="Times New Roman"/>
          <w:sz w:val="20"/>
          <w:szCs w:val="20"/>
        </w:rPr>
        <w:t>На 4 юли 2019 г. Българската Държава, чрез Министерство на външните работи, подаде молба за встъпване в делото</w:t>
      </w:r>
      <w:r w:rsidR="00E36289">
        <w:rPr>
          <w:rFonts w:ascii="Times New Roman" w:hAnsi="Times New Roman" w:cs="Times New Roman"/>
          <w:sz w:val="20"/>
          <w:szCs w:val="20"/>
        </w:rPr>
        <w:t>.</w:t>
      </w:r>
    </w:p>
    <w:p w:rsidR="00C724DF" w:rsidRPr="00C724DF" w:rsidRDefault="00C724DF" w:rsidP="00C724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4DF" w:rsidRPr="00C724DF" w:rsidRDefault="00C724DF" w:rsidP="00C724DF">
      <w:pPr>
        <w:pStyle w:val="PlainText"/>
        <w:jc w:val="both"/>
        <w:rPr>
          <w:rFonts w:ascii="Times New Roman" w:hAnsi="Times New Roman"/>
          <w:b/>
          <w:i/>
          <w:lang w:val="bg-BG"/>
        </w:rPr>
      </w:pPr>
      <w:r w:rsidRPr="00C724DF">
        <w:rPr>
          <w:rFonts w:ascii="Times New Roman" w:hAnsi="Times New Roman"/>
          <w:lang w:val="bg-BG"/>
        </w:rPr>
        <w:t>Към настоящия момент се очаква, в срок до 26 август 2019 г., Европейската комисия да представи своята защита в отговор на подадената жалба пред Общия съд на ЕС.</w:t>
      </w:r>
    </w:p>
    <w:p w:rsidR="00B35F4C" w:rsidRPr="00C724DF" w:rsidRDefault="00B35F4C" w:rsidP="009A1D0E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4025F" w:rsidRPr="007B7956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3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8"/>
        </w:rPr>
      </w:pPr>
      <w:r w:rsidRPr="007B7956">
        <w:rPr>
          <w:rFonts w:ascii="Times New Roman" w:hAnsi="Times New Roman" w:cs="Times New Roman"/>
          <w:color w:val="000000"/>
          <w:spacing w:val="8"/>
        </w:rPr>
        <w:t xml:space="preserve">Информация за </w:t>
      </w:r>
      <w:r w:rsidR="000D0340" w:rsidRPr="007B7956">
        <w:rPr>
          <w:rFonts w:ascii="Times New Roman" w:hAnsi="Times New Roman" w:cs="Times New Roman"/>
          <w:color w:val="000000"/>
          <w:spacing w:val="8"/>
        </w:rPr>
        <w:t>о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тпуснатите </w:t>
      </w:r>
      <w:r w:rsidR="007B7956" w:rsidRPr="007B7956">
        <w:rPr>
          <w:rFonts w:ascii="Times New Roman" w:hAnsi="Times New Roman" w:cs="Times New Roman"/>
          <w:color w:val="000000"/>
          <w:spacing w:val="8"/>
        </w:rPr>
        <w:t>от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 емитента или негов</w:t>
      </w:r>
      <w:r w:rsidR="007B7956">
        <w:rPr>
          <w:rFonts w:ascii="Times New Roman" w:hAnsi="Times New Roman" w:cs="Times New Roman"/>
          <w:color w:val="000000"/>
          <w:spacing w:val="8"/>
        </w:rPr>
        <w:t>о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 дъщерно дружеств</w:t>
      </w:r>
      <w:r w:rsidR="000D0340" w:rsidRPr="007B7956">
        <w:rPr>
          <w:rFonts w:ascii="Times New Roman" w:hAnsi="Times New Roman" w:cs="Times New Roman"/>
          <w:color w:val="000000"/>
          <w:spacing w:val="8"/>
        </w:rPr>
        <w:t>о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 заеми, </w:t>
      </w:r>
      <w:r w:rsidRPr="007B7956">
        <w:rPr>
          <w:rFonts w:ascii="Times New Roman" w:hAnsi="Times New Roman" w:cs="Times New Roman"/>
          <w:color w:val="000000"/>
        </w:rPr>
        <w:t>пред</w:t>
      </w:r>
      <w:r w:rsidR="000D0340" w:rsidRPr="007B7956">
        <w:rPr>
          <w:rFonts w:ascii="Times New Roman" w:hAnsi="Times New Roman" w:cs="Times New Roman"/>
          <w:color w:val="000000"/>
        </w:rPr>
        <w:t>о</w:t>
      </w:r>
      <w:r w:rsidRPr="007B7956">
        <w:rPr>
          <w:rFonts w:ascii="Times New Roman" w:hAnsi="Times New Roman" w:cs="Times New Roman"/>
          <w:color w:val="000000"/>
        </w:rPr>
        <w:t>ставяне на гаранции или поемане на задължения общо към едно лице или не</w:t>
      </w:r>
      <w:r w:rsidR="000D0340" w:rsidRPr="007B7956">
        <w:rPr>
          <w:rFonts w:ascii="Times New Roman" w:hAnsi="Times New Roman" w:cs="Times New Roman"/>
          <w:color w:val="000000"/>
        </w:rPr>
        <w:t>го</w:t>
      </w:r>
      <w:r w:rsidRPr="007B7956">
        <w:rPr>
          <w:rFonts w:ascii="Times New Roman" w:hAnsi="Times New Roman" w:cs="Times New Roman"/>
          <w:color w:val="000000"/>
        </w:rPr>
        <w:t xml:space="preserve">во </w:t>
      </w:r>
      <w:r w:rsidRPr="007B7956">
        <w:rPr>
          <w:rFonts w:ascii="Times New Roman" w:hAnsi="Times New Roman" w:cs="Times New Roman"/>
          <w:color w:val="000000"/>
          <w:spacing w:val="4"/>
        </w:rPr>
        <w:t xml:space="preserve">дъщерно дружества, в това число и на свързани лица </w:t>
      </w:r>
      <w:r w:rsidR="000D0340" w:rsidRPr="007B7956">
        <w:rPr>
          <w:rFonts w:ascii="Times New Roman" w:hAnsi="Times New Roman" w:cs="Times New Roman"/>
          <w:color w:val="000000"/>
          <w:spacing w:val="4"/>
        </w:rPr>
        <w:t>и</w:t>
      </w:r>
      <w:r w:rsidRPr="007B7956">
        <w:rPr>
          <w:rFonts w:ascii="Times New Roman" w:hAnsi="Times New Roman" w:cs="Times New Roman"/>
          <w:color w:val="000000"/>
          <w:spacing w:val="4"/>
        </w:rPr>
        <w:t xml:space="preserve"> посочване на характера на </w:t>
      </w:r>
      <w:r w:rsidRPr="007B7956">
        <w:rPr>
          <w:rFonts w:ascii="Times New Roman" w:hAnsi="Times New Roman" w:cs="Times New Roman"/>
          <w:color w:val="000000"/>
          <w:spacing w:val="-5"/>
        </w:rPr>
        <w:t>взаимоотношенията между емитента и лицето, размера на неизплатената г</w:t>
      </w:r>
      <w:r w:rsidR="000D0340" w:rsidRPr="007B7956">
        <w:rPr>
          <w:rFonts w:ascii="Times New Roman" w:hAnsi="Times New Roman" w:cs="Times New Roman"/>
          <w:color w:val="000000"/>
          <w:spacing w:val="-5"/>
        </w:rPr>
        <w:t>л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авница, лихвен </w:t>
      </w:r>
      <w:r w:rsidRPr="007B7956">
        <w:rPr>
          <w:rFonts w:ascii="Times New Roman" w:hAnsi="Times New Roman" w:cs="Times New Roman"/>
          <w:color w:val="000000"/>
          <w:spacing w:val="-2"/>
        </w:rPr>
        <w:t>процент, краен срок на п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>гасяване, размер на поетото задължен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и</w:t>
      </w:r>
      <w:r w:rsidRPr="007B7956">
        <w:rPr>
          <w:rFonts w:ascii="Times New Roman" w:hAnsi="Times New Roman" w:cs="Times New Roman"/>
          <w:color w:val="000000"/>
          <w:spacing w:val="-2"/>
        </w:rPr>
        <w:t>е, условия и ср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>к.</w:t>
      </w:r>
    </w:p>
    <w:p w:rsidR="007B7956" w:rsidRDefault="007B7956" w:rsidP="007B7956">
      <w:pPr>
        <w:tabs>
          <w:tab w:val="decimal" w:pos="432"/>
          <w:tab w:val="decimal" w:pos="792"/>
        </w:tabs>
        <w:spacing w:before="288" w:line="273" w:lineRule="auto"/>
        <w:ind w:right="144"/>
        <w:jc w:val="both"/>
        <w:rPr>
          <w:rFonts w:ascii="Times New Roman" w:hAnsi="Times New Roman" w:cs="Times New Roman"/>
          <w:i/>
        </w:rPr>
      </w:pPr>
      <w:r w:rsidRPr="00062C2D">
        <w:rPr>
          <w:rFonts w:ascii="Times New Roman" w:hAnsi="Times New Roman" w:cs="Times New Roman"/>
          <w:i/>
        </w:rPr>
        <w:t>Дружеството не е отпускало заеми, не е предоставяло гаранции или поемало задължения към едно лице или негово дъщерно дружества, в това число и на свързани лица.</w:t>
      </w:r>
    </w:p>
    <w:p w:rsidR="00B35F4C" w:rsidRPr="00B35F4C" w:rsidRDefault="00B35F4C" w:rsidP="007B7956">
      <w:pPr>
        <w:tabs>
          <w:tab w:val="decimal" w:pos="432"/>
          <w:tab w:val="decimal" w:pos="792"/>
        </w:tabs>
        <w:spacing w:before="288" w:line="273" w:lineRule="auto"/>
        <w:ind w:right="144"/>
        <w:jc w:val="both"/>
        <w:rPr>
          <w:rFonts w:ascii="Times New Roman" w:hAnsi="Times New Roman" w:cs="Times New Roman"/>
          <w:i/>
          <w:sz w:val="2"/>
          <w:szCs w:val="2"/>
        </w:rPr>
      </w:pPr>
    </w:p>
    <w:p w:rsidR="00B35F4C" w:rsidRPr="00E96B47" w:rsidRDefault="00B35F4C" w:rsidP="00B35F4C">
      <w:pPr>
        <w:pBdr>
          <w:top w:val="single" w:sz="5" w:space="0" w:color="000000"/>
        </w:pBd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</w:p>
    <w:p w:rsidR="00B35F4C" w:rsidRDefault="00B35F4C" w:rsidP="00B35F4C">
      <w:pPr>
        <w:pBdr>
          <w:top w:val="single" w:sz="5" w:space="0" w:color="000000"/>
        </w:pBd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</w:p>
    <w:p w:rsidR="00B35F4C" w:rsidRDefault="00B35F4C" w:rsidP="00B35F4C">
      <w:pPr>
        <w:pBdr>
          <w:top w:val="single" w:sz="5" w:space="0" w:color="000000"/>
        </w:pBd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</w:p>
    <w:p w:rsidR="00E96B47" w:rsidRPr="00E96B47" w:rsidRDefault="005D0005" w:rsidP="00B35F4C">
      <w:pPr>
        <w:pBdr>
          <w:top w:val="single" w:sz="5" w:space="0" w:color="000000"/>
        </w:pBd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  <w:r>
        <w:rPr>
          <w:rFonts w:ascii="Times New Roman" w:hAnsi="Times New Roman" w:cs="Times New Roman"/>
          <w:b/>
          <w:color w:val="000000"/>
          <w:spacing w:val="-9"/>
          <w:w w:val="105"/>
        </w:rPr>
        <w:t>За „БУЛГАРГАЗ“ ЕАД</w:t>
      </w:r>
      <w:r w:rsidR="00BE6C6F">
        <w:rPr>
          <w:rFonts w:ascii="Times New Roman" w:hAnsi="Times New Roman" w:cs="Times New Roman"/>
          <w:b/>
          <w:color w:val="000000"/>
          <w:spacing w:val="-9"/>
          <w:w w:val="105"/>
        </w:rPr>
        <w:t xml:space="preserve"> </w:t>
      </w:r>
    </w:p>
    <w:p w:rsidR="00E96B47" w:rsidRDefault="00E96B47" w:rsidP="00B35F4C">
      <w:pPr>
        <w:pBdr>
          <w:top w:val="single" w:sz="5" w:space="0" w:color="000000"/>
        </w:pBd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</w:p>
    <w:p w:rsidR="00BE6C6F" w:rsidRPr="00BE6C6F" w:rsidRDefault="00BE6C6F" w:rsidP="00B35F4C">
      <w:pPr>
        <w:pBdr>
          <w:top w:val="single" w:sz="5" w:space="0" w:color="000000"/>
        </w:pBd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  <w:r w:rsidRPr="00BE6C6F">
        <w:rPr>
          <w:rFonts w:ascii="Times New Roman" w:hAnsi="Times New Roman" w:cs="Times New Roman"/>
          <w:b/>
          <w:color w:val="000000"/>
          <w:spacing w:val="-9"/>
          <w:w w:val="105"/>
        </w:rPr>
        <w:t>НИКОЛАЙ ПАВЛОВ</w:t>
      </w:r>
    </w:p>
    <w:p w:rsidR="00BE6C6F" w:rsidRPr="00BE6C6F" w:rsidRDefault="00BE6C6F" w:rsidP="00B35F4C">
      <w:pPr>
        <w:pBdr>
          <w:top w:val="single" w:sz="5" w:space="0" w:color="000000"/>
        </w:pBd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  <w:r w:rsidRPr="00BE6C6F">
        <w:rPr>
          <w:rFonts w:ascii="Times New Roman" w:hAnsi="Times New Roman" w:cs="Times New Roman"/>
          <w:b/>
          <w:color w:val="000000"/>
          <w:spacing w:val="-9"/>
          <w:w w:val="105"/>
        </w:rPr>
        <w:t>Изпълнителен директор</w:t>
      </w:r>
    </w:p>
    <w:p w:rsidR="000B7A9D" w:rsidRPr="007C2232" w:rsidRDefault="00C33608">
      <w:pPr>
        <w:rPr>
          <w:rFonts w:ascii="Times New Roman" w:hAnsi="Times New Roman" w:cs="Times New Roman"/>
        </w:rPr>
      </w:pPr>
      <w:r w:rsidRPr="00C33608">
        <w:rPr>
          <w:rFonts w:ascii="Times New Roman" w:hAnsi="Times New Roman" w:cs="Times New Roman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70.85pt;margin-top:812.55pt;width:176.25pt;height:6.4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" filled="f" stroked="f">
            <v:textbox inset="0,0,0,0">
              <w:txbxContent>
                <w:p w:rsidR="00166E62" w:rsidRDefault="00166E62" w:rsidP="00166E62">
                  <w:pPr>
                    <w:tabs>
                      <w:tab w:val="right" w:pos="2945"/>
                    </w:tabs>
                    <w:spacing w:line="192" w:lineRule="auto"/>
                    <w:rPr>
                      <w:rFonts w:ascii="Verdana" w:hAnsi="Verdana"/>
                      <w:color w:val="000000"/>
                      <w:spacing w:val="-12"/>
                      <w:sz w:val="13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166E62" w:rsidRPr="007C2232">
        <w:rPr>
          <w:rFonts w:ascii="Times New Roman" w:hAnsi="Times New Roman" w:cs="Times New Roman"/>
          <w:color w:val="000000"/>
          <w:w w:val="105"/>
        </w:rPr>
        <w:t xml:space="preserve">                     </w:t>
      </w:r>
    </w:p>
    <w:sectPr w:rsidR="000B7A9D" w:rsidRPr="007C2232" w:rsidSect="00986075">
      <w:headerReference w:type="default" r:id="rId8"/>
      <w:headerReference w:type="first" r:id="rId9"/>
      <w:pgSz w:w="11918" w:h="16854"/>
      <w:pgMar w:top="2077" w:right="1308" w:bottom="365" w:left="1370" w:header="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010" w:rsidRDefault="002E1010" w:rsidP="00207A4F">
      <w:r>
        <w:separator/>
      </w:r>
    </w:p>
  </w:endnote>
  <w:endnote w:type="continuationSeparator" w:id="0">
    <w:p w:rsidR="002E1010" w:rsidRDefault="002E1010" w:rsidP="00207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CC"/>
    <w:pitch w:val="variable"/>
    <w:family w:val="swiss"/>
    <w:panose1 w:val="02020603050405020304"/>
  </w:font>
  <w:font w:name="Courier New">
    <w:charset w:val="CC"/>
    <w:pitch w:val="fixed"/>
    <w:family w:val="auto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010" w:rsidRDefault="002E1010" w:rsidP="00207A4F">
      <w:r>
        <w:separator/>
      </w:r>
    </w:p>
  </w:footnote>
  <w:footnote w:type="continuationSeparator" w:id="0">
    <w:p w:rsidR="002E1010" w:rsidRDefault="002E1010" w:rsidP="00207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75" w:rsidRDefault="00986075" w:rsidP="00986075">
    <w:pPr>
      <w:pStyle w:val="Header"/>
      <w:jc w:val="center"/>
      <w:rPr>
        <w:lang w:val="en-US"/>
      </w:rPr>
    </w:pPr>
  </w:p>
  <w:p w:rsidR="00986075" w:rsidRDefault="00986075" w:rsidP="00986075">
    <w:pPr>
      <w:pStyle w:val="Header"/>
      <w:jc w:val="center"/>
      <w:rPr>
        <w:rFonts w:ascii="Times New Roman" w:hAnsi="Times New Roman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2940711" cy="406400"/>
          <wp:effectExtent l="0" t="0" r="0" b="0"/>
          <wp:docPr id="20" name="Picture 20" descr="BGG 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G Cy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040" cy="408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>______________________________________________________</w:t>
    </w:r>
    <w:r>
      <w:rPr>
        <w:lang w:val="en-US"/>
      </w:rPr>
      <w:br/>
    </w:r>
    <w:r w:rsidRPr="00986075">
      <w:rPr>
        <w:rFonts w:ascii="Times New Roman" w:hAnsi="Times New Roman"/>
        <w:sz w:val="18"/>
        <w:szCs w:val="18"/>
      </w:rPr>
      <w:t>София 1</w:t>
    </w:r>
    <w:r w:rsidRPr="00986075">
      <w:rPr>
        <w:rFonts w:ascii="Times New Roman" w:hAnsi="Times New Roman"/>
        <w:sz w:val="18"/>
        <w:szCs w:val="18"/>
        <w:lang w:val="en-US"/>
      </w:rPr>
      <w:t>000</w:t>
    </w:r>
    <w:r w:rsidRPr="00986075">
      <w:rPr>
        <w:rFonts w:ascii="Times New Roman" w:hAnsi="Times New Roman"/>
        <w:sz w:val="18"/>
        <w:szCs w:val="18"/>
      </w:rPr>
      <w:t xml:space="preserve">, ул. </w:t>
    </w:r>
    <w:r w:rsidRPr="00986075">
      <w:rPr>
        <w:rFonts w:ascii="Times New Roman" w:hAnsi="Times New Roman"/>
        <w:sz w:val="18"/>
        <w:szCs w:val="18"/>
        <w:lang w:val="en-US"/>
      </w:rPr>
      <w:t>“</w:t>
    </w:r>
    <w:r w:rsidRPr="00986075">
      <w:rPr>
        <w:rFonts w:ascii="Times New Roman" w:hAnsi="Times New Roman"/>
        <w:sz w:val="18"/>
        <w:szCs w:val="18"/>
      </w:rPr>
      <w:t>Петър Парчевич</w:t>
    </w:r>
    <w:r w:rsidRPr="00986075">
      <w:rPr>
        <w:rFonts w:ascii="Times New Roman" w:hAnsi="Times New Roman"/>
        <w:sz w:val="18"/>
        <w:szCs w:val="18"/>
        <w:lang w:val="en-US"/>
      </w:rPr>
      <w:t>”</w:t>
    </w:r>
    <w:r w:rsidRPr="00986075">
      <w:rPr>
        <w:rFonts w:ascii="Times New Roman" w:hAnsi="Times New Roman"/>
        <w:sz w:val="18"/>
        <w:szCs w:val="18"/>
      </w:rPr>
      <w:t xml:space="preserve"> № 47</w:t>
    </w:r>
    <w:r w:rsidRPr="00986075">
      <w:rPr>
        <w:rFonts w:ascii="Times New Roman" w:hAnsi="Times New Roman"/>
        <w:sz w:val="18"/>
        <w:szCs w:val="18"/>
        <w:lang w:val="en-US"/>
      </w:rPr>
      <w:t xml:space="preserve">, </w:t>
    </w:r>
    <w:r w:rsidRPr="00986075">
      <w:rPr>
        <w:rFonts w:ascii="Times New Roman" w:hAnsi="Times New Roman"/>
        <w:sz w:val="18"/>
        <w:szCs w:val="18"/>
      </w:rPr>
      <w:t xml:space="preserve">ЕИК </w:t>
    </w:r>
    <w:r w:rsidRPr="00986075">
      <w:rPr>
        <w:rFonts w:ascii="Times New Roman" w:hAnsi="Times New Roman"/>
        <w:sz w:val="18"/>
        <w:szCs w:val="18"/>
        <w:lang w:val="en-US"/>
      </w:rPr>
      <w:t>175203485</w:t>
    </w:r>
    <w:r w:rsidRPr="00986075">
      <w:rPr>
        <w:rFonts w:ascii="Times New Roman" w:hAnsi="Times New Roman"/>
        <w:lang w:val="en-US"/>
      </w:rPr>
      <w:br/>
    </w:r>
    <w:r w:rsidRPr="00986075">
      <w:rPr>
        <w:rFonts w:ascii="Times New Roman" w:hAnsi="Times New Roman"/>
        <w:sz w:val="18"/>
        <w:szCs w:val="18"/>
      </w:rPr>
      <w:t xml:space="preserve">тел: 02 935 89 44, факс: 02 925 03 94, </w:t>
    </w:r>
    <w:hyperlink r:id="rId2" w:history="1">
      <w:r w:rsidR="00B35F4C" w:rsidRPr="0031796F">
        <w:rPr>
          <w:rStyle w:val="Hyperlink"/>
          <w:rFonts w:ascii="Times New Roman" w:hAnsi="Times New Roman"/>
          <w:sz w:val="18"/>
          <w:szCs w:val="18"/>
        </w:rPr>
        <w:t>www.bulgargaz.bg</w:t>
      </w:r>
    </w:hyperlink>
  </w:p>
  <w:p w:rsidR="00B35F4C" w:rsidRPr="00986075" w:rsidRDefault="00B35F4C" w:rsidP="00986075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4F" w:rsidRDefault="00207A4F" w:rsidP="00207A4F">
    <w:pPr>
      <w:pStyle w:val="Header"/>
      <w:jc w:val="center"/>
    </w:pPr>
    <w:r w:rsidRPr="004F2FDE">
      <w:rPr>
        <w:noProof/>
        <w:sz w:val="18"/>
        <w:szCs w:val="18"/>
      </w:rPr>
      <w:drawing>
        <wp:inline distT="0" distB="0" distL="0" distR="0">
          <wp:extent cx="2230755" cy="408940"/>
          <wp:effectExtent l="0" t="0" r="0" b="0"/>
          <wp:docPr id="21" name="Picture 21" descr="BGG 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G Cy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75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68EA"/>
    <w:multiLevelType w:val="multilevel"/>
    <w:tmpl w:val="44525A5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0"/>
        <w:sz w:val="20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BC640A"/>
    <w:multiLevelType w:val="hybridMultilevel"/>
    <w:tmpl w:val="52B2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4025F"/>
    <w:rsid w:val="00062C2D"/>
    <w:rsid w:val="00072161"/>
    <w:rsid w:val="000B7A9D"/>
    <w:rsid w:val="000D0340"/>
    <w:rsid w:val="0010587F"/>
    <w:rsid w:val="00166E62"/>
    <w:rsid w:val="001A10AF"/>
    <w:rsid w:val="001B44D4"/>
    <w:rsid w:val="00207A4F"/>
    <w:rsid w:val="00223850"/>
    <w:rsid w:val="002242EA"/>
    <w:rsid w:val="00236100"/>
    <w:rsid w:val="00272B09"/>
    <w:rsid w:val="002A66EB"/>
    <w:rsid w:val="002E1010"/>
    <w:rsid w:val="003C0159"/>
    <w:rsid w:val="004B109A"/>
    <w:rsid w:val="004B356C"/>
    <w:rsid w:val="004C7A26"/>
    <w:rsid w:val="005B42CA"/>
    <w:rsid w:val="005D0005"/>
    <w:rsid w:val="005D2B93"/>
    <w:rsid w:val="006201D8"/>
    <w:rsid w:val="0064353D"/>
    <w:rsid w:val="006809FF"/>
    <w:rsid w:val="006C19C3"/>
    <w:rsid w:val="006C6CA4"/>
    <w:rsid w:val="006F3812"/>
    <w:rsid w:val="00740F4E"/>
    <w:rsid w:val="007679A4"/>
    <w:rsid w:val="007822DF"/>
    <w:rsid w:val="007B7956"/>
    <w:rsid w:val="007C2232"/>
    <w:rsid w:val="007E466F"/>
    <w:rsid w:val="0084025F"/>
    <w:rsid w:val="00845591"/>
    <w:rsid w:val="008475F2"/>
    <w:rsid w:val="00940E38"/>
    <w:rsid w:val="00986075"/>
    <w:rsid w:val="009A1D0E"/>
    <w:rsid w:val="00A44477"/>
    <w:rsid w:val="00AB6476"/>
    <w:rsid w:val="00AC7D6C"/>
    <w:rsid w:val="00B35F4C"/>
    <w:rsid w:val="00BC2769"/>
    <w:rsid w:val="00BE6C6F"/>
    <w:rsid w:val="00C02AB4"/>
    <w:rsid w:val="00C33608"/>
    <w:rsid w:val="00C62EEA"/>
    <w:rsid w:val="00C6682E"/>
    <w:rsid w:val="00C724DF"/>
    <w:rsid w:val="00D6129A"/>
    <w:rsid w:val="00DE083E"/>
    <w:rsid w:val="00DE7727"/>
    <w:rsid w:val="00E069BD"/>
    <w:rsid w:val="00E22D41"/>
    <w:rsid w:val="00E36289"/>
    <w:rsid w:val="00E66869"/>
    <w:rsid w:val="00E819F0"/>
    <w:rsid w:val="00E96B47"/>
    <w:rsid w:val="00EB53CC"/>
    <w:rsid w:val="00F1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08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E62"/>
    <w:pPr>
      <w:tabs>
        <w:tab w:val="center" w:pos="4536"/>
        <w:tab w:val="right" w:pos="9072"/>
      </w:tabs>
      <w:spacing w:after="160" w:line="259" w:lineRule="auto"/>
    </w:pPr>
    <w:rPr>
      <w:rFonts w:eastAsiaTheme="minorEastAsia" w:cs="Times New Roman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166E62"/>
    <w:rPr>
      <w:rFonts w:eastAsiaTheme="minorEastAsia" w:cs="Times New Roman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07A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A4F"/>
  </w:style>
  <w:style w:type="paragraph" w:styleId="ListParagraph">
    <w:name w:val="List Paragraph"/>
    <w:basedOn w:val="Normal"/>
    <w:uiPriority w:val="34"/>
    <w:qFormat/>
    <w:rsid w:val="004C7A2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9A1D0E"/>
    <w:pPr>
      <w:suppressAutoHyphens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A1D0E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6F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B35F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lgargaz.bg" TargetMode="External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2FCB-C492-45A9-841E-35ACC827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 Yanchev</dc:creator>
  <cp:lastModifiedBy>mariya</cp:lastModifiedBy>
  <cp:revision>2</cp:revision>
  <cp:lastPrinted>2017-07-31T06:26:00Z</cp:lastPrinted>
  <dcterms:created xsi:type="dcterms:W3CDTF">2019-08-01T10:25:00Z</dcterms:created>
  <dcterms:modified xsi:type="dcterms:W3CDTF">2019-08-01T10:25:00Z</dcterms:modified>
</cp:coreProperties>
</file>