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0.xml" ContentType="application/vnd.openxmlformats-officedocument.wordprocessingml.fontTa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5F" w:rsidRPr="006809FF" w:rsidRDefault="000B7A9D" w:rsidP="00B35F4C">
      <w:pPr>
        <w:pBdr>
          <w:top w:val="single" w:sz="5" w:space="24" w:color="000000"/>
        </w:pBdr>
        <w:spacing w:before="8" w:line="278" w:lineRule="auto"/>
        <w:jc w:val="center"/>
        <w:rPr>
          <w:rFonts w:ascii="Times New Roman" w:hAnsi="Times New Roman" w:cs="Times New Roman"/>
          <w:b/>
          <w:color w:val="000000"/>
          <w:spacing w:val="-9"/>
          <w:w w:val="105"/>
        </w:rPr>
      </w:pPr>
      <w:r w:rsidRPr="005D2B93">
        <w:rPr>
          <w:rFonts w:ascii="Times New Roman" w:hAnsi="Times New Roman" w:cs="Times New Roman"/>
          <w:b/>
          <w:color w:val="000000"/>
          <w:spacing w:val="-9"/>
          <w:w w:val="105"/>
          <w:sz w:val="32"/>
          <w:szCs w:val="32"/>
        </w:rPr>
        <w:t>Допълнителна информа</w:t>
      </w:r>
      <w:r w:rsidR="004B109A" w:rsidRPr="005D2B93">
        <w:rPr>
          <w:rFonts w:ascii="Times New Roman" w:hAnsi="Times New Roman" w:cs="Times New Roman"/>
          <w:b/>
          <w:color w:val="000000"/>
          <w:spacing w:val="-9"/>
          <w:w w:val="105"/>
          <w:sz w:val="32"/>
          <w:szCs w:val="32"/>
        </w:rPr>
        <w:t>ц</w:t>
      </w:r>
      <w:r w:rsidRPr="005D2B93">
        <w:rPr>
          <w:rFonts w:ascii="Times New Roman" w:hAnsi="Times New Roman" w:cs="Times New Roman"/>
          <w:b/>
          <w:color w:val="000000"/>
          <w:spacing w:val="-9"/>
          <w:w w:val="105"/>
          <w:sz w:val="32"/>
          <w:szCs w:val="32"/>
        </w:rPr>
        <w:t>ия</w:t>
      </w:r>
      <w:r w:rsidR="005D2B93" w:rsidRPr="005D2B93">
        <w:rPr>
          <w:rFonts w:ascii="Times New Roman" w:hAnsi="Times New Roman" w:cs="Times New Roman"/>
          <w:b/>
          <w:color w:val="000000"/>
          <w:spacing w:val="-9"/>
          <w:w w:val="105"/>
          <w:sz w:val="32"/>
          <w:szCs w:val="32"/>
          <w:lang w:val="en-US"/>
        </w:rPr>
        <w:t xml:space="preserve"> </w:t>
      </w:r>
      <w:r w:rsidRPr="005D2B93">
        <w:rPr>
          <w:rFonts w:ascii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5D2B93">
        <w:rPr>
          <w:rFonts w:ascii="Times New Roman" w:hAnsi="Times New Roman" w:cs="Times New Roman"/>
          <w:color w:val="000000"/>
          <w:spacing w:val="-8"/>
          <w:sz w:val="32"/>
          <w:szCs w:val="32"/>
        </w:rPr>
        <w:br/>
      </w:r>
      <w:r w:rsidRPr="007C2232">
        <w:rPr>
          <w:rFonts w:ascii="Times New Roman" w:hAnsi="Times New Roman" w:cs="Times New Roman"/>
          <w:b/>
          <w:color w:val="000000"/>
          <w:spacing w:val="-7"/>
          <w:w w:val="105"/>
        </w:rPr>
        <w:t>на основание чл.</w:t>
      </w:r>
      <w:r w:rsidR="007E466F">
        <w:rPr>
          <w:rFonts w:ascii="Times New Roman" w:hAnsi="Times New Roman" w:cs="Times New Roman"/>
          <w:b/>
          <w:color w:val="000000"/>
          <w:spacing w:val="-7"/>
          <w:w w:val="105"/>
          <w:lang w:val="en-US"/>
        </w:rPr>
        <w:t xml:space="preserve"> </w:t>
      </w:r>
      <w:r w:rsidRPr="007C2232">
        <w:rPr>
          <w:rFonts w:ascii="Times New Roman" w:hAnsi="Times New Roman" w:cs="Times New Roman"/>
          <w:b/>
          <w:color w:val="000000"/>
          <w:spacing w:val="-7"/>
          <w:w w:val="105"/>
        </w:rPr>
        <w:t>33, ал.1, т.</w:t>
      </w:r>
      <w:r w:rsidR="007E466F">
        <w:rPr>
          <w:rFonts w:ascii="Times New Roman" w:hAnsi="Times New Roman" w:cs="Times New Roman"/>
          <w:b/>
          <w:color w:val="000000"/>
          <w:spacing w:val="-7"/>
          <w:w w:val="105"/>
          <w:lang w:val="en-US"/>
        </w:rPr>
        <w:t xml:space="preserve"> </w:t>
      </w:r>
      <w:r w:rsidR="00DE7727" w:rsidRPr="007C2232">
        <w:rPr>
          <w:rFonts w:ascii="Times New Roman" w:hAnsi="Times New Roman" w:cs="Times New Roman"/>
          <w:b/>
          <w:color w:val="000000"/>
          <w:spacing w:val="-7"/>
          <w:w w:val="105"/>
        </w:rPr>
        <w:t>6</w:t>
      </w:r>
      <w:r w:rsidRPr="007C2232">
        <w:rPr>
          <w:rFonts w:ascii="Times New Roman" w:hAnsi="Times New Roman" w:cs="Times New Roman"/>
          <w:b/>
          <w:color w:val="000000"/>
          <w:spacing w:val="-7"/>
          <w:w w:val="105"/>
        </w:rPr>
        <w:t xml:space="preserve"> от Наредба №2 от 17.09.2003 г. </w:t>
      </w:r>
      <w:r w:rsidR="006809FF" w:rsidRPr="006809FF">
        <w:rPr>
          <w:rFonts w:ascii="Times New Roman" w:hAnsi="Times New Roman" w:cs="Times New Roman"/>
          <w:b/>
          <w:color w:val="000000"/>
          <w:spacing w:val="-9"/>
          <w:w w:val="105"/>
        </w:rPr>
        <w:t>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</w:t>
      </w:r>
    </w:p>
    <w:p w:rsidR="0084025F" w:rsidRPr="005E7A90" w:rsidRDefault="000B7A9D">
      <w:pPr>
        <w:numPr>
          <w:ilvl w:val="0"/>
          <w:numId w:val="1"/>
        </w:numPr>
        <w:tabs>
          <w:tab w:val="clear" w:pos="432"/>
          <w:tab w:val="decimal" w:pos="792"/>
        </w:tabs>
        <w:spacing w:before="504" w:line="280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-3"/>
        </w:rPr>
      </w:pPr>
      <w:r w:rsidRPr="007B7956">
        <w:rPr>
          <w:rFonts w:ascii="Times New Roman" w:hAnsi="Times New Roman" w:cs="Times New Roman"/>
          <w:color w:val="000000"/>
          <w:spacing w:val="-3"/>
        </w:rPr>
        <w:t xml:space="preserve">Информация за промените в </w:t>
      </w:r>
      <w:r w:rsidR="00166E62" w:rsidRPr="007B7956">
        <w:rPr>
          <w:rFonts w:ascii="Times New Roman" w:hAnsi="Times New Roman" w:cs="Times New Roman"/>
          <w:color w:val="000000"/>
          <w:spacing w:val="-3"/>
        </w:rPr>
        <w:t>счетоводната</w:t>
      </w:r>
      <w:r w:rsidRPr="007B7956">
        <w:rPr>
          <w:rFonts w:ascii="Times New Roman" w:hAnsi="Times New Roman" w:cs="Times New Roman"/>
          <w:color w:val="000000"/>
          <w:spacing w:val="-3"/>
        </w:rPr>
        <w:t xml:space="preserve"> политика през </w:t>
      </w:r>
      <w:r w:rsidR="00E22D41" w:rsidRPr="007B7956">
        <w:rPr>
          <w:rFonts w:ascii="Times New Roman" w:hAnsi="Times New Roman" w:cs="Times New Roman"/>
          <w:color w:val="000000"/>
          <w:spacing w:val="-3"/>
        </w:rPr>
        <w:t>о</w:t>
      </w:r>
      <w:r w:rsidRPr="007B7956">
        <w:rPr>
          <w:rFonts w:ascii="Times New Roman" w:hAnsi="Times New Roman" w:cs="Times New Roman"/>
          <w:color w:val="000000"/>
          <w:spacing w:val="-3"/>
        </w:rPr>
        <w:t>тчетния пери</w:t>
      </w:r>
      <w:r w:rsidR="00E22D41" w:rsidRPr="007B7956">
        <w:rPr>
          <w:rFonts w:ascii="Times New Roman" w:hAnsi="Times New Roman" w:cs="Times New Roman"/>
          <w:color w:val="000000"/>
          <w:spacing w:val="-3"/>
        </w:rPr>
        <w:t>о</w:t>
      </w:r>
      <w:r w:rsidRPr="007B7956">
        <w:rPr>
          <w:rFonts w:ascii="Times New Roman" w:hAnsi="Times New Roman" w:cs="Times New Roman"/>
          <w:color w:val="000000"/>
          <w:spacing w:val="-3"/>
        </w:rPr>
        <w:t xml:space="preserve">д, причините за </w:t>
      </w:r>
      <w:r w:rsidRPr="007B7956">
        <w:rPr>
          <w:rFonts w:ascii="Times New Roman" w:hAnsi="Times New Roman" w:cs="Times New Roman"/>
          <w:color w:val="000000"/>
          <w:spacing w:val="-4"/>
        </w:rPr>
        <w:t xml:space="preserve">тяхното извършване u по какъв начин се отразяват на финансовия резултат и собствения </w:t>
      </w:r>
      <w:r w:rsidRPr="007B7956">
        <w:rPr>
          <w:rFonts w:ascii="Times New Roman" w:hAnsi="Times New Roman" w:cs="Times New Roman"/>
          <w:color w:val="000000"/>
          <w:spacing w:val="-8"/>
        </w:rPr>
        <w:t>капитал на ем</w:t>
      </w:r>
      <w:r w:rsidR="00E22D41" w:rsidRPr="007B7956">
        <w:rPr>
          <w:rFonts w:ascii="Times New Roman" w:hAnsi="Times New Roman" w:cs="Times New Roman"/>
          <w:color w:val="000000"/>
          <w:spacing w:val="-8"/>
        </w:rPr>
        <w:t>и</w:t>
      </w:r>
      <w:r w:rsidRPr="007B7956">
        <w:rPr>
          <w:rFonts w:ascii="Times New Roman" w:hAnsi="Times New Roman" w:cs="Times New Roman"/>
          <w:color w:val="000000"/>
          <w:spacing w:val="-8"/>
        </w:rPr>
        <w:t>тента.</w:t>
      </w:r>
    </w:p>
    <w:p w:rsidR="005E7A90" w:rsidRPr="005E7A90" w:rsidRDefault="005E7A90" w:rsidP="005E7A90">
      <w:pPr>
        <w:tabs>
          <w:tab w:val="decimal" w:pos="432"/>
          <w:tab w:val="decimal" w:pos="792"/>
        </w:tabs>
        <w:spacing w:before="504" w:line="280" w:lineRule="auto"/>
        <w:ind w:right="144"/>
        <w:jc w:val="both"/>
        <w:rPr>
          <w:rFonts w:ascii="Times New Roman" w:hAnsi="Times New Roman" w:cs="Times New Roman"/>
          <w:i/>
          <w:color w:val="000000"/>
          <w:spacing w:val="-8"/>
        </w:rPr>
      </w:pPr>
      <w:r w:rsidRPr="005E7A90">
        <w:rPr>
          <w:rFonts w:ascii="Times New Roman" w:hAnsi="Times New Roman" w:cs="Times New Roman"/>
          <w:i/>
          <w:kern w:val="32"/>
        </w:rPr>
        <w:t>Дружеството е в процес на адаптиране на прилаганата към 31 декември 2017 г. счетоводна политика, която да бъде в съответствие с изискванията на новите стандарти, разяснения, направени изменения и подобрения в действащи стандарти, издадени от СМСС и приети от ЕС и които са задължителни за прилагане от Дружеството за първи път от 1 януари 2018 г., описани в</w:t>
      </w:r>
      <w:r>
        <w:rPr>
          <w:rFonts w:ascii="Times New Roman" w:hAnsi="Times New Roman" w:cs="Times New Roman"/>
          <w:i/>
          <w:kern w:val="32"/>
        </w:rPr>
        <w:t xml:space="preserve"> Приложения към Междинния съкратен финансов отчет към 30.06.2018г.,</w:t>
      </w:r>
      <w:r w:rsidRPr="005E7A90">
        <w:rPr>
          <w:rFonts w:ascii="Times New Roman" w:hAnsi="Times New Roman" w:cs="Times New Roman"/>
          <w:i/>
          <w:kern w:val="32"/>
        </w:rPr>
        <w:t xml:space="preserve"> Пояснение </w:t>
      </w:r>
      <w:bookmarkStart w:id="0" w:name="_Hlk521231337"/>
      <w:r w:rsidRPr="005E7A90">
        <w:rPr>
          <w:rFonts w:ascii="Times New Roman" w:hAnsi="Times New Roman" w:cs="Times New Roman"/>
          <w:i/>
          <w:kern w:val="32"/>
        </w:rPr>
        <w:t>3.1 Нови стандарти, изменения на стандарти и разяснения, които са в сила за първи път от 1 януари 2018 година</w:t>
      </w:r>
      <w:bookmarkEnd w:id="0"/>
      <w:r w:rsidRPr="005E7A90">
        <w:rPr>
          <w:rFonts w:ascii="Times New Roman" w:hAnsi="Times New Roman" w:cs="Times New Roman"/>
          <w:i/>
          <w:kern w:val="32"/>
        </w:rPr>
        <w:t>. Към датата на изготвяне на настоящия съкратен междинен финансов отчет, Дружеството не е финализирало този процес, поради което стойностите и класификацията на активите, операциите и резултатите на Дружеството в междинния съкратен финансов отчет към 30 юни 2018г. са изготвени и представени в съответствие с прилаганата към 31 декем</w:t>
      </w:r>
      <w:r w:rsidR="00146669">
        <w:rPr>
          <w:rFonts w:ascii="Times New Roman" w:hAnsi="Times New Roman" w:cs="Times New Roman"/>
          <w:i/>
          <w:kern w:val="32"/>
        </w:rPr>
        <w:t>ври 2017 г. счетоводна политика, с изключение на КРМСФО 22.</w:t>
      </w:r>
      <w:bookmarkStart w:id="1" w:name="_GoBack"/>
      <w:bookmarkEnd w:id="1"/>
    </w:p>
    <w:p w:rsidR="0084025F" w:rsidRPr="007B7956" w:rsidRDefault="000B7A9D" w:rsidP="00072161">
      <w:pPr>
        <w:numPr>
          <w:ilvl w:val="0"/>
          <w:numId w:val="1"/>
        </w:numPr>
        <w:tabs>
          <w:tab w:val="clear" w:pos="432"/>
          <w:tab w:val="decimal" w:pos="792"/>
        </w:tabs>
        <w:spacing w:before="252" w:line="288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-1"/>
        </w:rPr>
      </w:pPr>
      <w:r w:rsidRPr="007B7956">
        <w:rPr>
          <w:rFonts w:ascii="Times New Roman" w:hAnsi="Times New Roman" w:cs="Times New Roman"/>
          <w:color w:val="000000"/>
          <w:spacing w:val="-1"/>
        </w:rPr>
        <w:t>Инф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о</w:t>
      </w:r>
      <w:r w:rsidRPr="007B7956">
        <w:rPr>
          <w:rFonts w:ascii="Times New Roman" w:hAnsi="Times New Roman" w:cs="Times New Roman"/>
          <w:color w:val="000000"/>
          <w:spacing w:val="-1"/>
        </w:rPr>
        <w:t xml:space="preserve">рмация за </w:t>
      </w:r>
      <w:r w:rsidR="00166E62" w:rsidRPr="007B7956">
        <w:rPr>
          <w:rFonts w:ascii="Times New Roman" w:hAnsi="Times New Roman" w:cs="Times New Roman"/>
          <w:color w:val="000000"/>
          <w:spacing w:val="-1"/>
        </w:rPr>
        <w:t>настъпили</w:t>
      </w:r>
      <w:r w:rsidRPr="007B7956">
        <w:rPr>
          <w:rFonts w:ascii="Times New Roman" w:hAnsi="Times New Roman" w:cs="Times New Roman"/>
          <w:color w:val="000000"/>
          <w:spacing w:val="-1"/>
        </w:rPr>
        <w:t xml:space="preserve"> пр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о</w:t>
      </w:r>
      <w:r w:rsidRPr="007B7956">
        <w:rPr>
          <w:rFonts w:ascii="Times New Roman" w:hAnsi="Times New Roman" w:cs="Times New Roman"/>
          <w:color w:val="000000"/>
          <w:spacing w:val="-1"/>
        </w:rPr>
        <w:t>мени в икономиче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с</w:t>
      </w:r>
      <w:r w:rsidRPr="007B7956">
        <w:rPr>
          <w:rFonts w:ascii="Times New Roman" w:hAnsi="Times New Roman" w:cs="Times New Roman"/>
          <w:color w:val="000000"/>
          <w:spacing w:val="-1"/>
        </w:rPr>
        <w:t xml:space="preserve">ката група на емитента, ако участва в </w:t>
      </w:r>
      <w:r w:rsidRPr="007B7956">
        <w:rPr>
          <w:rFonts w:ascii="Times New Roman" w:hAnsi="Times New Roman" w:cs="Times New Roman"/>
          <w:color w:val="000000"/>
          <w:spacing w:val="-9"/>
        </w:rPr>
        <w:t>такава група.</w:t>
      </w:r>
    </w:p>
    <w:p w:rsidR="0084025F" w:rsidRPr="007C2232" w:rsidRDefault="000B7A9D" w:rsidP="00C02AB4">
      <w:pPr>
        <w:spacing w:before="252"/>
        <w:rPr>
          <w:rFonts w:ascii="Times New Roman" w:hAnsi="Times New Roman" w:cs="Times New Roman"/>
          <w:i/>
          <w:color w:val="000000"/>
          <w:spacing w:val="-4"/>
        </w:rPr>
      </w:pPr>
      <w:r w:rsidRPr="007C2232">
        <w:rPr>
          <w:rFonts w:ascii="Times New Roman" w:hAnsi="Times New Roman" w:cs="Times New Roman"/>
          <w:i/>
          <w:color w:val="000000"/>
          <w:spacing w:val="-4"/>
        </w:rPr>
        <w:t>Н</w:t>
      </w:r>
      <w:r w:rsidR="00166E62" w:rsidRPr="007C2232">
        <w:rPr>
          <w:rFonts w:ascii="Times New Roman" w:hAnsi="Times New Roman" w:cs="Times New Roman"/>
          <w:i/>
          <w:color w:val="000000"/>
          <w:spacing w:val="-4"/>
        </w:rPr>
        <w:t>я</w:t>
      </w:r>
      <w:r w:rsidRPr="007C2232">
        <w:rPr>
          <w:rFonts w:ascii="Times New Roman" w:hAnsi="Times New Roman" w:cs="Times New Roman"/>
          <w:i/>
          <w:color w:val="000000"/>
          <w:spacing w:val="-4"/>
        </w:rPr>
        <w:t xml:space="preserve">ма </w:t>
      </w:r>
      <w:r w:rsidR="00166E62" w:rsidRPr="007C2232">
        <w:rPr>
          <w:rFonts w:ascii="Times New Roman" w:hAnsi="Times New Roman" w:cs="Times New Roman"/>
          <w:i/>
          <w:color w:val="000000"/>
          <w:spacing w:val="-4"/>
        </w:rPr>
        <w:t>настъпили</w:t>
      </w:r>
      <w:r w:rsidRPr="007C2232">
        <w:rPr>
          <w:rFonts w:ascii="Times New Roman" w:hAnsi="Times New Roman" w:cs="Times New Roman"/>
          <w:i/>
          <w:color w:val="000000"/>
          <w:spacing w:val="-4"/>
        </w:rPr>
        <w:t xml:space="preserve"> пр</w:t>
      </w:r>
      <w:r w:rsidR="002A66EB" w:rsidRPr="007C2232">
        <w:rPr>
          <w:rFonts w:ascii="Times New Roman" w:hAnsi="Times New Roman" w:cs="Times New Roman"/>
          <w:i/>
          <w:color w:val="000000"/>
          <w:spacing w:val="-4"/>
        </w:rPr>
        <w:t>о</w:t>
      </w:r>
      <w:r w:rsidRPr="007C2232">
        <w:rPr>
          <w:rFonts w:ascii="Times New Roman" w:hAnsi="Times New Roman" w:cs="Times New Roman"/>
          <w:i/>
          <w:color w:val="000000"/>
          <w:spacing w:val="-4"/>
        </w:rPr>
        <w:t>мени.</w:t>
      </w:r>
    </w:p>
    <w:p w:rsidR="0084025F" w:rsidRPr="007B7956" w:rsidRDefault="00166E62" w:rsidP="004C7A26">
      <w:pPr>
        <w:numPr>
          <w:ilvl w:val="0"/>
          <w:numId w:val="1"/>
        </w:numPr>
        <w:tabs>
          <w:tab w:val="clear" w:pos="432"/>
          <w:tab w:val="decimal" w:pos="792"/>
        </w:tabs>
        <w:spacing w:before="324" w:line="278" w:lineRule="auto"/>
        <w:ind w:left="792" w:right="168" w:hanging="432"/>
        <w:jc w:val="both"/>
        <w:rPr>
          <w:rFonts w:ascii="Times New Roman" w:hAnsi="Times New Roman" w:cs="Times New Roman"/>
          <w:color w:val="000000"/>
          <w:spacing w:val="1"/>
        </w:rPr>
      </w:pPr>
      <w:r w:rsidRPr="007B7956">
        <w:rPr>
          <w:rFonts w:ascii="Times New Roman" w:hAnsi="Times New Roman" w:cs="Times New Roman"/>
          <w:color w:val="000000"/>
          <w:spacing w:val="1"/>
        </w:rPr>
        <w:t>Информация</w:t>
      </w:r>
      <w:r w:rsidR="000B7A9D" w:rsidRPr="007B7956">
        <w:rPr>
          <w:rFonts w:ascii="Times New Roman" w:hAnsi="Times New Roman" w:cs="Times New Roman"/>
          <w:color w:val="000000"/>
          <w:spacing w:val="1"/>
        </w:rPr>
        <w:t xml:space="preserve"> за резултатите от </w:t>
      </w:r>
      <w:r w:rsidRPr="007B7956">
        <w:rPr>
          <w:rFonts w:ascii="Times New Roman" w:hAnsi="Times New Roman" w:cs="Times New Roman"/>
          <w:color w:val="000000"/>
          <w:spacing w:val="1"/>
        </w:rPr>
        <w:t>организационни</w:t>
      </w:r>
      <w:r w:rsidR="000B7A9D" w:rsidRPr="007B795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B7956">
        <w:rPr>
          <w:rFonts w:ascii="Times New Roman" w:hAnsi="Times New Roman" w:cs="Times New Roman"/>
          <w:color w:val="000000"/>
          <w:spacing w:val="1"/>
        </w:rPr>
        <w:t>променен</w:t>
      </w:r>
      <w:r w:rsidR="000B7A9D" w:rsidRPr="007B7956">
        <w:rPr>
          <w:rFonts w:ascii="Times New Roman" w:hAnsi="Times New Roman" w:cs="Times New Roman"/>
          <w:color w:val="000000"/>
          <w:spacing w:val="1"/>
        </w:rPr>
        <w:t xml:space="preserve"> в рамките на емитента, като </w:t>
      </w:r>
      <w:r w:rsidR="000B7A9D" w:rsidRPr="007B7956">
        <w:rPr>
          <w:rFonts w:ascii="Times New Roman" w:hAnsi="Times New Roman" w:cs="Times New Roman"/>
          <w:color w:val="000000"/>
          <w:spacing w:val="3"/>
        </w:rPr>
        <w:t>преобразуване, пр</w:t>
      </w:r>
      <w:r w:rsidR="00223850" w:rsidRPr="007B7956">
        <w:rPr>
          <w:rFonts w:ascii="Times New Roman" w:hAnsi="Times New Roman" w:cs="Times New Roman"/>
          <w:color w:val="000000"/>
          <w:spacing w:val="3"/>
        </w:rPr>
        <w:t>о</w:t>
      </w:r>
      <w:r w:rsidR="000B7A9D" w:rsidRPr="007B7956">
        <w:rPr>
          <w:rFonts w:ascii="Times New Roman" w:hAnsi="Times New Roman" w:cs="Times New Roman"/>
          <w:color w:val="000000"/>
          <w:spacing w:val="3"/>
        </w:rPr>
        <w:t>дажб</w:t>
      </w:r>
      <w:r w:rsidR="00223850" w:rsidRPr="007B7956">
        <w:rPr>
          <w:rFonts w:ascii="Times New Roman" w:hAnsi="Times New Roman" w:cs="Times New Roman"/>
          <w:color w:val="000000"/>
          <w:spacing w:val="3"/>
        </w:rPr>
        <w:t>и</w:t>
      </w:r>
      <w:r w:rsidR="000B7A9D" w:rsidRPr="007B7956">
        <w:rPr>
          <w:rFonts w:ascii="Times New Roman" w:hAnsi="Times New Roman" w:cs="Times New Roman"/>
          <w:color w:val="000000"/>
          <w:spacing w:val="3"/>
        </w:rPr>
        <w:t xml:space="preserve"> на дружества от </w:t>
      </w:r>
      <w:r w:rsidRPr="007B7956">
        <w:rPr>
          <w:rFonts w:ascii="Times New Roman" w:hAnsi="Times New Roman" w:cs="Times New Roman"/>
          <w:color w:val="000000"/>
          <w:spacing w:val="3"/>
        </w:rPr>
        <w:t>икономическата</w:t>
      </w:r>
      <w:r w:rsidR="000B7A9D" w:rsidRPr="007B7956">
        <w:rPr>
          <w:rFonts w:ascii="Times New Roman" w:hAnsi="Times New Roman" w:cs="Times New Roman"/>
          <w:color w:val="000000"/>
          <w:spacing w:val="3"/>
        </w:rPr>
        <w:t xml:space="preserve"> група, </w:t>
      </w:r>
      <w:proofErr w:type="spellStart"/>
      <w:r w:rsidR="000B7A9D" w:rsidRPr="007B7956">
        <w:rPr>
          <w:rFonts w:ascii="Times New Roman" w:hAnsi="Times New Roman" w:cs="Times New Roman"/>
          <w:color w:val="000000"/>
          <w:spacing w:val="3"/>
        </w:rPr>
        <w:t>апортни</w:t>
      </w:r>
      <w:proofErr w:type="spellEnd"/>
      <w:r w:rsidR="000B7A9D" w:rsidRPr="007B7956">
        <w:rPr>
          <w:rFonts w:ascii="Times New Roman" w:hAnsi="Times New Roman" w:cs="Times New Roman"/>
          <w:color w:val="000000"/>
          <w:spacing w:val="3"/>
        </w:rPr>
        <w:t xml:space="preserve"> вноски </w:t>
      </w:r>
      <w:r w:rsidR="00223850" w:rsidRPr="007B7956">
        <w:rPr>
          <w:rFonts w:ascii="Times New Roman" w:hAnsi="Times New Roman" w:cs="Times New Roman"/>
          <w:color w:val="000000"/>
          <w:spacing w:val="3"/>
        </w:rPr>
        <w:t>от</w:t>
      </w:r>
      <w:r w:rsidR="000B7A9D" w:rsidRPr="007B7956">
        <w:rPr>
          <w:rFonts w:ascii="Times New Roman" w:hAnsi="Times New Roman" w:cs="Times New Roman"/>
          <w:color w:val="000000"/>
          <w:spacing w:val="3"/>
        </w:rPr>
        <w:t xml:space="preserve"> </w:t>
      </w:r>
      <w:r w:rsidR="000B7A9D" w:rsidRPr="007B7956">
        <w:rPr>
          <w:rFonts w:ascii="Times New Roman" w:hAnsi="Times New Roman" w:cs="Times New Roman"/>
          <w:color w:val="000000"/>
          <w:spacing w:val="-4"/>
        </w:rPr>
        <w:t>дружеството, даване п</w:t>
      </w:r>
      <w:r w:rsidR="00223850" w:rsidRPr="007B7956">
        <w:rPr>
          <w:rFonts w:ascii="Times New Roman" w:hAnsi="Times New Roman" w:cs="Times New Roman"/>
          <w:color w:val="000000"/>
          <w:spacing w:val="-4"/>
        </w:rPr>
        <w:t>о</w:t>
      </w:r>
      <w:r w:rsidR="000B7A9D" w:rsidRPr="007B7956">
        <w:rPr>
          <w:rFonts w:ascii="Times New Roman" w:hAnsi="Times New Roman" w:cs="Times New Roman"/>
          <w:color w:val="000000"/>
          <w:spacing w:val="-4"/>
        </w:rPr>
        <w:t>д на</w:t>
      </w:r>
      <w:r w:rsidR="00223850" w:rsidRPr="007B7956">
        <w:rPr>
          <w:rFonts w:ascii="Times New Roman" w:hAnsi="Times New Roman" w:cs="Times New Roman"/>
          <w:color w:val="000000"/>
          <w:spacing w:val="-4"/>
        </w:rPr>
        <w:t>е</w:t>
      </w:r>
      <w:r w:rsidR="000B7A9D" w:rsidRPr="007B7956">
        <w:rPr>
          <w:rFonts w:ascii="Times New Roman" w:hAnsi="Times New Roman" w:cs="Times New Roman"/>
          <w:color w:val="000000"/>
          <w:spacing w:val="-4"/>
        </w:rPr>
        <w:t xml:space="preserve">м на </w:t>
      </w:r>
      <w:r w:rsidR="00223850" w:rsidRPr="007B7956">
        <w:rPr>
          <w:rFonts w:ascii="Times New Roman" w:hAnsi="Times New Roman" w:cs="Times New Roman"/>
          <w:color w:val="000000"/>
          <w:spacing w:val="-4"/>
        </w:rPr>
        <w:t>и</w:t>
      </w:r>
      <w:r w:rsidR="000B7A9D" w:rsidRPr="007B7956">
        <w:rPr>
          <w:rFonts w:ascii="Times New Roman" w:hAnsi="Times New Roman" w:cs="Times New Roman"/>
          <w:color w:val="000000"/>
          <w:spacing w:val="-4"/>
        </w:rPr>
        <w:t xml:space="preserve">мущество, дългосрочни инвестиции, преустановяване на </w:t>
      </w:r>
      <w:r w:rsidR="000B7A9D" w:rsidRPr="007B7956">
        <w:rPr>
          <w:rFonts w:ascii="Times New Roman" w:hAnsi="Times New Roman" w:cs="Times New Roman"/>
          <w:color w:val="000000"/>
          <w:spacing w:val="-17"/>
        </w:rPr>
        <w:t>дейн</w:t>
      </w:r>
      <w:r w:rsidR="00223850" w:rsidRPr="007B7956">
        <w:rPr>
          <w:rFonts w:ascii="Times New Roman" w:hAnsi="Times New Roman" w:cs="Times New Roman"/>
          <w:color w:val="000000"/>
          <w:spacing w:val="-17"/>
        </w:rPr>
        <w:t>о</w:t>
      </w:r>
      <w:r w:rsidR="000B7A9D" w:rsidRPr="007B7956">
        <w:rPr>
          <w:rFonts w:ascii="Times New Roman" w:hAnsi="Times New Roman" w:cs="Times New Roman"/>
          <w:color w:val="000000"/>
          <w:spacing w:val="-17"/>
        </w:rPr>
        <w:t>с</w:t>
      </w:r>
      <w:r w:rsidR="00223850" w:rsidRPr="007B7956">
        <w:rPr>
          <w:rFonts w:ascii="Times New Roman" w:hAnsi="Times New Roman" w:cs="Times New Roman"/>
          <w:color w:val="000000"/>
          <w:spacing w:val="-17"/>
        </w:rPr>
        <w:t>т</w:t>
      </w:r>
      <w:r w:rsidR="000B7A9D" w:rsidRPr="007B7956">
        <w:rPr>
          <w:rFonts w:ascii="Times New Roman" w:hAnsi="Times New Roman" w:cs="Times New Roman"/>
          <w:color w:val="000000"/>
          <w:spacing w:val="-17"/>
        </w:rPr>
        <w:t>.</w:t>
      </w:r>
    </w:p>
    <w:p w:rsidR="0084025F" w:rsidRPr="007C2232" w:rsidRDefault="000B7A9D" w:rsidP="00C02AB4">
      <w:pPr>
        <w:spacing w:before="252"/>
        <w:rPr>
          <w:rFonts w:ascii="Times New Roman" w:hAnsi="Times New Roman" w:cs="Times New Roman"/>
          <w:i/>
          <w:color w:val="000000"/>
          <w:spacing w:val="-4"/>
        </w:rPr>
      </w:pPr>
      <w:r w:rsidRPr="007C2232">
        <w:rPr>
          <w:rFonts w:ascii="Times New Roman" w:hAnsi="Times New Roman" w:cs="Times New Roman"/>
          <w:i/>
          <w:color w:val="000000"/>
          <w:spacing w:val="-4"/>
        </w:rPr>
        <w:t xml:space="preserve">Няма </w:t>
      </w:r>
      <w:r w:rsidR="00E66869" w:rsidRPr="007C2232">
        <w:rPr>
          <w:rFonts w:ascii="Times New Roman" w:hAnsi="Times New Roman" w:cs="Times New Roman"/>
          <w:i/>
          <w:color w:val="000000"/>
          <w:spacing w:val="-4"/>
        </w:rPr>
        <w:t>настъпили</w:t>
      </w:r>
      <w:r w:rsidRPr="007C2232">
        <w:rPr>
          <w:rFonts w:ascii="Times New Roman" w:hAnsi="Times New Roman" w:cs="Times New Roman"/>
          <w:i/>
          <w:color w:val="000000"/>
          <w:spacing w:val="-4"/>
        </w:rPr>
        <w:t xml:space="preserve"> пр</w:t>
      </w:r>
      <w:r w:rsidR="00223850" w:rsidRPr="007C2232">
        <w:rPr>
          <w:rFonts w:ascii="Times New Roman" w:hAnsi="Times New Roman" w:cs="Times New Roman"/>
          <w:i/>
          <w:color w:val="000000"/>
          <w:spacing w:val="-4"/>
        </w:rPr>
        <w:t>о</w:t>
      </w:r>
      <w:r w:rsidRPr="007C2232">
        <w:rPr>
          <w:rFonts w:ascii="Times New Roman" w:hAnsi="Times New Roman" w:cs="Times New Roman"/>
          <w:i/>
          <w:color w:val="000000"/>
          <w:spacing w:val="-4"/>
        </w:rPr>
        <w:t>мени.</w:t>
      </w:r>
    </w:p>
    <w:p w:rsidR="0084025F" w:rsidRPr="007B7956" w:rsidRDefault="000B7A9D">
      <w:pPr>
        <w:numPr>
          <w:ilvl w:val="0"/>
          <w:numId w:val="1"/>
        </w:numPr>
        <w:tabs>
          <w:tab w:val="clear" w:pos="432"/>
          <w:tab w:val="decimal" w:pos="792"/>
        </w:tabs>
        <w:spacing w:before="288" w:line="276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-5"/>
        </w:rPr>
      </w:pPr>
      <w:r w:rsidRPr="007B7956">
        <w:rPr>
          <w:rFonts w:ascii="Times New Roman" w:hAnsi="Times New Roman" w:cs="Times New Roman"/>
          <w:color w:val="000000"/>
          <w:spacing w:val="-5"/>
        </w:rPr>
        <w:t>Становище на управителния орган относн</w:t>
      </w:r>
      <w:r w:rsidR="00223850" w:rsidRPr="007B7956">
        <w:rPr>
          <w:rFonts w:ascii="Times New Roman" w:hAnsi="Times New Roman" w:cs="Times New Roman"/>
          <w:color w:val="000000"/>
          <w:spacing w:val="-5"/>
        </w:rPr>
        <w:t>о</w:t>
      </w:r>
      <w:r w:rsidRPr="007B7956">
        <w:rPr>
          <w:rFonts w:ascii="Times New Roman" w:hAnsi="Times New Roman" w:cs="Times New Roman"/>
          <w:color w:val="000000"/>
          <w:spacing w:val="-5"/>
        </w:rPr>
        <w:t xml:space="preserve"> възможностите за реа</w:t>
      </w:r>
      <w:r w:rsidR="00223850" w:rsidRPr="007B7956">
        <w:rPr>
          <w:rFonts w:ascii="Times New Roman" w:hAnsi="Times New Roman" w:cs="Times New Roman"/>
          <w:color w:val="000000"/>
          <w:spacing w:val="-5"/>
        </w:rPr>
        <w:t>л</w:t>
      </w:r>
      <w:r w:rsidRPr="007B7956">
        <w:rPr>
          <w:rFonts w:ascii="Times New Roman" w:hAnsi="Times New Roman" w:cs="Times New Roman"/>
          <w:color w:val="000000"/>
          <w:spacing w:val="-5"/>
        </w:rPr>
        <w:t xml:space="preserve">изация на публикувани </w:t>
      </w:r>
      <w:r w:rsidRPr="007B7956">
        <w:rPr>
          <w:rFonts w:ascii="Times New Roman" w:hAnsi="Times New Roman" w:cs="Times New Roman"/>
          <w:color w:val="000000"/>
          <w:spacing w:val="-2"/>
        </w:rPr>
        <w:t>прогнози за резу</w:t>
      </w:r>
      <w:r w:rsidR="00223850" w:rsidRPr="007B7956">
        <w:rPr>
          <w:rFonts w:ascii="Times New Roman" w:hAnsi="Times New Roman" w:cs="Times New Roman"/>
          <w:color w:val="000000"/>
          <w:spacing w:val="-2"/>
        </w:rPr>
        <w:t>л</w:t>
      </w:r>
      <w:r w:rsidRPr="007B7956">
        <w:rPr>
          <w:rFonts w:ascii="Times New Roman" w:hAnsi="Times New Roman" w:cs="Times New Roman"/>
          <w:color w:val="000000"/>
          <w:spacing w:val="-2"/>
        </w:rPr>
        <w:t>татите от текущата финансова година, кат</w:t>
      </w:r>
      <w:r w:rsidR="00223850" w:rsidRPr="007B7956">
        <w:rPr>
          <w:rFonts w:ascii="Times New Roman" w:hAnsi="Times New Roman" w:cs="Times New Roman"/>
          <w:color w:val="000000"/>
          <w:spacing w:val="-2"/>
        </w:rPr>
        <w:t>о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 се </w:t>
      </w:r>
      <w:r w:rsidR="00223850" w:rsidRPr="007B7956">
        <w:rPr>
          <w:rFonts w:ascii="Times New Roman" w:hAnsi="Times New Roman" w:cs="Times New Roman"/>
          <w:color w:val="000000"/>
          <w:spacing w:val="-2"/>
        </w:rPr>
        <w:t>о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тчитат резултатите </w:t>
      </w:r>
      <w:r w:rsidR="00EB53CC" w:rsidRPr="007B7956">
        <w:rPr>
          <w:rFonts w:ascii="Times New Roman" w:hAnsi="Times New Roman" w:cs="Times New Roman"/>
          <w:color w:val="000000"/>
          <w:spacing w:val="-2"/>
        </w:rPr>
        <w:t>о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т </w:t>
      </w:r>
      <w:r w:rsidRPr="007B7956">
        <w:rPr>
          <w:rFonts w:ascii="Times New Roman" w:hAnsi="Times New Roman" w:cs="Times New Roman"/>
          <w:color w:val="000000"/>
          <w:spacing w:val="-1"/>
        </w:rPr>
        <w:t>текущ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о</w:t>
      </w:r>
      <w:r w:rsidRPr="007B7956">
        <w:rPr>
          <w:rFonts w:ascii="Times New Roman" w:hAnsi="Times New Roman" w:cs="Times New Roman"/>
          <w:color w:val="000000"/>
          <w:spacing w:val="-1"/>
        </w:rPr>
        <w:t>то тр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и</w:t>
      </w:r>
      <w:r w:rsidRPr="007B7956">
        <w:rPr>
          <w:rFonts w:ascii="Times New Roman" w:hAnsi="Times New Roman" w:cs="Times New Roman"/>
          <w:color w:val="000000"/>
          <w:spacing w:val="-1"/>
        </w:rPr>
        <w:t>месечие, както и информаци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я</w:t>
      </w:r>
      <w:r w:rsidRPr="007B7956">
        <w:rPr>
          <w:rFonts w:ascii="Times New Roman" w:hAnsi="Times New Roman" w:cs="Times New Roman"/>
          <w:color w:val="000000"/>
          <w:spacing w:val="-1"/>
        </w:rPr>
        <w:t xml:space="preserve"> за факторите и обст</w:t>
      </w:r>
      <w:r w:rsidR="00223850" w:rsidRPr="007B7956">
        <w:rPr>
          <w:rFonts w:ascii="Times New Roman" w:hAnsi="Times New Roman" w:cs="Times New Roman"/>
          <w:color w:val="000000"/>
          <w:spacing w:val="-1"/>
        </w:rPr>
        <w:t>о</w:t>
      </w:r>
      <w:r w:rsidRPr="007B7956">
        <w:rPr>
          <w:rFonts w:ascii="Times New Roman" w:hAnsi="Times New Roman" w:cs="Times New Roman"/>
          <w:color w:val="000000"/>
          <w:spacing w:val="-1"/>
        </w:rPr>
        <w:t xml:space="preserve">ятелствата, които ще 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повлияят на постигането на прогнозните резултати най-малко за </w:t>
      </w:r>
      <w:r w:rsidR="00166E62" w:rsidRPr="007B7956">
        <w:rPr>
          <w:rFonts w:ascii="Times New Roman" w:hAnsi="Times New Roman" w:cs="Times New Roman"/>
          <w:color w:val="000000"/>
          <w:spacing w:val="-2"/>
        </w:rPr>
        <w:t>следващото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 тримесечие.</w:t>
      </w:r>
    </w:p>
    <w:p w:rsidR="0084025F" w:rsidRDefault="00E66869" w:rsidP="00C02AB4">
      <w:pPr>
        <w:spacing w:before="288"/>
        <w:rPr>
          <w:rFonts w:ascii="Times New Roman" w:hAnsi="Times New Roman" w:cs="Times New Roman"/>
          <w:i/>
          <w:color w:val="000000"/>
          <w:spacing w:val="-1"/>
        </w:rPr>
      </w:pPr>
      <w:r w:rsidRPr="007C2232">
        <w:rPr>
          <w:rFonts w:ascii="Times New Roman" w:hAnsi="Times New Roman" w:cs="Times New Roman"/>
          <w:i/>
          <w:color w:val="000000"/>
          <w:spacing w:val="-1"/>
        </w:rPr>
        <w:t>Дружеството не</w:t>
      </w:r>
      <w:r w:rsidR="000B7A9D" w:rsidRPr="007C2232">
        <w:rPr>
          <w:rFonts w:ascii="Times New Roman" w:hAnsi="Times New Roman" w:cs="Times New Roman"/>
          <w:i/>
          <w:color w:val="000000"/>
          <w:spacing w:val="-1"/>
        </w:rPr>
        <w:t xml:space="preserve"> публи</w:t>
      </w:r>
      <w:r w:rsidR="00223850" w:rsidRPr="007C2232">
        <w:rPr>
          <w:rFonts w:ascii="Times New Roman" w:hAnsi="Times New Roman" w:cs="Times New Roman"/>
          <w:i/>
          <w:color w:val="000000"/>
          <w:spacing w:val="-1"/>
        </w:rPr>
        <w:t>к</w:t>
      </w:r>
      <w:r w:rsidR="000B7A9D" w:rsidRPr="007C2232">
        <w:rPr>
          <w:rFonts w:ascii="Times New Roman" w:hAnsi="Times New Roman" w:cs="Times New Roman"/>
          <w:i/>
          <w:color w:val="000000"/>
          <w:spacing w:val="-1"/>
        </w:rPr>
        <w:t>ува финанс</w:t>
      </w:r>
      <w:r w:rsidR="00223850" w:rsidRPr="007C2232">
        <w:rPr>
          <w:rFonts w:ascii="Times New Roman" w:hAnsi="Times New Roman" w:cs="Times New Roman"/>
          <w:i/>
          <w:color w:val="000000"/>
          <w:spacing w:val="-1"/>
        </w:rPr>
        <w:t>о</w:t>
      </w:r>
      <w:r w:rsidR="000B7A9D" w:rsidRPr="007C2232">
        <w:rPr>
          <w:rFonts w:ascii="Times New Roman" w:hAnsi="Times New Roman" w:cs="Times New Roman"/>
          <w:i/>
          <w:color w:val="000000"/>
          <w:spacing w:val="-1"/>
        </w:rPr>
        <w:t>ви про</w:t>
      </w:r>
      <w:r w:rsidR="00223850" w:rsidRPr="007C2232">
        <w:rPr>
          <w:rFonts w:ascii="Times New Roman" w:hAnsi="Times New Roman" w:cs="Times New Roman"/>
          <w:i/>
          <w:color w:val="000000"/>
          <w:spacing w:val="-1"/>
        </w:rPr>
        <w:t>г</w:t>
      </w:r>
      <w:r w:rsidR="000B7A9D" w:rsidRPr="007C2232">
        <w:rPr>
          <w:rFonts w:ascii="Times New Roman" w:hAnsi="Times New Roman" w:cs="Times New Roman"/>
          <w:i/>
          <w:color w:val="000000"/>
          <w:spacing w:val="-1"/>
        </w:rPr>
        <w:t>нози.</w:t>
      </w:r>
    </w:p>
    <w:p w:rsidR="004C7A26" w:rsidRPr="007B7956" w:rsidRDefault="004C7A26">
      <w:pPr>
        <w:numPr>
          <w:ilvl w:val="0"/>
          <w:numId w:val="1"/>
        </w:numPr>
        <w:tabs>
          <w:tab w:val="clear" w:pos="432"/>
          <w:tab w:val="decimal" w:pos="792"/>
        </w:tabs>
        <w:spacing w:before="288" w:line="278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-6"/>
        </w:rPr>
      </w:pPr>
      <w:r w:rsidRPr="007B7956">
        <w:rPr>
          <w:rFonts w:ascii="Times New Roman" w:hAnsi="Times New Roman" w:cs="Times New Roman"/>
          <w:color w:val="000000"/>
          <w:spacing w:val="-6"/>
        </w:rPr>
        <w:t xml:space="preserve">Информация за публичните дружества – данни за лицата, притежаващи пряко и непряко най-малко 5 на 100 от гласовете в общото събрание към края на съответното шест </w:t>
      </w:r>
      <w:proofErr w:type="spellStart"/>
      <w:r w:rsidRPr="007B7956">
        <w:rPr>
          <w:rFonts w:ascii="Times New Roman" w:hAnsi="Times New Roman" w:cs="Times New Roman"/>
          <w:color w:val="000000"/>
          <w:spacing w:val="-6"/>
        </w:rPr>
        <w:t>месечие</w:t>
      </w:r>
      <w:proofErr w:type="spellEnd"/>
      <w:r w:rsidRPr="007B7956">
        <w:rPr>
          <w:rFonts w:ascii="Times New Roman" w:hAnsi="Times New Roman" w:cs="Times New Roman"/>
          <w:color w:val="000000"/>
          <w:spacing w:val="-6"/>
        </w:rPr>
        <w:t>, и промените в притежаваните от лицата гласове за периода от края на предходния шест месечен период:</w:t>
      </w:r>
    </w:p>
    <w:p w:rsidR="004C7A26" w:rsidRPr="004C7A26" w:rsidRDefault="004C7A26" w:rsidP="00C02AB4">
      <w:pPr>
        <w:spacing w:before="288"/>
        <w:jc w:val="both"/>
        <w:rPr>
          <w:rFonts w:ascii="Times New Roman" w:hAnsi="Times New Roman" w:cs="Times New Roman"/>
          <w:i/>
          <w:color w:val="000000"/>
          <w:spacing w:val="-1"/>
        </w:rPr>
      </w:pPr>
      <w:r w:rsidRPr="004C7A26">
        <w:rPr>
          <w:rFonts w:ascii="Times New Roman" w:hAnsi="Times New Roman" w:cs="Times New Roman"/>
          <w:i/>
          <w:color w:val="000000"/>
          <w:spacing w:val="-1"/>
        </w:rPr>
        <w:lastRenderedPageBreak/>
        <w:t xml:space="preserve">"Булгаргаз” ЕАД е еднолично акционерно Дружество от структурата на „Български енергиен холдинг” ЕАД.  Регистрираният капитал е разпределен в </w:t>
      </w:r>
      <w:r w:rsidR="001B44D4" w:rsidRPr="001B44D4">
        <w:rPr>
          <w:rFonts w:ascii="Times New Roman" w:hAnsi="Times New Roman" w:cs="Times New Roman"/>
          <w:i/>
          <w:color w:val="000000"/>
          <w:spacing w:val="-1"/>
        </w:rPr>
        <w:t>231 698</w:t>
      </w:r>
      <w:r w:rsidR="001B44D4">
        <w:rPr>
          <w:rFonts w:ascii="Times New Roman" w:hAnsi="Times New Roman" w:cs="Times New Roman"/>
          <w:i/>
          <w:color w:val="000000"/>
          <w:spacing w:val="-1"/>
        </w:rPr>
        <w:t> </w:t>
      </w:r>
      <w:r w:rsidR="001B44D4" w:rsidRPr="001B44D4">
        <w:rPr>
          <w:rFonts w:ascii="Times New Roman" w:hAnsi="Times New Roman" w:cs="Times New Roman"/>
          <w:i/>
          <w:color w:val="000000"/>
          <w:spacing w:val="-1"/>
        </w:rPr>
        <w:t>584</w:t>
      </w:r>
      <w:r w:rsidR="001B44D4">
        <w:rPr>
          <w:rFonts w:ascii="Times New Roman" w:hAnsi="Times New Roman" w:cs="Times New Roman"/>
          <w:i/>
          <w:color w:val="000000"/>
          <w:spacing w:val="-1"/>
          <w:lang w:val="en-US"/>
        </w:rPr>
        <w:t xml:space="preserve"> </w:t>
      </w:r>
      <w:r w:rsidRPr="004C7A26">
        <w:rPr>
          <w:rFonts w:ascii="Times New Roman" w:hAnsi="Times New Roman" w:cs="Times New Roman"/>
          <w:i/>
          <w:color w:val="000000"/>
          <w:spacing w:val="-1"/>
        </w:rPr>
        <w:t>поименни акции. Целият размер на капитала на Дружеството е записан и изцяло внесен от „Български Енергиен Холдинг” ЕАД. Всички акции са с номинал от 1 лев. Акциите на Дружеството са обикновени, поименни, непривилегировани акции, с право на глас. В едноличния собственик на капитала на „Булгаргаз” ЕАД –„Български Енергиен Холдинг” ЕАД държавата притежава 100% от регистрирания капитал.</w:t>
      </w:r>
    </w:p>
    <w:p w:rsidR="004C7A26" w:rsidRPr="007B7956" w:rsidRDefault="004C7A26" w:rsidP="004C7A26">
      <w:pPr>
        <w:numPr>
          <w:ilvl w:val="0"/>
          <w:numId w:val="1"/>
        </w:numPr>
        <w:tabs>
          <w:tab w:val="clear" w:pos="432"/>
          <w:tab w:val="decimal" w:pos="792"/>
        </w:tabs>
        <w:spacing w:before="288" w:line="278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-6"/>
        </w:rPr>
      </w:pPr>
      <w:r w:rsidRPr="007B7956">
        <w:rPr>
          <w:rFonts w:ascii="Times New Roman" w:hAnsi="Times New Roman" w:cs="Times New Roman"/>
          <w:color w:val="000000"/>
          <w:spacing w:val="-6"/>
        </w:rPr>
        <w:t>Информация за публичните дружества – данни за акциите, притежавани от управителните и контролни органи на емитен</w:t>
      </w:r>
      <w:r w:rsidR="00062C2D">
        <w:rPr>
          <w:rFonts w:ascii="Times New Roman" w:hAnsi="Times New Roman" w:cs="Times New Roman"/>
          <w:color w:val="000000"/>
          <w:spacing w:val="-6"/>
        </w:rPr>
        <w:t>та към края на съответното шест</w:t>
      </w:r>
      <w:r w:rsidRPr="007B7956">
        <w:rPr>
          <w:rFonts w:ascii="Times New Roman" w:hAnsi="Times New Roman" w:cs="Times New Roman"/>
          <w:color w:val="000000"/>
          <w:spacing w:val="-6"/>
        </w:rPr>
        <w:t>месечие, и промените настъпили за периода от края на предходния шест месечен период  за всяко лице по отделно:</w:t>
      </w:r>
    </w:p>
    <w:p w:rsidR="009A1D0E" w:rsidRDefault="004C7A26" w:rsidP="00C02AB4">
      <w:pPr>
        <w:spacing w:before="288"/>
        <w:jc w:val="both"/>
        <w:rPr>
          <w:rFonts w:ascii="Times New Roman" w:hAnsi="Times New Roman" w:cs="Times New Roman"/>
          <w:i/>
          <w:color w:val="000000"/>
          <w:spacing w:val="-1"/>
        </w:rPr>
      </w:pPr>
      <w:r w:rsidRPr="004C7A26">
        <w:rPr>
          <w:rFonts w:ascii="Times New Roman" w:hAnsi="Times New Roman" w:cs="Times New Roman"/>
          <w:i/>
          <w:color w:val="000000"/>
          <w:spacing w:val="-1"/>
        </w:rPr>
        <w:t>Булгаргаз” ЕАД е еднолично акционерно Дружество от структурата на „Български енергиен холдинг” ЕАД.</w:t>
      </w:r>
    </w:p>
    <w:p w:rsidR="0084025F" w:rsidRPr="007B7956" w:rsidRDefault="000B7A9D">
      <w:pPr>
        <w:numPr>
          <w:ilvl w:val="0"/>
          <w:numId w:val="1"/>
        </w:numPr>
        <w:tabs>
          <w:tab w:val="clear" w:pos="432"/>
          <w:tab w:val="decimal" w:pos="792"/>
        </w:tabs>
        <w:spacing w:before="288" w:line="278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-6"/>
        </w:rPr>
      </w:pPr>
      <w:r w:rsidRPr="007B7956">
        <w:rPr>
          <w:rFonts w:ascii="Times New Roman" w:hAnsi="Times New Roman" w:cs="Times New Roman"/>
          <w:color w:val="000000"/>
          <w:spacing w:val="-6"/>
        </w:rPr>
        <w:t>Инф</w:t>
      </w:r>
      <w:r w:rsidR="000D0340" w:rsidRPr="007B7956">
        <w:rPr>
          <w:rFonts w:ascii="Times New Roman" w:hAnsi="Times New Roman" w:cs="Times New Roman"/>
          <w:color w:val="000000"/>
          <w:spacing w:val="-6"/>
        </w:rPr>
        <w:t>о</w:t>
      </w:r>
      <w:r w:rsidRPr="007B7956">
        <w:rPr>
          <w:rFonts w:ascii="Times New Roman" w:hAnsi="Times New Roman" w:cs="Times New Roman"/>
          <w:color w:val="000000"/>
          <w:spacing w:val="-6"/>
        </w:rPr>
        <w:t>рмация за висящи съдебни, административни или арбитражни пр</w:t>
      </w:r>
      <w:r w:rsidR="000D0340" w:rsidRPr="007B7956">
        <w:rPr>
          <w:rFonts w:ascii="Times New Roman" w:hAnsi="Times New Roman" w:cs="Times New Roman"/>
          <w:color w:val="000000"/>
          <w:spacing w:val="-6"/>
        </w:rPr>
        <w:t>о</w:t>
      </w:r>
      <w:r w:rsidRPr="007B7956">
        <w:rPr>
          <w:rFonts w:ascii="Times New Roman" w:hAnsi="Times New Roman" w:cs="Times New Roman"/>
          <w:color w:val="000000"/>
          <w:spacing w:val="-6"/>
        </w:rPr>
        <w:t xml:space="preserve">изводства, касаещи </w:t>
      </w:r>
      <w:r w:rsidRPr="007B7956">
        <w:rPr>
          <w:rFonts w:ascii="Times New Roman" w:hAnsi="Times New Roman" w:cs="Times New Roman"/>
          <w:color w:val="000000"/>
          <w:spacing w:val="-2"/>
        </w:rPr>
        <w:t>задължения или вземания в размер най-малко 1 на сто от с</w:t>
      </w:r>
      <w:r w:rsidR="000D0340" w:rsidRPr="007B7956">
        <w:rPr>
          <w:rFonts w:ascii="Times New Roman" w:hAnsi="Times New Roman" w:cs="Times New Roman"/>
          <w:color w:val="000000"/>
          <w:spacing w:val="-2"/>
        </w:rPr>
        <w:t>о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бствения капитал на емитента, </w:t>
      </w:r>
      <w:r w:rsidRPr="007B7956">
        <w:rPr>
          <w:rFonts w:ascii="Times New Roman" w:hAnsi="Times New Roman" w:cs="Times New Roman"/>
          <w:color w:val="000000"/>
          <w:spacing w:val="-5"/>
        </w:rPr>
        <w:t>ак</w:t>
      </w:r>
      <w:r w:rsidR="000D0340" w:rsidRPr="007B7956">
        <w:rPr>
          <w:rFonts w:ascii="Times New Roman" w:hAnsi="Times New Roman" w:cs="Times New Roman"/>
          <w:color w:val="000000"/>
          <w:spacing w:val="-5"/>
        </w:rPr>
        <w:t>о</w:t>
      </w:r>
      <w:r w:rsidRPr="007B7956">
        <w:rPr>
          <w:rFonts w:ascii="Times New Roman" w:hAnsi="Times New Roman" w:cs="Times New Roman"/>
          <w:color w:val="000000"/>
          <w:spacing w:val="-5"/>
        </w:rPr>
        <w:t xml:space="preserve"> общата стойност на задълженията или вземанията на емитента по всички </w:t>
      </w:r>
      <w:r w:rsidR="000D0340" w:rsidRPr="007B7956">
        <w:rPr>
          <w:rFonts w:ascii="Times New Roman" w:hAnsi="Times New Roman" w:cs="Times New Roman"/>
          <w:color w:val="000000"/>
          <w:spacing w:val="-5"/>
        </w:rPr>
        <w:t>о</w:t>
      </w:r>
      <w:r w:rsidRPr="007B7956">
        <w:rPr>
          <w:rFonts w:ascii="Times New Roman" w:hAnsi="Times New Roman" w:cs="Times New Roman"/>
          <w:color w:val="000000"/>
          <w:spacing w:val="-5"/>
        </w:rPr>
        <w:t xml:space="preserve">бразувани 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производства надхвърля 1 на сто от собствения му капитал, се представя </w:t>
      </w:r>
      <w:r w:rsidR="00166E62" w:rsidRPr="007B7956">
        <w:rPr>
          <w:rFonts w:ascii="Times New Roman" w:hAnsi="Times New Roman" w:cs="Times New Roman"/>
          <w:color w:val="000000"/>
          <w:spacing w:val="-2"/>
        </w:rPr>
        <w:t>информация</w:t>
      </w:r>
      <w:r w:rsidRPr="007B7956">
        <w:rPr>
          <w:rFonts w:ascii="Times New Roman" w:hAnsi="Times New Roman" w:cs="Times New Roman"/>
          <w:color w:val="000000"/>
          <w:spacing w:val="-2"/>
        </w:rPr>
        <w:t xml:space="preserve"> за </w:t>
      </w:r>
      <w:r w:rsidR="000D0340" w:rsidRPr="007B7956">
        <w:rPr>
          <w:rFonts w:ascii="Times New Roman" w:hAnsi="Times New Roman" w:cs="Times New Roman"/>
          <w:color w:val="000000"/>
          <w:spacing w:val="-2"/>
        </w:rPr>
        <w:t>в</w:t>
      </w:r>
      <w:r w:rsidRPr="007B7956">
        <w:rPr>
          <w:rFonts w:ascii="Times New Roman" w:hAnsi="Times New Roman" w:cs="Times New Roman"/>
          <w:color w:val="000000"/>
          <w:spacing w:val="-4"/>
        </w:rPr>
        <w:t>сяко производства поотделно.</w:t>
      </w:r>
    </w:p>
    <w:p w:rsidR="009A1D0E" w:rsidRDefault="009A1D0E" w:rsidP="009A1D0E">
      <w:pPr>
        <w:jc w:val="both"/>
        <w:rPr>
          <w:rFonts w:ascii="Times New Roman" w:hAnsi="Times New Roman" w:cs="Times New Roman"/>
          <w:i/>
        </w:rPr>
      </w:pPr>
    </w:p>
    <w:p w:rsidR="009A1D0E" w:rsidRPr="005E7A90" w:rsidRDefault="009A1D0E" w:rsidP="009A1D0E">
      <w:pPr>
        <w:jc w:val="both"/>
        <w:rPr>
          <w:rFonts w:ascii="Times New Roman" w:hAnsi="Times New Roman" w:cs="Times New Roman"/>
          <w:i/>
        </w:rPr>
      </w:pPr>
      <w:r w:rsidRPr="005E7A90">
        <w:rPr>
          <w:rFonts w:ascii="Times New Roman" w:hAnsi="Times New Roman" w:cs="Times New Roman"/>
          <w:i/>
        </w:rPr>
        <w:t>Срещу Дружеството няма заведени съдебни производства със значителен имуществен интерес.</w:t>
      </w:r>
    </w:p>
    <w:p w:rsidR="00072161" w:rsidRPr="00072161" w:rsidRDefault="00072161" w:rsidP="009A1D0E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both"/>
        <w:rPr>
          <w:rFonts w:ascii="Times New Roman" w:hAnsi="Times New Roman" w:cs="Times New Roman"/>
          <w:i/>
          <w:highlight w:val="yellow"/>
        </w:rPr>
      </w:pPr>
    </w:p>
    <w:p w:rsidR="009A1D0E" w:rsidRDefault="009A1D0E" w:rsidP="009A1D0E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both"/>
        <w:rPr>
          <w:rFonts w:ascii="Times New Roman" w:hAnsi="Times New Roman" w:cs="Times New Roman"/>
          <w:i/>
          <w:lang w:val="ru-RU"/>
        </w:rPr>
      </w:pPr>
      <w:r w:rsidRPr="005E7A90">
        <w:rPr>
          <w:rFonts w:ascii="Times New Roman" w:hAnsi="Times New Roman" w:cs="Times New Roman"/>
          <w:i/>
        </w:rPr>
        <w:t>С цел събиране на вземанията „Булгаргаз” ЕАД е образувало дела по реда на заповедното производство, установителни искове и изпълнителни дела.</w:t>
      </w:r>
      <w:r w:rsidRPr="005E7A90">
        <w:rPr>
          <w:rFonts w:ascii="Times New Roman" w:hAnsi="Times New Roman" w:cs="Times New Roman"/>
          <w:i/>
          <w:lang w:val="ru-RU"/>
        </w:rPr>
        <w:t xml:space="preserve"> </w:t>
      </w:r>
      <w:r w:rsidRPr="005E7A90">
        <w:rPr>
          <w:rFonts w:ascii="Times New Roman" w:hAnsi="Times New Roman" w:cs="Times New Roman"/>
          <w:i/>
        </w:rPr>
        <w:t>Очакваният изход от тези производства, е уважаване исковете  на „Булгаргаз” ЕАД и събиране на вземанията, до размера на претендираната сума</w:t>
      </w:r>
      <w:r w:rsidRPr="005E7A90">
        <w:rPr>
          <w:rFonts w:ascii="Times New Roman" w:hAnsi="Times New Roman" w:cs="Times New Roman"/>
          <w:i/>
          <w:lang w:val="ru-RU"/>
        </w:rPr>
        <w:t>.</w:t>
      </w:r>
    </w:p>
    <w:p w:rsidR="008475F2" w:rsidRPr="0025547B" w:rsidRDefault="008475F2" w:rsidP="009A1D0E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both"/>
        <w:rPr>
          <w:rFonts w:ascii="Times New Roman" w:hAnsi="Times New Roman" w:cs="Times New Roman"/>
          <w:i/>
          <w:lang w:val="ru-RU"/>
        </w:rPr>
      </w:pPr>
    </w:p>
    <w:p w:rsidR="009A1D0E" w:rsidRPr="0025547B" w:rsidRDefault="009A1D0E" w:rsidP="009A1D0E">
      <w:pPr>
        <w:pStyle w:val="PlainText"/>
        <w:jc w:val="both"/>
        <w:rPr>
          <w:rFonts w:ascii="Times New Roman" w:hAnsi="Times New Roman"/>
          <w:b/>
          <w:i/>
          <w:lang w:val="bg-BG"/>
        </w:rPr>
      </w:pPr>
      <w:r w:rsidRPr="0025547B">
        <w:rPr>
          <w:rFonts w:ascii="Times New Roman" w:hAnsi="Times New Roman"/>
          <w:b/>
          <w:i/>
          <w:lang w:val="bg-BG"/>
        </w:rPr>
        <w:t>Процедури на Европейската комисия</w:t>
      </w:r>
    </w:p>
    <w:p w:rsidR="009A1D0E" w:rsidRPr="0025547B" w:rsidRDefault="009A1D0E" w:rsidP="009A1D0E">
      <w:pPr>
        <w:pStyle w:val="PlainText"/>
        <w:jc w:val="both"/>
        <w:rPr>
          <w:rFonts w:ascii="Times New Roman" w:hAnsi="Times New Roman"/>
          <w:b/>
          <w:i/>
          <w:lang w:val="bg-BG"/>
        </w:rPr>
      </w:pPr>
    </w:p>
    <w:p w:rsidR="009A1D0E" w:rsidRDefault="009A1D0E" w:rsidP="009A1D0E">
      <w:pPr>
        <w:pStyle w:val="PlainText"/>
        <w:jc w:val="both"/>
        <w:rPr>
          <w:rFonts w:ascii="Times New Roman" w:hAnsi="Times New Roman"/>
          <w:i/>
          <w:lang w:val="bg-BG"/>
        </w:rPr>
      </w:pPr>
      <w:r w:rsidRPr="00B35F4C">
        <w:rPr>
          <w:rFonts w:ascii="Times New Roman" w:hAnsi="Times New Roman"/>
          <w:i/>
          <w:lang w:val="bg-BG"/>
        </w:rPr>
        <w:t>Дело COMP/B1/АТ.39849 – BEH gas</w:t>
      </w:r>
    </w:p>
    <w:p w:rsidR="00B35F4C" w:rsidRPr="00B35F4C" w:rsidRDefault="00B35F4C" w:rsidP="009A1D0E">
      <w:pPr>
        <w:pStyle w:val="PlainText"/>
        <w:jc w:val="both"/>
        <w:rPr>
          <w:rFonts w:ascii="Times New Roman" w:hAnsi="Times New Roman"/>
          <w:i/>
          <w:lang w:val="bg-BG"/>
        </w:rPr>
      </w:pPr>
    </w:p>
    <w:p w:rsidR="00B35F4C" w:rsidRPr="00B35F4C" w:rsidRDefault="00B35F4C" w:rsidP="00B35F4C">
      <w:pPr>
        <w:pStyle w:val="PlainText"/>
        <w:ind w:firstLine="708"/>
        <w:jc w:val="both"/>
        <w:rPr>
          <w:rFonts w:ascii="Times New Roman" w:hAnsi="Times New Roman"/>
          <w:i/>
          <w:lang w:val="bg-BG"/>
        </w:rPr>
      </w:pPr>
      <w:r w:rsidRPr="00B35F4C">
        <w:rPr>
          <w:rFonts w:ascii="Times New Roman" w:hAnsi="Times New Roman"/>
          <w:i/>
          <w:lang w:val="bg-BG"/>
        </w:rPr>
        <w:t>Делото има за предмет евентуално нарушение на член 102 от ДФЕС във връзка с твърдени действия на БЕХ ЕАД и дъщерните му дружества – „Булгаргаз” ЕАД и „</w:t>
      </w:r>
      <w:proofErr w:type="spellStart"/>
      <w:r w:rsidRPr="00B35F4C">
        <w:rPr>
          <w:rFonts w:ascii="Times New Roman" w:hAnsi="Times New Roman"/>
          <w:i/>
          <w:lang w:val="bg-BG"/>
        </w:rPr>
        <w:t>Булгартрансгаз</w:t>
      </w:r>
      <w:proofErr w:type="spellEnd"/>
      <w:r w:rsidRPr="00B35F4C">
        <w:rPr>
          <w:rFonts w:ascii="Times New Roman" w:hAnsi="Times New Roman"/>
          <w:i/>
          <w:lang w:val="bg-BG"/>
        </w:rPr>
        <w:t xml:space="preserve">” ЕАД насочени към: </w:t>
      </w:r>
    </w:p>
    <w:p w:rsidR="00B35F4C" w:rsidRPr="00B35F4C" w:rsidRDefault="00B35F4C" w:rsidP="00B35F4C">
      <w:pPr>
        <w:pStyle w:val="PlainText"/>
        <w:jc w:val="both"/>
        <w:rPr>
          <w:rFonts w:ascii="Times New Roman" w:hAnsi="Times New Roman"/>
          <w:i/>
          <w:lang w:val="bg-BG"/>
        </w:rPr>
      </w:pPr>
      <w:r w:rsidRPr="00B35F4C">
        <w:rPr>
          <w:rFonts w:ascii="Times New Roman" w:hAnsi="Times New Roman"/>
          <w:i/>
          <w:lang w:val="bg-BG"/>
        </w:rPr>
        <w:t>·         възпрепятстване на техни конкуренти да получат достъп до ключова газова инфраструктура (газопреносна мрежа и до съоръжението за съхранение на природен газ) в България,  като изрично или мълчаливо отказване на достъп на трети страни или забавяне;</w:t>
      </w:r>
    </w:p>
    <w:p w:rsidR="00B35F4C" w:rsidRPr="00B35F4C" w:rsidRDefault="00B35F4C" w:rsidP="00B35F4C">
      <w:pPr>
        <w:pStyle w:val="PlainText"/>
        <w:jc w:val="both"/>
        <w:rPr>
          <w:rFonts w:ascii="Times New Roman" w:hAnsi="Times New Roman"/>
          <w:i/>
          <w:lang w:val="bg-BG"/>
        </w:rPr>
      </w:pPr>
      <w:r w:rsidRPr="00B35F4C">
        <w:rPr>
          <w:rFonts w:ascii="Times New Roman" w:hAnsi="Times New Roman"/>
          <w:i/>
          <w:lang w:val="bg-BG"/>
        </w:rPr>
        <w:t>·         възпрепятстване на конкурентите да получат достъп до главен газопровод за внос чрез  резервиране на капацитет, който остава неизползван.</w:t>
      </w:r>
    </w:p>
    <w:p w:rsidR="00B35F4C" w:rsidRDefault="00B35F4C" w:rsidP="00B35F4C">
      <w:pPr>
        <w:pStyle w:val="PlainText"/>
        <w:jc w:val="both"/>
        <w:rPr>
          <w:rFonts w:ascii="Times New Roman" w:hAnsi="Times New Roman"/>
          <w:i/>
          <w:lang w:val="bg-BG"/>
        </w:rPr>
      </w:pPr>
      <w:r w:rsidRPr="00B35F4C">
        <w:rPr>
          <w:rFonts w:ascii="Times New Roman" w:hAnsi="Times New Roman"/>
          <w:i/>
          <w:lang w:val="bg-BG"/>
        </w:rPr>
        <w:t xml:space="preserve">Производството е образувано през 2013 г. с оглед приемането на решение по глава 3 (членове 7 – 10) от Регламент 1/2003. </w:t>
      </w:r>
    </w:p>
    <w:p w:rsidR="00B35F4C" w:rsidRPr="00B35F4C" w:rsidRDefault="00B35F4C" w:rsidP="00B35F4C">
      <w:pPr>
        <w:pStyle w:val="PlainText"/>
        <w:jc w:val="both"/>
        <w:rPr>
          <w:rFonts w:ascii="Times New Roman" w:hAnsi="Times New Roman"/>
          <w:i/>
          <w:lang w:val="bg-BG"/>
        </w:rPr>
      </w:pPr>
    </w:p>
    <w:p w:rsidR="00B35F4C" w:rsidRPr="00B35F4C" w:rsidRDefault="00B35F4C" w:rsidP="00B35F4C">
      <w:pPr>
        <w:pStyle w:val="PlainText"/>
        <w:ind w:firstLine="708"/>
        <w:jc w:val="both"/>
        <w:rPr>
          <w:rFonts w:ascii="Times New Roman" w:hAnsi="Times New Roman"/>
          <w:i/>
          <w:lang w:val="bg-BG"/>
        </w:rPr>
      </w:pPr>
      <w:r w:rsidRPr="00B35F4C">
        <w:rPr>
          <w:rFonts w:ascii="Times New Roman" w:hAnsi="Times New Roman"/>
          <w:i/>
          <w:lang w:val="bg-BG"/>
        </w:rPr>
        <w:t>На 23 март 2015 г. ЕК издаде Изложение на възраженията (Statement of Objections). „Български Енергиен Холдинг” ЕАД и газовите му дъщерни дружества представиха съответните си отговори на ЕК на 9 юли 2015 г. („Булгаргаз” ЕАД), 10 юли 2015 г. („Български Енергиен Холдинг” ЕАД) и 17 юли 2015 г. („</w:t>
      </w:r>
      <w:proofErr w:type="spellStart"/>
      <w:r w:rsidRPr="00B35F4C">
        <w:rPr>
          <w:rFonts w:ascii="Times New Roman" w:hAnsi="Times New Roman"/>
          <w:i/>
          <w:lang w:val="bg-BG"/>
        </w:rPr>
        <w:t>Булгартрансгаз</w:t>
      </w:r>
      <w:proofErr w:type="spellEnd"/>
      <w:r w:rsidRPr="00B35F4C">
        <w:rPr>
          <w:rFonts w:ascii="Times New Roman" w:hAnsi="Times New Roman"/>
          <w:i/>
          <w:lang w:val="bg-BG"/>
        </w:rPr>
        <w:t>” ЕАД).</w:t>
      </w:r>
    </w:p>
    <w:p w:rsidR="00B35F4C" w:rsidRPr="00B35F4C" w:rsidRDefault="00B35F4C" w:rsidP="00B35F4C">
      <w:pPr>
        <w:pStyle w:val="PlainText"/>
        <w:jc w:val="both"/>
        <w:rPr>
          <w:rFonts w:ascii="Times New Roman" w:hAnsi="Times New Roman"/>
          <w:i/>
          <w:lang w:val="bg-BG"/>
        </w:rPr>
      </w:pPr>
      <w:r w:rsidRPr="00B35F4C">
        <w:rPr>
          <w:rFonts w:ascii="Times New Roman" w:hAnsi="Times New Roman"/>
          <w:i/>
          <w:lang w:val="bg-BG"/>
        </w:rPr>
        <w:t xml:space="preserve">На 24 ноември 2017 г. e прието решение от 44-тото Народно събрание (НС) на Република България за предприемане необходимите действия за приключване на Дело COMP/B1/AT.39849 – БЕХ Газ, с което НС подкрепя приключването на делото по реда на чл. 7 от Регламент (ЕО) № 1/2003 без признаване на твърдените нарушения и без поемане на отговорност за тях, като бъдат изпълнени задълженията, произтичащи от евентуално забранително решение, включително относно евентуална финансова санкция. </w:t>
      </w:r>
    </w:p>
    <w:p w:rsidR="00072161" w:rsidRDefault="00072161" w:rsidP="00072161">
      <w:pPr>
        <w:pStyle w:val="PlainText"/>
        <w:ind w:firstLine="360"/>
        <w:jc w:val="both"/>
        <w:rPr>
          <w:rFonts w:ascii="Times New Roman" w:hAnsi="Times New Roman"/>
          <w:i/>
          <w:lang w:val="bg-BG"/>
        </w:rPr>
      </w:pPr>
    </w:p>
    <w:p w:rsidR="00B35F4C" w:rsidRDefault="00B35F4C" w:rsidP="00072161">
      <w:pPr>
        <w:pStyle w:val="PlainText"/>
        <w:ind w:firstLine="360"/>
        <w:jc w:val="both"/>
        <w:rPr>
          <w:rFonts w:ascii="Times New Roman" w:hAnsi="Times New Roman"/>
          <w:i/>
          <w:lang w:val="bg-BG"/>
        </w:rPr>
      </w:pPr>
      <w:r w:rsidRPr="00B35F4C">
        <w:rPr>
          <w:rFonts w:ascii="Times New Roman" w:hAnsi="Times New Roman"/>
          <w:i/>
          <w:lang w:val="bg-BG"/>
        </w:rPr>
        <w:t xml:space="preserve">На 26 юли 2018 г. е прието решение от 44-тото Народно събрание (НС) на Република България за предприемане необходимите действия за приключване на Дело COMP/B1/AT.39849 – БЕХ Газ, с което НС </w:t>
      </w:r>
      <w:r w:rsidRPr="00B35F4C">
        <w:rPr>
          <w:rFonts w:ascii="Times New Roman" w:hAnsi="Times New Roman"/>
          <w:i/>
          <w:lang w:val="bg-BG"/>
        </w:rPr>
        <w:lastRenderedPageBreak/>
        <w:t>приема Решение за предприемане на действия за постигане на споразумение по Дело COMP/B1/AT.39849- БЕХ-газ.</w:t>
      </w:r>
    </w:p>
    <w:p w:rsidR="00B35F4C" w:rsidRPr="00B35F4C" w:rsidRDefault="00B35F4C" w:rsidP="00B35F4C">
      <w:pPr>
        <w:pStyle w:val="PlainText"/>
        <w:jc w:val="both"/>
        <w:rPr>
          <w:rFonts w:ascii="Times New Roman" w:hAnsi="Times New Roman"/>
          <w:i/>
          <w:lang w:val="bg-BG"/>
        </w:rPr>
      </w:pPr>
    </w:p>
    <w:p w:rsidR="00B35F4C" w:rsidRPr="00272B09" w:rsidRDefault="00B35F4C" w:rsidP="00B35F4C">
      <w:pPr>
        <w:pStyle w:val="PlainText"/>
        <w:ind w:firstLine="360"/>
        <w:jc w:val="both"/>
        <w:rPr>
          <w:rFonts w:ascii="Times New Roman" w:hAnsi="Times New Roman"/>
          <w:i/>
        </w:rPr>
      </w:pPr>
      <w:r w:rsidRPr="00B35F4C">
        <w:rPr>
          <w:rFonts w:ascii="Times New Roman" w:hAnsi="Times New Roman"/>
          <w:i/>
          <w:lang w:val="bg-BG"/>
        </w:rPr>
        <w:t>Към настоящия момент Европейската комисията не е взела официално решение за приключване на делото, включително относно евентуалния размер на финансовата санкция.</w:t>
      </w:r>
    </w:p>
    <w:p w:rsidR="009A1D0E" w:rsidRDefault="009A1D0E" w:rsidP="009A1D0E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both"/>
        <w:rPr>
          <w:rFonts w:ascii="Times New Roman" w:hAnsi="Times New Roman" w:cs="Times New Roman"/>
          <w:i/>
        </w:rPr>
      </w:pPr>
      <w:r w:rsidRPr="00272B09">
        <w:rPr>
          <w:rFonts w:ascii="Times New Roman" w:hAnsi="Times New Roman" w:cs="Times New Roman"/>
          <w:i/>
          <w:highlight w:val="yellow"/>
        </w:rPr>
        <w:t xml:space="preserve"> </w:t>
      </w:r>
    </w:p>
    <w:p w:rsidR="00B35F4C" w:rsidRDefault="00B35F4C" w:rsidP="009A1D0E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both"/>
        <w:rPr>
          <w:rFonts w:ascii="Times New Roman" w:hAnsi="Times New Roman" w:cs="Times New Roman"/>
          <w:i/>
        </w:rPr>
      </w:pPr>
    </w:p>
    <w:p w:rsidR="0084025F" w:rsidRPr="007B7956" w:rsidRDefault="000B7A9D">
      <w:pPr>
        <w:numPr>
          <w:ilvl w:val="0"/>
          <w:numId w:val="1"/>
        </w:numPr>
        <w:tabs>
          <w:tab w:val="clear" w:pos="432"/>
          <w:tab w:val="decimal" w:pos="792"/>
        </w:tabs>
        <w:spacing w:before="288" w:line="273" w:lineRule="auto"/>
        <w:ind w:left="792" w:right="144" w:hanging="432"/>
        <w:jc w:val="both"/>
        <w:rPr>
          <w:rFonts w:ascii="Times New Roman" w:hAnsi="Times New Roman" w:cs="Times New Roman"/>
          <w:color w:val="000000"/>
          <w:spacing w:val="8"/>
        </w:rPr>
      </w:pPr>
      <w:r w:rsidRPr="007B7956">
        <w:rPr>
          <w:rFonts w:ascii="Times New Roman" w:hAnsi="Times New Roman" w:cs="Times New Roman"/>
          <w:color w:val="000000"/>
          <w:spacing w:val="8"/>
        </w:rPr>
        <w:t xml:space="preserve">Информация за </w:t>
      </w:r>
      <w:r w:rsidR="000D0340" w:rsidRPr="007B7956">
        <w:rPr>
          <w:rFonts w:ascii="Times New Roman" w:hAnsi="Times New Roman" w:cs="Times New Roman"/>
          <w:color w:val="000000"/>
          <w:spacing w:val="8"/>
        </w:rPr>
        <w:t>о</w:t>
      </w:r>
      <w:r w:rsidRPr="007B7956">
        <w:rPr>
          <w:rFonts w:ascii="Times New Roman" w:hAnsi="Times New Roman" w:cs="Times New Roman"/>
          <w:color w:val="000000"/>
          <w:spacing w:val="8"/>
        </w:rPr>
        <w:t xml:space="preserve">тпуснатите </w:t>
      </w:r>
      <w:r w:rsidR="007B7956" w:rsidRPr="007B7956">
        <w:rPr>
          <w:rFonts w:ascii="Times New Roman" w:hAnsi="Times New Roman" w:cs="Times New Roman"/>
          <w:color w:val="000000"/>
          <w:spacing w:val="8"/>
        </w:rPr>
        <w:t>от</w:t>
      </w:r>
      <w:r w:rsidRPr="007B7956">
        <w:rPr>
          <w:rFonts w:ascii="Times New Roman" w:hAnsi="Times New Roman" w:cs="Times New Roman"/>
          <w:color w:val="000000"/>
          <w:spacing w:val="8"/>
        </w:rPr>
        <w:t xml:space="preserve"> емитента или негов</w:t>
      </w:r>
      <w:r w:rsidR="007B7956">
        <w:rPr>
          <w:rFonts w:ascii="Times New Roman" w:hAnsi="Times New Roman" w:cs="Times New Roman"/>
          <w:color w:val="000000"/>
          <w:spacing w:val="8"/>
        </w:rPr>
        <w:t>о</w:t>
      </w:r>
      <w:r w:rsidRPr="007B7956">
        <w:rPr>
          <w:rFonts w:ascii="Times New Roman" w:hAnsi="Times New Roman" w:cs="Times New Roman"/>
          <w:color w:val="000000"/>
          <w:spacing w:val="8"/>
        </w:rPr>
        <w:t xml:space="preserve"> дъщерно дружеств</w:t>
      </w:r>
      <w:r w:rsidR="000D0340" w:rsidRPr="007B7956">
        <w:rPr>
          <w:rFonts w:ascii="Times New Roman" w:hAnsi="Times New Roman" w:cs="Times New Roman"/>
          <w:color w:val="000000"/>
          <w:spacing w:val="8"/>
        </w:rPr>
        <w:t>о</w:t>
      </w:r>
      <w:r w:rsidRPr="007B7956">
        <w:rPr>
          <w:rFonts w:ascii="Times New Roman" w:hAnsi="Times New Roman" w:cs="Times New Roman"/>
          <w:color w:val="000000"/>
          <w:spacing w:val="8"/>
        </w:rPr>
        <w:t xml:space="preserve"> заеми, </w:t>
      </w:r>
      <w:r w:rsidRPr="007B7956">
        <w:rPr>
          <w:rFonts w:ascii="Times New Roman" w:hAnsi="Times New Roman" w:cs="Times New Roman"/>
          <w:color w:val="000000"/>
        </w:rPr>
        <w:t>пред</w:t>
      </w:r>
      <w:r w:rsidR="000D0340" w:rsidRPr="007B7956">
        <w:rPr>
          <w:rFonts w:ascii="Times New Roman" w:hAnsi="Times New Roman" w:cs="Times New Roman"/>
          <w:color w:val="000000"/>
        </w:rPr>
        <w:t>о</w:t>
      </w:r>
      <w:r w:rsidRPr="007B7956">
        <w:rPr>
          <w:rFonts w:ascii="Times New Roman" w:hAnsi="Times New Roman" w:cs="Times New Roman"/>
          <w:color w:val="000000"/>
        </w:rPr>
        <w:t>ставяне на гаранции или поемане на задължения общо към едно лице или не</w:t>
      </w:r>
      <w:r w:rsidR="000D0340" w:rsidRPr="007B7956">
        <w:rPr>
          <w:rFonts w:ascii="Times New Roman" w:hAnsi="Times New Roman" w:cs="Times New Roman"/>
          <w:color w:val="000000"/>
        </w:rPr>
        <w:t>го</w:t>
      </w:r>
      <w:r w:rsidRPr="007B7956">
        <w:rPr>
          <w:rFonts w:ascii="Times New Roman" w:hAnsi="Times New Roman" w:cs="Times New Roman"/>
          <w:color w:val="000000"/>
        </w:rPr>
        <w:t xml:space="preserve">во </w:t>
      </w:r>
      <w:r w:rsidRPr="007B7956">
        <w:rPr>
          <w:rFonts w:ascii="Times New Roman" w:hAnsi="Times New Roman" w:cs="Times New Roman"/>
          <w:color w:val="000000"/>
          <w:spacing w:val="4"/>
        </w:rPr>
        <w:t xml:space="preserve">дъщерно дружества, в това число и на свързани лица </w:t>
      </w:r>
      <w:r w:rsidR="000D0340" w:rsidRPr="007B7956">
        <w:rPr>
          <w:rFonts w:ascii="Times New Roman" w:hAnsi="Times New Roman" w:cs="Times New Roman"/>
          <w:color w:val="000000"/>
          <w:spacing w:val="4"/>
        </w:rPr>
        <w:t>и</w:t>
      </w:r>
      <w:r w:rsidRPr="007B7956">
        <w:rPr>
          <w:rFonts w:ascii="Times New Roman" w:hAnsi="Times New Roman" w:cs="Times New Roman"/>
          <w:color w:val="000000"/>
          <w:spacing w:val="4"/>
        </w:rPr>
        <w:t xml:space="preserve"> посочване на характера на </w:t>
      </w:r>
      <w:r w:rsidRPr="007B7956">
        <w:rPr>
          <w:rFonts w:ascii="Times New Roman" w:hAnsi="Times New Roman" w:cs="Times New Roman"/>
          <w:color w:val="000000"/>
          <w:spacing w:val="-5"/>
        </w:rPr>
        <w:t>взаимоотношенията между емитента и лицето, размера на неизплатената г</w:t>
      </w:r>
      <w:r w:rsidR="000D0340" w:rsidRPr="007B7956">
        <w:rPr>
          <w:rFonts w:ascii="Times New Roman" w:hAnsi="Times New Roman" w:cs="Times New Roman"/>
          <w:color w:val="000000"/>
          <w:spacing w:val="-5"/>
        </w:rPr>
        <w:t>л</w:t>
      </w:r>
      <w:r w:rsidRPr="007B7956">
        <w:rPr>
          <w:rFonts w:ascii="Times New Roman" w:hAnsi="Times New Roman" w:cs="Times New Roman"/>
          <w:color w:val="000000"/>
          <w:spacing w:val="-5"/>
        </w:rPr>
        <w:t xml:space="preserve">авница, лихвен </w:t>
      </w:r>
      <w:r w:rsidRPr="007B7956">
        <w:rPr>
          <w:rFonts w:ascii="Times New Roman" w:hAnsi="Times New Roman" w:cs="Times New Roman"/>
          <w:color w:val="000000"/>
          <w:spacing w:val="-2"/>
        </w:rPr>
        <w:t>процент, краен срок на п</w:t>
      </w:r>
      <w:r w:rsidR="000D0340" w:rsidRPr="007B7956">
        <w:rPr>
          <w:rFonts w:ascii="Times New Roman" w:hAnsi="Times New Roman" w:cs="Times New Roman"/>
          <w:color w:val="000000"/>
          <w:spacing w:val="-2"/>
        </w:rPr>
        <w:t>о</w:t>
      </w:r>
      <w:r w:rsidRPr="007B7956">
        <w:rPr>
          <w:rFonts w:ascii="Times New Roman" w:hAnsi="Times New Roman" w:cs="Times New Roman"/>
          <w:color w:val="000000"/>
          <w:spacing w:val="-2"/>
        </w:rPr>
        <w:t>гасяване, размер на поетото задължен</w:t>
      </w:r>
      <w:r w:rsidR="000D0340" w:rsidRPr="007B7956">
        <w:rPr>
          <w:rFonts w:ascii="Times New Roman" w:hAnsi="Times New Roman" w:cs="Times New Roman"/>
          <w:color w:val="000000"/>
          <w:spacing w:val="-2"/>
        </w:rPr>
        <w:t>и</w:t>
      </w:r>
      <w:r w:rsidRPr="007B7956">
        <w:rPr>
          <w:rFonts w:ascii="Times New Roman" w:hAnsi="Times New Roman" w:cs="Times New Roman"/>
          <w:color w:val="000000"/>
          <w:spacing w:val="-2"/>
        </w:rPr>
        <w:t>е, условия и ср</w:t>
      </w:r>
      <w:r w:rsidR="000D0340" w:rsidRPr="007B7956">
        <w:rPr>
          <w:rFonts w:ascii="Times New Roman" w:hAnsi="Times New Roman" w:cs="Times New Roman"/>
          <w:color w:val="000000"/>
          <w:spacing w:val="-2"/>
        </w:rPr>
        <w:t>о</w:t>
      </w:r>
      <w:r w:rsidRPr="007B7956">
        <w:rPr>
          <w:rFonts w:ascii="Times New Roman" w:hAnsi="Times New Roman" w:cs="Times New Roman"/>
          <w:color w:val="000000"/>
          <w:spacing w:val="-2"/>
        </w:rPr>
        <w:t>к.</w:t>
      </w:r>
    </w:p>
    <w:p w:rsidR="00B35F4C" w:rsidRDefault="007B7956" w:rsidP="005E7A90">
      <w:pPr>
        <w:tabs>
          <w:tab w:val="decimal" w:pos="432"/>
          <w:tab w:val="decimal" w:pos="792"/>
        </w:tabs>
        <w:spacing w:before="288" w:line="273" w:lineRule="auto"/>
        <w:ind w:right="144"/>
        <w:jc w:val="both"/>
        <w:rPr>
          <w:rFonts w:ascii="Times New Roman" w:hAnsi="Times New Roman" w:cs="Times New Roman"/>
          <w:b/>
          <w:color w:val="000000"/>
          <w:spacing w:val="-9"/>
          <w:w w:val="105"/>
        </w:rPr>
      </w:pPr>
      <w:r w:rsidRPr="00062C2D">
        <w:rPr>
          <w:rFonts w:ascii="Times New Roman" w:hAnsi="Times New Roman" w:cs="Times New Roman"/>
          <w:i/>
        </w:rPr>
        <w:t>Дружеството не е отпускало заеми, не е предоставяло гаранции или поемало задължения към едно лице или негово дъщерно дружества, в това число и на свързани лица.</w:t>
      </w: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 w:rsidP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Pr="00E96B47" w:rsidRDefault="005E7A90" w:rsidP="005E7A90">
      <w:pPr>
        <w:spacing w:before="8" w:line="278" w:lineRule="auto"/>
        <w:rPr>
          <w:rFonts w:ascii="Times New Roman" w:hAnsi="Times New Roman" w:cs="Times New Roman"/>
          <w:b/>
          <w:color w:val="000000"/>
          <w:spacing w:val="-9"/>
          <w:w w:val="105"/>
        </w:rPr>
      </w:pPr>
      <w:r>
        <w:rPr>
          <w:rFonts w:ascii="Times New Roman" w:hAnsi="Times New Roman" w:cs="Times New Roman"/>
          <w:b/>
          <w:color w:val="000000"/>
          <w:spacing w:val="-9"/>
          <w:w w:val="105"/>
        </w:rPr>
        <w:t xml:space="preserve">За „БУЛГАРГАЗ“ ЕАД </w:t>
      </w:r>
    </w:p>
    <w:p w:rsidR="005E7A90" w:rsidRDefault="005E7A90" w:rsidP="005E7A90">
      <w:pPr>
        <w:spacing w:before="8" w:line="278" w:lineRule="auto"/>
        <w:rPr>
          <w:rFonts w:ascii="Times New Roman" w:hAnsi="Times New Roman" w:cs="Times New Roman"/>
          <w:b/>
          <w:color w:val="000000"/>
          <w:spacing w:val="-9"/>
          <w:w w:val="105"/>
        </w:rPr>
      </w:pPr>
    </w:p>
    <w:p w:rsidR="005E7A90" w:rsidRPr="00BE6C6F" w:rsidRDefault="005E7A90" w:rsidP="005E7A90">
      <w:pPr>
        <w:spacing w:before="8" w:line="278" w:lineRule="auto"/>
        <w:rPr>
          <w:rFonts w:ascii="Times New Roman" w:hAnsi="Times New Roman" w:cs="Times New Roman"/>
          <w:b/>
          <w:color w:val="000000"/>
          <w:spacing w:val="-9"/>
          <w:w w:val="105"/>
        </w:rPr>
      </w:pPr>
      <w:r w:rsidRPr="00BE6C6F">
        <w:rPr>
          <w:rFonts w:ascii="Times New Roman" w:hAnsi="Times New Roman" w:cs="Times New Roman"/>
          <w:b/>
          <w:color w:val="000000"/>
          <w:spacing w:val="-9"/>
          <w:w w:val="105"/>
        </w:rPr>
        <w:t>НИКОЛАЙ ПАВЛОВ</w:t>
      </w:r>
    </w:p>
    <w:p w:rsidR="005E7A90" w:rsidRPr="00BE6C6F" w:rsidRDefault="005E7A90" w:rsidP="005E7A90">
      <w:pPr>
        <w:spacing w:before="8" w:line="278" w:lineRule="auto"/>
        <w:rPr>
          <w:rFonts w:ascii="Times New Roman" w:hAnsi="Times New Roman" w:cs="Times New Roman"/>
          <w:b/>
          <w:color w:val="000000"/>
          <w:spacing w:val="-9"/>
          <w:w w:val="105"/>
        </w:rPr>
      </w:pPr>
      <w:r w:rsidRPr="00BE6C6F">
        <w:rPr>
          <w:rFonts w:ascii="Times New Roman" w:hAnsi="Times New Roman" w:cs="Times New Roman"/>
          <w:b/>
          <w:color w:val="000000"/>
          <w:spacing w:val="-9"/>
          <w:w w:val="105"/>
        </w:rPr>
        <w:t>Изпълнителен директор</w:t>
      </w: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p w:rsidR="005E7A90" w:rsidRDefault="005E7A90">
      <w:pPr>
        <w:rPr>
          <w:rFonts w:ascii="Times New Roman" w:hAnsi="Times New Roman" w:cs="Times New Roman"/>
          <w:color w:val="000000"/>
          <w:w w:val="105"/>
        </w:rPr>
      </w:pPr>
    </w:p>
    <w:sectPr w:rsidR="005E7A90" w:rsidSect="00986075">
      <w:headerReference w:type="default" r:id="rId8"/>
      <w:headerReference w:type="first" r:id="rId9"/>
      <w:pgSz w:w="11918" w:h="16854"/>
      <w:pgMar w:top="2077" w:right="1308" w:bottom="365" w:left="1370" w:header="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FE3" w:rsidRDefault="00DC5FE3" w:rsidP="00207A4F">
      <w:r>
        <w:separator/>
      </w:r>
    </w:p>
  </w:endnote>
  <w:endnote w:type="continuationSeparator" w:id="0">
    <w:p w:rsidR="00DC5FE3" w:rsidRDefault="00DC5FE3" w:rsidP="00207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CC"/>
    <w:pitch w:val="variable"/>
    <w:family w:val="swiss"/>
    <w:panose1 w:val="02020603050405020304"/>
  </w:font>
  <w:font w:name="Courier New">
    <w:charset w:val="CC"/>
    <w:pitch w:val="fixed"/>
    <w:family w:val="auto"/>
    <w:panose1 w:val="02020603050405020304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FE3" w:rsidRDefault="00DC5FE3" w:rsidP="00207A4F">
      <w:r>
        <w:separator/>
      </w:r>
    </w:p>
  </w:footnote>
  <w:footnote w:type="continuationSeparator" w:id="0">
    <w:p w:rsidR="00DC5FE3" w:rsidRDefault="00DC5FE3" w:rsidP="00207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75" w:rsidRDefault="00986075" w:rsidP="00986075">
    <w:pPr>
      <w:pStyle w:val="Header"/>
      <w:jc w:val="center"/>
      <w:rPr>
        <w:lang w:val="en-US"/>
      </w:rPr>
    </w:pPr>
  </w:p>
  <w:p w:rsidR="00986075" w:rsidRDefault="00986075" w:rsidP="00986075">
    <w:pPr>
      <w:pStyle w:val="Header"/>
      <w:jc w:val="center"/>
      <w:rPr>
        <w:rFonts w:ascii="Times New Roman" w:hAnsi="Times New Roman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2940711" cy="406400"/>
          <wp:effectExtent l="0" t="0" r="0" b="0"/>
          <wp:docPr id="20" name="Picture 20" descr="BGG Cy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G Cy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040" cy="4082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>______________________________________________________</w:t>
    </w:r>
    <w:r>
      <w:rPr>
        <w:lang w:val="en-US"/>
      </w:rPr>
      <w:br/>
    </w:r>
    <w:r w:rsidRPr="00986075">
      <w:rPr>
        <w:rFonts w:ascii="Times New Roman" w:hAnsi="Times New Roman"/>
        <w:sz w:val="18"/>
        <w:szCs w:val="18"/>
      </w:rPr>
      <w:t>София 1</w:t>
    </w:r>
    <w:r w:rsidRPr="00986075">
      <w:rPr>
        <w:rFonts w:ascii="Times New Roman" w:hAnsi="Times New Roman"/>
        <w:sz w:val="18"/>
        <w:szCs w:val="18"/>
        <w:lang w:val="en-US"/>
      </w:rPr>
      <w:t>000</w:t>
    </w:r>
    <w:r w:rsidRPr="00986075">
      <w:rPr>
        <w:rFonts w:ascii="Times New Roman" w:hAnsi="Times New Roman"/>
        <w:sz w:val="18"/>
        <w:szCs w:val="18"/>
      </w:rPr>
      <w:t xml:space="preserve">, ул. </w:t>
    </w:r>
    <w:r w:rsidRPr="00986075">
      <w:rPr>
        <w:rFonts w:ascii="Times New Roman" w:hAnsi="Times New Roman"/>
        <w:sz w:val="18"/>
        <w:szCs w:val="18"/>
        <w:lang w:val="en-US"/>
      </w:rPr>
      <w:t>“</w:t>
    </w:r>
    <w:r w:rsidRPr="00986075">
      <w:rPr>
        <w:rFonts w:ascii="Times New Roman" w:hAnsi="Times New Roman"/>
        <w:sz w:val="18"/>
        <w:szCs w:val="18"/>
      </w:rPr>
      <w:t>Петър Парчевич</w:t>
    </w:r>
    <w:r w:rsidRPr="00986075">
      <w:rPr>
        <w:rFonts w:ascii="Times New Roman" w:hAnsi="Times New Roman"/>
        <w:sz w:val="18"/>
        <w:szCs w:val="18"/>
        <w:lang w:val="en-US"/>
      </w:rPr>
      <w:t>”</w:t>
    </w:r>
    <w:r w:rsidRPr="00986075">
      <w:rPr>
        <w:rFonts w:ascii="Times New Roman" w:hAnsi="Times New Roman"/>
        <w:sz w:val="18"/>
        <w:szCs w:val="18"/>
      </w:rPr>
      <w:t xml:space="preserve"> № 47</w:t>
    </w:r>
    <w:r w:rsidRPr="00986075">
      <w:rPr>
        <w:rFonts w:ascii="Times New Roman" w:hAnsi="Times New Roman"/>
        <w:sz w:val="18"/>
        <w:szCs w:val="18"/>
        <w:lang w:val="en-US"/>
      </w:rPr>
      <w:t xml:space="preserve">, </w:t>
    </w:r>
    <w:r w:rsidRPr="00986075">
      <w:rPr>
        <w:rFonts w:ascii="Times New Roman" w:hAnsi="Times New Roman"/>
        <w:sz w:val="18"/>
        <w:szCs w:val="18"/>
      </w:rPr>
      <w:t xml:space="preserve">ЕИК </w:t>
    </w:r>
    <w:r w:rsidRPr="00986075">
      <w:rPr>
        <w:rFonts w:ascii="Times New Roman" w:hAnsi="Times New Roman"/>
        <w:sz w:val="18"/>
        <w:szCs w:val="18"/>
        <w:lang w:val="en-US"/>
      </w:rPr>
      <w:t>175203485</w:t>
    </w:r>
    <w:r w:rsidRPr="00986075">
      <w:rPr>
        <w:rFonts w:ascii="Times New Roman" w:hAnsi="Times New Roman"/>
        <w:lang w:val="en-US"/>
      </w:rPr>
      <w:br/>
    </w:r>
    <w:r w:rsidRPr="00986075">
      <w:rPr>
        <w:rFonts w:ascii="Times New Roman" w:hAnsi="Times New Roman"/>
        <w:sz w:val="18"/>
        <w:szCs w:val="18"/>
      </w:rPr>
      <w:t xml:space="preserve">тел: 02 935 89 44, факс: 02 925 03 94, </w:t>
    </w:r>
    <w:hyperlink r:id="rId2" w:history="1">
      <w:r w:rsidR="00B35F4C" w:rsidRPr="0031796F">
        <w:rPr>
          <w:rStyle w:val="Hyperlink"/>
          <w:rFonts w:ascii="Times New Roman" w:hAnsi="Times New Roman"/>
          <w:sz w:val="18"/>
          <w:szCs w:val="18"/>
        </w:rPr>
        <w:t>www.bulgargaz.bg</w:t>
      </w:r>
    </w:hyperlink>
  </w:p>
  <w:p w:rsidR="00B35F4C" w:rsidRPr="00986075" w:rsidRDefault="00B35F4C" w:rsidP="00986075">
    <w:pPr>
      <w:pStyle w:val="Header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4F" w:rsidRDefault="00207A4F" w:rsidP="00207A4F">
    <w:pPr>
      <w:pStyle w:val="Header"/>
      <w:jc w:val="center"/>
    </w:pPr>
    <w:r w:rsidRPr="004F2FDE">
      <w:rPr>
        <w:noProof/>
        <w:sz w:val="18"/>
        <w:szCs w:val="18"/>
      </w:rPr>
      <w:drawing>
        <wp:inline distT="0" distB="0" distL="0" distR="0">
          <wp:extent cx="2230755" cy="408940"/>
          <wp:effectExtent l="0" t="0" r="0" b="0"/>
          <wp:docPr id="21" name="Picture 21" descr="BGG Cy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GG Cy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75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68EA"/>
    <w:multiLevelType w:val="multilevel"/>
    <w:tmpl w:val="44525A50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-3"/>
        <w:w w:val="100"/>
        <w:sz w:val="20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BC640A"/>
    <w:multiLevelType w:val="hybridMultilevel"/>
    <w:tmpl w:val="52B2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4025F"/>
    <w:rsid w:val="00062C2D"/>
    <w:rsid w:val="00072161"/>
    <w:rsid w:val="000B7A9D"/>
    <w:rsid w:val="000D0340"/>
    <w:rsid w:val="0010587F"/>
    <w:rsid w:val="00146669"/>
    <w:rsid w:val="00166E62"/>
    <w:rsid w:val="001A10AF"/>
    <w:rsid w:val="001B44D4"/>
    <w:rsid w:val="00207A4F"/>
    <w:rsid w:val="00223850"/>
    <w:rsid w:val="00236100"/>
    <w:rsid w:val="002644EA"/>
    <w:rsid w:val="00272B09"/>
    <w:rsid w:val="002A66EB"/>
    <w:rsid w:val="00332E36"/>
    <w:rsid w:val="003C0159"/>
    <w:rsid w:val="004B109A"/>
    <w:rsid w:val="004B356C"/>
    <w:rsid w:val="004C7A26"/>
    <w:rsid w:val="005D0005"/>
    <w:rsid w:val="005D2B93"/>
    <w:rsid w:val="005E7A90"/>
    <w:rsid w:val="006201D8"/>
    <w:rsid w:val="0064353D"/>
    <w:rsid w:val="006809FF"/>
    <w:rsid w:val="006F3812"/>
    <w:rsid w:val="00743BC3"/>
    <w:rsid w:val="007B7956"/>
    <w:rsid w:val="007C2232"/>
    <w:rsid w:val="007E466F"/>
    <w:rsid w:val="0084025F"/>
    <w:rsid w:val="008475F2"/>
    <w:rsid w:val="00940E38"/>
    <w:rsid w:val="00986075"/>
    <w:rsid w:val="009A1D0E"/>
    <w:rsid w:val="00A10705"/>
    <w:rsid w:val="00A44477"/>
    <w:rsid w:val="00AB6476"/>
    <w:rsid w:val="00B35F4C"/>
    <w:rsid w:val="00BA06B4"/>
    <w:rsid w:val="00BC2769"/>
    <w:rsid w:val="00BE6C6F"/>
    <w:rsid w:val="00C02AB4"/>
    <w:rsid w:val="00C62EEA"/>
    <w:rsid w:val="00C6682E"/>
    <w:rsid w:val="00DC5FE3"/>
    <w:rsid w:val="00DE7727"/>
    <w:rsid w:val="00E069BD"/>
    <w:rsid w:val="00E22D41"/>
    <w:rsid w:val="00E66869"/>
    <w:rsid w:val="00E819F0"/>
    <w:rsid w:val="00E96B47"/>
    <w:rsid w:val="00EB53CC"/>
    <w:rsid w:val="00F1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B4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E62"/>
    <w:pPr>
      <w:tabs>
        <w:tab w:val="center" w:pos="4536"/>
        <w:tab w:val="right" w:pos="9072"/>
      </w:tabs>
      <w:spacing w:after="160" w:line="259" w:lineRule="auto"/>
    </w:pPr>
    <w:rPr>
      <w:rFonts w:eastAsiaTheme="minorEastAsia" w:cs="Times New Roman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166E62"/>
    <w:rPr>
      <w:rFonts w:eastAsiaTheme="minorEastAsia" w:cs="Times New Roman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07A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A4F"/>
  </w:style>
  <w:style w:type="paragraph" w:styleId="ListParagraph">
    <w:name w:val="List Paragraph"/>
    <w:basedOn w:val="Normal"/>
    <w:uiPriority w:val="34"/>
    <w:qFormat/>
    <w:rsid w:val="004C7A2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9A1D0E"/>
    <w:pPr>
      <w:suppressAutoHyphens/>
    </w:pPr>
    <w:rPr>
      <w:rFonts w:ascii="Courier New" w:eastAsia="Times New Roman" w:hAnsi="Courier New" w:cs="Times New Roman"/>
      <w:sz w:val="20"/>
      <w:szCs w:val="20"/>
      <w:lang w:val="en-US"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9A1D0E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6F"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B35F4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lgargaz.bg" TargetMode="External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895FC-D41C-45CC-96FF-43C03D58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 Yanchev</dc:creator>
  <cp:lastModifiedBy>mariya</cp:lastModifiedBy>
  <cp:revision>2</cp:revision>
  <cp:lastPrinted>2017-07-31T06:26:00Z</cp:lastPrinted>
  <dcterms:created xsi:type="dcterms:W3CDTF">2018-08-09T07:08:00Z</dcterms:created>
  <dcterms:modified xsi:type="dcterms:W3CDTF">2018-08-09T07:08:00Z</dcterms:modified>
</cp:coreProperties>
</file>