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55" w:rsidRPr="00D32511" w:rsidRDefault="00B45655" w:rsidP="00C92B78">
      <w:pPr>
        <w:shd w:val="clear" w:color="auto" w:fill="FFFFFF"/>
        <w:spacing w:line="250" w:lineRule="exact"/>
        <w:ind w:right="14"/>
        <w:jc w:val="center"/>
        <w:rPr>
          <w:b/>
          <w:bCs/>
          <w:spacing w:val="-2"/>
          <w:sz w:val="24"/>
          <w:szCs w:val="24"/>
        </w:rPr>
      </w:pPr>
      <w:r w:rsidRPr="00D32511">
        <w:rPr>
          <w:b/>
          <w:bCs/>
          <w:spacing w:val="-2"/>
          <w:sz w:val="24"/>
          <w:szCs w:val="24"/>
        </w:rPr>
        <w:t>ПРИЛОЖЕНИЕ КЪМ ФИНАНСОВИЯ ОТЧЕТ</w:t>
      </w:r>
    </w:p>
    <w:p w:rsidR="00B45655" w:rsidRPr="00D32511" w:rsidRDefault="00B45655" w:rsidP="00C92B78">
      <w:pPr>
        <w:shd w:val="clear" w:color="auto" w:fill="FFFFFF"/>
        <w:spacing w:line="250" w:lineRule="exact"/>
        <w:ind w:right="14"/>
        <w:jc w:val="center"/>
        <w:rPr>
          <w:sz w:val="24"/>
          <w:szCs w:val="24"/>
        </w:rPr>
      </w:pPr>
    </w:p>
    <w:p w:rsidR="00B45655" w:rsidRPr="00D32511" w:rsidRDefault="00B45655" w:rsidP="00BF7ACA">
      <w:pPr>
        <w:shd w:val="clear" w:color="auto" w:fill="FFFFFF"/>
        <w:spacing w:line="250" w:lineRule="exact"/>
        <w:ind w:left="2127" w:right="1840"/>
        <w:jc w:val="center"/>
        <w:rPr>
          <w:sz w:val="24"/>
          <w:szCs w:val="24"/>
        </w:rPr>
      </w:pPr>
      <w:r w:rsidRPr="00D32511">
        <w:rPr>
          <w:spacing w:val="-3"/>
          <w:sz w:val="24"/>
          <w:szCs w:val="24"/>
        </w:rPr>
        <w:t>На</w:t>
      </w:r>
      <w:r>
        <w:rPr>
          <w:spacing w:val="-3"/>
          <w:sz w:val="24"/>
          <w:szCs w:val="24"/>
        </w:rPr>
        <w:t xml:space="preserve"> </w:t>
      </w:r>
      <w:r w:rsidR="00002926">
        <w:rPr>
          <w:spacing w:val="-3"/>
          <w:sz w:val="24"/>
          <w:szCs w:val="24"/>
        </w:rPr>
        <w:t>ГОЛДИНС ООД</w:t>
      </w:r>
      <w:r w:rsidRPr="00D32511">
        <w:rPr>
          <w:b/>
          <w:bCs/>
          <w:spacing w:val="-3"/>
          <w:sz w:val="24"/>
          <w:szCs w:val="24"/>
        </w:rPr>
        <w:br/>
      </w:r>
      <w:r w:rsidRPr="00D32511">
        <w:rPr>
          <w:spacing w:val="-4"/>
          <w:sz w:val="24"/>
          <w:szCs w:val="24"/>
        </w:rPr>
        <w:t>към 3</w:t>
      </w:r>
      <w:r w:rsidR="00962CC6">
        <w:rPr>
          <w:spacing w:val="-4"/>
          <w:sz w:val="24"/>
          <w:szCs w:val="24"/>
        </w:rPr>
        <w:t>0 юни</w:t>
      </w:r>
      <w:r w:rsidRPr="00D32511">
        <w:rPr>
          <w:spacing w:val="-4"/>
          <w:sz w:val="24"/>
          <w:szCs w:val="24"/>
        </w:rPr>
        <w:t xml:space="preserve"> 201</w:t>
      </w:r>
      <w:r w:rsidR="009E22C8">
        <w:rPr>
          <w:spacing w:val="-4"/>
          <w:sz w:val="24"/>
          <w:szCs w:val="24"/>
        </w:rPr>
        <w:t>7</w:t>
      </w:r>
      <w:r w:rsidRPr="00D32511">
        <w:rPr>
          <w:spacing w:val="-4"/>
          <w:sz w:val="24"/>
          <w:szCs w:val="24"/>
        </w:rPr>
        <w:t xml:space="preserve"> г.</w:t>
      </w:r>
    </w:p>
    <w:p w:rsidR="00B45655" w:rsidRPr="00D32511" w:rsidRDefault="00B45655"/>
    <w:p w:rsidR="00B45655" w:rsidRPr="00D32511" w:rsidRDefault="00B45655"/>
    <w:p w:rsidR="00B45655" w:rsidRPr="00D32511" w:rsidRDefault="00B45655" w:rsidP="00C92B78">
      <w:pPr>
        <w:pStyle w:val="Heading2"/>
        <w:rPr>
          <w:sz w:val="24"/>
          <w:szCs w:val="24"/>
        </w:rPr>
      </w:pPr>
      <w:r w:rsidRPr="00D32511">
        <w:rPr>
          <w:sz w:val="24"/>
          <w:szCs w:val="24"/>
        </w:rPr>
        <w:t>А. Справка</w:t>
      </w:r>
      <w:r w:rsidR="00C92573">
        <w:rPr>
          <w:sz w:val="24"/>
          <w:szCs w:val="24"/>
        </w:rPr>
        <w:t xml:space="preserve"> з</w:t>
      </w:r>
      <w:r w:rsidRPr="00D32511">
        <w:rPr>
          <w:sz w:val="24"/>
          <w:szCs w:val="24"/>
        </w:rPr>
        <w:t>а оповестяване на счетоводната политика</w:t>
      </w:r>
      <w:r w:rsidRPr="00D32511">
        <w:rPr>
          <w:spacing w:val="-3"/>
          <w:sz w:val="24"/>
          <w:szCs w:val="24"/>
        </w:rPr>
        <w:t xml:space="preserve">на </w:t>
      </w:r>
      <w:r w:rsidR="00002926">
        <w:rPr>
          <w:spacing w:val="-3"/>
          <w:sz w:val="24"/>
          <w:szCs w:val="24"/>
        </w:rPr>
        <w:t>ГОЛДИНС ООД</w:t>
      </w:r>
      <w:r>
        <w:rPr>
          <w:spacing w:val="-3"/>
          <w:sz w:val="24"/>
          <w:szCs w:val="24"/>
        </w:rPr>
        <w:t xml:space="preserve"> </w:t>
      </w:r>
      <w:r w:rsidRPr="00D32511">
        <w:rPr>
          <w:sz w:val="24"/>
          <w:szCs w:val="24"/>
        </w:rPr>
        <w:t xml:space="preserve">за </w:t>
      </w:r>
      <w:r w:rsidR="009E22C8">
        <w:rPr>
          <w:sz w:val="24"/>
          <w:szCs w:val="24"/>
        </w:rPr>
        <w:t xml:space="preserve">първо </w:t>
      </w:r>
      <w:r w:rsidR="00962CC6">
        <w:rPr>
          <w:sz w:val="24"/>
          <w:szCs w:val="24"/>
        </w:rPr>
        <w:t>шестмесечие</w:t>
      </w:r>
      <w:r w:rsidR="009E22C8">
        <w:rPr>
          <w:sz w:val="24"/>
          <w:szCs w:val="24"/>
        </w:rPr>
        <w:t xml:space="preserve"> на 2017</w:t>
      </w:r>
      <w:r w:rsidRPr="00D32511">
        <w:rPr>
          <w:sz w:val="24"/>
          <w:szCs w:val="24"/>
        </w:rPr>
        <w:t xml:space="preserve"> година</w:t>
      </w:r>
    </w:p>
    <w:p w:rsidR="00B45655" w:rsidRPr="00D32511" w:rsidRDefault="00B45655" w:rsidP="007D7DDF">
      <w:pPr>
        <w:rPr>
          <w:sz w:val="24"/>
          <w:szCs w:val="24"/>
        </w:rPr>
      </w:pPr>
    </w:p>
    <w:p w:rsidR="00B45655" w:rsidRPr="00D32511" w:rsidRDefault="00B45655" w:rsidP="007D7DDF">
      <w:pPr>
        <w:pStyle w:val="BodyText"/>
        <w:spacing w:line="360" w:lineRule="auto"/>
      </w:pPr>
      <w:r w:rsidRPr="00D32511">
        <w:t>Текущ период – периодът,  започващ на 01.01.201</w:t>
      </w:r>
      <w:r w:rsidR="009E22C8">
        <w:t>7</w:t>
      </w:r>
      <w:r w:rsidRPr="00D32511">
        <w:t>г. и завършващ на 3</w:t>
      </w:r>
      <w:r w:rsidR="00962CC6">
        <w:t>0</w:t>
      </w:r>
      <w:r w:rsidRPr="00D32511">
        <w:t>.</w:t>
      </w:r>
      <w:r w:rsidR="009E22C8">
        <w:t>0</w:t>
      </w:r>
      <w:r w:rsidR="00962CC6">
        <w:t>6</w:t>
      </w:r>
      <w:r w:rsidRPr="00D32511">
        <w:t>.201</w:t>
      </w:r>
      <w:r w:rsidR="009E22C8">
        <w:t>7</w:t>
      </w:r>
      <w:r w:rsidRPr="00D32511">
        <w:t>г.</w:t>
      </w:r>
    </w:p>
    <w:p w:rsidR="00B45655" w:rsidRPr="00D32511" w:rsidRDefault="00B45655" w:rsidP="007D7DDF">
      <w:pPr>
        <w:pStyle w:val="BodyText"/>
        <w:spacing w:line="360" w:lineRule="auto"/>
      </w:pPr>
      <w:r w:rsidRPr="00D32511">
        <w:t>Предходен период–периодът, започващ на 01.01.201</w:t>
      </w:r>
      <w:r w:rsidR="009E22C8">
        <w:t>6</w:t>
      </w:r>
      <w:r w:rsidRPr="00D32511">
        <w:t xml:space="preserve"> г. и завършващ на 3</w:t>
      </w:r>
      <w:r w:rsidR="00962CC6">
        <w:t>0</w:t>
      </w:r>
      <w:r w:rsidRPr="00D32511">
        <w:t>.</w:t>
      </w:r>
      <w:r w:rsidR="009E22C8">
        <w:t>0</w:t>
      </w:r>
      <w:r w:rsidR="00962CC6">
        <w:t>6</w:t>
      </w:r>
      <w:r w:rsidRPr="00D32511">
        <w:t>.201</w:t>
      </w:r>
      <w:r w:rsidR="009E22C8">
        <w:t>6</w:t>
      </w:r>
      <w:r w:rsidRPr="00D32511">
        <w:t xml:space="preserve"> г.</w:t>
      </w:r>
    </w:p>
    <w:p w:rsidR="00B45655" w:rsidRPr="00D32511" w:rsidRDefault="00B45655" w:rsidP="007D7DDF">
      <w:pPr>
        <w:pStyle w:val="BodyText"/>
        <w:spacing w:line="360" w:lineRule="auto"/>
        <w:outlineLvl w:val="0"/>
      </w:pPr>
      <w:r w:rsidRPr="00D32511">
        <w:t>Годишният финансов отчет е съставен в български лева, закръглени до хиляда.</w:t>
      </w:r>
    </w:p>
    <w:p w:rsidR="00B45655" w:rsidRPr="00D32511" w:rsidRDefault="00B45655" w:rsidP="007D7DDF">
      <w:pPr>
        <w:pStyle w:val="BodyText"/>
        <w:spacing w:line="360" w:lineRule="auto"/>
      </w:pPr>
      <w:r w:rsidRPr="00D32511">
        <w:t xml:space="preserve">Годишният финансов отчет е индивидуален отчет на </w:t>
      </w:r>
      <w:r w:rsidR="00002926">
        <w:t>ГОЛДИНС ООД</w:t>
      </w:r>
      <w:r w:rsidRPr="00D32511">
        <w:t>.</w:t>
      </w:r>
    </w:p>
    <w:p w:rsidR="00B45655" w:rsidRDefault="00B45655" w:rsidP="007D7DDF">
      <w:pPr>
        <w:pStyle w:val="BodyText"/>
        <w:spacing w:line="360" w:lineRule="auto"/>
      </w:pPr>
      <w:r w:rsidRPr="00D32511">
        <w:t>Адрес на управление: гр. С</w:t>
      </w:r>
      <w:r w:rsidR="00962CC6">
        <w:t>офия</w:t>
      </w:r>
      <w:r>
        <w:t>,</w:t>
      </w:r>
      <w:r w:rsidR="00962CC6">
        <w:t xml:space="preserve">район Красно село, </w:t>
      </w:r>
      <w:r>
        <w:t>ул.</w:t>
      </w:r>
      <w:r w:rsidR="00962CC6">
        <w:t>Владайска</w:t>
      </w:r>
      <w:r w:rsidR="00002926">
        <w:t xml:space="preserve"> </w:t>
      </w:r>
      <w:r>
        <w:t xml:space="preserve"> №</w:t>
      </w:r>
      <w:r w:rsidR="00962CC6">
        <w:t>43</w:t>
      </w:r>
    </w:p>
    <w:p w:rsidR="00B45655" w:rsidRPr="001E31D5" w:rsidRDefault="00B45655" w:rsidP="007D7DDF">
      <w:pPr>
        <w:pStyle w:val="BodyText"/>
        <w:spacing w:line="360" w:lineRule="auto"/>
      </w:pPr>
      <w:r w:rsidRPr="001E31D5">
        <w:t xml:space="preserve">Предприятието е вписано в Търговския регистър с ЕИК </w:t>
      </w:r>
      <w:r w:rsidR="00002926">
        <w:t>201335377</w:t>
      </w:r>
    </w:p>
    <w:p w:rsidR="00B45655" w:rsidRPr="00D32511" w:rsidRDefault="00B45655" w:rsidP="007D7DDF">
      <w:pPr>
        <w:rPr>
          <w:sz w:val="24"/>
          <w:szCs w:val="24"/>
        </w:rPr>
      </w:pPr>
    </w:p>
    <w:p w:rsidR="00B45655" w:rsidRPr="00D32511" w:rsidRDefault="00B45655">
      <w:pPr>
        <w:rPr>
          <w:sz w:val="24"/>
          <w:szCs w:val="24"/>
        </w:rPr>
      </w:pPr>
    </w:p>
    <w:p w:rsidR="00B45655" w:rsidRPr="00D32511" w:rsidRDefault="00B45655">
      <w:pPr>
        <w:rPr>
          <w:sz w:val="24"/>
          <w:szCs w:val="24"/>
        </w:rPr>
      </w:pPr>
      <w:r w:rsidRPr="00D32511">
        <w:rPr>
          <w:sz w:val="24"/>
          <w:szCs w:val="24"/>
        </w:rPr>
        <w:t xml:space="preserve">1.1 Счетоводна политика – </w:t>
      </w:r>
    </w:p>
    <w:p w:rsidR="00B45655" w:rsidRPr="00D32511" w:rsidRDefault="00B45655">
      <w:pPr>
        <w:rPr>
          <w:sz w:val="24"/>
          <w:szCs w:val="24"/>
        </w:rPr>
      </w:pPr>
      <w:r w:rsidRPr="00D32511">
        <w:rPr>
          <w:sz w:val="24"/>
          <w:szCs w:val="24"/>
        </w:rPr>
        <w:t xml:space="preserve">       Дружеството е утвърдило и води текущо счетоводство и изготвя финансовите си отчети в съответствие с изискванията на българското търговско и счетоводно законодателство. </w:t>
      </w:r>
      <w:r w:rsidRPr="003656B5">
        <w:rPr>
          <w:sz w:val="24"/>
          <w:szCs w:val="24"/>
        </w:rPr>
        <w:t>Спазват се изискванията на Националните счетоводни стандарти, включително освобождаванията за представяне и оповестяване по тези стандарти и по чл. 29 от Закона за счетоводството.</w:t>
      </w:r>
      <w:r w:rsidRPr="00D32511">
        <w:rPr>
          <w:sz w:val="24"/>
          <w:szCs w:val="24"/>
        </w:rPr>
        <w:t>Изготвен е индивидуален сметкоплан, съобразен със счетоводното законодателство. Счетоводната политика е изготвена така, че да се представи  вярно  имущественото и финансовото състояние на предприятието  и да се  избегне подвеждащо представяне на информацията.</w:t>
      </w:r>
    </w:p>
    <w:p w:rsidR="00B45655" w:rsidRPr="00D32511" w:rsidRDefault="00B45655" w:rsidP="007D7DDF">
      <w:pPr>
        <w:rPr>
          <w:sz w:val="24"/>
          <w:szCs w:val="24"/>
        </w:rPr>
      </w:pPr>
      <w:r w:rsidRPr="00D32511">
        <w:rPr>
          <w:sz w:val="24"/>
          <w:szCs w:val="24"/>
        </w:rPr>
        <w:t xml:space="preserve">      Годишният финансов  отчет е изготвен при спазване на принципите на историческа цена и действащо предприятие. </w:t>
      </w:r>
    </w:p>
    <w:p w:rsidR="00B45655" w:rsidRDefault="00B45655" w:rsidP="00C92B78">
      <w:pPr>
        <w:pStyle w:val="BodyTextIndent2"/>
        <w:ind w:firstLine="0"/>
      </w:pPr>
    </w:p>
    <w:p w:rsidR="00B45655" w:rsidRPr="00BB5086" w:rsidRDefault="00B45655" w:rsidP="00C92B78">
      <w:pPr>
        <w:pStyle w:val="BodyTextIndent2"/>
        <w:ind w:firstLine="0"/>
        <w:rPr>
          <w:color w:val="7030A0"/>
        </w:rPr>
      </w:pPr>
      <w:r w:rsidRPr="00002926">
        <w:t xml:space="preserve">Прилаганата от дружеството счетоводна политика не е променена спрямо прилаганата през преходния отчетен период. </w:t>
      </w:r>
    </w:p>
    <w:p w:rsidR="00B45655" w:rsidRPr="00D32511" w:rsidRDefault="00B45655" w:rsidP="00C92B78">
      <w:pPr>
        <w:pStyle w:val="BodyTextIndent2"/>
        <w:ind w:firstLine="0"/>
      </w:pPr>
    </w:p>
    <w:p w:rsidR="00B45655" w:rsidRPr="00D32511" w:rsidRDefault="00B45655">
      <w:pPr>
        <w:pStyle w:val="BodyTextIndent2"/>
        <w:ind w:firstLine="0"/>
      </w:pPr>
      <w:r w:rsidRPr="00D32511">
        <w:t>2. Дефиниция и оценка на елементите на счетоводния баланс</w:t>
      </w:r>
    </w:p>
    <w:p w:rsidR="00B45655" w:rsidRPr="00D32511" w:rsidRDefault="00B45655" w:rsidP="00C92B78">
      <w:pPr>
        <w:pStyle w:val="BodyTextIndent2"/>
        <w:ind w:firstLine="0"/>
      </w:pPr>
    </w:p>
    <w:p w:rsidR="00B45655" w:rsidRPr="00D32511" w:rsidRDefault="00B45655">
      <w:pPr>
        <w:pStyle w:val="BodyTextIndent2"/>
      </w:pPr>
      <w:r w:rsidRPr="00D32511">
        <w:t>2.1. Дружеството последователно прилага приетият подход в СС 16 при класифициране на активите като дълготрайни и на последващите разходи по тях като разходи за увеличаване на балансовата стойност на активите или като текущи разходи за дейността.Дълготрайните материални и нематериални активи са представени по цена на придобиване, формирана от покупната им стойност и допълнителните разходи по придобиването им, намалени с начислените им амортизации.</w:t>
      </w:r>
      <w:r w:rsidRPr="00D32511">
        <w:br/>
      </w:r>
      <w:r w:rsidRPr="00D32511">
        <w:tab/>
        <w:t xml:space="preserve">През </w:t>
      </w:r>
      <w:r w:rsidR="009E22C8">
        <w:t xml:space="preserve">първо </w:t>
      </w:r>
      <w:r w:rsidR="00962CC6">
        <w:t>шестмесечие</w:t>
      </w:r>
      <w:r w:rsidR="009E22C8">
        <w:t xml:space="preserve"> на 2017</w:t>
      </w:r>
      <w:r w:rsidRPr="00D32511">
        <w:t xml:space="preserve"> година </w:t>
      </w:r>
      <w:r w:rsidR="00962CC6">
        <w:t>има</w:t>
      </w:r>
      <w:r w:rsidRPr="00D32511">
        <w:t xml:space="preserve"> движение на дълготрайни материални активи.</w:t>
      </w:r>
    </w:p>
    <w:p w:rsidR="00B45655" w:rsidRDefault="00B45655">
      <w:pPr>
        <w:pStyle w:val="BodyTextIndent2"/>
      </w:pPr>
      <w:r w:rsidRPr="00D32511">
        <w:t>Дружеството е приело праг на същественост 700 лв.Амортизациите са начислявани по линейния метод.</w:t>
      </w:r>
    </w:p>
    <w:p w:rsidR="009E22C8" w:rsidRPr="00D32511" w:rsidRDefault="009E22C8">
      <w:pPr>
        <w:pStyle w:val="BodyTextIndent2"/>
      </w:pPr>
    </w:p>
    <w:p w:rsidR="00B45655" w:rsidRPr="00D32511" w:rsidRDefault="00C92573" w:rsidP="0033123E">
      <w:pPr>
        <w:rPr>
          <w:sz w:val="24"/>
          <w:szCs w:val="24"/>
        </w:rPr>
      </w:pPr>
      <w:r>
        <w:rPr>
          <w:sz w:val="24"/>
          <w:szCs w:val="24"/>
        </w:rPr>
        <w:t xml:space="preserve">      </w:t>
      </w:r>
      <w:r w:rsidR="00B45655" w:rsidRPr="00D32511">
        <w:rPr>
          <w:sz w:val="24"/>
          <w:szCs w:val="24"/>
        </w:rPr>
        <w:t xml:space="preserve">            2.2 Материалните запаси при тяхната покупка са оценявани по цена на придобиване;</w:t>
      </w:r>
    </w:p>
    <w:p w:rsidR="00B45655" w:rsidRPr="00D32511" w:rsidRDefault="00B45655" w:rsidP="00E04C22">
      <w:pPr>
        <w:pStyle w:val="BodyTextIndent2"/>
      </w:pPr>
      <w:r w:rsidRPr="00D32511">
        <w:t>Прилаганият метод за оценка на материалните запаси при потреблението им във</w:t>
      </w:r>
      <w:r w:rsidR="00725637">
        <w:t xml:space="preserve"> ГОЛДИНС ООД </w:t>
      </w:r>
      <w:r w:rsidRPr="00D32511">
        <w:t>е средна претеглена цена.</w:t>
      </w:r>
    </w:p>
    <w:p w:rsidR="00B45655" w:rsidRPr="00D32511" w:rsidRDefault="00B45655" w:rsidP="00E04C22">
      <w:pPr>
        <w:pStyle w:val="BodyTextIndent2"/>
      </w:pPr>
      <w:r w:rsidRPr="00D32511">
        <w:lastRenderedPageBreak/>
        <w:t>През</w:t>
      </w:r>
      <w:r w:rsidR="009E22C8">
        <w:t xml:space="preserve"> първо </w:t>
      </w:r>
      <w:r w:rsidR="00962CC6">
        <w:t>шестмесечие</w:t>
      </w:r>
      <w:r w:rsidR="009E22C8">
        <w:t xml:space="preserve"> на 2017</w:t>
      </w:r>
      <w:r w:rsidRPr="00D32511">
        <w:t xml:space="preserve"> година дружеството </w:t>
      </w:r>
      <w:r w:rsidR="00725637">
        <w:t xml:space="preserve"> не </w:t>
      </w:r>
      <w:r w:rsidRPr="00D32511">
        <w:t>отчита готова продукция. Метода на оценка на готовата продукция е сумата на набраните разходи за производството на единица продукция, при потреблението разхода се отчита по средно притеглена цена.</w:t>
      </w:r>
    </w:p>
    <w:p w:rsidR="00B45655" w:rsidRPr="00D32511" w:rsidRDefault="00B45655" w:rsidP="00E04C22">
      <w:pPr>
        <w:pStyle w:val="BodyTextIndent2"/>
      </w:pPr>
      <w:r w:rsidRPr="00D32511">
        <w:t>Към края на отчетния период дружеството  не отчита  незавършено производство.</w:t>
      </w:r>
    </w:p>
    <w:p w:rsidR="00B45655" w:rsidRPr="00D32511" w:rsidRDefault="00B45655" w:rsidP="00E04C22">
      <w:pPr>
        <w:pStyle w:val="BodyTextIndent2"/>
      </w:pPr>
    </w:p>
    <w:p w:rsidR="00B45655" w:rsidRPr="00D32511" w:rsidRDefault="00B45655" w:rsidP="00E04C22">
      <w:pPr>
        <w:rPr>
          <w:sz w:val="24"/>
          <w:szCs w:val="24"/>
        </w:rPr>
      </w:pPr>
      <w:r w:rsidRPr="00D32511">
        <w:rPr>
          <w:sz w:val="24"/>
          <w:szCs w:val="24"/>
        </w:rPr>
        <w:t xml:space="preserve">          2.3 Вземанията в левове са оценени по стойността на тяхното възникване. Вземания в чужда валута към 3</w:t>
      </w:r>
      <w:r w:rsidR="00962CC6">
        <w:rPr>
          <w:sz w:val="24"/>
          <w:szCs w:val="24"/>
        </w:rPr>
        <w:t>0</w:t>
      </w:r>
      <w:r w:rsidRPr="00D32511">
        <w:rPr>
          <w:sz w:val="24"/>
          <w:szCs w:val="24"/>
        </w:rPr>
        <w:t>.</w:t>
      </w:r>
      <w:r w:rsidR="009E22C8">
        <w:rPr>
          <w:sz w:val="24"/>
          <w:szCs w:val="24"/>
        </w:rPr>
        <w:t>0</w:t>
      </w:r>
      <w:r w:rsidR="00962CC6">
        <w:rPr>
          <w:sz w:val="24"/>
          <w:szCs w:val="24"/>
        </w:rPr>
        <w:t>6</w:t>
      </w:r>
      <w:r w:rsidRPr="00D32511">
        <w:rPr>
          <w:sz w:val="24"/>
          <w:szCs w:val="24"/>
        </w:rPr>
        <w:t>.201</w:t>
      </w:r>
      <w:r w:rsidR="009E22C8">
        <w:rPr>
          <w:sz w:val="24"/>
          <w:szCs w:val="24"/>
        </w:rPr>
        <w:t>7</w:t>
      </w:r>
      <w:r w:rsidRPr="00D32511">
        <w:rPr>
          <w:sz w:val="24"/>
          <w:szCs w:val="24"/>
        </w:rPr>
        <w:t xml:space="preserve"> година няма .</w:t>
      </w:r>
    </w:p>
    <w:p w:rsidR="00B45655" w:rsidRPr="00D32511" w:rsidRDefault="00B45655" w:rsidP="00E04C22">
      <w:pPr>
        <w:rPr>
          <w:sz w:val="24"/>
          <w:szCs w:val="24"/>
        </w:rPr>
      </w:pPr>
    </w:p>
    <w:p w:rsidR="00B45655" w:rsidRPr="00D32511" w:rsidRDefault="00B45655" w:rsidP="00E04C22">
      <w:pPr>
        <w:rPr>
          <w:sz w:val="24"/>
          <w:szCs w:val="24"/>
        </w:rPr>
      </w:pPr>
      <w:r w:rsidRPr="00D32511">
        <w:rPr>
          <w:sz w:val="24"/>
          <w:szCs w:val="24"/>
        </w:rPr>
        <w:t xml:space="preserve">         2.4. Паричните средства в левове са оценени по номиналната им стойност, а такива в чужда валута няма .</w:t>
      </w:r>
    </w:p>
    <w:p w:rsidR="00B45655" w:rsidRPr="00D32511" w:rsidRDefault="00B45655" w:rsidP="00A320F0">
      <w:pPr>
        <w:rPr>
          <w:sz w:val="24"/>
          <w:szCs w:val="24"/>
        </w:rPr>
      </w:pPr>
    </w:p>
    <w:p w:rsidR="00B45655" w:rsidRPr="00D32511" w:rsidRDefault="00B45655" w:rsidP="00A320F0">
      <w:pPr>
        <w:rPr>
          <w:sz w:val="24"/>
          <w:szCs w:val="24"/>
        </w:rPr>
      </w:pPr>
      <w:r w:rsidRPr="00D32511">
        <w:rPr>
          <w:sz w:val="24"/>
          <w:szCs w:val="24"/>
        </w:rPr>
        <w:t xml:space="preserve">          2.5.Към края на отчетния период дружеството  не отчита задължения към финансови институции .</w:t>
      </w:r>
    </w:p>
    <w:p w:rsidR="00B45655" w:rsidRPr="00D32511" w:rsidRDefault="00B45655" w:rsidP="00BE5CB1">
      <w:pPr>
        <w:rPr>
          <w:sz w:val="24"/>
          <w:szCs w:val="24"/>
        </w:rPr>
      </w:pPr>
    </w:p>
    <w:p w:rsidR="00B45655" w:rsidRPr="00D32511" w:rsidRDefault="00B45655" w:rsidP="00BE5CB1">
      <w:pPr>
        <w:rPr>
          <w:sz w:val="24"/>
          <w:szCs w:val="24"/>
        </w:rPr>
      </w:pPr>
      <w:r w:rsidRPr="00D32511">
        <w:rPr>
          <w:sz w:val="24"/>
          <w:szCs w:val="24"/>
        </w:rPr>
        <w:t xml:space="preserve">          2.</w:t>
      </w:r>
      <w:r w:rsidR="00725637">
        <w:rPr>
          <w:sz w:val="24"/>
          <w:szCs w:val="24"/>
        </w:rPr>
        <w:t>6</w:t>
      </w:r>
      <w:r w:rsidRPr="00D32511">
        <w:rPr>
          <w:sz w:val="24"/>
          <w:szCs w:val="24"/>
        </w:rPr>
        <w:t>. Като разходи/приходи за бъдещи периоди са представени суми, които са предплатени през настоящата, но се отнасят за следващата отчетна година.</w:t>
      </w:r>
    </w:p>
    <w:p w:rsidR="00B45655" w:rsidRPr="00D32511" w:rsidRDefault="00B45655" w:rsidP="00BE5CB1">
      <w:pPr>
        <w:rPr>
          <w:sz w:val="24"/>
          <w:szCs w:val="24"/>
        </w:rPr>
      </w:pPr>
    </w:p>
    <w:p w:rsidR="00B45655" w:rsidRPr="00D32511" w:rsidRDefault="00B45655" w:rsidP="00BE5CB1">
      <w:pPr>
        <w:shd w:val="clear" w:color="auto" w:fill="FFFFFF"/>
        <w:tabs>
          <w:tab w:val="left" w:pos="538"/>
        </w:tabs>
        <w:ind w:left="57"/>
        <w:rPr>
          <w:sz w:val="24"/>
          <w:szCs w:val="24"/>
        </w:rPr>
      </w:pPr>
      <w:r w:rsidRPr="00D32511">
        <w:rPr>
          <w:sz w:val="24"/>
          <w:szCs w:val="24"/>
        </w:rPr>
        <w:tab/>
      </w:r>
      <w:r w:rsidRPr="00D32511">
        <w:rPr>
          <w:sz w:val="24"/>
          <w:szCs w:val="24"/>
        </w:rPr>
        <w:tab/>
        <w:t>2.8  В изпълнение изискванията на СС 1, активите и пасивите, приходите и разходите са представени некомпенсирано.</w:t>
      </w:r>
    </w:p>
    <w:p w:rsidR="00B45655" w:rsidRPr="00D32511" w:rsidRDefault="00B45655" w:rsidP="00BE5CB1">
      <w:pPr>
        <w:rPr>
          <w:sz w:val="24"/>
          <w:szCs w:val="24"/>
        </w:rPr>
      </w:pPr>
    </w:p>
    <w:p w:rsidR="00B45655" w:rsidRPr="00D32511" w:rsidRDefault="00B45655" w:rsidP="00A320F0">
      <w:pPr>
        <w:rPr>
          <w:sz w:val="24"/>
          <w:szCs w:val="24"/>
        </w:rPr>
      </w:pPr>
    </w:p>
    <w:p w:rsidR="00B45655" w:rsidRPr="00D32511" w:rsidRDefault="00B45655" w:rsidP="00F1323D">
      <w:pPr>
        <w:rPr>
          <w:sz w:val="24"/>
          <w:szCs w:val="24"/>
        </w:rPr>
      </w:pPr>
      <w:r w:rsidRPr="00D32511">
        <w:rPr>
          <w:sz w:val="24"/>
          <w:szCs w:val="24"/>
        </w:rPr>
        <w:t xml:space="preserve">3. Амортизация на </w:t>
      </w:r>
      <w:proofErr w:type="spellStart"/>
      <w:r w:rsidRPr="00D32511">
        <w:rPr>
          <w:sz w:val="24"/>
          <w:szCs w:val="24"/>
        </w:rPr>
        <w:t>амортизируемите</w:t>
      </w:r>
      <w:proofErr w:type="spellEnd"/>
      <w:r w:rsidRPr="00D32511">
        <w:rPr>
          <w:sz w:val="24"/>
          <w:szCs w:val="24"/>
        </w:rPr>
        <w:t xml:space="preserve"> дълготрайни активи;</w:t>
      </w:r>
    </w:p>
    <w:p w:rsidR="00B45655" w:rsidRDefault="00B45655" w:rsidP="00301FA9">
      <w:pPr>
        <w:rPr>
          <w:strike/>
          <w:sz w:val="24"/>
          <w:szCs w:val="24"/>
        </w:rPr>
      </w:pPr>
      <w:r w:rsidRPr="00D32511">
        <w:rPr>
          <w:sz w:val="24"/>
          <w:szCs w:val="24"/>
        </w:rPr>
        <w:t xml:space="preserve">През отчетния период са начислявани амортизации на дълготрайните активи по линейния метод. </w:t>
      </w:r>
    </w:p>
    <w:p w:rsidR="00B45655" w:rsidRPr="00D32511" w:rsidRDefault="00B45655" w:rsidP="00301FA9">
      <w:pPr>
        <w:rPr>
          <w:sz w:val="24"/>
          <w:szCs w:val="24"/>
        </w:rPr>
      </w:pPr>
      <w:r w:rsidRPr="00D32511">
        <w:rPr>
          <w:sz w:val="24"/>
          <w:szCs w:val="24"/>
        </w:rPr>
        <w:t xml:space="preserve">         През</w:t>
      </w:r>
      <w:r w:rsidR="009E22C8">
        <w:rPr>
          <w:sz w:val="24"/>
          <w:szCs w:val="24"/>
        </w:rPr>
        <w:t xml:space="preserve"> </w:t>
      </w:r>
      <w:r w:rsidR="00962CC6">
        <w:rPr>
          <w:sz w:val="24"/>
          <w:szCs w:val="24"/>
        </w:rPr>
        <w:t>шестмесечието</w:t>
      </w:r>
      <w:r w:rsidRPr="00D32511">
        <w:rPr>
          <w:sz w:val="24"/>
          <w:szCs w:val="24"/>
        </w:rPr>
        <w:t xml:space="preserve"> не са извършвани промени в прилаганите методи на амортизация в сравнение с предходната отчетна година.</w:t>
      </w:r>
    </w:p>
    <w:p w:rsidR="00B45655" w:rsidRPr="00D32511" w:rsidRDefault="00B45655" w:rsidP="00F1323D">
      <w:pPr>
        <w:rPr>
          <w:sz w:val="24"/>
          <w:szCs w:val="24"/>
        </w:rPr>
      </w:pPr>
    </w:p>
    <w:p w:rsidR="00B45655" w:rsidRPr="00D32511" w:rsidRDefault="00B45655" w:rsidP="00F1323D">
      <w:pPr>
        <w:rPr>
          <w:sz w:val="24"/>
          <w:szCs w:val="24"/>
        </w:rPr>
      </w:pPr>
    </w:p>
    <w:p w:rsidR="00B45655" w:rsidRDefault="00B45655" w:rsidP="00E45A4C">
      <w:pPr>
        <w:rPr>
          <w:sz w:val="24"/>
          <w:szCs w:val="24"/>
        </w:rPr>
      </w:pPr>
      <w:r w:rsidRPr="00C10785">
        <w:rPr>
          <w:sz w:val="24"/>
          <w:szCs w:val="24"/>
        </w:rPr>
        <w:t xml:space="preserve">           4.Дълготрайни активи</w:t>
      </w:r>
      <w:r w:rsidRPr="00301FA9">
        <w:rPr>
          <w:sz w:val="24"/>
          <w:szCs w:val="24"/>
        </w:rPr>
        <w:t xml:space="preserve">. </w:t>
      </w:r>
    </w:p>
    <w:p w:rsidR="00725637" w:rsidRPr="00C10785" w:rsidRDefault="00725637" w:rsidP="00E45A4C">
      <w:pPr>
        <w:rPr>
          <w:sz w:val="24"/>
          <w:szCs w:val="24"/>
        </w:rPr>
      </w:pPr>
    </w:p>
    <w:p w:rsidR="00B45655" w:rsidRPr="00E965A7" w:rsidRDefault="00B45655" w:rsidP="00725637">
      <w:pPr>
        <w:rPr>
          <w:sz w:val="24"/>
          <w:szCs w:val="24"/>
        </w:rPr>
      </w:pPr>
      <w:r w:rsidRPr="00E965A7">
        <w:rPr>
          <w:sz w:val="24"/>
          <w:szCs w:val="24"/>
        </w:rPr>
        <w:t>Към края на отчетния период няма временно извадени от употреба дълготрайни</w:t>
      </w:r>
      <w:bookmarkStart w:id="0" w:name="_GoBack"/>
      <w:bookmarkEnd w:id="0"/>
      <w:r w:rsidRPr="00E965A7">
        <w:rPr>
          <w:sz w:val="24"/>
          <w:szCs w:val="24"/>
        </w:rPr>
        <w:t xml:space="preserve"> материални активи</w:t>
      </w:r>
    </w:p>
    <w:p w:rsidR="00B45655" w:rsidRPr="00E965A7" w:rsidRDefault="00B45655" w:rsidP="00D360EE">
      <w:pP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8"/>
        <w:gridCol w:w="1602"/>
      </w:tblGrid>
      <w:tr w:rsidR="00B45655" w:rsidRPr="00D32511">
        <w:tc>
          <w:tcPr>
            <w:tcW w:w="7608" w:type="dxa"/>
          </w:tcPr>
          <w:p w:rsidR="00B45655" w:rsidRPr="00D32511" w:rsidRDefault="00B45655" w:rsidP="00941998">
            <w:pPr>
              <w:pStyle w:val="Default"/>
              <w:widowControl w:val="0"/>
              <w:rPr>
                <w:color w:val="auto"/>
                <w:sz w:val="22"/>
                <w:szCs w:val="22"/>
              </w:rPr>
            </w:pPr>
            <w:r w:rsidRPr="00D32511">
              <w:rPr>
                <w:color w:val="auto"/>
                <w:sz w:val="22"/>
                <w:szCs w:val="22"/>
              </w:rPr>
              <w:t>Балансова стойност на дълготрайните материални активи с ограничения върху правото на собственост</w:t>
            </w:r>
          </w:p>
        </w:tc>
        <w:tc>
          <w:tcPr>
            <w:tcW w:w="1602" w:type="dxa"/>
          </w:tcPr>
          <w:p w:rsidR="00B45655" w:rsidRPr="00D32511" w:rsidRDefault="00725637" w:rsidP="00725637">
            <w:pPr>
              <w:pStyle w:val="Default"/>
              <w:widowControl w:val="0"/>
              <w:jc w:val="center"/>
              <w:rPr>
                <w:color w:val="auto"/>
                <w:sz w:val="22"/>
                <w:szCs w:val="22"/>
              </w:rPr>
            </w:pPr>
            <w:r>
              <w:rPr>
                <w:color w:val="auto"/>
                <w:sz w:val="22"/>
                <w:szCs w:val="22"/>
              </w:rPr>
              <w:t>Няма такива</w:t>
            </w:r>
          </w:p>
        </w:tc>
      </w:tr>
      <w:tr w:rsidR="00B45655" w:rsidRPr="00D32511">
        <w:tc>
          <w:tcPr>
            <w:tcW w:w="7608" w:type="dxa"/>
          </w:tcPr>
          <w:p w:rsidR="00B45655" w:rsidRPr="00D32511" w:rsidRDefault="00B45655" w:rsidP="00941998">
            <w:pPr>
              <w:pStyle w:val="Default"/>
              <w:widowControl w:val="0"/>
              <w:rPr>
                <w:color w:val="auto"/>
                <w:sz w:val="22"/>
                <w:szCs w:val="22"/>
              </w:rPr>
            </w:pPr>
            <w:r w:rsidRPr="00D32511">
              <w:rPr>
                <w:color w:val="auto"/>
                <w:sz w:val="22"/>
                <w:szCs w:val="22"/>
              </w:rPr>
              <w:t>Сума на поетите ангажименти за придобиване на дълготрайните материални активи/размерът на авансовите плащания</w:t>
            </w:r>
          </w:p>
        </w:tc>
        <w:tc>
          <w:tcPr>
            <w:tcW w:w="1602" w:type="dxa"/>
          </w:tcPr>
          <w:p w:rsidR="00B45655" w:rsidRPr="00D32511" w:rsidRDefault="00B45655" w:rsidP="00941998">
            <w:pPr>
              <w:pStyle w:val="Default"/>
              <w:widowControl w:val="0"/>
              <w:rPr>
                <w:color w:val="auto"/>
                <w:sz w:val="22"/>
                <w:szCs w:val="22"/>
              </w:rPr>
            </w:pPr>
            <w:r w:rsidRPr="00D32511">
              <w:rPr>
                <w:color w:val="auto"/>
                <w:sz w:val="22"/>
                <w:szCs w:val="22"/>
              </w:rPr>
              <w:t>Няма такива</w:t>
            </w:r>
          </w:p>
        </w:tc>
      </w:tr>
      <w:tr w:rsidR="00B45655" w:rsidRPr="00D32511">
        <w:tc>
          <w:tcPr>
            <w:tcW w:w="7608" w:type="dxa"/>
          </w:tcPr>
          <w:p w:rsidR="00B45655" w:rsidRPr="00D32511" w:rsidRDefault="00B45655" w:rsidP="00941998">
            <w:pPr>
              <w:pStyle w:val="Default"/>
              <w:widowControl w:val="0"/>
              <w:rPr>
                <w:color w:val="auto"/>
                <w:sz w:val="22"/>
                <w:szCs w:val="22"/>
              </w:rPr>
            </w:pPr>
            <w:r w:rsidRPr="00D32511">
              <w:rPr>
                <w:color w:val="auto"/>
                <w:sz w:val="22"/>
                <w:szCs w:val="22"/>
              </w:rPr>
              <w:t>Стойност на ползваните в дейността дълготрайни материални активи - чужда собственост</w:t>
            </w:r>
          </w:p>
        </w:tc>
        <w:tc>
          <w:tcPr>
            <w:tcW w:w="1602" w:type="dxa"/>
          </w:tcPr>
          <w:p w:rsidR="00B45655" w:rsidRPr="00D32511" w:rsidRDefault="00B45655" w:rsidP="00941998">
            <w:pPr>
              <w:pStyle w:val="Default"/>
              <w:widowControl w:val="0"/>
              <w:rPr>
                <w:color w:val="auto"/>
                <w:sz w:val="22"/>
                <w:szCs w:val="22"/>
              </w:rPr>
            </w:pPr>
            <w:r w:rsidRPr="00D32511">
              <w:rPr>
                <w:color w:val="auto"/>
                <w:sz w:val="22"/>
                <w:szCs w:val="22"/>
              </w:rPr>
              <w:t>Няма такива</w:t>
            </w:r>
          </w:p>
        </w:tc>
      </w:tr>
      <w:tr w:rsidR="00B45655" w:rsidRPr="00D32511">
        <w:tc>
          <w:tcPr>
            <w:tcW w:w="7608" w:type="dxa"/>
          </w:tcPr>
          <w:p w:rsidR="00B45655" w:rsidRPr="00D32511" w:rsidRDefault="00B45655" w:rsidP="00941998">
            <w:pPr>
              <w:pStyle w:val="Default"/>
              <w:widowControl w:val="0"/>
              <w:rPr>
                <w:color w:val="auto"/>
                <w:sz w:val="22"/>
                <w:szCs w:val="22"/>
              </w:rPr>
            </w:pPr>
            <w:r w:rsidRPr="00D32511">
              <w:rPr>
                <w:color w:val="auto"/>
                <w:sz w:val="22"/>
                <w:szCs w:val="22"/>
              </w:rPr>
              <w:t>Балансова стойност на дълготрайните материални активи, които временно са изведени от употреба</w:t>
            </w:r>
          </w:p>
        </w:tc>
        <w:tc>
          <w:tcPr>
            <w:tcW w:w="1602" w:type="dxa"/>
          </w:tcPr>
          <w:p w:rsidR="00B45655" w:rsidRPr="00D32511" w:rsidRDefault="00B45655" w:rsidP="00941998">
            <w:pPr>
              <w:pStyle w:val="Default"/>
              <w:widowControl w:val="0"/>
              <w:rPr>
                <w:color w:val="auto"/>
                <w:sz w:val="22"/>
                <w:szCs w:val="22"/>
              </w:rPr>
            </w:pPr>
            <w:r w:rsidRPr="00D32511">
              <w:rPr>
                <w:color w:val="auto"/>
                <w:sz w:val="22"/>
                <w:szCs w:val="22"/>
              </w:rPr>
              <w:t>Няма такива</w:t>
            </w:r>
          </w:p>
        </w:tc>
      </w:tr>
    </w:tbl>
    <w:p w:rsidR="00B45655" w:rsidRPr="00D32511" w:rsidRDefault="00B45655" w:rsidP="00D360EE">
      <w:pPr>
        <w:pStyle w:val="Default"/>
        <w:rPr>
          <w:color w:val="auto"/>
        </w:rPr>
      </w:pPr>
    </w:p>
    <w:p w:rsidR="00B45655" w:rsidRPr="00D32511" w:rsidRDefault="00B45655" w:rsidP="00D360EE">
      <w:pPr>
        <w:pStyle w:val="Default"/>
        <w:rPr>
          <w:color w:val="auto"/>
        </w:rPr>
      </w:pPr>
      <w:r w:rsidRPr="00D32511">
        <w:rPr>
          <w:color w:val="auto"/>
        </w:rPr>
        <w:t>Отчетната стойност на напълно амортизираните дълготрайни активи - по групи активи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84"/>
      </w:tblGrid>
      <w:tr w:rsidR="00B45655" w:rsidRPr="00D32511">
        <w:tc>
          <w:tcPr>
            <w:tcW w:w="5637" w:type="dxa"/>
          </w:tcPr>
          <w:p w:rsidR="00B45655" w:rsidRPr="00D32511" w:rsidRDefault="00B45655" w:rsidP="00941998">
            <w:pPr>
              <w:widowControl w:val="0"/>
              <w:autoSpaceDE w:val="0"/>
              <w:autoSpaceDN w:val="0"/>
              <w:adjustRightInd w:val="0"/>
            </w:pPr>
            <w:r w:rsidRPr="00D32511">
              <w:t>Машини; производствено оборудване; апаратура</w:t>
            </w:r>
          </w:p>
        </w:tc>
        <w:tc>
          <w:tcPr>
            <w:tcW w:w="1984" w:type="dxa"/>
          </w:tcPr>
          <w:p w:rsidR="00B45655" w:rsidRPr="00D32511" w:rsidRDefault="00962CC6" w:rsidP="00E965A7">
            <w:pPr>
              <w:widowControl w:val="0"/>
              <w:autoSpaceDE w:val="0"/>
              <w:autoSpaceDN w:val="0"/>
              <w:adjustRightInd w:val="0"/>
              <w:jc w:val="center"/>
            </w:pPr>
            <w:r>
              <w:t>6345</w:t>
            </w:r>
          </w:p>
        </w:tc>
      </w:tr>
    </w:tbl>
    <w:p w:rsidR="00B45655" w:rsidRPr="00725637" w:rsidRDefault="00B45655" w:rsidP="00E45A4C">
      <w:pPr>
        <w:rPr>
          <w:color w:val="FF0000"/>
          <w:sz w:val="24"/>
          <w:szCs w:val="24"/>
        </w:rPr>
      </w:pPr>
    </w:p>
    <w:p w:rsidR="00E965A7" w:rsidRPr="00E965A7" w:rsidRDefault="00B45655" w:rsidP="00F1323D">
      <w:pPr>
        <w:ind w:firstLine="709"/>
        <w:rPr>
          <w:sz w:val="24"/>
          <w:szCs w:val="24"/>
        </w:rPr>
      </w:pPr>
      <w:r w:rsidRPr="00E965A7">
        <w:rPr>
          <w:sz w:val="24"/>
          <w:szCs w:val="24"/>
        </w:rPr>
        <w:t>5. Посочените в отчета дългосрочни финансови активи са класифицирани като такива, тъй като дружеството не предвижда да се освободи от тях в обозримо бъдеще.</w:t>
      </w:r>
    </w:p>
    <w:p w:rsidR="00B45655" w:rsidRPr="00D32511" w:rsidRDefault="00B45655" w:rsidP="00F1323D">
      <w:pPr>
        <w:ind w:firstLine="709"/>
        <w:rPr>
          <w:sz w:val="24"/>
          <w:szCs w:val="24"/>
        </w:rPr>
      </w:pPr>
      <w:r w:rsidRPr="00D32511">
        <w:rPr>
          <w:sz w:val="24"/>
          <w:szCs w:val="24"/>
        </w:rPr>
        <w:t xml:space="preserve">През отчетния период дружеството не е извършвало последващи разходи, свързани с </w:t>
      </w:r>
      <w:r w:rsidR="00E965A7">
        <w:rPr>
          <w:sz w:val="24"/>
          <w:szCs w:val="24"/>
        </w:rPr>
        <w:t>дългосрочните финансови активи</w:t>
      </w:r>
      <w:r w:rsidRPr="00D32511">
        <w:rPr>
          <w:sz w:val="24"/>
          <w:szCs w:val="24"/>
        </w:rPr>
        <w:t>.</w:t>
      </w:r>
    </w:p>
    <w:p w:rsidR="00B45655" w:rsidRPr="00D32511" w:rsidRDefault="00B45655">
      <w:pPr>
        <w:rPr>
          <w:sz w:val="24"/>
          <w:szCs w:val="24"/>
        </w:rPr>
      </w:pPr>
    </w:p>
    <w:p w:rsidR="00B45655" w:rsidRPr="00D32511" w:rsidRDefault="00B45655" w:rsidP="007C6650">
      <w:pPr>
        <w:ind w:firstLine="720"/>
        <w:rPr>
          <w:sz w:val="24"/>
          <w:szCs w:val="24"/>
        </w:rPr>
      </w:pPr>
      <w:r w:rsidRPr="00D32511">
        <w:rPr>
          <w:sz w:val="24"/>
          <w:szCs w:val="24"/>
        </w:rPr>
        <w:lastRenderedPageBreak/>
        <w:t xml:space="preserve">6. Материални запаси  -Прилагания метод на оценка на материалните запаси е както  следва: </w:t>
      </w:r>
    </w:p>
    <w:p w:rsidR="00B45655" w:rsidRPr="00D32511" w:rsidRDefault="00B45655" w:rsidP="007C6650">
      <w:pPr>
        <w:rPr>
          <w:sz w:val="24"/>
          <w:szCs w:val="24"/>
        </w:rPr>
      </w:pPr>
      <w:r w:rsidRPr="00D32511">
        <w:rPr>
          <w:sz w:val="24"/>
          <w:szCs w:val="24"/>
        </w:rPr>
        <w:t xml:space="preserve">             - за материали – средно претеглена цена</w:t>
      </w:r>
    </w:p>
    <w:p w:rsidR="00B45655" w:rsidRPr="00D32511" w:rsidRDefault="00B45655" w:rsidP="007C6650">
      <w:pPr>
        <w:rPr>
          <w:sz w:val="24"/>
          <w:szCs w:val="24"/>
        </w:rPr>
      </w:pPr>
      <w:r w:rsidRPr="00D32511">
        <w:rPr>
          <w:sz w:val="24"/>
          <w:szCs w:val="24"/>
        </w:rPr>
        <w:t xml:space="preserve">             - за продукция – отчетна себестойност</w:t>
      </w:r>
    </w:p>
    <w:p w:rsidR="00B45655" w:rsidRPr="00D32511" w:rsidRDefault="00B45655" w:rsidP="007C6650">
      <w:pPr>
        <w:rPr>
          <w:sz w:val="24"/>
          <w:szCs w:val="24"/>
        </w:rPr>
      </w:pPr>
      <w:r w:rsidRPr="00D32511">
        <w:rPr>
          <w:sz w:val="24"/>
          <w:szCs w:val="24"/>
        </w:rPr>
        <w:t xml:space="preserve">          </w:t>
      </w:r>
    </w:p>
    <w:p w:rsidR="00B45655" w:rsidRPr="00D32511" w:rsidRDefault="00B45655" w:rsidP="0039798B">
      <w:pPr>
        <w:ind w:firstLine="720"/>
        <w:rPr>
          <w:sz w:val="24"/>
          <w:szCs w:val="24"/>
        </w:rPr>
      </w:pPr>
      <w:r w:rsidRPr="00D32511">
        <w:rPr>
          <w:sz w:val="24"/>
          <w:szCs w:val="24"/>
        </w:rPr>
        <w:t>Дружеството не е залагало като обезпечение материални запаси.</w:t>
      </w:r>
    </w:p>
    <w:p w:rsidR="00B45655" w:rsidRDefault="00B45655" w:rsidP="0039798B">
      <w:pPr>
        <w:ind w:firstLine="720"/>
        <w:rPr>
          <w:sz w:val="24"/>
          <w:szCs w:val="24"/>
        </w:rPr>
      </w:pPr>
    </w:p>
    <w:p w:rsidR="00B45655" w:rsidRPr="00D32511" w:rsidRDefault="00B45655" w:rsidP="0039798B">
      <w:pPr>
        <w:ind w:firstLine="720"/>
        <w:rPr>
          <w:sz w:val="24"/>
          <w:szCs w:val="24"/>
        </w:rPr>
      </w:pPr>
    </w:p>
    <w:p w:rsidR="00B45655" w:rsidRPr="00D32511" w:rsidRDefault="00B45655" w:rsidP="007C6650">
      <w:pPr>
        <w:rPr>
          <w:sz w:val="24"/>
          <w:szCs w:val="24"/>
        </w:rPr>
      </w:pPr>
      <w:r w:rsidRPr="00D32511">
        <w:rPr>
          <w:sz w:val="24"/>
          <w:szCs w:val="24"/>
        </w:rPr>
        <w:t xml:space="preserve">              7.Вземания </w:t>
      </w:r>
    </w:p>
    <w:p w:rsidR="00B45655" w:rsidRPr="00D32511" w:rsidRDefault="00B45655" w:rsidP="00D67658">
      <w:pPr>
        <w:pStyle w:val="Style"/>
        <w:ind w:left="0" w:right="142" w:firstLine="0"/>
      </w:pPr>
      <w:r w:rsidRPr="00D32511">
        <w:t xml:space="preserve">Класифицирани са като текущи според  ролята им в оперативния цикъл на предприятието. </w:t>
      </w:r>
    </w:p>
    <w:p w:rsidR="00B45655" w:rsidRPr="00D32511" w:rsidRDefault="00B45655" w:rsidP="00D67658">
      <w:pPr>
        <w:pStyle w:val="Style"/>
        <w:ind w:left="0" w:right="142" w:firstLine="0"/>
      </w:pPr>
    </w:p>
    <w:tbl>
      <w:tblPr>
        <w:tblW w:w="0" w:type="auto"/>
        <w:tblInd w:w="-106" w:type="dxa"/>
        <w:tblLook w:val="01E0"/>
      </w:tblPr>
      <w:tblGrid>
        <w:gridCol w:w="5148"/>
        <w:gridCol w:w="1980"/>
        <w:gridCol w:w="1980"/>
      </w:tblGrid>
      <w:tr w:rsidR="00B45655" w:rsidRPr="00D32511">
        <w:tc>
          <w:tcPr>
            <w:tcW w:w="5148" w:type="dxa"/>
          </w:tcPr>
          <w:p w:rsidR="00B45655" w:rsidRPr="00D32511" w:rsidRDefault="00B45655" w:rsidP="00941998">
            <w:pPr>
              <w:widowControl w:val="0"/>
              <w:autoSpaceDE w:val="0"/>
              <w:autoSpaceDN w:val="0"/>
              <w:adjustRightInd w:val="0"/>
            </w:pPr>
          </w:p>
        </w:tc>
        <w:tc>
          <w:tcPr>
            <w:tcW w:w="1980" w:type="dxa"/>
          </w:tcPr>
          <w:p w:rsidR="00B45655" w:rsidRPr="00D32511" w:rsidRDefault="009E22C8" w:rsidP="00962CC6">
            <w:pPr>
              <w:widowControl w:val="0"/>
              <w:autoSpaceDE w:val="0"/>
              <w:autoSpaceDN w:val="0"/>
              <w:adjustRightInd w:val="0"/>
              <w:jc w:val="right"/>
              <w:rPr>
                <w:b/>
                <w:bCs/>
              </w:rPr>
            </w:pPr>
            <w:r>
              <w:rPr>
                <w:b/>
                <w:bCs/>
              </w:rPr>
              <w:t>Период завършващ</w:t>
            </w:r>
            <w:r w:rsidR="00B45655" w:rsidRPr="00D32511">
              <w:rPr>
                <w:b/>
                <w:bCs/>
              </w:rPr>
              <w:t xml:space="preserve"> на 3</w:t>
            </w:r>
            <w:r w:rsidR="00962CC6">
              <w:rPr>
                <w:b/>
                <w:bCs/>
              </w:rPr>
              <w:t>0</w:t>
            </w:r>
            <w:r w:rsidR="00B45655" w:rsidRPr="00D32511">
              <w:rPr>
                <w:b/>
                <w:bCs/>
              </w:rPr>
              <w:t>.</w:t>
            </w:r>
            <w:r>
              <w:rPr>
                <w:b/>
                <w:bCs/>
              </w:rPr>
              <w:t>0</w:t>
            </w:r>
            <w:r w:rsidR="00962CC6">
              <w:rPr>
                <w:b/>
                <w:bCs/>
              </w:rPr>
              <w:t>6</w:t>
            </w:r>
            <w:r>
              <w:rPr>
                <w:b/>
                <w:bCs/>
              </w:rPr>
              <w:t>,2017</w:t>
            </w:r>
          </w:p>
        </w:tc>
        <w:tc>
          <w:tcPr>
            <w:tcW w:w="1980" w:type="dxa"/>
          </w:tcPr>
          <w:p w:rsidR="00B45655" w:rsidRPr="00D32511" w:rsidRDefault="009E22C8" w:rsidP="00962CC6">
            <w:pPr>
              <w:widowControl w:val="0"/>
              <w:autoSpaceDE w:val="0"/>
              <w:autoSpaceDN w:val="0"/>
              <w:adjustRightInd w:val="0"/>
              <w:jc w:val="right"/>
              <w:rPr>
                <w:b/>
                <w:bCs/>
              </w:rPr>
            </w:pPr>
            <w:r>
              <w:rPr>
                <w:b/>
                <w:bCs/>
              </w:rPr>
              <w:t>Период</w:t>
            </w:r>
            <w:r w:rsidR="00B45655" w:rsidRPr="00D32511">
              <w:rPr>
                <w:b/>
                <w:bCs/>
              </w:rPr>
              <w:t xml:space="preserve"> завършващ на 3</w:t>
            </w:r>
            <w:r w:rsidR="00962CC6">
              <w:rPr>
                <w:b/>
                <w:bCs/>
              </w:rPr>
              <w:t>0</w:t>
            </w:r>
            <w:r w:rsidR="00B45655" w:rsidRPr="00D32511">
              <w:rPr>
                <w:b/>
                <w:bCs/>
              </w:rPr>
              <w:t>.</w:t>
            </w:r>
            <w:r>
              <w:rPr>
                <w:b/>
                <w:bCs/>
              </w:rPr>
              <w:t>0</w:t>
            </w:r>
            <w:r w:rsidR="00962CC6">
              <w:rPr>
                <w:b/>
                <w:bCs/>
              </w:rPr>
              <w:t>6</w:t>
            </w:r>
            <w:r>
              <w:rPr>
                <w:b/>
                <w:bCs/>
              </w:rPr>
              <w:t>,2016</w:t>
            </w:r>
          </w:p>
        </w:tc>
      </w:tr>
      <w:tr w:rsidR="00B45655" w:rsidRPr="00D32511">
        <w:tc>
          <w:tcPr>
            <w:tcW w:w="5148" w:type="dxa"/>
          </w:tcPr>
          <w:p w:rsidR="00B45655" w:rsidRPr="00D32511" w:rsidRDefault="00B45655" w:rsidP="00941998">
            <w:pPr>
              <w:widowControl w:val="0"/>
              <w:autoSpaceDE w:val="0"/>
              <w:autoSpaceDN w:val="0"/>
              <w:adjustRightInd w:val="0"/>
              <w:rPr>
                <w:rFonts w:ascii="Times New Roman CYR" w:hAnsi="Times New Roman CYR" w:cs="Times New Roman CYR"/>
              </w:rPr>
            </w:pPr>
          </w:p>
        </w:tc>
        <w:tc>
          <w:tcPr>
            <w:tcW w:w="1980" w:type="dxa"/>
          </w:tcPr>
          <w:p w:rsidR="00B45655" w:rsidRPr="00D32511" w:rsidRDefault="00B45655" w:rsidP="00941998">
            <w:pPr>
              <w:widowControl w:val="0"/>
              <w:autoSpaceDE w:val="0"/>
              <w:autoSpaceDN w:val="0"/>
              <w:adjustRightInd w:val="0"/>
              <w:jc w:val="right"/>
            </w:pPr>
          </w:p>
        </w:tc>
        <w:tc>
          <w:tcPr>
            <w:tcW w:w="1980" w:type="dxa"/>
          </w:tcPr>
          <w:p w:rsidR="00B45655" w:rsidRPr="00D32511" w:rsidRDefault="00B45655" w:rsidP="00941998">
            <w:pPr>
              <w:widowControl w:val="0"/>
              <w:autoSpaceDE w:val="0"/>
              <w:autoSpaceDN w:val="0"/>
              <w:adjustRightInd w:val="0"/>
              <w:jc w:val="right"/>
            </w:pPr>
          </w:p>
        </w:tc>
      </w:tr>
      <w:tr w:rsidR="00B45655" w:rsidRPr="00D32511">
        <w:tc>
          <w:tcPr>
            <w:tcW w:w="5148" w:type="dxa"/>
          </w:tcPr>
          <w:p w:rsidR="00B45655" w:rsidRPr="00D32511" w:rsidRDefault="00B45655" w:rsidP="00941998">
            <w:pPr>
              <w:widowControl w:val="0"/>
              <w:autoSpaceDE w:val="0"/>
              <w:autoSpaceDN w:val="0"/>
              <w:adjustRightInd w:val="0"/>
              <w:rPr>
                <w:lang w:val="en-US"/>
              </w:rPr>
            </w:pPr>
            <w:r w:rsidRPr="00D32511">
              <w:rPr>
                <w:spacing w:val="-1"/>
              </w:rPr>
              <w:t>Вземания от клиенти</w:t>
            </w:r>
          </w:p>
        </w:tc>
        <w:tc>
          <w:tcPr>
            <w:tcW w:w="1980" w:type="dxa"/>
          </w:tcPr>
          <w:p w:rsidR="00B45655" w:rsidRPr="00D32511" w:rsidRDefault="00962CC6" w:rsidP="00725637">
            <w:pPr>
              <w:widowControl w:val="0"/>
              <w:autoSpaceDE w:val="0"/>
              <w:autoSpaceDN w:val="0"/>
              <w:adjustRightInd w:val="0"/>
              <w:jc w:val="right"/>
            </w:pPr>
            <w:r>
              <w:t>397</w:t>
            </w:r>
          </w:p>
        </w:tc>
        <w:tc>
          <w:tcPr>
            <w:tcW w:w="1980" w:type="dxa"/>
          </w:tcPr>
          <w:p w:rsidR="00B45655" w:rsidRPr="00D32511" w:rsidRDefault="00962CC6" w:rsidP="009E22C8">
            <w:pPr>
              <w:widowControl w:val="0"/>
              <w:autoSpaceDE w:val="0"/>
              <w:autoSpaceDN w:val="0"/>
              <w:adjustRightInd w:val="0"/>
              <w:jc w:val="right"/>
            </w:pPr>
            <w:r>
              <w:t>380</w:t>
            </w:r>
          </w:p>
        </w:tc>
      </w:tr>
      <w:tr w:rsidR="00B45655" w:rsidRPr="00D32511">
        <w:tc>
          <w:tcPr>
            <w:tcW w:w="5148" w:type="dxa"/>
          </w:tcPr>
          <w:p w:rsidR="00B45655" w:rsidRPr="00D32511" w:rsidRDefault="00B45655" w:rsidP="00941998">
            <w:pPr>
              <w:widowControl w:val="0"/>
              <w:autoSpaceDE w:val="0"/>
              <w:autoSpaceDN w:val="0"/>
              <w:adjustRightInd w:val="0"/>
              <w:rPr>
                <w:lang w:val="en-US"/>
              </w:rPr>
            </w:pPr>
            <w:proofErr w:type="spellStart"/>
            <w:r w:rsidRPr="00D32511">
              <w:rPr>
                <w:spacing w:val="-2"/>
              </w:rPr>
              <w:t>Обезценка</w:t>
            </w:r>
            <w:proofErr w:type="spellEnd"/>
          </w:p>
        </w:tc>
        <w:tc>
          <w:tcPr>
            <w:tcW w:w="1980" w:type="dxa"/>
          </w:tcPr>
          <w:p w:rsidR="00B45655" w:rsidRPr="00D32511" w:rsidRDefault="00B45655" w:rsidP="00941998">
            <w:pPr>
              <w:widowControl w:val="0"/>
              <w:autoSpaceDE w:val="0"/>
              <w:autoSpaceDN w:val="0"/>
              <w:adjustRightInd w:val="0"/>
              <w:jc w:val="right"/>
              <w:rPr>
                <w:lang w:val="en-US"/>
              </w:rPr>
            </w:pPr>
          </w:p>
        </w:tc>
        <w:tc>
          <w:tcPr>
            <w:tcW w:w="1980" w:type="dxa"/>
          </w:tcPr>
          <w:p w:rsidR="00B45655" w:rsidRPr="00D32511" w:rsidRDefault="00B45655" w:rsidP="00941998">
            <w:pPr>
              <w:widowControl w:val="0"/>
              <w:autoSpaceDE w:val="0"/>
              <w:autoSpaceDN w:val="0"/>
              <w:adjustRightInd w:val="0"/>
              <w:jc w:val="right"/>
              <w:rPr>
                <w:lang w:val="en-US"/>
              </w:rPr>
            </w:pPr>
          </w:p>
        </w:tc>
      </w:tr>
      <w:tr w:rsidR="00B45655" w:rsidRPr="00D32511">
        <w:tc>
          <w:tcPr>
            <w:tcW w:w="5148" w:type="dxa"/>
          </w:tcPr>
          <w:p w:rsidR="00B45655" w:rsidRPr="00D32511" w:rsidRDefault="00B45655" w:rsidP="00941998">
            <w:pPr>
              <w:widowControl w:val="0"/>
              <w:autoSpaceDE w:val="0"/>
              <w:autoSpaceDN w:val="0"/>
              <w:adjustRightInd w:val="0"/>
              <w:rPr>
                <w:lang w:val="en-US"/>
              </w:rPr>
            </w:pPr>
            <w:r w:rsidRPr="00D32511">
              <w:rPr>
                <w:spacing w:val="-1"/>
              </w:rPr>
              <w:t>Вземания от клиенти, нетно</w:t>
            </w:r>
          </w:p>
        </w:tc>
        <w:tc>
          <w:tcPr>
            <w:tcW w:w="1980" w:type="dxa"/>
          </w:tcPr>
          <w:p w:rsidR="00B45655" w:rsidRPr="00D32511" w:rsidRDefault="00962CC6" w:rsidP="00941998">
            <w:pPr>
              <w:widowControl w:val="0"/>
              <w:autoSpaceDE w:val="0"/>
              <w:autoSpaceDN w:val="0"/>
              <w:adjustRightInd w:val="0"/>
              <w:jc w:val="right"/>
            </w:pPr>
            <w:r>
              <w:t>397</w:t>
            </w:r>
          </w:p>
        </w:tc>
        <w:tc>
          <w:tcPr>
            <w:tcW w:w="1980" w:type="dxa"/>
          </w:tcPr>
          <w:p w:rsidR="00B45655" w:rsidRPr="00D32511" w:rsidRDefault="009E22C8" w:rsidP="00941998">
            <w:pPr>
              <w:widowControl w:val="0"/>
              <w:autoSpaceDE w:val="0"/>
              <w:autoSpaceDN w:val="0"/>
              <w:adjustRightInd w:val="0"/>
              <w:jc w:val="right"/>
            </w:pPr>
            <w:r>
              <w:t>276</w:t>
            </w:r>
          </w:p>
        </w:tc>
      </w:tr>
      <w:tr w:rsidR="00B45655" w:rsidRPr="00D32511">
        <w:tc>
          <w:tcPr>
            <w:tcW w:w="5148" w:type="dxa"/>
          </w:tcPr>
          <w:p w:rsidR="00B45655" w:rsidRPr="00D32511" w:rsidRDefault="00B45655" w:rsidP="00941998">
            <w:pPr>
              <w:widowControl w:val="0"/>
              <w:autoSpaceDE w:val="0"/>
              <w:autoSpaceDN w:val="0"/>
              <w:adjustRightInd w:val="0"/>
              <w:rPr>
                <w:lang w:val="en-US"/>
              </w:rPr>
            </w:pPr>
            <w:r w:rsidRPr="00D32511">
              <w:rPr>
                <w:spacing w:val="-3"/>
              </w:rPr>
              <w:t>Вземания по предоставени аванси</w:t>
            </w:r>
          </w:p>
        </w:tc>
        <w:tc>
          <w:tcPr>
            <w:tcW w:w="1980" w:type="dxa"/>
          </w:tcPr>
          <w:p w:rsidR="00B45655" w:rsidRPr="00D32511" w:rsidRDefault="00962CC6" w:rsidP="00941998">
            <w:pPr>
              <w:widowControl w:val="0"/>
              <w:autoSpaceDE w:val="0"/>
              <w:autoSpaceDN w:val="0"/>
              <w:adjustRightInd w:val="0"/>
              <w:jc w:val="right"/>
            </w:pPr>
            <w:r>
              <w:t>191</w:t>
            </w:r>
          </w:p>
        </w:tc>
        <w:tc>
          <w:tcPr>
            <w:tcW w:w="1980" w:type="dxa"/>
          </w:tcPr>
          <w:p w:rsidR="00B45655" w:rsidRPr="00D32511" w:rsidRDefault="00B45655" w:rsidP="00941998">
            <w:pPr>
              <w:widowControl w:val="0"/>
              <w:autoSpaceDE w:val="0"/>
              <w:autoSpaceDN w:val="0"/>
              <w:adjustRightInd w:val="0"/>
              <w:jc w:val="right"/>
            </w:pPr>
          </w:p>
        </w:tc>
      </w:tr>
      <w:tr w:rsidR="00B45655" w:rsidRPr="00D32511">
        <w:tc>
          <w:tcPr>
            <w:tcW w:w="5148" w:type="dxa"/>
          </w:tcPr>
          <w:p w:rsidR="00B45655" w:rsidRPr="00D32511" w:rsidRDefault="00B45655" w:rsidP="00941998">
            <w:pPr>
              <w:widowControl w:val="0"/>
              <w:autoSpaceDE w:val="0"/>
              <w:autoSpaceDN w:val="0"/>
              <w:adjustRightInd w:val="0"/>
              <w:rPr>
                <w:spacing w:val="-1"/>
              </w:rPr>
            </w:pPr>
            <w:r w:rsidRPr="00D32511">
              <w:rPr>
                <w:spacing w:val="-1"/>
              </w:rPr>
              <w:t>Други вземания</w:t>
            </w:r>
          </w:p>
        </w:tc>
        <w:tc>
          <w:tcPr>
            <w:tcW w:w="1980" w:type="dxa"/>
          </w:tcPr>
          <w:p w:rsidR="00B45655" w:rsidRPr="00D32511" w:rsidRDefault="00B45655" w:rsidP="00941998">
            <w:pPr>
              <w:widowControl w:val="0"/>
              <w:autoSpaceDE w:val="0"/>
              <w:autoSpaceDN w:val="0"/>
              <w:adjustRightInd w:val="0"/>
              <w:jc w:val="right"/>
            </w:pPr>
          </w:p>
        </w:tc>
        <w:tc>
          <w:tcPr>
            <w:tcW w:w="1980" w:type="dxa"/>
          </w:tcPr>
          <w:p w:rsidR="00B45655" w:rsidRPr="00D32511" w:rsidRDefault="009E22C8" w:rsidP="00941998">
            <w:pPr>
              <w:widowControl w:val="0"/>
              <w:autoSpaceDE w:val="0"/>
              <w:autoSpaceDN w:val="0"/>
              <w:adjustRightInd w:val="0"/>
              <w:jc w:val="right"/>
            </w:pPr>
            <w:r>
              <w:t>1</w:t>
            </w:r>
          </w:p>
        </w:tc>
      </w:tr>
      <w:tr w:rsidR="00B45655" w:rsidRPr="00D32511">
        <w:tc>
          <w:tcPr>
            <w:tcW w:w="5148" w:type="dxa"/>
          </w:tcPr>
          <w:p w:rsidR="00B45655" w:rsidRPr="00D32511" w:rsidRDefault="00B45655" w:rsidP="00941998">
            <w:pPr>
              <w:widowControl w:val="0"/>
              <w:autoSpaceDE w:val="0"/>
              <w:autoSpaceDN w:val="0"/>
              <w:adjustRightInd w:val="0"/>
              <w:rPr>
                <w:spacing w:val="-1"/>
              </w:rPr>
            </w:pPr>
            <w:r w:rsidRPr="00D32511">
              <w:rPr>
                <w:b/>
                <w:bCs/>
                <w:spacing w:val="-5"/>
              </w:rPr>
              <w:t>Общо</w:t>
            </w:r>
          </w:p>
        </w:tc>
        <w:tc>
          <w:tcPr>
            <w:tcW w:w="1980" w:type="dxa"/>
          </w:tcPr>
          <w:p w:rsidR="00B45655" w:rsidRPr="00D32511" w:rsidRDefault="00962CC6" w:rsidP="00941998">
            <w:pPr>
              <w:widowControl w:val="0"/>
              <w:autoSpaceDE w:val="0"/>
              <w:autoSpaceDN w:val="0"/>
              <w:adjustRightInd w:val="0"/>
              <w:jc w:val="right"/>
              <w:rPr>
                <w:b/>
                <w:bCs/>
              </w:rPr>
            </w:pPr>
            <w:r>
              <w:rPr>
                <w:b/>
                <w:bCs/>
              </w:rPr>
              <w:t>588</w:t>
            </w:r>
          </w:p>
        </w:tc>
        <w:tc>
          <w:tcPr>
            <w:tcW w:w="1980" w:type="dxa"/>
          </w:tcPr>
          <w:p w:rsidR="00B45655" w:rsidRPr="00D32511" w:rsidRDefault="00962CC6" w:rsidP="00941998">
            <w:pPr>
              <w:widowControl w:val="0"/>
              <w:autoSpaceDE w:val="0"/>
              <w:autoSpaceDN w:val="0"/>
              <w:adjustRightInd w:val="0"/>
              <w:jc w:val="right"/>
              <w:rPr>
                <w:b/>
                <w:bCs/>
              </w:rPr>
            </w:pPr>
            <w:r>
              <w:rPr>
                <w:b/>
                <w:bCs/>
              </w:rPr>
              <w:t>381</w:t>
            </w:r>
          </w:p>
        </w:tc>
      </w:tr>
    </w:tbl>
    <w:p w:rsidR="00B45655" w:rsidRPr="00D32511" w:rsidRDefault="00B45655" w:rsidP="00D67658">
      <w:pPr>
        <w:pStyle w:val="Style"/>
        <w:ind w:left="0" w:right="142" w:firstLine="0"/>
      </w:pPr>
    </w:p>
    <w:p w:rsidR="00B45655" w:rsidRPr="00D32511" w:rsidRDefault="00B45655" w:rsidP="00D67658">
      <w:pPr>
        <w:pStyle w:val="Style"/>
        <w:ind w:left="0" w:right="142" w:firstLine="0"/>
      </w:pPr>
      <w:r w:rsidRPr="00D32511">
        <w:t xml:space="preserve">Дружеството не е залагало като обезпечение вземания от контрагенти. </w:t>
      </w:r>
    </w:p>
    <w:p w:rsidR="00B45655" w:rsidRDefault="00B45655" w:rsidP="00D67658">
      <w:pPr>
        <w:rPr>
          <w:sz w:val="24"/>
          <w:szCs w:val="24"/>
        </w:rPr>
      </w:pPr>
      <w:r w:rsidRPr="00D32511">
        <w:rPr>
          <w:sz w:val="24"/>
          <w:szCs w:val="24"/>
        </w:rPr>
        <w:t>Няма заведени съдебни спорове.</w:t>
      </w:r>
    </w:p>
    <w:p w:rsidR="005B3049" w:rsidRPr="00D32511" w:rsidRDefault="005B3049" w:rsidP="00D67658">
      <w:pPr>
        <w:rPr>
          <w:sz w:val="24"/>
          <w:szCs w:val="24"/>
        </w:rPr>
      </w:pPr>
    </w:p>
    <w:p w:rsidR="00B45655" w:rsidRPr="00D32511" w:rsidRDefault="00B45655" w:rsidP="005B3049">
      <w:pPr>
        <w:rPr>
          <w:sz w:val="24"/>
          <w:szCs w:val="24"/>
        </w:rPr>
      </w:pPr>
      <w:r w:rsidRPr="00D32511">
        <w:rPr>
          <w:sz w:val="24"/>
          <w:szCs w:val="24"/>
        </w:rPr>
        <w:t xml:space="preserve">         </w:t>
      </w:r>
    </w:p>
    <w:p w:rsidR="00B45655" w:rsidRPr="00D32511" w:rsidRDefault="00B45655">
      <w:pPr>
        <w:rPr>
          <w:sz w:val="24"/>
          <w:szCs w:val="24"/>
        </w:rPr>
      </w:pPr>
    </w:p>
    <w:p w:rsidR="00B45655" w:rsidRPr="00D32511" w:rsidRDefault="00B45655">
      <w:pPr>
        <w:rPr>
          <w:sz w:val="24"/>
          <w:szCs w:val="24"/>
        </w:rPr>
      </w:pPr>
      <w:r w:rsidRPr="00D32511">
        <w:rPr>
          <w:sz w:val="24"/>
          <w:szCs w:val="24"/>
        </w:rPr>
        <w:t>10. Към края на отчетния период дружеството не отчита задължения към финансови институции .</w:t>
      </w:r>
    </w:p>
    <w:p w:rsidR="00B45655" w:rsidRPr="00D32511" w:rsidRDefault="00B45655">
      <w:pPr>
        <w:rPr>
          <w:sz w:val="24"/>
          <w:szCs w:val="24"/>
        </w:rPr>
      </w:pPr>
    </w:p>
    <w:p w:rsidR="00B45655" w:rsidRPr="00D32511" w:rsidRDefault="00B45655">
      <w:pPr>
        <w:rPr>
          <w:sz w:val="24"/>
          <w:szCs w:val="24"/>
        </w:rPr>
      </w:pPr>
    </w:p>
    <w:p w:rsidR="00B45655" w:rsidRPr="00D32511" w:rsidRDefault="00B45655">
      <w:pPr>
        <w:rPr>
          <w:sz w:val="24"/>
          <w:szCs w:val="24"/>
        </w:rPr>
      </w:pPr>
      <w:r w:rsidRPr="00D32511">
        <w:rPr>
          <w:sz w:val="24"/>
          <w:szCs w:val="24"/>
        </w:rPr>
        <w:t xml:space="preserve">           11.  Задълженията в левове са оценени по стойността на тяхното възникване, а такива в чужда валута към 3</w:t>
      </w:r>
      <w:r w:rsidR="00962CC6">
        <w:rPr>
          <w:sz w:val="24"/>
          <w:szCs w:val="24"/>
        </w:rPr>
        <w:t>0</w:t>
      </w:r>
      <w:r w:rsidRPr="00D32511">
        <w:rPr>
          <w:sz w:val="24"/>
          <w:szCs w:val="24"/>
        </w:rPr>
        <w:t>.</w:t>
      </w:r>
      <w:r w:rsidR="009E22C8">
        <w:rPr>
          <w:sz w:val="24"/>
          <w:szCs w:val="24"/>
        </w:rPr>
        <w:t>0</w:t>
      </w:r>
      <w:r w:rsidR="00962CC6">
        <w:rPr>
          <w:sz w:val="24"/>
          <w:szCs w:val="24"/>
        </w:rPr>
        <w:t>6</w:t>
      </w:r>
      <w:r w:rsidR="009E22C8">
        <w:rPr>
          <w:sz w:val="24"/>
          <w:szCs w:val="24"/>
        </w:rPr>
        <w:t>.2017</w:t>
      </w:r>
      <w:r w:rsidRPr="00D32511">
        <w:rPr>
          <w:sz w:val="24"/>
          <w:szCs w:val="24"/>
        </w:rPr>
        <w:t xml:space="preserve"> година няма.</w:t>
      </w:r>
    </w:p>
    <w:tbl>
      <w:tblPr>
        <w:tblW w:w="0" w:type="auto"/>
        <w:tblInd w:w="-106" w:type="dxa"/>
        <w:tblLook w:val="01E0"/>
      </w:tblPr>
      <w:tblGrid>
        <w:gridCol w:w="5118"/>
        <w:gridCol w:w="1976"/>
        <w:gridCol w:w="1976"/>
      </w:tblGrid>
      <w:tr w:rsidR="00B45655" w:rsidRPr="00D32511">
        <w:tc>
          <w:tcPr>
            <w:tcW w:w="5118" w:type="dxa"/>
          </w:tcPr>
          <w:p w:rsidR="00B45655" w:rsidRPr="00D32511" w:rsidRDefault="00B45655" w:rsidP="00941998">
            <w:pPr>
              <w:widowControl w:val="0"/>
              <w:autoSpaceDE w:val="0"/>
              <w:autoSpaceDN w:val="0"/>
              <w:adjustRightInd w:val="0"/>
            </w:pPr>
          </w:p>
        </w:tc>
        <w:tc>
          <w:tcPr>
            <w:tcW w:w="1976" w:type="dxa"/>
          </w:tcPr>
          <w:p w:rsidR="009E22C8" w:rsidRDefault="009E22C8" w:rsidP="00941998">
            <w:pPr>
              <w:widowControl w:val="0"/>
              <w:autoSpaceDE w:val="0"/>
              <w:autoSpaceDN w:val="0"/>
              <w:adjustRightInd w:val="0"/>
              <w:jc w:val="right"/>
              <w:rPr>
                <w:b/>
                <w:bCs/>
              </w:rPr>
            </w:pPr>
            <w:r>
              <w:rPr>
                <w:b/>
                <w:bCs/>
              </w:rPr>
              <w:t>Период</w:t>
            </w:r>
          </w:p>
          <w:p w:rsidR="00B45655" w:rsidRPr="00D32511" w:rsidRDefault="00B45655" w:rsidP="00962CC6">
            <w:pPr>
              <w:widowControl w:val="0"/>
              <w:autoSpaceDE w:val="0"/>
              <w:autoSpaceDN w:val="0"/>
              <w:adjustRightInd w:val="0"/>
              <w:jc w:val="right"/>
              <w:rPr>
                <w:b/>
                <w:bCs/>
              </w:rPr>
            </w:pPr>
            <w:r w:rsidRPr="00D32511">
              <w:rPr>
                <w:b/>
                <w:bCs/>
              </w:rPr>
              <w:t>завършващ на 3</w:t>
            </w:r>
            <w:r w:rsidR="00962CC6">
              <w:rPr>
                <w:b/>
                <w:bCs/>
              </w:rPr>
              <w:t>0</w:t>
            </w:r>
            <w:r w:rsidRPr="00D32511">
              <w:rPr>
                <w:b/>
                <w:bCs/>
              </w:rPr>
              <w:t>.</w:t>
            </w:r>
            <w:r w:rsidR="009E22C8">
              <w:rPr>
                <w:b/>
                <w:bCs/>
              </w:rPr>
              <w:t>0</w:t>
            </w:r>
            <w:r w:rsidR="00962CC6">
              <w:rPr>
                <w:b/>
                <w:bCs/>
              </w:rPr>
              <w:t>6</w:t>
            </w:r>
            <w:r w:rsidR="009E22C8">
              <w:rPr>
                <w:b/>
                <w:bCs/>
              </w:rPr>
              <w:t>,2017</w:t>
            </w:r>
          </w:p>
        </w:tc>
        <w:tc>
          <w:tcPr>
            <w:tcW w:w="1976" w:type="dxa"/>
          </w:tcPr>
          <w:p w:rsidR="009E22C8" w:rsidRDefault="009E22C8" w:rsidP="00301FA9">
            <w:pPr>
              <w:widowControl w:val="0"/>
              <w:autoSpaceDE w:val="0"/>
              <w:autoSpaceDN w:val="0"/>
              <w:adjustRightInd w:val="0"/>
              <w:jc w:val="right"/>
              <w:rPr>
                <w:b/>
                <w:bCs/>
              </w:rPr>
            </w:pPr>
            <w:r>
              <w:rPr>
                <w:b/>
                <w:bCs/>
              </w:rPr>
              <w:t>Период</w:t>
            </w:r>
          </w:p>
          <w:p w:rsidR="00B45655" w:rsidRPr="00D32511" w:rsidRDefault="009E22C8" w:rsidP="00962CC6">
            <w:pPr>
              <w:widowControl w:val="0"/>
              <w:autoSpaceDE w:val="0"/>
              <w:autoSpaceDN w:val="0"/>
              <w:adjustRightInd w:val="0"/>
              <w:jc w:val="right"/>
              <w:rPr>
                <w:b/>
                <w:bCs/>
              </w:rPr>
            </w:pPr>
            <w:r>
              <w:rPr>
                <w:b/>
                <w:bCs/>
              </w:rPr>
              <w:t>завършващ</w:t>
            </w:r>
            <w:r w:rsidR="00B45655" w:rsidRPr="00D32511">
              <w:rPr>
                <w:b/>
                <w:bCs/>
              </w:rPr>
              <w:t xml:space="preserve"> на 3</w:t>
            </w:r>
            <w:r w:rsidR="00962CC6">
              <w:rPr>
                <w:b/>
                <w:bCs/>
              </w:rPr>
              <w:t>0</w:t>
            </w:r>
            <w:r w:rsidR="00B45655" w:rsidRPr="00D32511">
              <w:rPr>
                <w:b/>
                <w:bCs/>
              </w:rPr>
              <w:t>.</w:t>
            </w:r>
            <w:r>
              <w:rPr>
                <w:b/>
                <w:bCs/>
              </w:rPr>
              <w:t>0</w:t>
            </w:r>
            <w:r w:rsidR="00962CC6">
              <w:rPr>
                <w:b/>
                <w:bCs/>
              </w:rPr>
              <w:t>6</w:t>
            </w:r>
            <w:r>
              <w:rPr>
                <w:b/>
                <w:bCs/>
              </w:rPr>
              <w:t>,2016</w:t>
            </w:r>
          </w:p>
        </w:tc>
      </w:tr>
      <w:tr w:rsidR="00B45655" w:rsidRPr="00D32511" w:rsidTr="009454BB">
        <w:trPr>
          <w:trHeight w:val="369"/>
        </w:trPr>
        <w:tc>
          <w:tcPr>
            <w:tcW w:w="5118" w:type="dxa"/>
          </w:tcPr>
          <w:p w:rsidR="00B45655" w:rsidRPr="00D32511" w:rsidRDefault="00B45655" w:rsidP="00941998">
            <w:pPr>
              <w:widowControl w:val="0"/>
              <w:autoSpaceDE w:val="0"/>
              <w:autoSpaceDN w:val="0"/>
              <w:adjustRightInd w:val="0"/>
              <w:rPr>
                <w:rFonts w:ascii="Times New Roman CYR" w:hAnsi="Times New Roman CYR" w:cs="Times New Roman CYR"/>
              </w:rPr>
            </w:pPr>
          </w:p>
        </w:tc>
        <w:tc>
          <w:tcPr>
            <w:tcW w:w="1976" w:type="dxa"/>
          </w:tcPr>
          <w:p w:rsidR="00B45655" w:rsidRPr="00D32511" w:rsidRDefault="00B45655" w:rsidP="00941998">
            <w:pPr>
              <w:widowControl w:val="0"/>
              <w:autoSpaceDE w:val="0"/>
              <w:autoSpaceDN w:val="0"/>
              <w:adjustRightInd w:val="0"/>
              <w:jc w:val="right"/>
            </w:pPr>
          </w:p>
        </w:tc>
        <w:tc>
          <w:tcPr>
            <w:tcW w:w="1976" w:type="dxa"/>
          </w:tcPr>
          <w:p w:rsidR="00B45655" w:rsidRPr="00D32511" w:rsidRDefault="00B45655" w:rsidP="00941998">
            <w:pPr>
              <w:widowControl w:val="0"/>
              <w:autoSpaceDE w:val="0"/>
              <w:autoSpaceDN w:val="0"/>
              <w:adjustRightInd w:val="0"/>
              <w:jc w:val="right"/>
            </w:pPr>
          </w:p>
        </w:tc>
      </w:tr>
      <w:tr w:rsidR="00B45655" w:rsidRPr="00D32511">
        <w:tc>
          <w:tcPr>
            <w:tcW w:w="5118" w:type="dxa"/>
          </w:tcPr>
          <w:p w:rsidR="00B45655" w:rsidRPr="00D32511" w:rsidRDefault="00B45655" w:rsidP="00941998">
            <w:pPr>
              <w:widowControl w:val="0"/>
              <w:autoSpaceDE w:val="0"/>
              <w:autoSpaceDN w:val="0"/>
              <w:adjustRightInd w:val="0"/>
              <w:rPr>
                <w:lang w:val="en-US"/>
              </w:rPr>
            </w:pPr>
            <w:r w:rsidRPr="00D32511">
              <w:rPr>
                <w:spacing w:val="-1"/>
              </w:rPr>
              <w:t>Задължения към доставчици</w:t>
            </w:r>
          </w:p>
        </w:tc>
        <w:tc>
          <w:tcPr>
            <w:tcW w:w="1976" w:type="dxa"/>
          </w:tcPr>
          <w:p w:rsidR="00B45655" w:rsidRPr="00D32511" w:rsidRDefault="00A95341" w:rsidP="00941998">
            <w:pPr>
              <w:widowControl w:val="0"/>
              <w:autoSpaceDE w:val="0"/>
              <w:autoSpaceDN w:val="0"/>
              <w:adjustRightInd w:val="0"/>
              <w:jc w:val="right"/>
            </w:pPr>
            <w:r>
              <w:t>185</w:t>
            </w:r>
            <w:r w:rsidR="005B3049">
              <w:t xml:space="preserve">   </w:t>
            </w:r>
          </w:p>
        </w:tc>
        <w:tc>
          <w:tcPr>
            <w:tcW w:w="1976" w:type="dxa"/>
          </w:tcPr>
          <w:p w:rsidR="00B45655" w:rsidRPr="00D32511" w:rsidRDefault="00A95341" w:rsidP="00941998">
            <w:pPr>
              <w:widowControl w:val="0"/>
              <w:autoSpaceDE w:val="0"/>
              <w:autoSpaceDN w:val="0"/>
              <w:adjustRightInd w:val="0"/>
              <w:jc w:val="right"/>
            </w:pPr>
            <w:r>
              <w:t>11</w:t>
            </w:r>
          </w:p>
        </w:tc>
      </w:tr>
      <w:tr w:rsidR="00B45655" w:rsidRPr="00D32511">
        <w:tc>
          <w:tcPr>
            <w:tcW w:w="5118" w:type="dxa"/>
          </w:tcPr>
          <w:p w:rsidR="00B45655" w:rsidRPr="00D32511" w:rsidRDefault="00B45655" w:rsidP="00941998">
            <w:pPr>
              <w:widowControl w:val="0"/>
              <w:autoSpaceDE w:val="0"/>
              <w:autoSpaceDN w:val="0"/>
              <w:adjustRightInd w:val="0"/>
              <w:rPr>
                <w:spacing w:val="-1"/>
              </w:rPr>
            </w:pPr>
            <w:r w:rsidRPr="00D32511">
              <w:rPr>
                <w:spacing w:val="-1"/>
              </w:rPr>
              <w:t>Задължения към персонала</w:t>
            </w:r>
          </w:p>
        </w:tc>
        <w:tc>
          <w:tcPr>
            <w:tcW w:w="1976" w:type="dxa"/>
          </w:tcPr>
          <w:p w:rsidR="00B45655" w:rsidRPr="00D32511" w:rsidRDefault="00A95341" w:rsidP="00A95341">
            <w:pPr>
              <w:widowControl w:val="0"/>
              <w:autoSpaceDE w:val="0"/>
              <w:autoSpaceDN w:val="0"/>
              <w:adjustRightInd w:val="0"/>
              <w:jc w:val="right"/>
            </w:pPr>
            <w:r>
              <w:t>11</w:t>
            </w:r>
          </w:p>
        </w:tc>
        <w:tc>
          <w:tcPr>
            <w:tcW w:w="1976" w:type="dxa"/>
          </w:tcPr>
          <w:p w:rsidR="00B45655" w:rsidRPr="00D32511" w:rsidRDefault="005B3049" w:rsidP="00941998">
            <w:pPr>
              <w:widowControl w:val="0"/>
              <w:autoSpaceDE w:val="0"/>
              <w:autoSpaceDN w:val="0"/>
              <w:adjustRightInd w:val="0"/>
              <w:jc w:val="right"/>
            </w:pPr>
            <w:r>
              <w:t>8</w:t>
            </w:r>
          </w:p>
        </w:tc>
      </w:tr>
      <w:tr w:rsidR="00B45655" w:rsidRPr="00D32511">
        <w:tc>
          <w:tcPr>
            <w:tcW w:w="5118" w:type="dxa"/>
          </w:tcPr>
          <w:p w:rsidR="00B45655" w:rsidRPr="00D32511" w:rsidRDefault="00B45655" w:rsidP="00941998">
            <w:pPr>
              <w:widowControl w:val="0"/>
              <w:autoSpaceDE w:val="0"/>
              <w:autoSpaceDN w:val="0"/>
              <w:adjustRightInd w:val="0"/>
              <w:rPr>
                <w:spacing w:val="-1"/>
              </w:rPr>
            </w:pPr>
            <w:r w:rsidRPr="00D32511">
              <w:rPr>
                <w:spacing w:val="-1"/>
              </w:rPr>
              <w:t>Задължения към осигурителни институти</w:t>
            </w:r>
          </w:p>
        </w:tc>
        <w:tc>
          <w:tcPr>
            <w:tcW w:w="1976" w:type="dxa"/>
          </w:tcPr>
          <w:p w:rsidR="00B45655" w:rsidRPr="00D32511" w:rsidRDefault="005B3049" w:rsidP="00941998">
            <w:pPr>
              <w:widowControl w:val="0"/>
              <w:autoSpaceDE w:val="0"/>
              <w:autoSpaceDN w:val="0"/>
              <w:adjustRightInd w:val="0"/>
              <w:jc w:val="right"/>
            </w:pPr>
            <w:r>
              <w:t>3</w:t>
            </w:r>
          </w:p>
        </w:tc>
        <w:tc>
          <w:tcPr>
            <w:tcW w:w="1976" w:type="dxa"/>
          </w:tcPr>
          <w:p w:rsidR="00B45655" w:rsidRPr="00D32511" w:rsidRDefault="005B3049" w:rsidP="00941998">
            <w:pPr>
              <w:widowControl w:val="0"/>
              <w:autoSpaceDE w:val="0"/>
              <w:autoSpaceDN w:val="0"/>
              <w:adjustRightInd w:val="0"/>
              <w:jc w:val="right"/>
            </w:pPr>
            <w:r>
              <w:t>3</w:t>
            </w:r>
          </w:p>
        </w:tc>
      </w:tr>
      <w:tr w:rsidR="00B45655" w:rsidRPr="00D32511">
        <w:tc>
          <w:tcPr>
            <w:tcW w:w="5118" w:type="dxa"/>
          </w:tcPr>
          <w:p w:rsidR="00B45655" w:rsidRDefault="00B45655" w:rsidP="00941998">
            <w:pPr>
              <w:widowControl w:val="0"/>
              <w:autoSpaceDE w:val="0"/>
              <w:autoSpaceDN w:val="0"/>
              <w:adjustRightInd w:val="0"/>
              <w:rPr>
                <w:spacing w:val="-1"/>
              </w:rPr>
            </w:pPr>
            <w:r w:rsidRPr="00D32511">
              <w:rPr>
                <w:spacing w:val="-1"/>
              </w:rPr>
              <w:t>Данъчни задължения</w:t>
            </w:r>
          </w:p>
          <w:p w:rsidR="005B3049" w:rsidRPr="00D32511" w:rsidRDefault="005B3049" w:rsidP="00941998">
            <w:pPr>
              <w:widowControl w:val="0"/>
              <w:autoSpaceDE w:val="0"/>
              <w:autoSpaceDN w:val="0"/>
              <w:adjustRightInd w:val="0"/>
              <w:rPr>
                <w:spacing w:val="-1"/>
              </w:rPr>
            </w:pPr>
            <w:r>
              <w:rPr>
                <w:spacing w:val="-1"/>
              </w:rPr>
              <w:t xml:space="preserve">Други задължения                                                                                                  </w:t>
            </w:r>
          </w:p>
        </w:tc>
        <w:tc>
          <w:tcPr>
            <w:tcW w:w="1976" w:type="dxa"/>
          </w:tcPr>
          <w:p w:rsidR="00B45655" w:rsidRDefault="00A95341" w:rsidP="00941998">
            <w:pPr>
              <w:widowControl w:val="0"/>
              <w:autoSpaceDE w:val="0"/>
              <w:autoSpaceDN w:val="0"/>
              <w:adjustRightInd w:val="0"/>
              <w:jc w:val="right"/>
            </w:pPr>
            <w:r>
              <w:t>15</w:t>
            </w:r>
          </w:p>
          <w:p w:rsidR="005B3049" w:rsidRPr="00D32511" w:rsidRDefault="005B3049" w:rsidP="00A95341">
            <w:pPr>
              <w:widowControl w:val="0"/>
              <w:autoSpaceDE w:val="0"/>
              <w:autoSpaceDN w:val="0"/>
              <w:adjustRightInd w:val="0"/>
              <w:jc w:val="right"/>
            </w:pPr>
            <w:r>
              <w:t>14</w:t>
            </w:r>
            <w:r w:rsidR="00A95341">
              <w:t>52</w:t>
            </w:r>
          </w:p>
        </w:tc>
        <w:tc>
          <w:tcPr>
            <w:tcW w:w="1976" w:type="dxa"/>
          </w:tcPr>
          <w:p w:rsidR="005B3049" w:rsidRDefault="00A95341" w:rsidP="005B3049">
            <w:pPr>
              <w:widowControl w:val="0"/>
              <w:autoSpaceDE w:val="0"/>
              <w:autoSpaceDN w:val="0"/>
              <w:adjustRightInd w:val="0"/>
              <w:jc w:val="right"/>
            </w:pPr>
            <w:r>
              <w:t>65</w:t>
            </w:r>
          </w:p>
          <w:p w:rsidR="005B3049" w:rsidRPr="00D32511" w:rsidRDefault="005B3049" w:rsidP="00A95341">
            <w:pPr>
              <w:widowControl w:val="0"/>
              <w:autoSpaceDE w:val="0"/>
              <w:autoSpaceDN w:val="0"/>
              <w:adjustRightInd w:val="0"/>
              <w:jc w:val="right"/>
            </w:pPr>
            <w:r>
              <w:t>2</w:t>
            </w:r>
            <w:r w:rsidR="00A95341">
              <w:t>192</w:t>
            </w:r>
          </w:p>
        </w:tc>
      </w:tr>
      <w:tr w:rsidR="00B45655" w:rsidRPr="00D32511">
        <w:trPr>
          <w:trHeight w:val="370"/>
        </w:trPr>
        <w:tc>
          <w:tcPr>
            <w:tcW w:w="5118" w:type="dxa"/>
          </w:tcPr>
          <w:p w:rsidR="00B45655" w:rsidRPr="00D32511" w:rsidRDefault="00B45655" w:rsidP="00941998">
            <w:pPr>
              <w:widowControl w:val="0"/>
              <w:autoSpaceDE w:val="0"/>
              <w:autoSpaceDN w:val="0"/>
              <w:adjustRightInd w:val="0"/>
              <w:rPr>
                <w:spacing w:val="-1"/>
              </w:rPr>
            </w:pPr>
            <w:r w:rsidRPr="00D32511">
              <w:rPr>
                <w:b/>
                <w:bCs/>
                <w:spacing w:val="-5"/>
              </w:rPr>
              <w:t>Общо</w:t>
            </w:r>
          </w:p>
        </w:tc>
        <w:tc>
          <w:tcPr>
            <w:tcW w:w="1976" w:type="dxa"/>
          </w:tcPr>
          <w:p w:rsidR="00B45655" w:rsidRPr="00D32511" w:rsidRDefault="00A95341" w:rsidP="00941998">
            <w:pPr>
              <w:widowControl w:val="0"/>
              <w:autoSpaceDE w:val="0"/>
              <w:autoSpaceDN w:val="0"/>
              <w:adjustRightInd w:val="0"/>
              <w:jc w:val="right"/>
              <w:rPr>
                <w:b/>
                <w:bCs/>
              </w:rPr>
            </w:pPr>
            <w:r>
              <w:rPr>
                <w:b/>
                <w:bCs/>
              </w:rPr>
              <w:t>1666</w:t>
            </w:r>
          </w:p>
        </w:tc>
        <w:tc>
          <w:tcPr>
            <w:tcW w:w="1976" w:type="dxa"/>
          </w:tcPr>
          <w:p w:rsidR="00B45655" w:rsidRPr="00D32511" w:rsidRDefault="00A95341" w:rsidP="00941998">
            <w:pPr>
              <w:widowControl w:val="0"/>
              <w:autoSpaceDE w:val="0"/>
              <w:autoSpaceDN w:val="0"/>
              <w:adjustRightInd w:val="0"/>
              <w:jc w:val="right"/>
              <w:rPr>
                <w:b/>
                <w:bCs/>
              </w:rPr>
            </w:pPr>
            <w:r>
              <w:rPr>
                <w:b/>
                <w:bCs/>
              </w:rPr>
              <w:t>2279</w:t>
            </w:r>
          </w:p>
        </w:tc>
      </w:tr>
    </w:tbl>
    <w:p w:rsidR="00B45655" w:rsidRPr="00D32511" w:rsidRDefault="00B45655" w:rsidP="001A5C47">
      <w:pPr>
        <w:pStyle w:val="Style"/>
        <w:ind w:left="0" w:right="142" w:firstLine="0"/>
      </w:pPr>
    </w:p>
    <w:p w:rsidR="00B45655" w:rsidRPr="00D32511" w:rsidRDefault="00B45655" w:rsidP="001A5C47">
      <w:pPr>
        <w:rPr>
          <w:sz w:val="24"/>
          <w:szCs w:val="24"/>
        </w:rPr>
      </w:pPr>
      <w:r w:rsidRPr="00D32511">
        <w:rPr>
          <w:sz w:val="24"/>
          <w:szCs w:val="24"/>
        </w:rPr>
        <w:t>Няма заведени съдебни спорове към дружеството.</w:t>
      </w:r>
    </w:p>
    <w:p w:rsidR="00B45655" w:rsidRPr="00D32511" w:rsidRDefault="00B45655" w:rsidP="00B73A70">
      <w:pPr>
        <w:shd w:val="clear" w:color="auto" w:fill="FFFFFF"/>
        <w:ind w:left="6" w:right="6" w:firstLine="714"/>
        <w:rPr>
          <w:sz w:val="24"/>
          <w:szCs w:val="24"/>
        </w:rPr>
      </w:pPr>
    </w:p>
    <w:p w:rsidR="00B45655" w:rsidRPr="00D32511" w:rsidRDefault="00B45655" w:rsidP="00B73A70">
      <w:pPr>
        <w:shd w:val="clear" w:color="auto" w:fill="FFFFFF"/>
        <w:ind w:left="6" w:right="6" w:firstLine="714"/>
        <w:rPr>
          <w:spacing w:val="-1"/>
          <w:sz w:val="24"/>
          <w:szCs w:val="24"/>
          <w:highlight w:val="yellow"/>
        </w:rPr>
      </w:pPr>
    </w:p>
    <w:p w:rsidR="00B45655" w:rsidRPr="00D32511" w:rsidRDefault="00B45655" w:rsidP="00E45A4C">
      <w:pPr>
        <w:shd w:val="clear" w:color="auto" w:fill="FFFFFF"/>
        <w:spacing w:after="240"/>
        <w:ind w:left="6" w:right="6"/>
        <w:rPr>
          <w:sz w:val="24"/>
          <w:szCs w:val="24"/>
        </w:rPr>
      </w:pPr>
      <w:r w:rsidRPr="00D32511">
        <w:rPr>
          <w:sz w:val="24"/>
          <w:szCs w:val="24"/>
        </w:rPr>
        <w:t xml:space="preserve">12. Бази за разпределение на постоянните </w:t>
      </w:r>
      <w:proofErr w:type="spellStart"/>
      <w:r w:rsidRPr="00D32511">
        <w:rPr>
          <w:sz w:val="24"/>
          <w:szCs w:val="24"/>
        </w:rPr>
        <w:t>общопроизводствени</w:t>
      </w:r>
      <w:proofErr w:type="spellEnd"/>
      <w:r w:rsidRPr="00D32511">
        <w:rPr>
          <w:sz w:val="24"/>
          <w:szCs w:val="24"/>
        </w:rPr>
        <w:t xml:space="preserve"> разходи;</w:t>
      </w:r>
    </w:p>
    <w:p w:rsidR="00B45655" w:rsidRPr="00D32511" w:rsidRDefault="00B45655">
      <w:pPr>
        <w:ind w:firstLine="720"/>
        <w:rPr>
          <w:sz w:val="24"/>
          <w:szCs w:val="24"/>
        </w:rPr>
      </w:pPr>
      <w:r w:rsidRPr="00D32511">
        <w:rPr>
          <w:sz w:val="24"/>
          <w:szCs w:val="24"/>
        </w:rPr>
        <w:t xml:space="preserve">През </w:t>
      </w:r>
      <w:r w:rsidR="009454BB">
        <w:rPr>
          <w:sz w:val="24"/>
          <w:szCs w:val="24"/>
        </w:rPr>
        <w:t xml:space="preserve">първото </w:t>
      </w:r>
      <w:r w:rsidR="00A95341">
        <w:rPr>
          <w:sz w:val="24"/>
          <w:szCs w:val="24"/>
        </w:rPr>
        <w:t>шестмесечие</w:t>
      </w:r>
      <w:r w:rsidR="009454BB">
        <w:rPr>
          <w:sz w:val="24"/>
          <w:szCs w:val="24"/>
        </w:rPr>
        <w:t xml:space="preserve"> на 2017</w:t>
      </w:r>
      <w:r w:rsidRPr="00D32511">
        <w:rPr>
          <w:sz w:val="24"/>
          <w:szCs w:val="24"/>
        </w:rPr>
        <w:t xml:space="preserve"> година</w:t>
      </w:r>
      <w:r w:rsidR="005B3049">
        <w:rPr>
          <w:sz w:val="24"/>
          <w:szCs w:val="24"/>
        </w:rPr>
        <w:t xml:space="preserve"> ГОЛДИНС ООД</w:t>
      </w:r>
      <w:r w:rsidRPr="00D32511">
        <w:rPr>
          <w:sz w:val="24"/>
          <w:szCs w:val="24"/>
        </w:rPr>
        <w:t xml:space="preserve"> използва като база за разпределение на постоянните </w:t>
      </w:r>
      <w:proofErr w:type="spellStart"/>
      <w:r w:rsidRPr="00D32511">
        <w:rPr>
          <w:sz w:val="24"/>
          <w:szCs w:val="24"/>
        </w:rPr>
        <w:t>общопроизводствени</w:t>
      </w:r>
      <w:proofErr w:type="spellEnd"/>
      <w:r w:rsidRPr="00D32511">
        <w:rPr>
          <w:sz w:val="24"/>
          <w:szCs w:val="24"/>
        </w:rPr>
        <w:t xml:space="preserve"> разходи размера на набраните преки разходи за всеки обект като разпределението се извършва пропорционално.</w:t>
      </w:r>
    </w:p>
    <w:p w:rsidR="00B45655" w:rsidRPr="00D32511" w:rsidRDefault="00B45655">
      <w:pPr>
        <w:rPr>
          <w:sz w:val="24"/>
          <w:szCs w:val="24"/>
        </w:rPr>
      </w:pPr>
    </w:p>
    <w:p w:rsidR="00B45655" w:rsidRPr="00D32511" w:rsidRDefault="00B45655">
      <w:pPr>
        <w:rPr>
          <w:sz w:val="24"/>
          <w:szCs w:val="24"/>
        </w:rPr>
      </w:pPr>
      <w:r w:rsidRPr="00D32511">
        <w:rPr>
          <w:sz w:val="24"/>
          <w:szCs w:val="24"/>
        </w:rPr>
        <w:t xml:space="preserve">     </w:t>
      </w:r>
    </w:p>
    <w:p w:rsidR="00B45655" w:rsidRPr="00D32511" w:rsidRDefault="00B45655">
      <w:pPr>
        <w:rPr>
          <w:sz w:val="24"/>
          <w:szCs w:val="24"/>
        </w:rPr>
      </w:pPr>
      <w:r w:rsidRPr="00D32511">
        <w:rPr>
          <w:sz w:val="24"/>
          <w:szCs w:val="24"/>
        </w:rPr>
        <w:t xml:space="preserve">      1</w:t>
      </w:r>
      <w:r w:rsidR="005B3049">
        <w:rPr>
          <w:sz w:val="24"/>
          <w:szCs w:val="24"/>
        </w:rPr>
        <w:t>3</w:t>
      </w:r>
      <w:r w:rsidRPr="00D32511">
        <w:rPr>
          <w:sz w:val="24"/>
          <w:szCs w:val="24"/>
        </w:rPr>
        <w:t>. Периоди за извършване на текуща оценка на валутните активи и пасиви;</w:t>
      </w:r>
    </w:p>
    <w:p w:rsidR="00B45655" w:rsidRPr="00D32511" w:rsidRDefault="005B3049">
      <w:pPr>
        <w:ind w:firstLine="720"/>
        <w:rPr>
          <w:sz w:val="24"/>
          <w:szCs w:val="24"/>
        </w:rPr>
      </w:pPr>
      <w:r>
        <w:rPr>
          <w:sz w:val="24"/>
          <w:szCs w:val="24"/>
        </w:rPr>
        <w:t>ГОЛДИНС ООД</w:t>
      </w:r>
      <w:r w:rsidR="00B45655" w:rsidRPr="00D32511">
        <w:rPr>
          <w:sz w:val="24"/>
          <w:szCs w:val="24"/>
        </w:rPr>
        <w:t xml:space="preserve"> извършва задължителната оценка към датата на съставяне на </w:t>
      </w:r>
      <w:r w:rsidR="009454BB">
        <w:rPr>
          <w:sz w:val="24"/>
          <w:szCs w:val="24"/>
        </w:rPr>
        <w:t xml:space="preserve">годишния </w:t>
      </w:r>
      <w:r w:rsidR="00B45655" w:rsidRPr="00D32511">
        <w:rPr>
          <w:sz w:val="24"/>
          <w:szCs w:val="24"/>
        </w:rPr>
        <w:t xml:space="preserve">финансовия отчет по централен курс на Българска народна банка. </w:t>
      </w:r>
    </w:p>
    <w:p w:rsidR="00B45655" w:rsidRPr="00D32511" w:rsidRDefault="00B45655">
      <w:pPr>
        <w:rPr>
          <w:sz w:val="24"/>
          <w:szCs w:val="24"/>
        </w:rPr>
      </w:pPr>
    </w:p>
    <w:p w:rsidR="00B45655" w:rsidRPr="00D32511" w:rsidRDefault="00B45655">
      <w:pPr>
        <w:rPr>
          <w:sz w:val="24"/>
          <w:szCs w:val="24"/>
        </w:rPr>
      </w:pPr>
      <w:r w:rsidRPr="00D32511">
        <w:rPr>
          <w:sz w:val="24"/>
          <w:szCs w:val="24"/>
        </w:rPr>
        <w:t xml:space="preserve">      1</w:t>
      </w:r>
      <w:r w:rsidR="005B3049">
        <w:rPr>
          <w:sz w:val="24"/>
          <w:szCs w:val="24"/>
        </w:rPr>
        <w:t>4</w:t>
      </w:r>
      <w:r w:rsidRPr="00D32511">
        <w:rPr>
          <w:sz w:val="24"/>
          <w:szCs w:val="24"/>
        </w:rPr>
        <w:t>. Критериите за признаване на държавни помощи като приходи, когато такива са получени;</w:t>
      </w:r>
    </w:p>
    <w:p w:rsidR="00B45655" w:rsidRPr="00D32511" w:rsidRDefault="00B45655">
      <w:pPr>
        <w:pStyle w:val="BodyText"/>
      </w:pPr>
      <w:r w:rsidRPr="00D32511">
        <w:tab/>
        <w:t xml:space="preserve">През </w:t>
      </w:r>
      <w:r w:rsidR="009454BB">
        <w:t xml:space="preserve">първото </w:t>
      </w:r>
      <w:r w:rsidR="00A95341">
        <w:t>шестмесечие</w:t>
      </w:r>
      <w:r w:rsidR="009454BB">
        <w:t xml:space="preserve"> на 2017</w:t>
      </w:r>
      <w:r w:rsidRPr="00D32511">
        <w:t xml:space="preserve"> година</w:t>
      </w:r>
      <w:r w:rsidR="005B3049">
        <w:t xml:space="preserve"> ГОЛДИНС ООД </w:t>
      </w:r>
      <w:r w:rsidRPr="00D32511">
        <w:t>не е получавало и признавало държавни помощи като приходи .</w:t>
      </w:r>
    </w:p>
    <w:p w:rsidR="00B45655" w:rsidRPr="00D32511" w:rsidRDefault="00B45655">
      <w:pPr>
        <w:rPr>
          <w:sz w:val="24"/>
          <w:szCs w:val="24"/>
        </w:rPr>
      </w:pPr>
    </w:p>
    <w:p w:rsidR="00B45655" w:rsidRPr="00D32511" w:rsidRDefault="00B45655">
      <w:pPr>
        <w:rPr>
          <w:sz w:val="24"/>
          <w:szCs w:val="24"/>
        </w:rPr>
      </w:pPr>
      <w:r w:rsidRPr="00D32511">
        <w:rPr>
          <w:sz w:val="24"/>
          <w:szCs w:val="24"/>
        </w:rPr>
        <w:t xml:space="preserve">        1</w:t>
      </w:r>
      <w:r w:rsidR="005B3049">
        <w:rPr>
          <w:sz w:val="24"/>
          <w:szCs w:val="24"/>
        </w:rPr>
        <w:t>5</w:t>
      </w:r>
      <w:r w:rsidRPr="00D32511">
        <w:rPr>
          <w:sz w:val="24"/>
          <w:szCs w:val="24"/>
        </w:rPr>
        <w:t>. Събития, настъпили по време на съставянето на финансовия отчет;</w:t>
      </w:r>
    </w:p>
    <w:p w:rsidR="00B45655" w:rsidRPr="00D32511" w:rsidRDefault="00B45655">
      <w:pPr>
        <w:ind w:firstLine="720"/>
        <w:rPr>
          <w:sz w:val="24"/>
          <w:szCs w:val="24"/>
        </w:rPr>
      </w:pPr>
      <w:r w:rsidRPr="00D32511">
        <w:rPr>
          <w:sz w:val="24"/>
          <w:szCs w:val="24"/>
        </w:rPr>
        <w:t xml:space="preserve">а) по време на съставянето на счетоводния отчет </w:t>
      </w:r>
      <w:r w:rsidRPr="00D32511">
        <w:rPr>
          <w:spacing w:val="-3"/>
          <w:sz w:val="24"/>
          <w:szCs w:val="24"/>
        </w:rPr>
        <w:t xml:space="preserve">на </w:t>
      </w:r>
      <w:r w:rsidR="005B3049">
        <w:rPr>
          <w:spacing w:val="-3"/>
          <w:sz w:val="24"/>
          <w:szCs w:val="24"/>
        </w:rPr>
        <w:t>ГОЛДИНС ООД</w:t>
      </w:r>
      <w:r w:rsidRPr="00D32511">
        <w:rPr>
          <w:sz w:val="24"/>
          <w:szCs w:val="24"/>
        </w:rPr>
        <w:t xml:space="preserve"> не  са настъпили  коригиращи събития:</w:t>
      </w:r>
    </w:p>
    <w:p w:rsidR="00B45655" w:rsidRPr="00D32511" w:rsidRDefault="00B45655">
      <w:pPr>
        <w:pStyle w:val="BodyTextIndent"/>
      </w:pPr>
      <w:r w:rsidRPr="00D32511">
        <w:t xml:space="preserve">б) по време на съставянето на счетоводния отчет </w:t>
      </w:r>
      <w:r w:rsidRPr="00D32511">
        <w:rPr>
          <w:spacing w:val="-3"/>
        </w:rPr>
        <w:t xml:space="preserve">на </w:t>
      </w:r>
      <w:r w:rsidR="005B3049">
        <w:rPr>
          <w:spacing w:val="-3"/>
        </w:rPr>
        <w:t xml:space="preserve">ГОЛДИНС ООД </w:t>
      </w:r>
      <w:r w:rsidRPr="00D32511">
        <w:t>не са настъпили  некоригиращи събития:</w:t>
      </w:r>
    </w:p>
    <w:p w:rsidR="00B45655" w:rsidRPr="00D32511" w:rsidRDefault="00B45655">
      <w:pPr>
        <w:rPr>
          <w:sz w:val="24"/>
          <w:szCs w:val="24"/>
        </w:rPr>
      </w:pPr>
    </w:p>
    <w:p w:rsidR="00B45655" w:rsidRPr="00D32511" w:rsidRDefault="00B45655">
      <w:pPr>
        <w:rPr>
          <w:sz w:val="24"/>
          <w:szCs w:val="24"/>
        </w:rPr>
      </w:pPr>
      <w:r w:rsidRPr="00D32511">
        <w:rPr>
          <w:sz w:val="24"/>
          <w:szCs w:val="24"/>
        </w:rPr>
        <w:t>17. Събития, настъпили след датата на изготвянето на финансовия отчет;</w:t>
      </w:r>
    </w:p>
    <w:p w:rsidR="00B45655" w:rsidRPr="00D32511" w:rsidRDefault="00B45655">
      <w:pPr>
        <w:ind w:firstLine="720"/>
        <w:rPr>
          <w:sz w:val="24"/>
          <w:szCs w:val="24"/>
        </w:rPr>
      </w:pPr>
      <w:r w:rsidRPr="00D32511">
        <w:rPr>
          <w:sz w:val="24"/>
          <w:szCs w:val="24"/>
        </w:rPr>
        <w:t xml:space="preserve">След датата на изготвянето на финансовия отчет </w:t>
      </w:r>
      <w:r w:rsidRPr="00584F11">
        <w:rPr>
          <w:spacing w:val="-3"/>
          <w:sz w:val="24"/>
          <w:szCs w:val="24"/>
        </w:rPr>
        <w:t>на</w:t>
      </w:r>
      <w:r w:rsidR="005B3049">
        <w:rPr>
          <w:spacing w:val="-3"/>
          <w:sz w:val="24"/>
          <w:szCs w:val="24"/>
        </w:rPr>
        <w:t xml:space="preserve"> ГОЛДИНС ООД</w:t>
      </w:r>
      <w:r w:rsidRPr="00D32511">
        <w:rPr>
          <w:sz w:val="24"/>
          <w:szCs w:val="24"/>
        </w:rPr>
        <w:t xml:space="preserve"> не са настъпили  съществени събития:   </w:t>
      </w:r>
    </w:p>
    <w:p w:rsidR="00B45655" w:rsidRPr="00D32511" w:rsidRDefault="00B45655">
      <w:pPr>
        <w:ind w:firstLine="720"/>
        <w:rPr>
          <w:sz w:val="24"/>
          <w:szCs w:val="24"/>
        </w:rPr>
      </w:pPr>
    </w:p>
    <w:p w:rsidR="00B45655" w:rsidRPr="00D32511" w:rsidRDefault="00B45655">
      <w:pPr>
        <w:rPr>
          <w:sz w:val="24"/>
          <w:szCs w:val="24"/>
        </w:rPr>
      </w:pPr>
      <w:r w:rsidRPr="00D32511">
        <w:rPr>
          <w:sz w:val="24"/>
          <w:szCs w:val="24"/>
        </w:rPr>
        <w:t>18. Методите за признаване на приходи;</w:t>
      </w:r>
    </w:p>
    <w:p w:rsidR="00B45655" w:rsidRPr="00D32511" w:rsidRDefault="00B45655" w:rsidP="00E73323">
      <w:pPr>
        <w:shd w:val="clear" w:color="auto" w:fill="FFFFFF"/>
        <w:spacing w:line="274" w:lineRule="exact"/>
        <w:rPr>
          <w:spacing w:val="1"/>
          <w:sz w:val="24"/>
          <w:szCs w:val="24"/>
        </w:rPr>
      </w:pPr>
      <w:r w:rsidRPr="00D32511">
        <w:rPr>
          <w:spacing w:val="7"/>
          <w:sz w:val="24"/>
          <w:szCs w:val="24"/>
        </w:rPr>
        <w:t xml:space="preserve">Приходите и разходите се отчитат при спазване принципа на текущо начисляване, </w:t>
      </w:r>
      <w:r w:rsidRPr="00D32511">
        <w:rPr>
          <w:spacing w:val="1"/>
          <w:sz w:val="24"/>
          <w:szCs w:val="24"/>
        </w:rPr>
        <w:t xml:space="preserve">който предполага приходите и разходите да се отчитат в момента на възникването им, независимо от момента на паричните плащания и постъпления. Приходите и разходите се признават при спазване принципа за съпоставимост. </w:t>
      </w:r>
    </w:p>
    <w:tbl>
      <w:tblPr>
        <w:tblW w:w="0" w:type="auto"/>
        <w:tblInd w:w="-106" w:type="dxa"/>
        <w:tblLayout w:type="fixed"/>
        <w:tblLook w:val="0000"/>
      </w:tblPr>
      <w:tblGrid>
        <w:gridCol w:w="4219"/>
        <w:gridCol w:w="4820"/>
      </w:tblGrid>
      <w:tr w:rsidR="00B45655" w:rsidRPr="00D32511">
        <w:trPr>
          <w:cantSplit/>
        </w:trPr>
        <w:tc>
          <w:tcPr>
            <w:tcW w:w="4219" w:type="dxa"/>
            <w:tcBorders>
              <w:top w:val="single" w:sz="6" w:space="0" w:color="auto"/>
              <w:left w:val="single" w:sz="6" w:space="0" w:color="auto"/>
              <w:bottom w:val="single" w:sz="6" w:space="0" w:color="auto"/>
              <w:right w:val="single" w:sz="6" w:space="0" w:color="auto"/>
            </w:tcBorders>
          </w:tcPr>
          <w:p w:rsidR="00B45655" w:rsidRPr="00D32511" w:rsidRDefault="00B45655">
            <w:r w:rsidRPr="00D32511">
              <w:t>1.Приходи от продажба на продукция и услуги</w:t>
            </w:r>
          </w:p>
        </w:tc>
        <w:tc>
          <w:tcPr>
            <w:tcW w:w="4820" w:type="dxa"/>
            <w:tcBorders>
              <w:top w:val="single" w:sz="6" w:space="0" w:color="auto"/>
              <w:left w:val="single" w:sz="6" w:space="0" w:color="auto"/>
              <w:bottom w:val="single" w:sz="6" w:space="0" w:color="auto"/>
              <w:right w:val="single" w:sz="6" w:space="0" w:color="auto"/>
            </w:tcBorders>
          </w:tcPr>
          <w:p w:rsidR="00B45655" w:rsidRPr="00D32511" w:rsidRDefault="00B45655">
            <w:r w:rsidRPr="00D32511">
              <w:t>Фактуриране при извършване на продажбата или услугата</w:t>
            </w:r>
          </w:p>
        </w:tc>
      </w:tr>
      <w:tr w:rsidR="00B45655" w:rsidRPr="00D32511">
        <w:trPr>
          <w:cantSplit/>
        </w:trPr>
        <w:tc>
          <w:tcPr>
            <w:tcW w:w="4219" w:type="dxa"/>
            <w:tcBorders>
              <w:top w:val="single" w:sz="6" w:space="0" w:color="auto"/>
              <w:left w:val="single" w:sz="6" w:space="0" w:color="auto"/>
              <w:bottom w:val="single" w:sz="6" w:space="0" w:color="auto"/>
              <w:right w:val="single" w:sz="6" w:space="0" w:color="auto"/>
            </w:tcBorders>
          </w:tcPr>
          <w:p w:rsidR="00B45655" w:rsidRPr="00D32511" w:rsidRDefault="00B45655">
            <w:r w:rsidRPr="00D32511">
              <w:t>2.Други продажби</w:t>
            </w:r>
          </w:p>
        </w:tc>
        <w:tc>
          <w:tcPr>
            <w:tcW w:w="4820" w:type="dxa"/>
            <w:tcBorders>
              <w:top w:val="single" w:sz="6" w:space="0" w:color="auto"/>
              <w:left w:val="single" w:sz="6" w:space="0" w:color="auto"/>
              <w:bottom w:val="single" w:sz="6" w:space="0" w:color="auto"/>
              <w:right w:val="single" w:sz="6" w:space="0" w:color="auto"/>
            </w:tcBorders>
          </w:tcPr>
          <w:p w:rsidR="00B45655" w:rsidRPr="00D32511" w:rsidRDefault="00B45655">
            <w:r w:rsidRPr="00D32511">
              <w:t>Фактуриране при извършване на продажбата</w:t>
            </w:r>
          </w:p>
        </w:tc>
      </w:tr>
      <w:tr w:rsidR="00B45655" w:rsidRPr="00D32511">
        <w:trPr>
          <w:cantSplit/>
        </w:trPr>
        <w:tc>
          <w:tcPr>
            <w:tcW w:w="4219" w:type="dxa"/>
            <w:tcBorders>
              <w:top w:val="single" w:sz="6" w:space="0" w:color="auto"/>
              <w:left w:val="single" w:sz="6" w:space="0" w:color="auto"/>
              <w:bottom w:val="single" w:sz="6" w:space="0" w:color="auto"/>
              <w:right w:val="single" w:sz="6" w:space="0" w:color="auto"/>
            </w:tcBorders>
          </w:tcPr>
          <w:p w:rsidR="00B45655" w:rsidRPr="00D32511" w:rsidRDefault="00B45655" w:rsidP="00463C03">
            <w:r w:rsidRPr="00301FA9">
              <w:t>3.</w:t>
            </w:r>
            <w:r w:rsidRPr="00D32511">
              <w:t xml:space="preserve"> Приходи от лихви, лицензионни възнаграждения и дивиденти.</w:t>
            </w:r>
          </w:p>
        </w:tc>
        <w:tc>
          <w:tcPr>
            <w:tcW w:w="4820" w:type="dxa"/>
            <w:tcBorders>
              <w:top w:val="single" w:sz="6" w:space="0" w:color="auto"/>
              <w:left w:val="single" w:sz="6" w:space="0" w:color="auto"/>
              <w:bottom w:val="single" w:sz="6" w:space="0" w:color="auto"/>
              <w:right w:val="single" w:sz="6" w:space="0" w:color="auto"/>
            </w:tcBorders>
          </w:tcPr>
          <w:p w:rsidR="00B45655" w:rsidRPr="00D32511" w:rsidRDefault="00B45655"/>
        </w:tc>
      </w:tr>
      <w:tr w:rsidR="00B45655" w:rsidRPr="00D32511">
        <w:trPr>
          <w:cantSplit/>
        </w:trPr>
        <w:tc>
          <w:tcPr>
            <w:tcW w:w="4219" w:type="dxa"/>
            <w:tcBorders>
              <w:top w:val="single" w:sz="6" w:space="0" w:color="auto"/>
              <w:left w:val="single" w:sz="6" w:space="0" w:color="auto"/>
              <w:bottom w:val="single" w:sz="6" w:space="0" w:color="auto"/>
              <w:right w:val="single" w:sz="6" w:space="0" w:color="auto"/>
            </w:tcBorders>
          </w:tcPr>
          <w:p w:rsidR="00B45655" w:rsidRPr="00D32511" w:rsidRDefault="00B45655" w:rsidP="00301FA9">
            <w:pPr>
              <w:rPr>
                <w:b/>
                <w:bCs/>
              </w:rPr>
            </w:pPr>
            <w:r>
              <w:t xml:space="preserve">          -л</w:t>
            </w:r>
            <w:r w:rsidRPr="00D32511">
              <w:t>ихви по банкови сметки</w:t>
            </w:r>
          </w:p>
        </w:tc>
        <w:tc>
          <w:tcPr>
            <w:tcW w:w="4820" w:type="dxa"/>
            <w:tcBorders>
              <w:top w:val="single" w:sz="6" w:space="0" w:color="auto"/>
              <w:left w:val="single" w:sz="6" w:space="0" w:color="auto"/>
              <w:bottom w:val="single" w:sz="6" w:space="0" w:color="auto"/>
              <w:right w:val="single" w:sz="6" w:space="0" w:color="auto"/>
            </w:tcBorders>
          </w:tcPr>
          <w:p w:rsidR="00B45655" w:rsidRPr="00D32511" w:rsidRDefault="00B45655">
            <w:r w:rsidRPr="00D32511">
              <w:t>Получаване на лихвата/заверяване на лихвата/</w:t>
            </w:r>
          </w:p>
        </w:tc>
      </w:tr>
      <w:tr w:rsidR="00B45655" w:rsidRPr="00D32511">
        <w:trPr>
          <w:cantSplit/>
        </w:trPr>
        <w:tc>
          <w:tcPr>
            <w:tcW w:w="4219" w:type="dxa"/>
            <w:tcBorders>
              <w:top w:val="single" w:sz="6" w:space="0" w:color="auto"/>
              <w:left w:val="single" w:sz="6" w:space="0" w:color="auto"/>
              <w:bottom w:val="single" w:sz="6" w:space="0" w:color="auto"/>
              <w:right w:val="single" w:sz="6" w:space="0" w:color="auto"/>
            </w:tcBorders>
          </w:tcPr>
          <w:p w:rsidR="00B45655" w:rsidRPr="00D32511" w:rsidRDefault="00B45655">
            <w:pPr>
              <w:pStyle w:val="Footer"/>
              <w:tabs>
                <w:tab w:val="clear" w:pos="4153"/>
                <w:tab w:val="clear" w:pos="8306"/>
              </w:tabs>
            </w:pPr>
            <w:r w:rsidRPr="00D32511">
              <w:t>4. Други извънредни приходи.</w:t>
            </w:r>
          </w:p>
        </w:tc>
        <w:tc>
          <w:tcPr>
            <w:tcW w:w="4820" w:type="dxa"/>
            <w:tcBorders>
              <w:top w:val="single" w:sz="6" w:space="0" w:color="auto"/>
              <w:left w:val="single" w:sz="6" w:space="0" w:color="auto"/>
              <w:bottom w:val="single" w:sz="6" w:space="0" w:color="auto"/>
              <w:right w:val="single" w:sz="6" w:space="0" w:color="auto"/>
            </w:tcBorders>
          </w:tcPr>
          <w:p w:rsidR="00B45655" w:rsidRPr="00D32511" w:rsidRDefault="00B45655">
            <w:r w:rsidRPr="00D32511">
              <w:t>При установяването им</w:t>
            </w:r>
          </w:p>
        </w:tc>
      </w:tr>
    </w:tbl>
    <w:p w:rsidR="00B45655" w:rsidRDefault="00B45655" w:rsidP="00301FA9">
      <w:pPr>
        <w:shd w:val="clear" w:color="auto" w:fill="FFFFFF"/>
        <w:ind w:left="11"/>
        <w:rPr>
          <w:spacing w:val="-1"/>
          <w:sz w:val="24"/>
          <w:szCs w:val="24"/>
        </w:rPr>
      </w:pPr>
    </w:p>
    <w:p w:rsidR="00B45655" w:rsidRPr="00D32511" w:rsidRDefault="00B45655" w:rsidP="00D23A22">
      <w:pPr>
        <w:shd w:val="clear" w:color="auto" w:fill="FFFFFF"/>
        <w:spacing w:before="240"/>
        <w:ind w:left="11"/>
        <w:rPr>
          <w:sz w:val="24"/>
          <w:szCs w:val="24"/>
        </w:rPr>
      </w:pPr>
      <w:r w:rsidRPr="00D32511">
        <w:rPr>
          <w:spacing w:val="-1"/>
          <w:sz w:val="24"/>
          <w:szCs w:val="24"/>
        </w:rPr>
        <w:t>19. Оповестяване на свързаните лица  и сделките с тях</w:t>
      </w:r>
    </w:p>
    <w:p w:rsidR="00B45655" w:rsidRPr="00D32511" w:rsidRDefault="00B45655" w:rsidP="001C69C6">
      <w:pPr>
        <w:shd w:val="clear" w:color="auto" w:fill="FFFFFF"/>
        <w:tabs>
          <w:tab w:val="left" w:pos="0"/>
          <w:tab w:val="left" w:pos="4500"/>
        </w:tabs>
        <w:rPr>
          <w:spacing w:val="-2"/>
          <w:sz w:val="24"/>
          <w:szCs w:val="24"/>
        </w:rPr>
      </w:pPr>
      <w:r w:rsidRPr="00D32511">
        <w:rPr>
          <w:spacing w:val="-2"/>
          <w:sz w:val="24"/>
          <w:szCs w:val="24"/>
        </w:rPr>
        <w:t xml:space="preserve">Към края на </w:t>
      </w:r>
      <w:r w:rsidR="009454BB">
        <w:rPr>
          <w:spacing w:val="-2"/>
          <w:sz w:val="24"/>
          <w:szCs w:val="24"/>
        </w:rPr>
        <w:t xml:space="preserve">първото </w:t>
      </w:r>
      <w:r w:rsidR="00A95341">
        <w:rPr>
          <w:spacing w:val="-2"/>
          <w:sz w:val="24"/>
          <w:szCs w:val="24"/>
        </w:rPr>
        <w:t xml:space="preserve">шестмесечие </w:t>
      </w:r>
      <w:r w:rsidR="009454BB">
        <w:rPr>
          <w:spacing w:val="-2"/>
          <w:sz w:val="24"/>
          <w:szCs w:val="24"/>
        </w:rPr>
        <w:t xml:space="preserve"> на 2017 година </w:t>
      </w:r>
      <w:r w:rsidR="005B3049">
        <w:rPr>
          <w:spacing w:val="-2"/>
          <w:sz w:val="24"/>
          <w:szCs w:val="24"/>
        </w:rPr>
        <w:t xml:space="preserve"> няма </w:t>
      </w:r>
      <w:r w:rsidRPr="00D32511">
        <w:rPr>
          <w:spacing w:val="-2"/>
          <w:sz w:val="24"/>
          <w:szCs w:val="24"/>
        </w:rPr>
        <w:t xml:space="preserve"> разчети със свързани лица:</w:t>
      </w:r>
    </w:p>
    <w:p w:rsidR="00B45655" w:rsidRPr="00D32511" w:rsidRDefault="00B45655">
      <w:pPr>
        <w:rPr>
          <w:sz w:val="24"/>
          <w:szCs w:val="24"/>
        </w:rPr>
      </w:pPr>
    </w:p>
    <w:p w:rsidR="00B45655" w:rsidRPr="00CB1A59" w:rsidRDefault="00B45655" w:rsidP="00DD3643">
      <w:pPr>
        <w:pStyle w:val="Style"/>
        <w:ind w:left="0" w:firstLine="0"/>
      </w:pPr>
    </w:p>
    <w:p w:rsidR="00B45655" w:rsidRPr="00CB1A59" w:rsidRDefault="00B45655" w:rsidP="00DD3643">
      <w:pPr>
        <w:pStyle w:val="Style"/>
        <w:ind w:left="0" w:firstLine="0"/>
      </w:pPr>
      <w:r w:rsidRPr="00CB1A59">
        <w:t>2</w:t>
      </w:r>
      <w:r w:rsidR="00CB1A59" w:rsidRPr="00CB1A59">
        <w:t>0</w:t>
      </w:r>
      <w:r w:rsidRPr="00CB1A59">
        <w:t>. Условни задължения, свързани с:</w:t>
      </w:r>
    </w:p>
    <w:p w:rsidR="00B45655" w:rsidRPr="00CB1A59" w:rsidRDefault="00B45655" w:rsidP="00D32511">
      <w:pPr>
        <w:pStyle w:val="Style"/>
        <w:ind w:left="0" w:firstLine="0"/>
      </w:pPr>
      <w:r w:rsidRPr="00CB1A59">
        <w:t xml:space="preserve">          а) гаранции/непредвидени разходи </w:t>
      </w:r>
      <w:r w:rsidRPr="00CB1A59">
        <w:tab/>
      </w:r>
      <w:r w:rsidRPr="00CB1A59">
        <w:tab/>
        <w:t>-       няма такива</w:t>
      </w:r>
    </w:p>
    <w:p w:rsidR="00B45655" w:rsidRPr="00CB1A59" w:rsidRDefault="00B45655" w:rsidP="00D32511">
      <w:pPr>
        <w:pStyle w:val="Style"/>
        <w:ind w:left="0" w:firstLine="0"/>
      </w:pPr>
      <w:r w:rsidRPr="00CB1A59">
        <w:t xml:space="preserve">          б) предприятия от група</w:t>
      </w:r>
      <w:r w:rsidRPr="00CB1A59">
        <w:tab/>
      </w:r>
      <w:r w:rsidRPr="00CB1A59">
        <w:tab/>
      </w:r>
      <w:r w:rsidRPr="00CB1A59">
        <w:tab/>
        <w:t>-       няма такива</w:t>
      </w:r>
    </w:p>
    <w:p w:rsidR="00B45655" w:rsidRPr="00CB1A59" w:rsidRDefault="00B45655" w:rsidP="00D32511">
      <w:pPr>
        <w:pStyle w:val="Style"/>
        <w:ind w:left="0" w:firstLine="0"/>
      </w:pPr>
      <w:r w:rsidRPr="00CB1A59">
        <w:t xml:space="preserve">          в) асоциирани предприятия</w:t>
      </w:r>
      <w:r w:rsidRPr="00CB1A59">
        <w:tab/>
      </w:r>
      <w:r w:rsidRPr="00CB1A59">
        <w:tab/>
      </w:r>
      <w:r w:rsidRPr="00CB1A59">
        <w:tab/>
        <w:t>-       няма такива</w:t>
      </w:r>
    </w:p>
    <w:p w:rsidR="00B45655" w:rsidRPr="00CB1A59" w:rsidRDefault="00B45655" w:rsidP="00D32511">
      <w:pPr>
        <w:pStyle w:val="Style"/>
        <w:ind w:left="0" w:firstLine="0"/>
      </w:pPr>
      <w:r w:rsidRPr="00CB1A59">
        <w:t xml:space="preserve">          в) други свързани предприятия</w:t>
      </w:r>
      <w:r w:rsidRPr="00CB1A59">
        <w:tab/>
      </w:r>
      <w:r w:rsidRPr="00CB1A59">
        <w:tab/>
        <w:t>-       няма такива</w:t>
      </w:r>
    </w:p>
    <w:p w:rsidR="00B45655" w:rsidRPr="00CB1A59" w:rsidRDefault="00B45655" w:rsidP="00DD3643">
      <w:pPr>
        <w:pStyle w:val="Style"/>
        <w:ind w:left="0" w:firstLine="0"/>
      </w:pPr>
    </w:p>
    <w:p w:rsidR="00B45655" w:rsidRPr="00CB1A59" w:rsidRDefault="00B45655" w:rsidP="00E73323">
      <w:pPr>
        <w:pStyle w:val="Style"/>
        <w:ind w:left="0" w:firstLine="0"/>
      </w:pPr>
      <w:r w:rsidRPr="00CB1A59">
        <w:t xml:space="preserve">Значителната мобилност на персонала и променящите се обеми на дейността не позволяват да бъде направена достатъчно надеждна оценка на разходите за провизии за обезщетения при напускане на персонала. При напускане се начисляват обезщетения съгласно действащото трудово законодателство. </w:t>
      </w:r>
    </w:p>
    <w:p w:rsidR="00B45655" w:rsidRPr="00CB1A59" w:rsidRDefault="00B45655" w:rsidP="00DD3643">
      <w:pPr>
        <w:pStyle w:val="Style"/>
        <w:ind w:left="0" w:firstLine="0"/>
      </w:pPr>
    </w:p>
    <w:p w:rsidR="00B45655" w:rsidRPr="00D32511" w:rsidRDefault="00B45655" w:rsidP="00DD3643">
      <w:pPr>
        <w:pStyle w:val="Style"/>
        <w:ind w:left="0" w:firstLine="0"/>
      </w:pPr>
    </w:p>
    <w:p w:rsidR="00B45655" w:rsidRPr="00CB1A59" w:rsidRDefault="00B45655" w:rsidP="00DD3643">
      <w:pPr>
        <w:pStyle w:val="Style"/>
        <w:ind w:left="0" w:firstLine="0"/>
      </w:pPr>
      <w:r w:rsidRPr="00CB1A59">
        <w:t xml:space="preserve">      2</w:t>
      </w:r>
      <w:r w:rsidR="00CB1A59" w:rsidRPr="00CB1A59">
        <w:t>1</w:t>
      </w:r>
      <w:r w:rsidRPr="00CB1A59">
        <w:t xml:space="preserve">. </w:t>
      </w:r>
      <w:proofErr w:type="spellStart"/>
      <w:r w:rsidRPr="00CB1A59">
        <w:t>Средносписъчен</w:t>
      </w:r>
      <w:proofErr w:type="spellEnd"/>
      <w:r w:rsidRPr="00CB1A59">
        <w:t xml:space="preserve"> брой на персонала</w:t>
      </w:r>
      <w:r w:rsidRPr="00CB1A59">
        <w:rPr>
          <w:lang w:val="en-US"/>
        </w:rPr>
        <w:t xml:space="preserve"> </w:t>
      </w:r>
      <w:r w:rsidR="009454BB">
        <w:rPr>
          <w:lang w:val="en-US"/>
        </w:rPr>
        <w:t>–</w:t>
      </w:r>
      <w:r w:rsidRPr="00CB1A59">
        <w:rPr>
          <w:lang w:val="en-US"/>
        </w:rPr>
        <w:t xml:space="preserve"> </w:t>
      </w:r>
      <w:r w:rsidRPr="00CB1A59">
        <w:t>през</w:t>
      </w:r>
      <w:r w:rsidR="009454BB">
        <w:t xml:space="preserve"> първото</w:t>
      </w:r>
      <w:r w:rsidR="00A95341">
        <w:t xml:space="preserve"> шестмесечие</w:t>
      </w:r>
      <w:r w:rsidR="009454BB">
        <w:t xml:space="preserve"> на 2017 година</w:t>
      </w:r>
      <w:r w:rsidRPr="00CB1A59">
        <w:t>6 година дружеството</w:t>
      </w:r>
      <w:r w:rsidR="00C6142B">
        <w:t xml:space="preserve"> </w:t>
      </w:r>
      <w:r w:rsidRPr="00CB1A59">
        <w:t xml:space="preserve">работи със </w:t>
      </w:r>
      <w:proofErr w:type="spellStart"/>
      <w:r w:rsidRPr="00CB1A59">
        <w:t>средносписъчен</w:t>
      </w:r>
      <w:proofErr w:type="spellEnd"/>
      <w:r w:rsidRPr="00CB1A59">
        <w:t xml:space="preserve"> брой персонал по трудово </w:t>
      </w:r>
      <w:r w:rsidRPr="00CB1A59">
        <w:lastRenderedPageBreak/>
        <w:t>правоотношения общо</w:t>
      </w:r>
      <w:r w:rsidR="00A95341">
        <w:t xml:space="preserve"> 8</w:t>
      </w:r>
      <w:r w:rsidRPr="00CB1A59">
        <w:t>.</w:t>
      </w:r>
    </w:p>
    <w:p w:rsidR="00B45655" w:rsidRPr="00CB1A59" w:rsidRDefault="00B45655" w:rsidP="004A2F53">
      <w:pPr>
        <w:pStyle w:val="Style"/>
        <w:ind w:left="0" w:firstLine="0"/>
      </w:pPr>
    </w:p>
    <w:p w:rsidR="00B45655" w:rsidRPr="00CB1A59" w:rsidRDefault="00B45655" w:rsidP="004A2F53">
      <w:pPr>
        <w:pStyle w:val="Style"/>
        <w:ind w:left="0" w:firstLine="0"/>
      </w:pPr>
    </w:p>
    <w:p w:rsidR="00B45655" w:rsidRPr="00CB1A59" w:rsidRDefault="00B45655" w:rsidP="004A2F53">
      <w:pPr>
        <w:pStyle w:val="Style"/>
        <w:ind w:left="0" w:firstLine="0"/>
      </w:pPr>
      <w:r w:rsidRPr="00CB1A59">
        <w:t>2</w:t>
      </w:r>
      <w:r w:rsidR="00CB1A59" w:rsidRPr="00CB1A59">
        <w:t>2</w:t>
      </w:r>
      <w:r w:rsidRPr="00CB1A59">
        <w:t xml:space="preserve"> Размер на предоставените:</w:t>
      </w:r>
    </w:p>
    <w:p w:rsidR="00B45655" w:rsidRPr="00CB1A59" w:rsidRDefault="00B45655" w:rsidP="004A2F53">
      <w:pPr>
        <w:pStyle w:val="Style"/>
        <w:ind w:left="0" w:firstLine="0"/>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0"/>
        <w:gridCol w:w="1391"/>
        <w:gridCol w:w="1264"/>
        <w:gridCol w:w="1105"/>
      </w:tblGrid>
      <w:tr w:rsidR="00B45655" w:rsidRPr="00CB1A59">
        <w:tc>
          <w:tcPr>
            <w:tcW w:w="5300" w:type="dxa"/>
          </w:tcPr>
          <w:p w:rsidR="00B45655" w:rsidRPr="00CB1A59" w:rsidRDefault="00B45655" w:rsidP="00C23155">
            <w:pPr>
              <w:pStyle w:val="Style"/>
              <w:ind w:left="0" w:firstLine="0"/>
              <w:rPr>
                <w:sz w:val="20"/>
                <w:szCs w:val="20"/>
              </w:rPr>
            </w:pPr>
          </w:p>
        </w:tc>
        <w:tc>
          <w:tcPr>
            <w:tcW w:w="1391" w:type="dxa"/>
            <w:vAlign w:val="center"/>
          </w:tcPr>
          <w:p w:rsidR="00B45655" w:rsidRPr="00CB1A59" w:rsidRDefault="00B45655" w:rsidP="00C23155">
            <w:pPr>
              <w:pStyle w:val="Style"/>
              <w:ind w:left="0" w:firstLine="0"/>
              <w:jc w:val="center"/>
              <w:rPr>
                <w:sz w:val="20"/>
                <w:szCs w:val="20"/>
              </w:rPr>
            </w:pPr>
            <w:r w:rsidRPr="00CB1A59">
              <w:rPr>
                <w:sz w:val="20"/>
                <w:szCs w:val="20"/>
              </w:rPr>
              <w:t>Размер</w:t>
            </w:r>
          </w:p>
        </w:tc>
        <w:tc>
          <w:tcPr>
            <w:tcW w:w="1264" w:type="dxa"/>
          </w:tcPr>
          <w:p w:rsidR="00B45655" w:rsidRPr="00CB1A59" w:rsidRDefault="00B45655" w:rsidP="00C23155">
            <w:pPr>
              <w:pStyle w:val="Style"/>
              <w:ind w:left="0" w:firstLine="0"/>
              <w:jc w:val="center"/>
              <w:rPr>
                <w:sz w:val="20"/>
                <w:szCs w:val="20"/>
              </w:rPr>
            </w:pPr>
            <w:r w:rsidRPr="00CB1A59">
              <w:rPr>
                <w:sz w:val="20"/>
                <w:szCs w:val="20"/>
              </w:rPr>
              <w:t>Лихвен процент</w:t>
            </w:r>
          </w:p>
        </w:tc>
        <w:tc>
          <w:tcPr>
            <w:tcW w:w="1105" w:type="dxa"/>
          </w:tcPr>
          <w:p w:rsidR="00B45655" w:rsidRPr="00CB1A59" w:rsidRDefault="00B45655" w:rsidP="00C23155">
            <w:pPr>
              <w:pStyle w:val="Style"/>
              <w:ind w:left="0" w:firstLine="0"/>
              <w:jc w:val="center"/>
              <w:rPr>
                <w:sz w:val="20"/>
                <w:szCs w:val="20"/>
              </w:rPr>
            </w:pPr>
            <w:r w:rsidRPr="00CB1A59">
              <w:rPr>
                <w:sz w:val="20"/>
                <w:szCs w:val="20"/>
              </w:rPr>
              <w:t>Основни условия</w:t>
            </w:r>
          </w:p>
        </w:tc>
      </w:tr>
      <w:tr w:rsidR="00B45655" w:rsidRPr="00CB1A59">
        <w:tc>
          <w:tcPr>
            <w:tcW w:w="5300" w:type="dxa"/>
          </w:tcPr>
          <w:p w:rsidR="00B45655" w:rsidRPr="00CB1A59" w:rsidRDefault="00B45655" w:rsidP="00C23155">
            <w:pPr>
              <w:pStyle w:val="Style"/>
              <w:ind w:left="0" w:firstLine="0"/>
              <w:rPr>
                <w:sz w:val="20"/>
                <w:szCs w:val="20"/>
              </w:rPr>
            </w:pPr>
            <w:r w:rsidRPr="00CB1A59">
              <w:rPr>
                <w:sz w:val="20"/>
                <w:szCs w:val="20"/>
              </w:rPr>
              <w:t>аванси и кредити на административния персонал</w:t>
            </w:r>
          </w:p>
        </w:tc>
        <w:tc>
          <w:tcPr>
            <w:tcW w:w="1391" w:type="dxa"/>
            <w:vAlign w:val="center"/>
          </w:tcPr>
          <w:p w:rsidR="00B45655" w:rsidRPr="00CB1A59" w:rsidRDefault="00B45655" w:rsidP="00EF6CBF">
            <w:pPr>
              <w:pStyle w:val="Style"/>
              <w:ind w:left="0" w:firstLine="0"/>
              <w:jc w:val="center"/>
              <w:rPr>
                <w:sz w:val="20"/>
                <w:szCs w:val="20"/>
              </w:rPr>
            </w:pPr>
          </w:p>
        </w:tc>
        <w:tc>
          <w:tcPr>
            <w:tcW w:w="1264" w:type="dxa"/>
          </w:tcPr>
          <w:p w:rsidR="00B45655" w:rsidRPr="00CB1A59" w:rsidRDefault="00B45655" w:rsidP="00C23155">
            <w:pPr>
              <w:pStyle w:val="Style"/>
              <w:ind w:left="0" w:firstLine="0"/>
            </w:pPr>
          </w:p>
        </w:tc>
        <w:tc>
          <w:tcPr>
            <w:tcW w:w="1105" w:type="dxa"/>
          </w:tcPr>
          <w:p w:rsidR="00B45655" w:rsidRPr="00CB1A59" w:rsidRDefault="00B45655" w:rsidP="00C23155">
            <w:pPr>
              <w:pStyle w:val="Style"/>
              <w:ind w:left="0" w:firstLine="0"/>
            </w:pPr>
          </w:p>
        </w:tc>
      </w:tr>
      <w:tr w:rsidR="00B45655" w:rsidRPr="00CB1A59">
        <w:tc>
          <w:tcPr>
            <w:tcW w:w="5300" w:type="dxa"/>
          </w:tcPr>
          <w:p w:rsidR="00B45655" w:rsidRPr="00CB1A59" w:rsidRDefault="00B45655" w:rsidP="00C23155">
            <w:pPr>
              <w:pStyle w:val="Style"/>
              <w:ind w:left="0" w:firstLine="0"/>
              <w:rPr>
                <w:sz w:val="20"/>
                <w:szCs w:val="20"/>
              </w:rPr>
            </w:pPr>
            <w:r w:rsidRPr="00CB1A59">
              <w:rPr>
                <w:sz w:val="20"/>
                <w:szCs w:val="20"/>
              </w:rPr>
              <w:t>аванси и кредити на членовете на органите на управление</w:t>
            </w:r>
          </w:p>
        </w:tc>
        <w:tc>
          <w:tcPr>
            <w:tcW w:w="1391" w:type="dxa"/>
            <w:vAlign w:val="center"/>
          </w:tcPr>
          <w:p w:rsidR="00B45655" w:rsidRPr="00CB1A59" w:rsidRDefault="00B45655" w:rsidP="00EF6CBF">
            <w:pPr>
              <w:pStyle w:val="Style"/>
              <w:ind w:left="0" w:firstLine="0"/>
              <w:jc w:val="center"/>
              <w:rPr>
                <w:sz w:val="20"/>
                <w:szCs w:val="20"/>
              </w:rPr>
            </w:pPr>
          </w:p>
        </w:tc>
        <w:tc>
          <w:tcPr>
            <w:tcW w:w="1264" w:type="dxa"/>
          </w:tcPr>
          <w:p w:rsidR="00B45655" w:rsidRPr="00CB1A59" w:rsidRDefault="00B45655" w:rsidP="00C23155">
            <w:pPr>
              <w:pStyle w:val="Style"/>
              <w:ind w:left="0" w:firstLine="0"/>
            </w:pPr>
          </w:p>
        </w:tc>
        <w:tc>
          <w:tcPr>
            <w:tcW w:w="1105" w:type="dxa"/>
          </w:tcPr>
          <w:p w:rsidR="00B45655" w:rsidRPr="00CB1A59" w:rsidRDefault="00B45655" w:rsidP="00C23155">
            <w:pPr>
              <w:pStyle w:val="Style"/>
              <w:ind w:left="0" w:firstLine="0"/>
            </w:pPr>
          </w:p>
        </w:tc>
      </w:tr>
      <w:tr w:rsidR="00B45655" w:rsidRPr="00CB1A59">
        <w:tc>
          <w:tcPr>
            <w:tcW w:w="5300" w:type="dxa"/>
          </w:tcPr>
          <w:p w:rsidR="00B45655" w:rsidRPr="00CB1A59" w:rsidRDefault="00B45655" w:rsidP="00C23155">
            <w:pPr>
              <w:pStyle w:val="Style"/>
              <w:ind w:left="0" w:firstLine="0"/>
              <w:rPr>
                <w:sz w:val="20"/>
                <w:szCs w:val="20"/>
              </w:rPr>
            </w:pPr>
            <w:r w:rsidRPr="00CB1A59">
              <w:rPr>
                <w:sz w:val="20"/>
                <w:szCs w:val="20"/>
              </w:rPr>
              <w:t>задължения, поети в полза на административния персонал чрез всякакъв вид гаранции</w:t>
            </w:r>
          </w:p>
        </w:tc>
        <w:tc>
          <w:tcPr>
            <w:tcW w:w="1391" w:type="dxa"/>
            <w:vAlign w:val="center"/>
          </w:tcPr>
          <w:p w:rsidR="00B45655" w:rsidRPr="00CB1A59" w:rsidRDefault="00B45655" w:rsidP="00EF6CBF">
            <w:pPr>
              <w:pStyle w:val="Style"/>
              <w:ind w:left="0" w:firstLine="0"/>
              <w:jc w:val="center"/>
              <w:rPr>
                <w:sz w:val="20"/>
                <w:szCs w:val="20"/>
              </w:rPr>
            </w:pPr>
            <w:r w:rsidRPr="00CB1A59">
              <w:rPr>
                <w:sz w:val="20"/>
                <w:szCs w:val="20"/>
              </w:rPr>
              <w:t>Х</w:t>
            </w:r>
          </w:p>
        </w:tc>
        <w:tc>
          <w:tcPr>
            <w:tcW w:w="1264" w:type="dxa"/>
            <w:vAlign w:val="center"/>
          </w:tcPr>
          <w:p w:rsidR="00B45655" w:rsidRPr="00CB1A59" w:rsidRDefault="00B45655" w:rsidP="00C23155">
            <w:pPr>
              <w:pStyle w:val="Style"/>
              <w:ind w:left="0" w:firstLine="0"/>
              <w:jc w:val="center"/>
              <w:rPr>
                <w:sz w:val="20"/>
                <w:szCs w:val="20"/>
              </w:rPr>
            </w:pPr>
            <w:r w:rsidRPr="00CB1A59">
              <w:rPr>
                <w:sz w:val="20"/>
                <w:szCs w:val="20"/>
              </w:rPr>
              <w:t>Х</w:t>
            </w:r>
          </w:p>
        </w:tc>
        <w:tc>
          <w:tcPr>
            <w:tcW w:w="1105" w:type="dxa"/>
            <w:vAlign w:val="center"/>
          </w:tcPr>
          <w:p w:rsidR="00B45655" w:rsidRPr="00CB1A59" w:rsidRDefault="00B45655" w:rsidP="00C23155">
            <w:pPr>
              <w:pStyle w:val="Style"/>
              <w:ind w:left="0" w:firstLine="0"/>
              <w:jc w:val="center"/>
              <w:rPr>
                <w:sz w:val="20"/>
                <w:szCs w:val="20"/>
              </w:rPr>
            </w:pPr>
            <w:r w:rsidRPr="00CB1A59">
              <w:rPr>
                <w:sz w:val="20"/>
                <w:szCs w:val="20"/>
              </w:rPr>
              <w:t>Х</w:t>
            </w:r>
          </w:p>
        </w:tc>
      </w:tr>
      <w:tr w:rsidR="00B45655" w:rsidRPr="00CB1A59">
        <w:tc>
          <w:tcPr>
            <w:tcW w:w="5300" w:type="dxa"/>
          </w:tcPr>
          <w:p w:rsidR="00B45655" w:rsidRPr="00CB1A59" w:rsidRDefault="00B45655" w:rsidP="00C23155">
            <w:pPr>
              <w:pStyle w:val="Style"/>
              <w:ind w:left="0" w:firstLine="0"/>
              <w:rPr>
                <w:sz w:val="20"/>
                <w:szCs w:val="20"/>
              </w:rPr>
            </w:pPr>
            <w:r w:rsidRPr="00CB1A59">
              <w:rPr>
                <w:sz w:val="20"/>
                <w:szCs w:val="20"/>
              </w:rPr>
              <w:t>задължения, поети в полза на органите на управление чрез всякакъв вид гаранции</w:t>
            </w:r>
          </w:p>
        </w:tc>
        <w:tc>
          <w:tcPr>
            <w:tcW w:w="1391" w:type="dxa"/>
            <w:vAlign w:val="center"/>
          </w:tcPr>
          <w:p w:rsidR="00B45655" w:rsidRPr="00CB1A59" w:rsidRDefault="00B45655" w:rsidP="00EF6CBF">
            <w:pPr>
              <w:pStyle w:val="Style"/>
              <w:ind w:left="0" w:firstLine="0"/>
              <w:jc w:val="center"/>
              <w:rPr>
                <w:sz w:val="20"/>
                <w:szCs w:val="20"/>
              </w:rPr>
            </w:pPr>
            <w:r w:rsidRPr="00CB1A59">
              <w:rPr>
                <w:sz w:val="20"/>
                <w:szCs w:val="20"/>
              </w:rPr>
              <w:t>Х</w:t>
            </w:r>
          </w:p>
        </w:tc>
        <w:tc>
          <w:tcPr>
            <w:tcW w:w="1264" w:type="dxa"/>
            <w:vAlign w:val="center"/>
          </w:tcPr>
          <w:p w:rsidR="00B45655" w:rsidRPr="00CB1A59" w:rsidRDefault="00B45655" w:rsidP="00C23155">
            <w:pPr>
              <w:pStyle w:val="Style"/>
              <w:ind w:left="0" w:firstLine="0"/>
              <w:jc w:val="center"/>
              <w:rPr>
                <w:sz w:val="20"/>
                <w:szCs w:val="20"/>
              </w:rPr>
            </w:pPr>
            <w:r w:rsidRPr="00CB1A59">
              <w:rPr>
                <w:sz w:val="20"/>
                <w:szCs w:val="20"/>
              </w:rPr>
              <w:t>Х</w:t>
            </w:r>
          </w:p>
        </w:tc>
        <w:tc>
          <w:tcPr>
            <w:tcW w:w="1105" w:type="dxa"/>
            <w:vAlign w:val="center"/>
          </w:tcPr>
          <w:p w:rsidR="00B45655" w:rsidRPr="00CB1A59" w:rsidRDefault="00B45655" w:rsidP="00C23155">
            <w:pPr>
              <w:pStyle w:val="Style"/>
              <w:ind w:left="0" w:firstLine="0"/>
              <w:jc w:val="center"/>
              <w:rPr>
                <w:sz w:val="20"/>
                <w:szCs w:val="20"/>
              </w:rPr>
            </w:pPr>
            <w:r w:rsidRPr="00CB1A59">
              <w:rPr>
                <w:sz w:val="20"/>
                <w:szCs w:val="20"/>
              </w:rPr>
              <w:t>Х</w:t>
            </w:r>
          </w:p>
        </w:tc>
      </w:tr>
      <w:tr w:rsidR="00B45655" w:rsidRPr="00CB1A59">
        <w:tc>
          <w:tcPr>
            <w:tcW w:w="5300" w:type="dxa"/>
          </w:tcPr>
          <w:p w:rsidR="00B45655" w:rsidRPr="00CB1A59" w:rsidRDefault="00B45655" w:rsidP="00584F11">
            <w:pPr>
              <w:pStyle w:val="Style"/>
              <w:ind w:left="0" w:firstLine="0"/>
              <w:rPr>
                <w:sz w:val="20"/>
                <w:szCs w:val="20"/>
              </w:rPr>
            </w:pPr>
            <w:r w:rsidRPr="00CB1A59">
              <w:rPr>
                <w:sz w:val="20"/>
                <w:szCs w:val="20"/>
              </w:rPr>
              <w:t xml:space="preserve">върнати суми по аванси и кредити от горните лица </w:t>
            </w:r>
          </w:p>
        </w:tc>
        <w:tc>
          <w:tcPr>
            <w:tcW w:w="1391" w:type="dxa"/>
            <w:vAlign w:val="center"/>
          </w:tcPr>
          <w:p w:rsidR="00B45655" w:rsidRPr="00CB1A59" w:rsidRDefault="00B45655" w:rsidP="00584F11">
            <w:pPr>
              <w:pStyle w:val="Style"/>
              <w:ind w:left="0" w:firstLine="0"/>
              <w:jc w:val="center"/>
              <w:rPr>
                <w:sz w:val="20"/>
                <w:szCs w:val="20"/>
              </w:rPr>
            </w:pPr>
            <w:r w:rsidRPr="00CB1A59">
              <w:rPr>
                <w:sz w:val="20"/>
                <w:szCs w:val="20"/>
              </w:rPr>
              <w:t>Х</w:t>
            </w:r>
          </w:p>
        </w:tc>
        <w:tc>
          <w:tcPr>
            <w:tcW w:w="1264" w:type="dxa"/>
            <w:vAlign w:val="center"/>
          </w:tcPr>
          <w:p w:rsidR="00B45655" w:rsidRPr="00CB1A59" w:rsidRDefault="00B45655" w:rsidP="00584F11">
            <w:pPr>
              <w:pStyle w:val="Style"/>
              <w:ind w:left="0" w:firstLine="0"/>
              <w:jc w:val="center"/>
              <w:rPr>
                <w:sz w:val="20"/>
                <w:szCs w:val="20"/>
              </w:rPr>
            </w:pPr>
            <w:r w:rsidRPr="00CB1A59">
              <w:rPr>
                <w:sz w:val="20"/>
                <w:szCs w:val="20"/>
              </w:rPr>
              <w:t>Х</w:t>
            </w:r>
          </w:p>
        </w:tc>
        <w:tc>
          <w:tcPr>
            <w:tcW w:w="1105" w:type="dxa"/>
            <w:vAlign w:val="center"/>
          </w:tcPr>
          <w:p w:rsidR="00B45655" w:rsidRPr="00CB1A59" w:rsidRDefault="00B45655" w:rsidP="00584F11">
            <w:pPr>
              <w:pStyle w:val="Style"/>
              <w:ind w:left="0" w:firstLine="0"/>
              <w:jc w:val="center"/>
              <w:rPr>
                <w:sz w:val="20"/>
                <w:szCs w:val="20"/>
              </w:rPr>
            </w:pPr>
            <w:r w:rsidRPr="00CB1A59">
              <w:rPr>
                <w:sz w:val="20"/>
                <w:szCs w:val="20"/>
              </w:rPr>
              <w:t>Х</w:t>
            </w:r>
          </w:p>
        </w:tc>
      </w:tr>
      <w:tr w:rsidR="00B45655" w:rsidRPr="00CB1A59">
        <w:tc>
          <w:tcPr>
            <w:tcW w:w="5300" w:type="dxa"/>
          </w:tcPr>
          <w:p w:rsidR="00B45655" w:rsidRPr="00CB1A59" w:rsidRDefault="00B45655" w:rsidP="00584F11">
            <w:pPr>
              <w:pStyle w:val="Style"/>
              <w:ind w:left="0" w:firstLine="0"/>
              <w:rPr>
                <w:sz w:val="20"/>
                <w:szCs w:val="20"/>
              </w:rPr>
            </w:pPr>
            <w:r w:rsidRPr="00CB1A59">
              <w:rPr>
                <w:sz w:val="20"/>
                <w:szCs w:val="20"/>
              </w:rPr>
              <w:t xml:space="preserve">Отписани суми по аванси и кредити от горните лица </w:t>
            </w:r>
          </w:p>
        </w:tc>
        <w:tc>
          <w:tcPr>
            <w:tcW w:w="1391" w:type="dxa"/>
            <w:vAlign w:val="center"/>
          </w:tcPr>
          <w:p w:rsidR="00B45655" w:rsidRPr="00CB1A59" w:rsidRDefault="00B45655" w:rsidP="00EF6CBF">
            <w:pPr>
              <w:pStyle w:val="Style"/>
              <w:ind w:left="0" w:firstLine="0"/>
              <w:jc w:val="center"/>
              <w:rPr>
                <w:sz w:val="20"/>
                <w:szCs w:val="20"/>
              </w:rPr>
            </w:pPr>
            <w:r w:rsidRPr="00CB1A59">
              <w:rPr>
                <w:sz w:val="20"/>
                <w:szCs w:val="20"/>
              </w:rPr>
              <w:t>Х</w:t>
            </w:r>
          </w:p>
        </w:tc>
        <w:tc>
          <w:tcPr>
            <w:tcW w:w="1264" w:type="dxa"/>
            <w:vAlign w:val="center"/>
          </w:tcPr>
          <w:p w:rsidR="00B45655" w:rsidRPr="00CB1A59" w:rsidRDefault="00B45655" w:rsidP="00C23155">
            <w:pPr>
              <w:pStyle w:val="Style"/>
              <w:ind w:left="0" w:firstLine="0"/>
              <w:jc w:val="center"/>
              <w:rPr>
                <w:sz w:val="20"/>
                <w:szCs w:val="20"/>
              </w:rPr>
            </w:pPr>
            <w:r w:rsidRPr="00CB1A59">
              <w:rPr>
                <w:sz w:val="20"/>
                <w:szCs w:val="20"/>
              </w:rPr>
              <w:t>Х</w:t>
            </w:r>
          </w:p>
        </w:tc>
        <w:tc>
          <w:tcPr>
            <w:tcW w:w="1105" w:type="dxa"/>
            <w:vAlign w:val="center"/>
          </w:tcPr>
          <w:p w:rsidR="00B45655" w:rsidRPr="00CB1A59" w:rsidRDefault="00B45655" w:rsidP="00C23155">
            <w:pPr>
              <w:pStyle w:val="Style"/>
              <w:ind w:left="0" w:firstLine="0"/>
              <w:jc w:val="center"/>
              <w:rPr>
                <w:sz w:val="20"/>
                <w:szCs w:val="20"/>
              </w:rPr>
            </w:pPr>
            <w:r w:rsidRPr="00CB1A59">
              <w:rPr>
                <w:sz w:val="20"/>
                <w:szCs w:val="20"/>
              </w:rPr>
              <w:t>Х</w:t>
            </w:r>
          </w:p>
        </w:tc>
      </w:tr>
    </w:tbl>
    <w:p w:rsidR="00B45655" w:rsidRPr="00584F11" w:rsidRDefault="00B45655" w:rsidP="004A2F53">
      <w:pPr>
        <w:pStyle w:val="Style"/>
        <w:ind w:left="0" w:firstLine="0"/>
        <w:rPr>
          <w:color w:val="7030A0"/>
        </w:rPr>
      </w:pPr>
    </w:p>
    <w:p w:rsidR="00B45655" w:rsidRPr="00CB1A59" w:rsidRDefault="00B45655" w:rsidP="00DD3643">
      <w:pPr>
        <w:pStyle w:val="Style"/>
        <w:ind w:left="0" w:firstLine="0"/>
      </w:pPr>
    </w:p>
    <w:p w:rsidR="00B45655" w:rsidRPr="00CB1A59" w:rsidRDefault="00B45655" w:rsidP="00A41004">
      <w:pPr>
        <w:pStyle w:val="Style"/>
        <w:ind w:left="0" w:firstLine="0"/>
        <w:rPr>
          <w:i/>
          <w:iCs/>
        </w:rPr>
      </w:pPr>
      <w:r w:rsidRPr="00CB1A59">
        <w:t>2</w:t>
      </w:r>
      <w:r w:rsidR="00CB1A59" w:rsidRPr="00CB1A59">
        <w:t>3</w:t>
      </w:r>
      <w:r w:rsidRPr="00CB1A59">
        <w:t xml:space="preserve">. Сума на задълженията в счетоводния баланс, които стават дължими и изискуеми след повече от 5 години - няма такива </w:t>
      </w:r>
    </w:p>
    <w:p w:rsidR="00B45655" w:rsidRPr="00CB1A59" w:rsidRDefault="00B45655" w:rsidP="00DD3643">
      <w:pPr>
        <w:pStyle w:val="Style"/>
        <w:ind w:left="0" w:firstLine="0"/>
      </w:pPr>
    </w:p>
    <w:p w:rsidR="00B45655" w:rsidRPr="00CB1A59" w:rsidRDefault="00B45655" w:rsidP="00A41004">
      <w:pPr>
        <w:pStyle w:val="Style"/>
        <w:ind w:left="0" w:firstLine="0"/>
      </w:pPr>
      <w:r w:rsidRPr="00CB1A59">
        <w:t>2</w:t>
      </w:r>
      <w:r w:rsidR="00CB1A59" w:rsidRPr="00CB1A59">
        <w:t>4</w:t>
      </w:r>
      <w:r w:rsidRPr="00CB1A59">
        <w:t xml:space="preserve">. Сумата на задълженията в счетоводния баланс, за които са предоставени обезпечения - няма такива </w:t>
      </w:r>
    </w:p>
    <w:p w:rsidR="00B45655" w:rsidRPr="00584F11" w:rsidRDefault="00B45655">
      <w:pPr>
        <w:rPr>
          <w:color w:val="7030A0"/>
        </w:rPr>
      </w:pPr>
    </w:p>
    <w:p w:rsidR="00B45655" w:rsidRPr="00D32511" w:rsidRDefault="00B45655"/>
    <w:p w:rsidR="00B45655" w:rsidRPr="00D32511" w:rsidRDefault="00B45655" w:rsidP="008D16C4">
      <w:pPr>
        <w:pStyle w:val="Style"/>
        <w:ind w:left="0" w:firstLine="720"/>
      </w:pPr>
      <w:r w:rsidRPr="00D32511">
        <w:t>2</w:t>
      </w:r>
      <w:r w:rsidR="00CB1A59">
        <w:t>5</w:t>
      </w:r>
      <w:r w:rsidRPr="00D32511">
        <w:t>. Финансовият отчет</w:t>
      </w:r>
      <w:r w:rsidR="00CB1A59">
        <w:t xml:space="preserve"> </w:t>
      </w:r>
      <w:r w:rsidRPr="00D32511">
        <w:rPr>
          <w:spacing w:val="-3"/>
        </w:rPr>
        <w:t>на</w:t>
      </w:r>
      <w:r w:rsidR="00CB1A59">
        <w:rPr>
          <w:spacing w:val="-3"/>
        </w:rPr>
        <w:t xml:space="preserve"> ГОЛДИНС ООД </w:t>
      </w:r>
      <w:r w:rsidRPr="00D32511">
        <w:t>е изготвен в съответствие с принципа на действащо предприятие. Не са ни известни данни, които водят до несигурност относно възможността на предприятието ни да продължи своята дейност през следващите 12 месеца.</w:t>
      </w:r>
    </w:p>
    <w:p w:rsidR="00B45655" w:rsidRDefault="00B45655">
      <w:pPr>
        <w:rPr>
          <w:sz w:val="24"/>
          <w:szCs w:val="24"/>
        </w:rPr>
      </w:pPr>
    </w:p>
    <w:p w:rsidR="00B45655" w:rsidRPr="00052487" w:rsidRDefault="00B45655" w:rsidP="00E73323">
      <w:pPr>
        <w:rPr>
          <w:spacing w:val="8"/>
          <w:sz w:val="24"/>
          <w:szCs w:val="24"/>
        </w:rPr>
      </w:pPr>
    </w:p>
    <w:p w:rsidR="00B45655" w:rsidRPr="00052487" w:rsidRDefault="00B45655" w:rsidP="00E73323">
      <w:r w:rsidRPr="00052487">
        <w:rPr>
          <w:spacing w:val="8"/>
          <w:sz w:val="24"/>
          <w:szCs w:val="24"/>
        </w:rPr>
        <w:t xml:space="preserve">Предприятието съставя Счетоводен баланс и Отчет за отчета за приходите и разходите в </w:t>
      </w:r>
      <w:r w:rsidRPr="00052487">
        <w:rPr>
          <w:sz w:val="24"/>
          <w:szCs w:val="24"/>
        </w:rPr>
        <w:t>Двустранна форма</w:t>
      </w:r>
      <w:r w:rsidRPr="00052487">
        <w:rPr>
          <w:spacing w:val="8"/>
          <w:sz w:val="24"/>
          <w:szCs w:val="24"/>
        </w:rPr>
        <w:t>, съгласно изискванията на СС1.</w:t>
      </w:r>
      <w:r w:rsidRPr="00052487">
        <w:t xml:space="preserve"> И</w:t>
      </w:r>
      <w:r w:rsidRPr="00052487">
        <w:rPr>
          <w:spacing w:val="8"/>
          <w:sz w:val="24"/>
          <w:szCs w:val="24"/>
        </w:rPr>
        <w:t>збраната форма се запазва непроменена през различните отчетни периоди</w:t>
      </w:r>
      <w:r w:rsidRPr="00052487">
        <w:rPr>
          <w:sz w:val="24"/>
          <w:szCs w:val="24"/>
        </w:rPr>
        <w:t>.</w:t>
      </w:r>
    </w:p>
    <w:p w:rsidR="00B45655" w:rsidRPr="00D32511" w:rsidRDefault="00B45655" w:rsidP="00E73323"/>
    <w:p w:rsidR="00B45655" w:rsidRPr="00987F4F" w:rsidRDefault="00B45655" w:rsidP="00E73323">
      <w:pPr>
        <w:rPr>
          <w:strike/>
        </w:rPr>
      </w:pPr>
    </w:p>
    <w:p w:rsidR="00B45655" w:rsidRPr="00D32511" w:rsidRDefault="00B45655" w:rsidP="00E73323">
      <w:pPr>
        <w:rPr>
          <w:sz w:val="24"/>
          <w:szCs w:val="24"/>
          <w:lang w:val="ru-RU"/>
        </w:rPr>
      </w:pPr>
    </w:p>
    <w:p w:rsidR="00B45655" w:rsidRPr="00D32511" w:rsidRDefault="00B45655">
      <w:pPr>
        <w:rPr>
          <w:sz w:val="24"/>
          <w:szCs w:val="24"/>
          <w:lang w:val="ru-RU"/>
        </w:rPr>
      </w:pPr>
    </w:p>
    <w:p w:rsidR="00B45655" w:rsidRPr="00D32511" w:rsidRDefault="00B45655">
      <w:pPr>
        <w:rPr>
          <w:sz w:val="24"/>
          <w:szCs w:val="24"/>
        </w:rPr>
      </w:pPr>
    </w:p>
    <w:p w:rsidR="00B45655" w:rsidRPr="00D32511" w:rsidRDefault="00B45655">
      <w:pPr>
        <w:rPr>
          <w:sz w:val="24"/>
          <w:szCs w:val="24"/>
        </w:rPr>
      </w:pPr>
    </w:p>
    <w:p w:rsidR="00B45655" w:rsidRPr="00D32511" w:rsidRDefault="00B45655" w:rsidP="008D16C4">
      <w:pPr>
        <w:rPr>
          <w:sz w:val="24"/>
          <w:szCs w:val="24"/>
        </w:rPr>
      </w:pPr>
      <w:r w:rsidRPr="00D32511">
        <w:rPr>
          <w:sz w:val="24"/>
          <w:szCs w:val="24"/>
        </w:rPr>
        <w:t>Ръководител:………….……</w:t>
      </w:r>
      <w:r w:rsidR="00C6142B">
        <w:rPr>
          <w:sz w:val="24"/>
          <w:szCs w:val="24"/>
        </w:rPr>
        <w:t xml:space="preserve">     </w:t>
      </w:r>
      <w:r w:rsidRPr="00D32511">
        <w:rPr>
          <w:sz w:val="24"/>
          <w:szCs w:val="24"/>
        </w:rPr>
        <w:tab/>
        <w:t>Съставител:…………………..</w:t>
      </w:r>
    </w:p>
    <w:p w:rsidR="00B45655" w:rsidRPr="00D32511" w:rsidRDefault="00C6142B" w:rsidP="008D16C4">
      <w:pPr>
        <w:rPr>
          <w:sz w:val="24"/>
          <w:szCs w:val="24"/>
        </w:rPr>
      </w:pPr>
      <w:r>
        <w:rPr>
          <w:sz w:val="24"/>
          <w:szCs w:val="24"/>
        </w:rPr>
        <w:t>А.</w:t>
      </w:r>
      <w:proofErr w:type="spellStart"/>
      <w:r>
        <w:rPr>
          <w:sz w:val="24"/>
          <w:szCs w:val="24"/>
        </w:rPr>
        <w:t>Боюклиев</w:t>
      </w:r>
      <w:proofErr w:type="spellEnd"/>
      <w:r>
        <w:rPr>
          <w:sz w:val="24"/>
          <w:szCs w:val="24"/>
        </w:rPr>
        <w:t xml:space="preserve">                                                            М.Велчева</w:t>
      </w:r>
    </w:p>
    <w:p w:rsidR="00B45655" w:rsidRPr="00D32511" w:rsidRDefault="00B45655" w:rsidP="008D16C4">
      <w:pPr>
        <w:rPr>
          <w:sz w:val="24"/>
          <w:szCs w:val="24"/>
        </w:rPr>
      </w:pPr>
    </w:p>
    <w:p w:rsidR="00B45655" w:rsidRPr="00D32511" w:rsidRDefault="00B45655" w:rsidP="008D16C4">
      <w:pPr>
        <w:rPr>
          <w:sz w:val="24"/>
          <w:szCs w:val="24"/>
        </w:rPr>
      </w:pPr>
      <w:r w:rsidRPr="00D32511">
        <w:rPr>
          <w:sz w:val="24"/>
          <w:szCs w:val="24"/>
        </w:rPr>
        <w:t>Дата:2</w:t>
      </w:r>
      <w:r w:rsidR="00A95341">
        <w:rPr>
          <w:sz w:val="24"/>
          <w:szCs w:val="24"/>
        </w:rPr>
        <w:t>4</w:t>
      </w:r>
      <w:r w:rsidRPr="00D32511">
        <w:rPr>
          <w:sz w:val="24"/>
          <w:szCs w:val="24"/>
        </w:rPr>
        <w:t>.0</w:t>
      </w:r>
      <w:r w:rsidR="00A95341">
        <w:rPr>
          <w:sz w:val="24"/>
          <w:szCs w:val="24"/>
        </w:rPr>
        <w:t>7</w:t>
      </w:r>
      <w:r w:rsidRPr="00D32511">
        <w:rPr>
          <w:sz w:val="24"/>
          <w:szCs w:val="24"/>
        </w:rPr>
        <w:t>.2017г.</w:t>
      </w:r>
    </w:p>
    <w:p w:rsidR="00B45655" w:rsidRPr="00D32511" w:rsidRDefault="00B45655">
      <w:pPr>
        <w:rPr>
          <w:sz w:val="24"/>
          <w:szCs w:val="24"/>
        </w:rPr>
      </w:pPr>
    </w:p>
    <w:sectPr w:rsidR="00B45655" w:rsidRPr="00D32511" w:rsidSect="001F2CD2">
      <w:pgSz w:w="11906" w:h="16838" w:code="9"/>
      <w:pgMar w:top="1134" w:right="1418"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5CEB"/>
    <w:multiLevelType w:val="singleLevel"/>
    <w:tmpl w:val="FA2C2146"/>
    <w:lvl w:ilvl="0">
      <w:start w:val="9"/>
      <w:numFmt w:val="decimal"/>
      <w:lvlText w:val="%1."/>
      <w:lvlJc w:val="left"/>
      <w:pPr>
        <w:tabs>
          <w:tab w:val="num" w:pos="720"/>
        </w:tabs>
        <w:ind w:left="720" w:hanging="720"/>
      </w:pPr>
      <w:rPr>
        <w:rFonts w:hint="default"/>
      </w:rPr>
    </w:lvl>
  </w:abstractNum>
  <w:abstractNum w:abstractNumId="1">
    <w:nsid w:val="12E4783F"/>
    <w:multiLevelType w:val="singleLevel"/>
    <w:tmpl w:val="0C09000F"/>
    <w:lvl w:ilvl="0">
      <w:start w:val="9"/>
      <w:numFmt w:val="decimal"/>
      <w:lvlText w:val="%1."/>
      <w:lvlJc w:val="left"/>
      <w:pPr>
        <w:tabs>
          <w:tab w:val="num" w:pos="360"/>
        </w:tabs>
        <w:ind w:left="360" w:hanging="360"/>
      </w:pPr>
      <w:rPr>
        <w:rFonts w:hint="default"/>
      </w:rPr>
    </w:lvl>
  </w:abstractNum>
  <w:abstractNum w:abstractNumId="2">
    <w:nsid w:val="1683420B"/>
    <w:multiLevelType w:val="singleLevel"/>
    <w:tmpl w:val="D86C47F2"/>
    <w:lvl w:ilvl="0">
      <w:start w:val="1"/>
      <w:numFmt w:val="upperRoman"/>
      <w:lvlText w:val=""/>
      <w:lvlJc w:val="left"/>
      <w:pPr>
        <w:tabs>
          <w:tab w:val="num" w:pos="360"/>
        </w:tabs>
        <w:ind w:left="360" w:hanging="360"/>
      </w:pPr>
      <w:rPr>
        <w:rFonts w:hint="default"/>
      </w:rPr>
    </w:lvl>
  </w:abstractNum>
  <w:abstractNum w:abstractNumId="3">
    <w:nsid w:val="1AC53BAD"/>
    <w:multiLevelType w:val="singleLevel"/>
    <w:tmpl w:val="EE9092CC"/>
    <w:lvl w:ilvl="0">
      <w:numFmt w:val="bullet"/>
      <w:lvlText w:val="-"/>
      <w:lvlJc w:val="left"/>
      <w:pPr>
        <w:tabs>
          <w:tab w:val="num" w:pos="1080"/>
        </w:tabs>
        <w:ind w:left="1080" w:hanging="360"/>
      </w:pPr>
      <w:rPr>
        <w:rFonts w:hint="default"/>
      </w:rPr>
    </w:lvl>
  </w:abstractNum>
  <w:abstractNum w:abstractNumId="4">
    <w:nsid w:val="3ACB353D"/>
    <w:multiLevelType w:val="singleLevel"/>
    <w:tmpl w:val="AD6ED9C4"/>
    <w:lvl w:ilvl="0">
      <w:start w:val="1"/>
      <w:numFmt w:val="decimal"/>
      <w:lvlText w:val="%1."/>
      <w:lvlJc w:val="left"/>
      <w:pPr>
        <w:tabs>
          <w:tab w:val="num" w:pos="1080"/>
        </w:tabs>
        <w:ind w:left="1080" w:hanging="360"/>
      </w:pPr>
      <w:rPr>
        <w:rFonts w:hint="default"/>
      </w:rPr>
    </w:lvl>
  </w:abstractNum>
  <w:abstractNum w:abstractNumId="5">
    <w:nsid w:val="493C3717"/>
    <w:multiLevelType w:val="hybridMultilevel"/>
    <w:tmpl w:val="5D52965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4A9D1DC5"/>
    <w:multiLevelType w:val="hybridMultilevel"/>
    <w:tmpl w:val="71A2CB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C692670"/>
    <w:multiLevelType w:val="hybridMultilevel"/>
    <w:tmpl w:val="43AC9D92"/>
    <w:lvl w:ilvl="0" w:tplc="7570AB8A">
      <w:start w:val="19"/>
      <w:numFmt w:val="bullet"/>
      <w:lvlText w:val="-"/>
      <w:lvlJc w:val="left"/>
      <w:pPr>
        <w:tabs>
          <w:tab w:val="num" w:pos="1189"/>
        </w:tabs>
        <w:ind w:left="1189" w:hanging="360"/>
      </w:pPr>
      <w:rPr>
        <w:rFonts w:ascii="Times New Roman" w:eastAsia="Times New Roman" w:hAnsi="Times New Roman" w:hint="default"/>
      </w:rPr>
    </w:lvl>
    <w:lvl w:ilvl="1" w:tplc="04020003">
      <w:start w:val="1"/>
      <w:numFmt w:val="bullet"/>
      <w:lvlText w:val="o"/>
      <w:lvlJc w:val="left"/>
      <w:pPr>
        <w:tabs>
          <w:tab w:val="num" w:pos="1909"/>
        </w:tabs>
        <w:ind w:left="1909" w:hanging="360"/>
      </w:pPr>
      <w:rPr>
        <w:rFonts w:ascii="Courier New" w:hAnsi="Courier New" w:cs="Courier New" w:hint="default"/>
      </w:rPr>
    </w:lvl>
    <w:lvl w:ilvl="2" w:tplc="04020005">
      <w:start w:val="1"/>
      <w:numFmt w:val="bullet"/>
      <w:lvlText w:val=""/>
      <w:lvlJc w:val="left"/>
      <w:pPr>
        <w:tabs>
          <w:tab w:val="num" w:pos="2629"/>
        </w:tabs>
        <w:ind w:left="2629" w:hanging="360"/>
      </w:pPr>
      <w:rPr>
        <w:rFonts w:ascii="Wingdings" w:hAnsi="Wingdings" w:cs="Wingdings" w:hint="default"/>
      </w:rPr>
    </w:lvl>
    <w:lvl w:ilvl="3" w:tplc="04020001">
      <w:start w:val="1"/>
      <w:numFmt w:val="bullet"/>
      <w:lvlText w:val=""/>
      <w:lvlJc w:val="left"/>
      <w:pPr>
        <w:tabs>
          <w:tab w:val="num" w:pos="3349"/>
        </w:tabs>
        <w:ind w:left="3349" w:hanging="360"/>
      </w:pPr>
      <w:rPr>
        <w:rFonts w:ascii="Symbol" w:hAnsi="Symbol" w:cs="Symbol" w:hint="default"/>
      </w:rPr>
    </w:lvl>
    <w:lvl w:ilvl="4" w:tplc="04020003">
      <w:start w:val="1"/>
      <w:numFmt w:val="bullet"/>
      <w:lvlText w:val="o"/>
      <w:lvlJc w:val="left"/>
      <w:pPr>
        <w:tabs>
          <w:tab w:val="num" w:pos="4069"/>
        </w:tabs>
        <w:ind w:left="4069" w:hanging="360"/>
      </w:pPr>
      <w:rPr>
        <w:rFonts w:ascii="Courier New" w:hAnsi="Courier New" w:cs="Courier New" w:hint="default"/>
      </w:rPr>
    </w:lvl>
    <w:lvl w:ilvl="5" w:tplc="04020005">
      <w:start w:val="1"/>
      <w:numFmt w:val="bullet"/>
      <w:lvlText w:val=""/>
      <w:lvlJc w:val="left"/>
      <w:pPr>
        <w:tabs>
          <w:tab w:val="num" w:pos="4789"/>
        </w:tabs>
        <w:ind w:left="4789" w:hanging="360"/>
      </w:pPr>
      <w:rPr>
        <w:rFonts w:ascii="Wingdings" w:hAnsi="Wingdings" w:cs="Wingdings" w:hint="default"/>
      </w:rPr>
    </w:lvl>
    <w:lvl w:ilvl="6" w:tplc="04020001">
      <w:start w:val="1"/>
      <w:numFmt w:val="bullet"/>
      <w:lvlText w:val=""/>
      <w:lvlJc w:val="left"/>
      <w:pPr>
        <w:tabs>
          <w:tab w:val="num" w:pos="5509"/>
        </w:tabs>
        <w:ind w:left="5509" w:hanging="360"/>
      </w:pPr>
      <w:rPr>
        <w:rFonts w:ascii="Symbol" w:hAnsi="Symbol" w:cs="Symbol" w:hint="default"/>
      </w:rPr>
    </w:lvl>
    <w:lvl w:ilvl="7" w:tplc="04020003">
      <w:start w:val="1"/>
      <w:numFmt w:val="bullet"/>
      <w:lvlText w:val="o"/>
      <w:lvlJc w:val="left"/>
      <w:pPr>
        <w:tabs>
          <w:tab w:val="num" w:pos="6229"/>
        </w:tabs>
        <w:ind w:left="6229" w:hanging="360"/>
      </w:pPr>
      <w:rPr>
        <w:rFonts w:ascii="Courier New" w:hAnsi="Courier New" w:cs="Courier New" w:hint="default"/>
      </w:rPr>
    </w:lvl>
    <w:lvl w:ilvl="8" w:tplc="04020005">
      <w:start w:val="1"/>
      <w:numFmt w:val="bullet"/>
      <w:lvlText w:val=""/>
      <w:lvlJc w:val="left"/>
      <w:pPr>
        <w:tabs>
          <w:tab w:val="num" w:pos="6949"/>
        </w:tabs>
        <w:ind w:left="6949" w:hanging="360"/>
      </w:pPr>
      <w:rPr>
        <w:rFonts w:ascii="Wingdings" w:hAnsi="Wingdings" w:cs="Wingdings" w:hint="default"/>
      </w:rPr>
    </w:lvl>
  </w:abstractNum>
  <w:abstractNum w:abstractNumId="8">
    <w:nsid w:val="4DC678EB"/>
    <w:multiLevelType w:val="hybridMultilevel"/>
    <w:tmpl w:val="8BA0DC0A"/>
    <w:lvl w:ilvl="0" w:tplc="9BB26DE0">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9">
    <w:nsid w:val="4F8F5C55"/>
    <w:multiLevelType w:val="singleLevel"/>
    <w:tmpl w:val="C2B4EAC2"/>
    <w:lvl w:ilvl="0">
      <w:start w:val="1"/>
      <w:numFmt w:val="decimal"/>
      <w:lvlText w:val="%1."/>
      <w:lvlJc w:val="left"/>
      <w:pPr>
        <w:tabs>
          <w:tab w:val="num" w:pos="900"/>
        </w:tabs>
        <w:ind w:left="900" w:hanging="360"/>
      </w:pPr>
      <w:rPr>
        <w:rFonts w:hint="default"/>
      </w:rPr>
    </w:lvl>
  </w:abstractNum>
  <w:abstractNum w:abstractNumId="10">
    <w:nsid w:val="51044B42"/>
    <w:multiLevelType w:val="singleLevel"/>
    <w:tmpl w:val="CB60BAE6"/>
    <w:lvl w:ilvl="0">
      <w:start w:val="3"/>
      <w:numFmt w:val="decimal"/>
      <w:lvlText w:val="%1."/>
      <w:lvlJc w:val="left"/>
      <w:pPr>
        <w:tabs>
          <w:tab w:val="num" w:pos="780"/>
        </w:tabs>
        <w:ind w:left="780" w:hanging="360"/>
      </w:pPr>
      <w:rPr>
        <w:rFonts w:hint="default"/>
      </w:rPr>
    </w:lvl>
  </w:abstractNum>
  <w:abstractNum w:abstractNumId="11">
    <w:nsid w:val="53291877"/>
    <w:multiLevelType w:val="singleLevel"/>
    <w:tmpl w:val="AD6ED9C4"/>
    <w:lvl w:ilvl="0">
      <w:start w:val="1"/>
      <w:numFmt w:val="decimal"/>
      <w:lvlText w:val="%1."/>
      <w:lvlJc w:val="left"/>
      <w:pPr>
        <w:tabs>
          <w:tab w:val="num" w:pos="1080"/>
        </w:tabs>
        <w:ind w:left="1080" w:hanging="360"/>
      </w:pPr>
      <w:rPr>
        <w:rFonts w:hint="default"/>
      </w:rPr>
    </w:lvl>
  </w:abstractNum>
  <w:abstractNum w:abstractNumId="12">
    <w:nsid w:val="53576C90"/>
    <w:multiLevelType w:val="singleLevel"/>
    <w:tmpl w:val="AD6ED9C4"/>
    <w:lvl w:ilvl="0">
      <w:start w:val="1"/>
      <w:numFmt w:val="decimal"/>
      <w:lvlText w:val="%1."/>
      <w:lvlJc w:val="left"/>
      <w:pPr>
        <w:tabs>
          <w:tab w:val="num" w:pos="1080"/>
        </w:tabs>
        <w:ind w:left="1080" w:hanging="360"/>
      </w:pPr>
      <w:rPr>
        <w:rFonts w:hint="default"/>
      </w:rPr>
    </w:lvl>
  </w:abstractNum>
  <w:abstractNum w:abstractNumId="13">
    <w:nsid w:val="53B21AF6"/>
    <w:multiLevelType w:val="singleLevel"/>
    <w:tmpl w:val="1654F416"/>
    <w:lvl w:ilvl="0">
      <w:start w:val="1"/>
      <w:numFmt w:val="decimal"/>
      <w:lvlText w:val="%1."/>
      <w:lvlJc w:val="left"/>
      <w:pPr>
        <w:tabs>
          <w:tab w:val="num" w:pos="900"/>
        </w:tabs>
        <w:ind w:left="900" w:hanging="360"/>
      </w:pPr>
      <w:rPr>
        <w:rFonts w:hint="default"/>
      </w:rPr>
    </w:lvl>
  </w:abstractNum>
  <w:abstractNum w:abstractNumId="14">
    <w:nsid w:val="6A10405F"/>
    <w:multiLevelType w:val="hybridMultilevel"/>
    <w:tmpl w:val="29A87F4A"/>
    <w:lvl w:ilvl="0" w:tplc="BCB04C5C">
      <w:start w:val="16"/>
      <w:numFmt w:val="bullet"/>
      <w:lvlText w:val="-"/>
      <w:lvlJc w:val="left"/>
      <w:pPr>
        <w:ind w:left="1800" w:hanging="360"/>
      </w:pPr>
      <w:rPr>
        <w:rFonts w:ascii="Times New Roman" w:eastAsia="Times New Roman" w:hAnsi="Times New Roman" w:hint="default"/>
      </w:rPr>
    </w:lvl>
    <w:lvl w:ilvl="1" w:tplc="04020003">
      <w:start w:val="1"/>
      <w:numFmt w:val="bullet"/>
      <w:lvlText w:val="o"/>
      <w:lvlJc w:val="left"/>
      <w:pPr>
        <w:ind w:left="2520" w:hanging="360"/>
      </w:pPr>
      <w:rPr>
        <w:rFonts w:ascii="Courier New" w:hAnsi="Courier New" w:cs="Courier New" w:hint="default"/>
      </w:rPr>
    </w:lvl>
    <w:lvl w:ilvl="2" w:tplc="04020005">
      <w:start w:val="1"/>
      <w:numFmt w:val="bullet"/>
      <w:lvlText w:val=""/>
      <w:lvlJc w:val="left"/>
      <w:pPr>
        <w:ind w:left="3240" w:hanging="360"/>
      </w:pPr>
      <w:rPr>
        <w:rFonts w:ascii="Wingdings" w:hAnsi="Wingdings" w:cs="Wingdings" w:hint="default"/>
      </w:rPr>
    </w:lvl>
    <w:lvl w:ilvl="3" w:tplc="04020001">
      <w:start w:val="1"/>
      <w:numFmt w:val="bullet"/>
      <w:lvlText w:val=""/>
      <w:lvlJc w:val="left"/>
      <w:pPr>
        <w:ind w:left="3960" w:hanging="360"/>
      </w:pPr>
      <w:rPr>
        <w:rFonts w:ascii="Symbol" w:hAnsi="Symbol" w:cs="Symbol" w:hint="default"/>
      </w:rPr>
    </w:lvl>
    <w:lvl w:ilvl="4" w:tplc="04020003">
      <w:start w:val="1"/>
      <w:numFmt w:val="bullet"/>
      <w:lvlText w:val="o"/>
      <w:lvlJc w:val="left"/>
      <w:pPr>
        <w:ind w:left="4680" w:hanging="360"/>
      </w:pPr>
      <w:rPr>
        <w:rFonts w:ascii="Courier New" w:hAnsi="Courier New" w:cs="Courier New" w:hint="default"/>
      </w:rPr>
    </w:lvl>
    <w:lvl w:ilvl="5" w:tplc="04020005">
      <w:start w:val="1"/>
      <w:numFmt w:val="bullet"/>
      <w:lvlText w:val=""/>
      <w:lvlJc w:val="left"/>
      <w:pPr>
        <w:ind w:left="5400" w:hanging="360"/>
      </w:pPr>
      <w:rPr>
        <w:rFonts w:ascii="Wingdings" w:hAnsi="Wingdings" w:cs="Wingdings" w:hint="default"/>
      </w:rPr>
    </w:lvl>
    <w:lvl w:ilvl="6" w:tplc="04020001">
      <w:start w:val="1"/>
      <w:numFmt w:val="bullet"/>
      <w:lvlText w:val=""/>
      <w:lvlJc w:val="left"/>
      <w:pPr>
        <w:ind w:left="6120" w:hanging="360"/>
      </w:pPr>
      <w:rPr>
        <w:rFonts w:ascii="Symbol" w:hAnsi="Symbol" w:cs="Symbol" w:hint="default"/>
      </w:rPr>
    </w:lvl>
    <w:lvl w:ilvl="7" w:tplc="04020003">
      <w:start w:val="1"/>
      <w:numFmt w:val="bullet"/>
      <w:lvlText w:val="o"/>
      <w:lvlJc w:val="left"/>
      <w:pPr>
        <w:ind w:left="6840" w:hanging="360"/>
      </w:pPr>
      <w:rPr>
        <w:rFonts w:ascii="Courier New" w:hAnsi="Courier New" w:cs="Courier New" w:hint="default"/>
      </w:rPr>
    </w:lvl>
    <w:lvl w:ilvl="8" w:tplc="04020005">
      <w:start w:val="1"/>
      <w:numFmt w:val="bullet"/>
      <w:lvlText w:val=""/>
      <w:lvlJc w:val="left"/>
      <w:pPr>
        <w:ind w:left="7560" w:hanging="360"/>
      </w:pPr>
      <w:rPr>
        <w:rFonts w:ascii="Wingdings" w:hAnsi="Wingdings" w:cs="Wingdings" w:hint="default"/>
      </w:rPr>
    </w:lvl>
  </w:abstractNum>
  <w:abstractNum w:abstractNumId="15">
    <w:nsid w:val="71C42A0E"/>
    <w:multiLevelType w:val="singleLevel"/>
    <w:tmpl w:val="0C09000F"/>
    <w:lvl w:ilvl="0">
      <w:start w:val="9"/>
      <w:numFmt w:val="decimal"/>
      <w:lvlText w:val="%1."/>
      <w:lvlJc w:val="left"/>
      <w:pPr>
        <w:tabs>
          <w:tab w:val="num" w:pos="360"/>
        </w:tabs>
        <w:ind w:left="360" w:hanging="360"/>
      </w:pPr>
      <w:rPr>
        <w:rFonts w:hint="default"/>
      </w:rPr>
    </w:lvl>
  </w:abstractNum>
  <w:num w:numId="1">
    <w:abstractNumId w:val="11"/>
  </w:num>
  <w:num w:numId="2">
    <w:abstractNumId w:val="12"/>
  </w:num>
  <w:num w:numId="3">
    <w:abstractNumId w:val="3"/>
  </w:num>
  <w:num w:numId="4">
    <w:abstractNumId w:val="0"/>
  </w:num>
  <w:num w:numId="5">
    <w:abstractNumId w:val="15"/>
  </w:num>
  <w:num w:numId="6">
    <w:abstractNumId w:val="1"/>
  </w:num>
  <w:num w:numId="7">
    <w:abstractNumId w:val="2"/>
  </w:num>
  <w:num w:numId="8">
    <w:abstractNumId w:val="10"/>
  </w:num>
  <w:num w:numId="9">
    <w:abstractNumId w:val="9"/>
  </w:num>
  <w:num w:numId="10">
    <w:abstractNumId w:val="13"/>
  </w:num>
  <w:num w:numId="11">
    <w:abstractNumId w:val="4"/>
  </w:num>
  <w:num w:numId="12">
    <w:abstractNumId w:val="6"/>
  </w:num>
  <w:num w:numId="13">
    <w:abstractNumId w:val="8"/>
  </w:num>
  <w:num w:numId="14">
    <w:abstractNumId w:val="5"/>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compat/>
  <w:rsids>
    <w:rsidRoot w:val="004D78ED"/>
    <w:rsid w:val="00002926"/>
    <w:rsid w:val="00011F8B"/>
    <w:rsid w:val="000513B2"/>
    <w:rsid w:val="00052487"/>
    <w:rsid w:val="0005704D"/>
    <w:rsid w:val="00057C9F"/>
    <w:rsid w:val="00057D08"/>
    <w:rsid w:val="00076FD0"/>
    <w:rsid w:val="00077157"/>
    <w:rsid w:val="00084A40"/>
    <w:rsid w:val="00095B2D"/>
    <w:rsid w:val="000976B3"/>
    <w:rsid w:val="000A0783"/>
    <w:rsid w:val="000C49E8"/>
    <w:rsid w:val="00104BD0"/>
    <w:rsid w:val="001056BF"/>
    <w:rsid w:val="00112975"/>
    <w:rsid w:val="00115179"/>
    <w:rsid w:val="00155238"/>
    <w:rsid w:val="00170C71"/>
    <w:rsid w:val="00192B2E"/>
    <w:rsid w:val="00194DCB"/>
    <w:rsid w:val="001A2BE5"/>
    <w:rsid w:val="001A5C47"/>
    <w:rsid w:val="001C4E09"/>
    <w:rsid w:val="001C69C6"/>
    <w:rsid w:val="001C7992"/>
    <w:rsid w:val="001D165C"/>
    <w:rsid w:val="001E31D5"/>
    <w:rsid w:val="001F1114"/>
    <w:rsid w:val="001F2CD2"/>
    <w:rsid w:val="001F3105"/>
    <w:rsid w:val="001F4B74"/>
    <w:rsid w:val="00216C05"/>
    <w:rsid w:val="0022646E"/>
    <w:rsid w:val="00233C44"/>
    <w:rsid w:val="00236DCD"/>
    <w:rsid w:val="00247747"/>
    <w:rsid w:val="002A09F3"/>
    <w:rsid w:val="002E45E2"/>
    <w:rsid w:val="002E7986"/>
    <w:rsid w:val="002F1687"/>
    <w:rsid w:val="002F28D5"/>
    <w:rsid w:val="002F3B42"/>
    <w:rsid w:val="00301FA9"/>
    <w:rsid w:val="00312584"/>
    <w:rsid w:val="00326151"/>
    <w:rsid w:val="0033123E"/>
    <w:rsid w:val="00345243"/>
    <w:rsid w:val="003457E1"/>
    <w:rsid w:val="003556BF"/>
    <w:rsid w:val="00361C43"/>
    <w:rsid w:val="00364355"/>
    <w:rsid w:val="003656B5"/>
    <w:rsid w:val="003861A7"/>
    <w:rsid w:val="0039798B"/>
    <w:rsid w:val="003A1C10"/>
    <w:rsid w:val="003C63B2"/>
    <w:rsid w:val="003F0EE3"/>
    <w:rsid w:val="003F54CF"/>
    <w:rsid w:val="004073A6"/>
    <w:rsid w:val="00423823"/>
    <w:rsid w:val="00452815"/>
    <w:rsid w:val="00454D8A"/>
    <w:rsid w:val="0045667E"/>
    <w:rsid w:val="00463C03"/>
    <w:rsid w:val="00475624"/>
    <w:rsid w:val="00481110"/>
    <w:rsid w:val="0048657C"/>
    <w:rsid w:val="004A2F53"/>
    <w:rsid w:val="004B177E"/>
    <w:rsid w:val="004D7334"/>
    <w:rsid w:val="004D78ED"/>
    <w:rsid w:val="004F4C37"/>
    <w:rsid w:val="00534C4A"/>
    <w:rsid w:val="00573A6D"/>
    <w:rsid w:val="00584F11"/>
    <w:rsid w:val="00595101"/>
    <w:rsid w:val="005B3049"/>
    <w:rsid w:val="005B56CD"/>
    <w:rsid w:val="005E5FE2"/>
    <w:rsid w:val="005E6E4C"/>
    <w:rsid w:val="005F7886"/>
    <w:rsid w:val="00604DD8"/>
    <w:rsid w:val="00655CCB"/>
    <w:rsid w:val="00670380"/>
    <w:rsid w:val="006A1251"/>
    <w:rsid w:val="006B4941"/>
    <w:rsid w:val="006B58EB"/>
    <w:rsid w:val="006B5B9C"/>
    <w:rsid w:val="006D2BEE"/>
    <w:rsid w:val="006E6F6D"/>
    <w:rsid w:val="00713F7F"/>
    <w:rsid w:val="00725637"/>
    <w:rsid w:val="007259F4"/>
    <w:rsid w:val="00726C94"/>
    <w:rsid w:val="00730046"/>
    <w:rsid w:val="00746504"/>
    <w:rsid w:val="00751800"/>
    <w:rsid w:val="007566E6"/>
    <w:rsid w:val="007672D6"/>
    <w:rsid w:val="007911F9"/>
    <w:rsid w:val="007C6650"/>
    <w:rsid w:val="007D7DDF"/>
    <w:rsid w:val="007F0F7F"/>
    <w:rsid w:val="008053E7"/>
    <w:rsid w:val="00861AF5"/>
    <w:rsid w:val="008729C2"/>
    <w:rsid w:val="008840D3"/>
    <w:rsid w:val="00892420"/>
    <w:rsid w:val="008D16C4"/>
    <w:rsid w:val="008D5CB5"/>
    <w:rsid w:val="008D6097"/>
    <w:rsid w:val="008F560D"/>
    <w:rsid w:val="009063AF"/>
    <w:rsid w:val="00941998"/>
    <w:rsid w:val="009454BB"/>
    <w:rsid w:val="00947862"/>
    <w:rsid w:val="00962CC6"/>
    <w:rsid w:val="00987F4F"/>
    <w:rsid w:val="00992340"/>
    <w:rsid w:val="0099500C"/>
    <w:rsid w:val="009B3253"/>
    <w:rsid w:val="009E22C8"/>
    <w:rsid w:val="00A00192"/>
    <w:rsid w:val="00A320F0"/>
    <w:rsid w:val="00A41004"/>
    <w:rsid w:val="00A855C8"/>
    <w:rsid w:val="00A95341"/>
    <w:rsid w:val="00AA4F8F"/>
    <w:rsid w:val="00AB496F"/>
    <w:rsid w:val="00AD0179"/>
    <w:rsid w:val="00B01A4C"/>
    <w:rsid w:val="00B04803"/>
    <w:rsid w:val="00B17CB2"/>
    <w:rsid w:val="00B227D4"/>
    <w:rsid w:val="00B41953"/>
    <w:rsid w:val="00B4511A"/>
    <w:rsid w:val="00B45655"/>
    <w:rsid w:val="00B52A21"/>
    <w:rsid w:val="00B56FF8"/>
    <w:rsid w:val="00B601C8"/>
    <w:rsid w:val="00B73A70"/>
    <w:rsid w:val="00B90D7B"/>
    <w:rsid w:val="00B913D9"/>
    <w:rsid w:val="00BA06DE"/>
    <w:rsid w:val="00BB12BE"/>
    <w:rsid w:val="00BB2C31"/>
    <w:rsid w:val="00BB5086"/>
    <w:rsid w:val="00BE5CB1"/>
    <w:rsid w:val="00BF312D"/>
    <w:rsid w:val="00BF7ACA"/>
    <w:rsid w:val="00C10785"/>
    <w:rsid w:val="00C140E4"/>
    <w:rsid w:val="00C15D7C"/>
    <w:rsid w:val="00C20526"/>
    <w:rsid w:val="00C22CCB"/>
    <w:rsid w:val="00C22D5C"/>
    <w:rsid w:val="00C23155"/>
    <w:rsid w:val="00C253F3"/>
    <w:rsid w:val="00C2765E"/>
    <w:rsid w:val="00C548D1"/>
    <w:rsid w:val="00C6142B"/>
    <w:rsid w:val="00C620DE"/>
    <w:rsid w:val="00C75DE9"/>
    <w:rsid w:val="00C80C9B"/>
    <w:rsid w:val="00C85F13"/>
    <w:rsid w:val="00C91ECF"/>
    <w:rsid w:val="00C92573"/>
    <w:rsid w:val="00C92B78"/>
    <w:rsid w:val="00CA3EAB"/>
    <w:rsid w:val="00CA7198"/>
    <w:rsid w:val="00CB1A59"/>
    <w:rsid w:val="00CC4176"/>
    <w:rsid w:val="00CE079D"/>
    <w:rsid w:val="00CE4195"/>
    <w:rsid w:val="00D04B6B"/>
    <w:rsid w:val="00D23A22"/>
    <w:rsid w:val="00D32511"/>
    <w:rsid w:val="00D360EE"/>
    <w:rsid w:val="00D67658"/>
    <w:rsid w:val="00D70752"/>
    <w:rsid w:val="00D85269"/>
    <w:rsid w:val="00D86D54"/>
    <w:rsid w:val="00D87600"/>
    <w:rsid w:val="00DA72C1"/>
    <w:rsid w:val="00DD3643"/>
    <w:rsid w:val="00E0072E"/>
    <w:rsid w:val="00E04C22"/>
    <w:rsid w:val="00E1317B"/>
    <w:rsid w:val="00E154D8"/>
    <w:rsid w:val="00E224AB"/>
    <w:rsid w:val="00E237CD"/>
    <w:rsid w:val="00E31E44"/>
    <w:rsid w:val="00E45A4C"/>
    <w:rsid w:val="00E549E2"/>
    <w:rsid w:val="00E73323"/>
    <w:rsid w:val="00E760FC"/>
    <w:rsid w:val="00E93375"/>
    <w:rsid w:val="00E965A7"/>
    <w:rsid w:val="00EA231D"/>
    <w:rsid w:val="00EB7D97"/>
    <w:rsid w:val="00EC4D52"/>
    <w:rsid w:val="00ED5184"/>
    <w:rsid w:val="00EF6CBF"/>
    <w:rsid w:val="00F1323D"/>
    <w:rsid w:val="00F13263"/>
    <w:rsid w:val="00F223B7"/>
    <w:rsid w:val="00F32BB9"/>
    <w:rsid w:val="00F37E22"/>
    <w:rsid w:val="00F505DE"/>
    <w:rsid w:val="00F51DDB"/>
    <w:rsid w:val="00F760C9"/>
    <w:rsid w:val="00F80AF2"/>
    <w:rsid w:val="00F80EC9"/>
    <w:rsid w:val="00FA16DD"/>
    <w:rsid w:val="00FC257A"/>
    <w:rsid w:val="00FC5A9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CD2"/>
    <w:rPr>
      <w:lang w:eastAsia="en-US"/>
    </w:rPr>
  </w:style>
  <w:style w:type="paragraph" w:styleId="Heading1">
    <w:name w:val="heading 1"/>
    <w:basedOn w:val="Normal"/>
    <w:next w:val="Normal"/>
    <w:link w:val="Heading1Char"/>
    <w:uiPriority w:val="99"/>
    <w:qFormat/>
    <w:rsid w:val="001F2CD2"/>
    <w:pPr>
      <w:keepNext/>
      <w:jc w:val="center"/>
      <w:outlineLvl w:val="0"/>
    </w:pPr>
    <w:rPr>
      <w:sz w:val="32"/>
      <w:szCs w:val="32"/>
    </w:rPr>
  </w:style>
  <w:style w:type="paragraph" w:styleId="Heading2">
    <w:name w:val="heading 2"/>
    <w:basedOn w:val="Normal"/>
    <w:next w:val="Normal"/>
    <w:link w:val="Heading2Char"/>
    <w:uiPriority w:val="99"/>
    <w:qFormat/>
    <w:rsid w:val="001F2CD2"/>
    <w:pPr>
      <w:keepNext/>
      <w:outlineLvl w:val="1"/>
    </w:pPr>
    <w:rPr>
      <w:sz w:val="32"/>
      <w:szCs w:val="32"/>
    </w:rPr>
  </w:style>
  <w:style w:type="paragraph" w:styleId="Heading6">
    <w:name w:val="heading 6"/>
    <w:basedOn w:val="Normal"/>
    <w:next w:val="Normal"/>
    <w:link w:val="Heading6Char"/>
    <w:uiPriority w:val="99"/>
    <w:qFormat/>
    <w:rsid w:val="001F2CD2"/>
    <w:pPr>
      <w:keepNext/>
      <w:jc w:val="center"/>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7600"/>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D87600"/>
    <w:rPr>
      <w:rFonts w:ascii="Cambria" w:hAnsi="Cambria" w:cs="Cambria"/>
      <w:b/>
      <w:bCs/>
      <w:i/>
      <w:iCs/>
      <w:sz w:val="28"/>
      <w:szCs w:val="28"/>
      <w:lang w:eastAsia="en-US"/>
    </w:rPr>
  </w:style>
  <w:style w:type="character" w:customStyle="1" w:styleId="Heading6Char">
    <w:name w:val="Heading 6 Char"/>
    <w:basedOn w:val="DefaultParagraphFont"/>
    <w:link w:val="Heading6"/>
    <w:uiPriority w:val="99"/>
    <w:semiHidden/>
    <w:locked/>
    <w:rsid w:val="00D87600"/>
    <w:rPr>
      <w:rFonts w:ascii="Calibri" w:hAnsi="Calibri" w:cs="Calibri"/>
      <w:b/>
      <w:bCs/>
      <w:lang w:eastAsia="en-US"/>
    </w:rPr>
  </w:style>
  <w:style w:type="paragraph" w:styleId="BlockText">
    <w:name w:val="Block Text"/>
    <w:basedOn w:val="Normal"/>
    <w:uiPriority w:val="99"/>
    <w:rsid w:val="001F2CD2"/>
    <w:pPr>
      <w:widowControl w:val="0"/>
      <w:spacing w:line="220" w:lineRule="auto"/>
      <w:ind w:left="680" w:right="-3512" w:hanging="340"/>
    </w:pPr>
    <w:rPr>
      <w:sz w:val="24"/>
      <w:szCs w:val="24"/>
    </w:rPr>
  </w:style>
  <w:style w:type="paragraph" w:styleId="Footer">
    <w:name w:val="footer"/>
    <w:basedOn w:val="Normal"/>
    <w:link w:val="FooterChar"/>
    <w:uiPriority w:val="99"/>
    <w:rsid w:val="001F2CD2"/>
    <w:pPr>
      <w:tabs>
        <w:tab w:val="center" w:pos="4153"/>
        <w:tab w:val="right" w:pos="8306"/>
      </w:tabs>
    </w:pPr>
  </w:style>
  <w:style w:type="character" w:customStyle="1" w:styleId="FooterChar">
    <w:name w:val="Footer Char"/>
    <w:basedOn w:val="DefaultParagraphFont"/>
    <w:link w:val="Footer"/>
    <w:uiPriority w:val="99"/>
    <w:semiHidden/>
    <w:locked/>
    <w:rsid w:val="00D87600"/>
    <w:rPr>
      <w:lang w:eastAsia="en-US"/>
    </w:rPr>
  </w:style>
  <w:style w:type="paragraph" w:styleId="BodyText3">
    <w:name w:val="Body Text 3"/>
    <w:basedOn w:val="Normal"/>
    <w:link w:val="BodyText3Char"/>
    <w:uiPriority w:val="99"/>
    <w:rsid w:val="001F2CD2"/>
  </w:style>
  <w:style w:type="character" w:customStyle="1" w:styleId="BodyText3Char">
    <w:name w:val="Body Text 3 Char"/>
    <w:basedOn w:val="DefaultParagraphFont"/>
    <w:link w:val="BodyText3"/>
    <w:uiPriority w:val="99"/>
    <w:semiHidden/>
    <w:locked/>
    <w:rsid w:val="00D87600"/>
    <w:rPr>
      <w:sz w:val="16"/>
      <w:szCs w:val="16"/>
      <w:lang w:eastAsia="en-US"/>
    </w:rPr>
  </w:style>
  <w:style w:type="paragraph" w:styleId="BodyText">
    <w:name w:val="Body Text"/>
    <w:basedOn w:val="Normal"/>
    <w:link w:val="BodyTextChar"/>
    <w:uiPriority w:val="99"/>
    <w:rsid w:val="001F2CD2"/>
    <w:rPr>
      <w:sz w:val="24"/>
      <w:szCs w:val="24"/>
    </w:rPr>
  </w:style>
  <w:style w:type="character" w:customStyle="1" w:styleId="BodyTextChar">
    <w:name w:val="Body Text Char"/>
    <w:basedOn w:val="DefaultParagraphFont"/>
    <w:link w:val="BodyText"/>
    <w:uiPriority w:val="99"/>
    <w:locked/>
    <w:rsid w:val="007D7DDF"/>
    <w:rPr>
      <w:sz w:val="24"/>
      <w:szCs w:val="24"/>
      <w:lang w:val="bg-BG" w:eastAsia="en-US"/>
    </w:rPr>
  </w:style>
  <w:style w:type="paragraph" w:styleId="BodyTextIndent">
    <w:name w:val="Body Text Indent"/>
    <w:basedOn w:val="Normal"/>
    <w:link w:val="BodyTextIndentChar"/>
    <w:uiPriority w:val="99"/>
    <w:rsid w:val="001F2CD2"/>
    <w:pPr>
      <w:ind w:firstLine="720"/>
    </w:pPr>
    <w:rPr>
      <w:sz w:val="24"/>
      <w:szCs w:val="24"/>
    </w:rPr>
  </w:style>
  <w:style w:type="character" w:customStyle="1" w:styleId="BodyTextIndentChar">
    <w:name w:val="Body Text Indent Char"/>
    <w:basedOn w:val="DefaultParagraphFont"/>
    <w:link w:val="BodyTextIndent"/>
    <w:uiPriority w:val="99"/>
    <w:semiHidden/>
    <w:locked/>
    <w:rsid w:val="00D87600"/>
    <w:rPr>
      <w:lang w:eastAsia="en-US"/>
    </w:rPr>
  </w:style>
  <w:style w:type="paragraph" w:styleId="BodyText2">
    <w:name w:val="Body Text 2"/>
    <w:basedOn w:val="Normal"/>
    <w:link w:val="BodyText2Char"/>
    <w:uiPriority w:val="99"/>
    <w:rsid w:val="001F2CD2"/>
    <w:rPr>
      <w:b/>
      <w:bCs/>
      <w:i/>
      <w:iCs/>
      <w:sz w:val="24"/>
      <w:szCs w:val="24"/>
    </w:rPr>
  </w:style>
  <w:style w:type="character" w:customStyle="1" w:styleId="BodyText2Char">
    <w:name w:val="Body Text 2 Char"/>
    <w:basedOn w:val="DefaultParagraphFont"/>
    <w:link w:val="BodyText2"/>
    <w:uiPriority w:val="99"/>
    <w:semiHidden/>
    <w:locked/>
    <w:rsid w:val="00D87600"/>
    <w:rPr>
      <w:lang w:eastAsia="en-US"/>
    </w:rPr>
  </w:style>
  <w:style w:type="paragraph" w:styleId="BodyTextIndent3">
    <w:name w:val="Body Text Indent 3"/>
    <w:basedOn w:val="Normal"/>
    <w:link w:val="BodyTextIndent3Char"/>
    <w:uiPriority w:val="99"/>
    <w:rsid w:val="001F2CD2"/>
    <w:pPr>
      <w:ind w:firstLine="720"/>
    </w:pPr>
    <w:rPr>
      <w:sz w:val="24"/>
      <w:szCs w:val="24"/>
    </w:rPr>
  </w:style>
  <w:style w:type="character" w:customStyle="1" w:styleId="BodyTextIndent3Char">
    <w:name w:val="Body Text Indent 3 Char"/>
    <w:basedOn w:val="DefaultParagraphFont"/>
    <w:link w:val="BodyTextIndent3"/>
    <w:uiPriority w:val="99"/>
    <w:semiHidden/>
    <w:locked/>
    <w:rsid w:val="00D87600"/>
    <w:rPr>
      <w:sz w:val="16"/>
      <w:szCs w:val="16"/>
      <w:lang w:eastAsia="en-US"/>
    </w:rPr>
  </w:style>
  <w:style w:type="paragraph" w:styleId="BodyTextIndent2">
    <w:name w:val="Body Text Indent 2"/>
    <w:basedOn w:val="Normal"/>
    <w:link w:val="BodyTextIndent2Char"/>
    <w:uiPriority w:val="99"/>
    <w:rsid w:val="001F2CD2"/>
    <w:pPr>
      <w:ind w:firstLine="709"/>
    </w:pPr>
    <w:rPr>
      <w:sz w:val="24"/>
      <w:szCs w:val="24"/>
    </w:rPr>
  </w:style>
  <w:style w:type="character" w:customStyle="1" w:styleId="BodyTextIndent2Char">
    <w:name w:val="Body Text Indent 2 Char"/>
    <w:basedOn w:val="DefaultParagraphFont"/>
    <w:link w:val="BodyTextIndent2"/>
    <w:uiPriority w:val="99"/>
    <w:semiHidden/>
    <w:locked/>
    <w:rsid w:val="00D87600"/>
    <w:rPr>
      <w:lang w:eastAsia="en-US"/>
    </w:rPr>
  </w:style>
  <w:style w:type="paragraph" w:customStyle="1" w:styleId="xl29">
    <w:name w:val="xl29"/>
    <w:basedOn w:val="Normal"/>
    <w:uiPriority w:val="99"/>
    <w:rsid w:val="001F2CD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GB"/>
    </w:rPr>
  </w:style>
  <w:style w:type="table" w:styleId="TableGrid">
    <w:name w:val="Table Grid"/>
    <w:basedOn w:val="TableNormal"/>
    <w:uiPriority w:val="99"/>
    <w:rsid w:val="002F3B42"/>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uiPriority w:val="99"/>
    <w:rsid w:val="00D23A22"/>
    <w:pPr>
      <w:widowControl w:val="0"/>
      <w:autoSpaceDE w:val="0"/>
      <w:autoSpaceDN w:val="0"/>
      <w:adjustRightInd w:val="0"/>
      <w:ind w:left="140" w:right="140" w:firstLine="840"/>
      <w:jc w:val="both"/>
    </w:pPr>
    <w:rPr>
      <w:sz w:val="24"/>
      <w:szCs w:val="24"/>
    </w:rPr>
  </w:style>
  <w:style w:type="paragraph" w:styleId="BalloonText">
    <w:name w:val="Balloon Text"/>
    <w:basedOn w:val="Normal"/>
    <w:link w:val="BalloonTextChar"/>
    <w:uiPriority w:val="99"/>
    <w:semiHidden/>
    <w:rsid w:val="009923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600"/>
    <w:rPr>
      <w:sz w:val="2"/>
      <w:szCs w:val="2"/>
      <w:lang w:eastAsia="en-US"/>
    </w:rPr>
  </w:style>
  <w:style w:type="paragraph" w:customStyle="1" w:styleId="CharChar">
    <w:name w:val="Char Char"/>
    <w:basedOn w:val="Normal"/>
    <w:uiPriority w:val="99"/>
    <w:semiHidden/>
    <w:rsid w:val="00FC5A99"/>
    <w:pPr>
      <w:spacing w:after="160" w:line="240" w:lineRule="exact"/>
    </w:pPr>
    <w:rPr>
      <w:rFonts w:ascii="Tahoma" w:hAnsi="Tahoma" w:cs="Tahoma"/>
      <w:sz w:val="18"/>
      <w:szCs w:val="18"/>
      <w:lang w:val="en-US"/>
    </w:rPr>
  </w:style>
  <w:style w:type="paragraph" w:customStyle="1" w:styleId="Default">
    <w:name w:val="Default"/>
    <w:uiPriority w:val="99"/>
    <w:rsid w:val="00D360E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8507</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Отчет за управлението</vt:lpstr>
    </vt:vector>
  </TitlesOfParts>
  <Company>Home</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за управлението</dc:title>
  <dc:creator>Valentin Vlaichev</dc:creator>
  <cp:lastModifiedBy>Elizabet Marinova</cp:lastModifiedBy>
  <cp:revision>2</cp:revision>
  <cp:lastPrinted>2017-07-24T12:30:00Z</cp:lastPrinted>
  <dcterms:created xsi:type="dcterms:W3CDTF">2017-07-27T06:41:00Z</dcterms:created>
  <dcterms:modified xsi:type="dcterms:W3CDTF">2017-07-27T06:41:00Z</dcterms:modified>
</cp:coreProperties>
</file>