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D7" w:rsidRPr="00416CBA" w:rsidRDefault="008215D7">
      <w:pPr>
        <w:pStyle w:val="Standard"/>
        <w:jc w:val="center"/>
        <w:rPr>
          <w:b/>
          <w:bCs/>
          <w:sz w:val="28"/>
          <w:szCs w:val="28"/>
          <w:lang w:val="bg-BG"/>
        </w:rPr>
      </w:pPr>
      <w:r w:rsidRPr="00416CBA">
        <w:rPr>
          <w:b/>
          <w:bCs/>
          <w:sz w:val="28"/>
          <w:szCs w:val="28"/>
          <w:lang w:val="bg-BG"/>
        </w:rPr>
        <w:t xml:space="preserve">МЕЖДИНЕН  ДОКЛАД </w:t>
      </w:r>
    </w:p>
    <w:p w:rsidR="008215D7" w:rsidRPr="00416CBA" w:rsidRDefault="008215D7">
      <w:pPr>
        <w:pStyle w:val="Standard"/>
        <w:jc w:val="center"/>
        <w:rPr>
          <w:b/>
          <w:bCs/>
          <w:sz w:val="28"/>
          <w:szCs w:val="28"/>
          <w:lang w:val="bg-BG"/>
        </w:rPr>
      </w:pPr>
    </w:p>
    <w:p w:rsidR="008215D7" w:rsidRPr="00416CBA" w:rsidRDefault="008215D7">
      <w:pPr>
        <w:pStyle w:val="Standard"/>
        <w:jc w:val="center"/>
        <w:rPr>
          <w:b/>
          <w:bCs/>
          <w:sz w:val="28"/>
          <w:szCs w:val="28"/>
          <w:lang w:val="bg-BG"/>
        </w:rPr>
      </w:pPr>
    </w:p>
    <w:p w:rsidR="008215D7" w:rsidRPr="00416CBA" w:rsidRDefault="008215D7">
      <w:pPr>
        <w:pStyle w:val="Standard"/>
        <w:jc w:val="center"/>
        <w:rPr>
          <w:b/>
          <w:bCs/>
          <w:sz w:val="28"/>
          <w:szCs w:val="28"/>
          <w:lang w:val="bg-BG"/>
        </w:rPr>
      </w:pPr>
      <w:r w:rsidRPr="00416CBA">
        <w:rPr>
          <w:b/>
          <w:bCs/>
          <w:sz w:val="28"/>
          <w:szCs w:val="28"/>
          <w:lang w:val="bg-BG"/>
        </w:rPr>
        <w:t>З</w:t>
      </w:r>
      <w:r>
        <w:rPr>
          <w:b/>
          <w:bCs/>
          <w:sz w:val="28"/>
          <w:szCs w:val="28"/>
          <w:lang w:val="bg-BG"/>
        </w:rPr>
        <w:t>А ДЕЙНОСТТА НА  „ТОПЛОФИКАЦИЯ</w:t>
      </w:r>
      <w:r>
        <w:rPr>
          <w:b/>
          <w:bCs/>
          <w:sz w:val="28"/>
          <w:szCs w:val="28"/>
          <w:lang w:val="en-US"/>
        </w:rPr>
        <w:t xml:space="preserve"> ГАБРОВО </w:t>
      </w:r>
      <w:r>
        <w:rPr>
          <w:b/>
          <w:bCs/>
          <w:sz w:val="28"/>
          <w:szCs w:val="28"/>
          <w:lang w:val="bg-BG"/>
        </w:rPr>
        <w:t>“ ЕАД</w:t>
      </w:r>
    </w:p>
    <w:p w:rsidR="008215D7" w:rsidRPr="00416CBA" w:rsidRDefault="008215D7" w:rsidP="004D432F">
      <w:pPr>
        <w:pStyle w:val="Standard"/>
        <w:rPr>
          <w:b/>
          <w:bCs/>
          <w:sz w:val="28"/>
          <w:szCs w:val="28"/>
          <w:lang w:val="bg-BG"/>
        </w:rPr>
      </w:pPr>
    </w:p>
    <w:p w:rsidR="008215D7" w:rsidRPr="0083124A" w:rsidRDefault="008215D7">
      <w:pPr>
        <w:pStyle w:val="Standard"/>
        <w:jc w:val="center"/>
        <w:rPr>
          <w:b/>
          <w:sz w:val="28"/>
          <w:szCs w:val="28"/>
          <w:lang w:val="bg-BG"/>
        </w:rPr>
      </w:pPr>
      <w:r w:rsidRPr="0083124A">
        <w:rPr>
          <w:sz w:val="28"/>
          <w:szCs w:val="28"/>
          <w:lang w:val="bg-BG"/>
        </w:rPr>
        <w:t xml:space="preserve"> </w:t>
      </w:r>
      <w:r w:rsidRPr="0083124A">
        <w:rPr>
          <w:b/>
          <w:sz w:val="28"/>
          <w:szCs w:val="28"/>
          <w:lang w:val="bg-BG"/>
        </w:rPr>
        <w:t>за периода 01.01.-30.06.2016г.</w:t>
      </w:r>
    </w:p>
    <w:p w:rsidR="008215D7" w:rsidRPr="0083124A" w:rsidRDefault="008215D7">
      <w:pPr>
        <w:pStyle w:val="Standard"/>
        <w:jc w:val="center"/>
        <w:rPr>
          <w:sz w:val="28"/>
          <w:szCs w:val="28"/>
          <w:lang w:val="bg-BG"/>
        </w:rPr>
      </w:pPr>
    </w:p>
    <w:p w:rsidR="008215D7" w:rsidRDefault="008215D7">
      <w:pPr>
        <w:pStyle w:val="Standard"/>
        <w:jc w:val="center"/>
        <w:rPr>
          <w:lang w:val="bg-BG"/>
        </w:rPr>
      </w:pPr>
    </w:p>
    <w:p w:rsidR="008215D7" w:rsidRDefault="008215D7">
      <w:pPr>
        <w:pStyle w:val="Standard"/>
        <w:jc w:val="center"/>
        <w:rPr>
          <w:lang w:val="bg-BG"/>
        </w:rPr>
      </w:pPr>
    </w:p>
    <w:p w:rsidR="008215D7" w:rsidRDefault="008215D7">
      <w:pPr>
        <w:pStyle w:val="Standard"/>
        <w:jc w:val="center"/>
        <w:rPr>
          <w:lang w:val="bg-BG"/>
        </w:rPr>
      </w:pPr>
    </w:p>
    <w:p w:rsidR="008215D7" w:rsidRDefault="008215D7">
      <w:pPr>
        <w:pStyle w:val="Standard"/>
        <w:rPr>
          <w:b/>
          <w:bCs/>
          <w:lang w:val="bg-BG"/>
        </w:rPr>
      </w:pPr>
      <w:r>
        <w:rPr>
          <w:b/>
          <w:bCs/>
          <w:lang w:val="en-US"/>
        </w:rPr>
        <w:t>I</w:t>
      </w:r>
      <w:r>
        <w:rPr>
          <w:b/>
          <w:bCs/>
          <w:lang w:val="bg-BG"/>
        </w:rPr>
        <w:t>.ОБЩА И ПРАВНА ИНФОРМАЦИЯ</w:t>
      </w:r>
    </w:p>
    <w:p w:rsidR="008215D7" w:rsidRDefault="008215D7">
      <w:pPr>
        <w:pStyle w:val="Standard"/>
        <w:rPr>
          <w:b/>
          <w:bCs/>
          <w:lang w:val="bg-BG"/>
        </w:rPr>
      </w:pPr>
    </w:p>
    <w:p w:rsidR="008215D7" w:rsidRDefault="008215D7">
      <w:pPr>
        <w:pStyle w:val="Standard"/>
        <w:rPr>
          <w:b/>
          <w:bCs/>
          <w:lang w:val="bg-BG"/>
        </w:rPr>
      </w:pPr>
      <w:r>
        <w:rPr>
          <w:b/>
          <w:bCs/>
          <w:lang w:val="bg-BG"/>
        </w:rPr>
        <w:t>Регистриран капитал и акционери</w:t>
      </w:r>
    </w:p>
    <w:p w:rsidR="008215D7" w:rsidRDefault="008215D7">
      <w:pPr>
        <w:pStyle w:val="Standard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"Топлофикация Габрово“ЕАД е акционерно дружество, вписано в Търговския регистър, със седалище и адрес на управление:  гр. Габрово ул. „Индустриална” 6. Дружеството е 100% частна собственост – 100% от капитала е собственост на „Дарклет Лимитид“ , компания регистрирана съгласно законите на Кипър. Броят на регистрираните акции е 665574.Номиналната стойност</w:t>
      </w:r>
      <w:r w:rsidRPr="00FB4644">
        <w:rPr>
          <w:lang w:val="ru-RU"/>
        </w:rPr>
        <w:t xml:space="preserve"> </w:t>
      </w:r>
      <w:r>
        <w:rPr>
          <w:lang w:val="bg-BG"/>
        </w:rPr>
        <w:t>на една акция е 1 лев.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Pr="00582927" w:rsidRDefault="008215D7" w:rsidP="004D432F">
      <w:pPr>
        <w:pStyle w:val="Standard"/>
        <w:jc w:val="both"/>
        <w:rPr>
          <w:lang w:val="en-US"/>
        </w:rPr>
      </w:pPr>
      <w:r>
        <w:rPr>
          <w:lang w:val="bg-BG"/>
        </w:rPr>
        <w:t>Предметът на дейност е производство на топлинна и електрическа енергия и пренос на топлинна енергия. За тези дейности дружеството притежава Лицензии с номера Л-0</w:t>
      </w:r>
      <w:r>
        <w:rPr>
          <w:lang w:val="en-US"/>
        </w:rPr>
        <w:t>08</w:t>
      </w:r>
      <w:r>
        <w:rPr>
          <w:lang w:val="bg-BG"/>
        </w:rPr>
        <w:t>-0</w:t>
      </w:r>
      <w:r>
        <w:rPr>
          <w:lang w:val="en-US"/>
        </w:rPr>
        <w:t>3</w:t>
      </w:r>
      <w:r>
        <w:rPr>
          <w:lang w:val="bg-BG"/>
        </w:rPr>
        <w:t>/1</w:t>
      </w:r>
      <w:r>
        <w:rPr>
          <w:lang w:val="en-US"/>
        </w:rPr>
        <w:t>7</w:t>
      </w:r>
      <w:r>
        <w:rPr>
          <w:lang w:val="bg-BG"/>
        </w:rPr>
        <w:t>-1</w:t>
      </w:r>
      <w:r>
        <w:rPr>
          <w:lang w:val="en-US"/>
        </w:rPr>
        <w:t>0</w:t>
      </w:r>
      <w:r>
        <w:rPr>
          <w:lang w:val="bg-BG"/>
        </w:rPr>
        <w:t>-2000 г. и Л-0</w:t>
      </w:r>
      <w:r>
        <w:rPr>
          <w:lang w:val="en-US"/>
        </w:rPr>
        <w:t>09</w:t>
      </w:r>
      <w:r>
        <w:rPr>
          <w:lang w:val="bg-BG"/>
        </w:rPr>
        <w:t>-0</w:t>
      </w:r>
      <w:r>
        <w:rPr>
          <w:lang w:val="en-US"/>
        </w:rPr>
        <w:t>5</w:t>
      </w:r>
      <w:r>
        <w:rPr>
          <w:lang w:val="bg-BG"/>
        </w:rPr>
        <w:t>/1</w:t>
      </w:r>
      <w:r>
        <w:rPr>
          <w:lang w:val="en-US"/>
        </w:rPr>
        <w:t>7</w:t>
      </w:r>
      <w:r>
        <w:rPr>
          <w:lang w:val="bg-BG"/>
        </w:rPr>
        <w:t>.1</w:t>
      </w:r>
      <w:r>
        <w:rPr>
          <w:lang w:val="en-US"/>
        </w:rPr>
        <w:t>0</w:t>
      </w:r>
      <w:r>
        <w:rPr>
          <w:lang w:val="bg-BG"/>
        </w:rPr>
        <w:t>.2000 г. и Решение на ДКЕВР № Р-061/01.06.2007 г. за комбинирано производство на топлинна и електрическа енергия</w:t>
      </w:r>
    </w:p>
    <w:p w:rsidR="008215D7" w:rsidRDefault="008215D7" w:rsidP="004D432F">
      <w:pPr>
        <w:pStyle w:val="Standard"/>
        <w:jc w:val="both"/>
        <w:rPr>
          <w:lang w:val="bg-BG"/>
        </w:rPr>
      </w:pPr>
    </w:p>
    <w:p w:rsidR="008215D7" w:rsidRDefault="008215D7" w:rsidP="004D432F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Органи на управление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„Топлофикация</w:t>
      </w:r>
      <w:r>
        <w:rPr>
          <w:lang w:val="en-US"/>
        </w:rPr>
        <w:t xml:space="preserve"> Г</w:t>
      </w:r>
      <w:r>
        <w:rPr>
          <w:lang w:val="bg-BG"/>
        </w:rPr>
        <w:t xml:space="preserve">аброво“ЕАД се управлява от Съвет на директорите, който към 30.06.2016г.е в състав: </w:t>
      </w:r>
    </w:p>
    <w:p w:rsidR="008215D7" w:rsidRPr="00DC57C0" w:rsidRDefault="008215D7">
      <w:pPr>
        <w:pStyle w:val="Standard"/>
        <w:jc w:val="both"/>
        <w:rPr>
          <w:b/>
          <w:lang w:val="bg-BG"/>
        </w:rPr>
      </w:pPr>
      <w:r>
        <w:rPr>
          <w:b/>
          <w:lang w:val="bg-BG"/>
        </w:rPr>
        <w:t>Христо Денев Сосеров</w:t>
      </w:r>
      <w:r w:rsidRPr="00DC57C0">
        <w:rPr>
          <w:b/>
          <w:lang w:val="bg-BG"/>
        </w:rPr>
        <w:t xml:space="preserve"> </w:t>
      </w:r>
      <w:r>
        <w:rPr>
          <w:b/>
          <w:lang w:val="bg-BG"/>
        </w:rPr>
        <w:t xml:space="preserve">- </w:t>
      </w:r>
      <w:r w:rsidRPr="001F210A">
        <w:rPr>
          <w:lang w:val="bg-BG"/>
        </w:rPr>
        <w:t>Председател на Съвета на директорите</w:t>
      </w:r>
    </w:p>
    <w:p w:rsidR="008215D7" w:rsidRDefault="008215D7" w:rsidP="00DC57C0">
      <w:pPr>
        <w:pStyle w:val="Standard"/>
        <w:jc w:val="both"/>
        <w:rPr>
          <w:lang w:val="bg-BG"/>
        </w:rPr>
      </w:pPr>
      <w:r>
        <w:rPr>
          <w:b/>
          <w:lang w:val="bg-BG"/>
        </w:rPr>
        <w:t>Калин Младемиров Ангелов</w:t>
      </w:r>
      <w:r>
        <w:rPr>
          <w:lang w:val="bg-BG"/>
        </w:rPr>
        <w:t xml:space="preserve"> – Член на Съвета на директорите и Изпълнителен директор на дружеството.</w:t>
      </w:r>
    </w:p>
    <w:p w:rsidR="008215D7" w:rsidRDefault="008215D7" w:rsidP="00DC57C0">
      <w:pPr>
        <w:pStyle w:val="Standard"/>
        <w:jc w:val="both"/>
        <w:rPr>
          <w:lang w:val="bg-BG"/>
        </w:rPr>
      </w:pPr>
      <w:r>
        <w:rPr>
          <w:b/>
          <w:lang w:val="bg-BG"/>
        </w:rPr>
        <w:t xml:space="preserve">Любомир Янакиев Жупунов – </w:t>
      </w:r>
      <w:r w:rsidRPr="001F210A">
        <w:rPr>
          <w:lang w:val="bg-BG"/>
        </w:rPr>
        <w:t>член на Съвета на директорите</w:t>
      </w:r>
    </w:p>
    <w:p w:rsidR="008215D7" w:rsidRDefault="008215D7" w:rsidP="00DC57C0">
      <w:pPr>
        <w:pStyle w:val="Standard"/>
        <w:jc w:val="both"/>
        <w:rPr>
          <w:lang w:val="bg-BG"/>
        </w:rPr>
      </w:pPr>
      <w:r>
        <w:rPr>
          <w:lang w:val="bg-BG"/>
        </w:rPr>
        <w:t>Дружеството се управлява и представлява от Калин Младемиров Ангелов .</w:t>
      </w:r>
    </w:p>
    <w:p w:rsidR="008215D7" w:rsidRPr="001F210A" w:rsidRDefault="008215D7" w:rsidP="00DC57C0">
      <w:pPr>
        <w:pStyle w:val="Standard"/>
        <w:jc w:val="both"/>
      </w:pPr>
    </w:p>
    <w:p w:rsidR="008215D7" w:rsidRPr="00E77101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Към 30.06.2016г. няма промяна в органите на управление и представляващия дружеството.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В устава на дружеството не са предвидени специални права за придобиване на акции и облигации на „Топлофикация Габрово“ ЕАД от членовете на Съвета на директорите.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Не са сключвани договори извън обичайната дейност или съществено отклоняващи се от пазарните условия.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Pr="00591AEA" w:rsidRDefault="008215D7" w:rsidP="00591AEA">
      <w:pPr>
        <w:pStyle w:val="Standard"/>
        <w:jc w:val="both"/>
        <w:rPr>
          <w:lang w:val="bg-BG"/>
        </w:rPr>
      </w:pPr>
      <w:r>
        <w:rPr>
          <w:b/>
          <w:bCs/>
          <w:lang w:val="en-US"/>
        </w:rPr>
        <w:t xml:space="preserve">II. </w:t>
      </w:r>
      <w:r w:rsidRPr="00591AEA">
        <w:rPr>
          <w:b/>
          <w:bCs/>
          <w:lang w:val="bg-BG"/>
        </w:rPr>
        <w:t xml:space="preserve">ПРОИЗВОДСТВО, ПОТРЕБЛЕНИЕ, </w:t>
      </w:r>
      <w:r>
        <w:rPr>
          <w:b/>
          <w:bCs/>
          <w:lang w:val="bg-BG"/>
        </w:rPr>
        <w:t>КЛИЕНТИ</w:t>
      </w:r>
    </w:p>
    <w:p w:rsidR="008215D7" w:rsidRPr="00591AEA" w:rsidRDefault="008215D7" w:rsidP="00591AEA">
      <w:pPr>
        <w:pStyle w:val="Standard"/>
        <w:ind w:left="360"/>
        <w:jc w:val="both"/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8"/>
        <w:gridCol w:w="1064"/>
        <w:gridCol w:w="1517"/>
        <w:gridCol w:w="1428"/>
        <w:gridCol w:w="1139"/>
        <w:gridCol w:w="1297"/>
      </w:tblGrid>
      <w:tr w:rsidR="008215D7" w:rsidTr="00B9547A">
        <w:tc>
          <w:tcPr>
            <w:tcW w:w="3454" w:type="dxa"/>
            <w:vMerge w:val="restart"/>
          </w:tcPr>
          <w:p w:rsidR="008215D7" w:rsidRPr="00B9547A" w:rsidRDefault="008215D7" w:rsidP="00B9547A">
            <w:pPr>
              <w:pStyle w:val="Standard"/>
              <w:jc w:val="center"/>
              <w:rPr>
                <w:lang w:val="en-US"/>
              </w:rPr>
            </w:pPr>
          </w:p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ПОКАЗАТЕЛИ</w:t>
            </w:r>
          </w:p>
        </w:tc>
        <w:tc>
          <w:tcPr>
            <w:tcW w:w="1069" w:type="dxa"/>
            <w:vMerge w:val="restart"/>
          </w:tcPr>
          <w:p w:rsidR="008215D7" w:rsidRPr="00B9547A" w:rsidRDefault="008215D7" w:rsidP="00B9547A">
            <w:pPr>
              <w:pStyle w:val="Standard"/>
              <w:jc w:val="center"/>
              <w:rPr>
                <w:lang w:val="en-US"/>
              </w:rPr>
            </w:pPr>
          </w:p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Мярка</w:t>
            </w:r>
          </w:p>
        </w:tc>
        <w:tc>
          <w:tcPr>
            <w:tcW w:w="1519" w:type="dxa"/>
            <w:vMerge w:val="restart"/>
          </w:tcPr>
          <w:p w:rsidR="008215D7" w:rsidRPr="00B9547A" w:rsidRDefault="008215D7" w:rsidP="00B9547A">
            <w:pPr>
              <w:pStyle w:val="Standard"/>
              <w:jc w:val="center"/>
              <w:rPr>
                <w:lang w:val="en-US"/>
              </w:rPr>
            </w:pPr>
          </w:p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30.06.2016г.</w:t>
            </w:r>
          </w:p>
        </w:tc>
        <w:tc>
          <w:tcPr>
            <w:tcW w:w="1428" w:type="dxa"/>
            <w:vMerge w:val="restart"/>
          </w:tcPr>
          <w:p w:rsidR="008215D7" w:rsidRPr="00B9547A" w:rsidRDefault="008215D7" w:rsidP="00B9547A">
            <w:pPr>
              <w:pStyle w:val="Standard"/>
              <w:jc w:val="center"/>
              <w:rPr>
                <w:lang w:val="en-US"/>
              </w:rPr>
            </w:pPr>
          </w:p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30.06.2015г.</w:t>
            </w:r>
          </w:p>
        </w:tc>
        <w:tc>
          <w:tcPr>
            <w:tcW w:w="2383" w:type="dxa"/>
            <w:gridSpan w:val="2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разлика</w:t>
            </w:r>
          </w:p>
        </w:tc>
      </w:tr>
      <w:tr w:rsidR="008215D7" w:rsidTr="00B9547A">
        <w:tc>
          <w:tcPr>
            <w:tcW w:w="3454" w:type="dxa"/>
            <w:vMerge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69" w:type="dxa"/>
            <w:vMerge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519" w:type="dxa"/>
            <w:vMerge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428" w:type="dxa"/>
            <w:vMerge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71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стойност</w:t>
            </w:r>
          </w:p>
        </w:tc>
        <w:tc>
          <w:tcPr>
            <w:tcW w:w="1312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%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Ел.енергия производство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3904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4564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-660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- 14.46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1542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1703</w:t>
            </w:r>
          </w:p>
        </w:tc>
        <w:tc>
          <w:tcPr>
            <w:tcW w:w="1071" w:type="dxa"/>
          </w:tcPr>
          <w:p w:rsidR="008215D7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-161</w:t>
            </w:r>
          </w:p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-9.45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%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39.50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37.31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2.19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5.87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Ел.енергия нето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2362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2861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-499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-17.44</w:t>
            </w:r>
          </w:p>
        </w:tc>
      </w:tr>
      <w:tr w:rsidR="008215D7" w:rsidTr="00B9547A">
        <w:trPr>
          <w:trHeight w:val="137"/>
        </w:trPr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519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428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071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  <w:tc>
          <w:tcPr>
            <w:tcW w:w="1312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</w:p>
        </w:tc>
      </w:tr>
      <w:tr w:rsidR="008215D7" w:rsidTr="00B9547A">
        <w:trPr>
          <w:trHeight w:val="137"/>
        </w:trPr>
        <w:tc>
          <w:tcPr>
            <w:tcW w:w="3454" w:type="dxa"/>
          </w:tcPr>
          <w:p w:rsidR="008215D7" w:rsidRPr="00B9547A" w:rsidRDefault="008215D7" w:rsidP="00326420">
            <w:pPr>
              <w:pStyle w:val="Standard"/>
              <w:rPr>
                <w:lang w:val="bg-BG"/>
              </w:rPr>
            </w:pPr>
            <w:r w:rsidRPr="00B9547A">
              <w:rPr>
                <w:lang w:val="bg-BG"/>
              </w:rPr>
              <w:t>Топлоенергия бруто производство в т.ч.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16609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21182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-4573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-21.59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5643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8593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-2950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-34.33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Собствени нужди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%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33.97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40.57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-6.6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-16.27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Загуби по преноса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4444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6472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-2028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-31.33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% загуби по преноса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%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26.76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30.61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-3.55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-11.60</w:t>
            </w:r>
          </w:p>
        </w:tc>
      </w:tr>
      <w:tr w:rsidR="008215D7" w:rsidTr="00B9547A">
        <w:tc>
          <w:tcPr>
            <w:tcW w:w="3454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Реализирана топлоенергия</w:t>
            </w:r>
          </w:p>
        </w:tc>
        <w:tc>
          <w:tcPr>
            <w:tcW w:w="1069" w:type="dxa"/>
          </w:tcPr>
          <w:p w:rsidR="008215D7" w:rsidRPr="00B9547A" w:rsidRDefault="008215D7" w:rsidP="00B9547A">
            <w:pPr>
              <w:pStyle w:val="Standard"/>
              <w:jc w:val="center"/>
              <w:rPr>
                <w:lang w:val="bg-BG"/>
              </w:rPr>
            </w:pPr>
            <w:r w:rsidRPr="00B9547A">
              <w:rPr>
                <w:lang w:val="bg-BG"/>
              </w:rPr>
              <w:t>Мвтч</w:t>
            </w:r>
          </w:p>
        </w:tc>
        <w:tc>
          <w:tcPr>
            <w:tcW w:w="1519" w:type="dxa"/>
          </w:tcPr>
          <w:p w:rsidR="008215D7" w:rsidRPr="00795CD0" w:rsidRDefault="008215D7" w:rsidP="00B9547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12165</w:t>
            </w:r>
          </w:p>
        </w:tc>
        <w:tc>
          <w:tcPr>
            <w:tcW w:w="1428" w:type="dxa"/>
          </w:tcPr>
          <w:p w:rsidR="008215D7" w:rsidRPr="00795CD0" w:rsidRDefault="008215D7" w:rsidP="00B9547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14710</w:t>
            </w:r>
          </w:p>
        </w:tc>
        <w:tc>
          <w:tcPr>
            <w:tcW w:w="1071" w:type="dxa"/>
          </w:tcPr>
          <w:p w:rsidR="008215D7" w:rsidRPr="00795CD0" w:rsidRDefault="008215D7" w:rsidP="00B9547A">
            <w:pPr>
              <w:pStyle w:val="Standard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-2545</w:t>
            </w:r>
          </w:p>
        </w:tc>
        <w:tc>
          <w:tcPr>
            <w:tcW w:w="1312" w:type="dxa"/>
          </w:tcPr>
          <w:p w:rsidR="008215D7" w:rsidRPr="00795CD0" w:rsidRDefault="008215D7" w:rsidP="00B9547A">
            <w:pPr>
              <w:pStyle w:val="Standard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-17.30</w:t>
            </w:r>
          </w:p>
        </w:tc>
      </w:tr>
    </w:tbl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 xml:space="preserve">Към 30.06.2016г. е налице  минимално </w:t>
      </w:r>
      <w:r>
        <w:rPr>
          <w:lang w:val="en-US"/>
        </w:rPr>
        <w:t>намаление</w:t>
      </w:r>
      <w:r>
        <w:rPr>
          <w:lang w:val="bg-BG"/>
        </w:rPr>
        <w:t xml:space="preserve"> на произведената брутна електрическа енергия спрямо същият период на 2015г. със 660Мвтч  и намаление на собствените нужди с 1161 Мвтч.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Намалението на произведената и реализирана топлоенергия се дължи основно на по-високите средни външни температури през отоплителен сезон 2015/2016г. спрямо тези през отоплителен сезон 2015/2015г.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b/>
          <w:lang w:val="bg-BG"/>
        </w:rPr>
      </w:pPr>
      <w:r w:rsidRPr="004A41F1">
        <w:rPr>
          <w:b/>
          <w:lang w:val="bg-BG"/>
        </w:rPr>
        <w:t xml:space="preserve">Реализирана топлинна енергия по видове клиенти и структура на потребление </w:t>
      </w:r>
    </w:p>
    <w:p w:rsidR="008215D7" w:rsidRDefault="008215D7">
      <w:pPr>
        <w:pStyle w:val="Standard"/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5"/>
        <w:gridCol w:w="1955"/>
        <w:gridCol w:w="1955"/>
        <w:gridCol w:w="1956"/>
        <w:gridCol w:w="1956"/>
      </w:tblGrid>
      <w:tr w:rsidR="008215D7" w:rsidTr="00B9547A">
        <w:tc>
          <w:tcPr>
            <w:tcW w:w="9777" w:type="dxa"/>
            <w:gridSpan w:val="5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Реализирана топлинна енергия в Мвтч</w:t>
            </w:r>
          </w:p>
        </w:tc>
      </w:tr>
      <w:tr w:rsidR="008215D7" w:rsidTr="00B9547A"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Клиенти</w:t>
            </w:r>
          </w:p>
        </w:tc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30.06.2016г.</w:t>
            </w:r>
          </w:p>
        </w:tc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30.06.2015г.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30.06.2016г.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30.06.2015г.</w:t>
            </w:r>
          </w:p>
        </w:tc>
      </w:tr>
      <w:tr w:rsidR="008215D7" w:rsidTr="00B9547A"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Стопански</w:t>
            </w:r>
          </w:p>
        </w:tc>
        <w:tc>
          <w:tcPr>
            <w:tcW w:w="1955" w:type="dxa"/>
          </w:tcPr>
          <w:p w:rsidR="008215D7" w:rsidRPr="00927430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727</w:t>
            </w:r>
          </w:p>
        </w:tc>
        <w:tc>
          <w:tcPr>
            <w:tcW w:w="1955" w:type="dxa"/>
          </w:tcPr>
          <w:p w:rsidR="008215D7" w:rsidRPr="006C36FE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908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6.06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6.17</w:t>
            </w:r>
          </w:p>
        </w:tc>
      </w:tr>
      <w:tr w:rsidR="008215D7" w:rsidTr="00B9547A"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Бюджетни</w:t>
            </w:r>
          </w:p>
        </w:tc>
        <w:tc>
          <w:tcPr>
            <w:tcW w:w="1955" w:type="dxa"/>
          </w:tcPr>
          <w:p w:rsidR="008215D7" w:rsidRPr="00927430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1801</w:t>
            </w:r>
          </w:p>
        </w:tc>
        <w:tc>
          <w:tcPr>
            <w:tcW w:w="1955" w:type="dxa"/>
          </w:tcPr>
          <w:p w:rsidR="008215D7" w:rsidRPr="006C36FE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2187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15.02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14.86</w:t>
            </w:r>
          </w:p>
        </w:tc>
      </w:tr>
      <w:tr w:rsidR="008215D7" w:rsidTr="00B9547A"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both"/>
              <w:rPr>
                <w:lang w:val="bg-BG"/>
              </w:rPr>
            </w:pPr>
            <w:r w:rsidRPr="00B9547A">
              <w:rPr>
                <w:lang w:val="bg-BG"/>
              </w:rPr>
              <w:t>Битови</w:t>
            </w:r>
          </w:p>
        </w:tc>
        <w:tc>
          <w:tcPr>
            <w:tcW w:w="1955" w:type="dxa"/>
          </w:tcPr>
          <w:p w:rsidR="008215D7" w:rsidRPr="00927430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9637</w:t>
            </w:r>
          </w:p>
        </w:tc>
        <w:tc>
          <w:tcPr>
            <w:tcW w:w="1955" w:type="dxa"/>
          </w:tcPr>
          <w:p w:rsidR="008215D7" w:rsidRPr="006C36FE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11615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78.92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lang w:val="en-US"/>
              </w:rPr>
            </w:pPr>
            <w:r>
              <w:rPr>
                <w:lang w:val="en-US"/>
              </w:rPr>
              <w:t>78.97</w:t>
            </w:r>
          </w:p>
        </w:tc>
      </w:tr>
      <w:tr w:rsidR="008215D7" w:rsidTr="00B9547A">
        <w:tc>
          <w:tcPr>
            <w:tcW w:w="1955" w:type="dxa"/>
          </w:tcPr>
          <w:p w:rsidR="008215D7" w:rsidRPr="00B9547A" w:rsidRDefault="008215D7" w:rsidP="00B9547A">
            <w:pPr>
              <w:pStyle w:val="Standard"/>
              <w:jc w:val="right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Общо</w:t>
            </w:r>
          </w:p>
        </w:tc>
        <w:tc>
          <w:tcPr>
            <w:tcW w:w="1955" w:type="dxa"/>
          </w:tcPr>
          <w:p w:rsidR="008215D7" w:rsidRPr="00927430" w:rsidRDefault="008215D7" w:rsidP="00B9547A">
            <w:pPr>
              <w:pStyle w:val="Standard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12165</w:t>
            </w:r>
          </w:p>
        </w:tc>
        <w:tc>
          <w:tcPr>
            <w:tcW w:w="1955" w:type="dxa"/>
          </w:tcPr>
          <w:p w:rsidR="008215D7" w:rsidRPr="00927430" w:rsidRDefault="008215D7" w:rsidP="00B9547A">
            <w:pPr>
              <w:pStyle w:val="Standard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14710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b/>
                <w:lang w:val="en-US"/>
              </w:rPr>
            </w:pPr>
            <w:r w:rsidRPr="00B9547A">
              <w:rPr>
                <w:b/>
                <w:lang w:val="en-US"/>
              </w:rPr>
              <w:t>100.00%</w:t>
            </w:r>
          </w:p>
        </w:tc>
        <w:tc>
          <w:tcPr>
            <w:tcW w:w="1956" w:type="dxa"/>
          </w:tcPr>
          <w:p w:rsidR="008215D7" w:rsidRPr="00B9547A" w:rsidRDefault="008215D7" w:rsidP="00B9547A">
            <w:pPr>
              <w:pStyle w:val="Standard"/>
              <w:jc w:val="right"/>
              <w:rPr>
                <w:b/>
                <w:lang w:val="en-US"/>
              </w:rPr>
            </w:pPr>
            <w:r w:rsidRPr="00B9547A">
              <w:rPr>
                <w:b/>
                <w:lang w:val="en-US"/>
              </w:rPr>
              <w:t>100.00%</w:t>
            </w:r>
          </w:p>
        </w:tc>
      </w:tr>
    </w:tbl>
    <w:p w:rsidR="008215D7" w:rsidRPr="004A41F1" w:rsidRDefault="008215D7">
      <w:pPr>
        <w:pStyle w:val="Standard"/>
        <w:jc w:val="both"/>
        <w:rPr>
          <w:b/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 w:rsidP="001B5242">
      <w:pPr>
        <w:pStyle w:val="Standard"/>
        <w:jc w:val="both"/>
        <w:rPr>
          <w:lang w:val="bg-BG"/>
        </w:rPr>
      </w:pPr>
      <w:r w:rsidRPr="00C7457F">
        <w:rPr>
          <w:b/>
          <w:lang w:val="bg-BG"/>
        </w:rPr>
        <w:t>Структурата на потребление</w:t>
      </w:r>
      <w:r>
        <w:rPr>
          <w:lang w:val="bg-BG"/>
        </w:rPr>
        <w:t xml:space="preserve"> по видове клиенти на топлинна енергия към 30.06.2016г.</w:t>
      </w:r>
      <w:r>
        <w:rPr>
          <w:lang w:val="en-US"/>
        </w:rPr>
        <w:t xml:space="preserve"> </w:t>
      </w:r>
      <w:r>
        <w:rPr>
          <w:lang w:val="bg-BG"/>
        </w:rPr>
        <w:t xml:space="preserve">се е запазила , спрямо същия период на предходната година. </w:t>
      </w:r>
    </w:p>
    <w:p w:rsidR="008215D7" w:rsidRDefault="008215D7" w:rsidP="001B5242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               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ab/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От края на 1999 г. „Топлофикация ГАБРОВО“ЕАД е регистрирана от МИЕ за извършване на услугата дялово разпределение на топлинна енергия, като към 30.06.2016г. 98 % пазарен дял на територията на Габрово.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 xml:space="preserve">„Топлофикация ГАБРОВО“ ЕАД произвежда електрическа енергия по комбиниран способ. Част от нея ползва за собствени нужди, а останалата продава на „Енерго про Продажби“ АД  гр. Варна, съгласно сключен договор от 12.08.2009 г. 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b/>
          <w:lang w:val="bg-BG"/>
        </w:rPr>
      </w:pPr>
      <w:r w:rsidRPr="00EB2711">
        <w:rPr>
          <w:b/>
          <w:lang w:val="en-US"/>
        </w:rPr>
        <w:t>II</w:t>
      </w:r>
      <w:r>
        <w:rPr>
          <w:b/>
          <w:lang w:val="en-US"/>
        </w:rPr>
        <w:t>I</w:t>
      </w:r>
      <w:r w:rsidRPr="00EB2711">
        <w:rPr>
          <w:b/>
          <w:lang w:val="en-US"/>
        </w:rPr>
        <w:t>.</w:t>
      </w:r>
      <w:r w:rsidRPr="00EB2711">
        <w:rPr>
          <w:b/>
          <w:lang w:val="bg-BG"/>
        </w:rPr>
        <w:t>ПЕРСОНАЛ</w:t>
      </w:r>
    </w:p>
    <w:p w:rsidR="008215D7" w:rsidRPr="00424139" w:rsidRDefault="008215D7">
      <w:pPr>
        <w:pStyle w:val="Standard"/>
        <w:jc w:val="both"/>
        <w:rPr>
          <w:lang w:val="en-US"/>
        </w:rPr>
      </w:pPr>
      <w:r>
        <w:rPr>
          <w:lang w:val="bg-BG"/>
        </w:rPr>
        <w:t xml:space="preserve">Списъчният брой на персонала към 30.06.2016г. е 51 човека и спрямо същия период на предходната година е намалял със 3 човека. </w:t>
      </w:r>
    </w:p>
    <w:p w:rsidR="008215D7" w:rsidRPr="00424139" w:rsidRDefault="008215D7">
      <w:pPr>
        <w:pStyle w:val="Standard"/>
        <w:jc w:val="both"/>
        <w:rPr>
          <w:color w:val="FF0000"/>
          <w:lang w:val="bg-BG"/>
        </w:rPr>
      </w:pPr>
    </w:p>
    <w:p w:rsidR="008215D7" w:rsidRPr="00663169" w:rsidRDefault="008215D7">
      <w:pPr>
        <w:pStyle w:val="Standard"/>
        <w:jc w:val="both"/>
        <w:rPr>
          <w:b/>
          <w:color w:val="FF0000"/>
          <w:lang w:val="bg-BG"/>
        </w:rPr>
      </w:pPr>
    </w:p>
    <w:p w:rsidR="008215D7" w:rsidRDefault="008215D7">
      <w:pPr>
        <w:pStyle w:val="Standard"/>
        <w:jc w:val="both"/>
        <w:rPr>
          <w:b/>
          <w:lang w:val="bg-BG"/>
        </w:rPr>
      </w:pP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en-US"/>
        </w:rPr>
        <w:t>IV</w:t>
      </w:r>
      <w:r w:rsidRPr="00FB4644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ФИНАНСОВО ИКОНОМИЧЕСКИ РЕЗУЛТАТИ</w:t>
      </w:r>
      <w:r>
        <w:rPr>
          <w:b/>
          <w:bCs/>
          <w:lang w:val="en-US"/>
        </w:rPr>
        <w:t xml:space="preserve"> </w:t>
      </w:r>
      <w:r>
        <w:rPr>
          <w:b/>
          <w:bCs/>
          <w:lang w:val="bg-BG"/>
        </w:rPr>
        <w:t xml:space="preserve"> </w:t>
      </w:r>
    </w:p>
    <w:p w:rsidR="008215D7" w:rsidRPr="00867630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Pr="002C4F24" w:rsidRDefault="008215D7">
      <w:pPr>
        <w:pStyle w:val="Standard"/>
        <w:ind w:left="30"/>
        <w:jc w:val="both"/>
        <w:rPr>
          <w:b/>
          <w:bCs/>
          <w:u w:val="single"/>
          <w:lang w:val="bg-BG"/>
        </w:rPr>
      </w:pPr>
      <w:r w:rsidRPr="002C4F24">
        <w:rPr>
          <w:b/>
          <w:bCs/>
          <w:u w:val="single"/>
          <w:lang w:val="bg-BG"/>
        </w:rPr>
        <w:t>ПРИХОДИ</w:t>
      </w:r>
    </w:p>
    <w:p w:rsidR="008215D7" w:rsidRPr="00FD5E9C" w:rsidRDefault="008215D7">
      <w:pPr>
        <w:pStyle w:val="Standard"/>
        <w:ind w:left="30"/>
        <w:jc w:val="both"/>
        <w:rPr>
          <w:b/>
          <w:bCs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Основните приходи на дружеството се формират от  продажба на електрическа и топлинна енергия. Към 30.06.2016г. те са  9</w:t>
      </w:r>
      <w:r>
        <w:rPr>
          <w:lang w:val="en-US"/>
        </w:rPr>
        <w:t>4.51</w:t>
      </w:r>
      <w:r>
        <w:rPr>
          <w:lang w:val="bg-BG"/>
        </w:rPr>
        <w:t>%  от общите приходи на „Топлофикация ГАБРОВО“ ЕАД.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Останалите приходи се формират от услуги –за извършване на дялово разпределение на топлинна енергия, наеми и други приходи – глоби и неустойки.</w:t>
      </w:r>
    </w:p>
    <w:p w:rsidR="008215D7" w:rsidRDefault="008215D7">
      <w:pPr>
        <w:pStyle w:val="Standard"/>
        <w:jc w:val="both"/>
        <w:rPr>
          <w:b/>
          <w:lang w:val="bg-BG"/>
        </w:rPr>
      </w:pPr>
      <w:r w:rsidRPr="00621A26">
        <w:rPr>
          <w:b/>
          <w:lang w:val="bg-BG"/>
        </w:rPr>
        <w:t>Приходите от дейността се разпределят както следва:</w:t>
      </w:r>
    </w:p>
    <w:p w:rsidR="008215D7" w:rsidRDefault="008215D7">
      <w:pPr>
        <w:pStyle w:val="Standard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75"/>
        <w:gridCol w:w="1921"/>
        <w:gridCol w:w="1921"/>
        <w:gridCol w:w="1901"/>
        <w:gridCol w:w="17"/>
        <w:gridCol w:w="1918"/>
      </w:tblGrid>
      <w:tr w:rsidR="008215D7" w:rsidTr="00B9547A">
        <w:tc>
          <w:tcPr>
            <w:tcW w:w="21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Вид продукция/услуги</w:t>
            </w:r>
          </w:p>
        </w:tc>
        <w:tc>
          <w:tcPr>
            <w:tcW w:w="1921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30.06.2016г.</w:t>
            </w:r>
          </w:p>
          <w:p w:rsidR="008215D7" w:rsidRPr="00B9547A" w:rsidRDefault="008215D7" w:rsidP="00B9547A">
            <w:pPr>
              <w:pStyle w:val="Standard"/>
              <w:jc w:val="right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 xml:space="preserve">          хил.лв.       </w:t>
            </w:r>
          </w:p>
        </w:tc>
        <w:tc>
          <w:tcPr>
            <w:tcW w:w="1921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30.06.2015г.</w:t>
            </w:r>
          </w:p>
          <w:p w:rsidR="008215D7" w:rsidRPr="00B9547A" w:rsidRDefault="008215D7" w:rsidP="00B9547A">
            <w:pPr>
              <w:pStyle w:val="Standard"/>
              <w:jc w:val="right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 xml:space="preserve">            хил.лв.</w:t>
            </w:r>
          </w:p>
        </w:tc>
        <w:tc>
          <w:tcPr>
            <w:tcW w:w="1918" w:type="dxa"/>
            <w:gridSpan w:val="2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Разлика     хил.лв.</w:t>
            </w:r>
          </w:p>
        </w:tc>
        <w:tc>
          <w:tcPr>
            <w:tcW w:w="1918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lang w:val="bg-BG"/>
              </w:rPr>
            </w:pPr>
          </w:p>
        </w:tc>
      </w:tr>
      <w:tr w:rsidR="008215D7" w:rsidTr="00B9547A">
        <w:trPr>
          <w:trHeight w:val="149"/>
        </w:trPr>
        <w:tc>
          <w:tcPr>
            <w:tcW w:w="21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</w:p>
        </w:tc>
        <w:tc>
          <w:tcPr>
            <w:tcW w:w="1921" w:type="dxa"/>
          </w:tcPr>
          <w:p w:rsidR="008215D7" w:rsidRPr="004B735A" w:rsidRDefault="008215D7" w:rsidP="004B735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1913</w:t>
            </w:r>
          </w:p>
        </w:tc>
        <w:tc>
          <w:tcPr>
            <w:tcW w:w="1921" w:type="dxa"/>
          </w:tcPr>
          <w:p w:rsidR="008215D7" w:rsidRPr="004B735A" w:rsidRDefault="008215D7" w:rsidP="004B735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2228</w:t>
            </w:r>
          </w:p>
        </w:tc>
        <w:tc>
          <w:tcPr>
            <w:tcW w:w="1901" w:type="dxa"/>
          </w:tcPr>
          <w:p w:rsidR="008215D7" w:rsidRPr="004B735A" w:rsidRDefault="008215D7" w:rsidP="004B735A">
            <w:pPr>
              <w:pStyle w:val="Standard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-315</w:t>
            </w:r>
          </w:p>
        </w:tc>
        <w:tc>
          <w:tcPr>
            <w:tcW w:w="1935" w:type="dxa"/>
            <w:gridSpan w:val="2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</w:p>
        </w:tc>
      </w:tr>
      <w:tr w:rsidR="008215D7" w:rsidTr="00B9547A">
        <w:trPr>
          <w:trHeight w:val="149"/>
        </w:trPr>
        <w:tc>
          <w:tcPr>
            <w:tcW w:w="21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Електроенергия</w:t>
            </w:r>
          </w:p>
        </w:tc>
        <w:tc>
          <w:tcPr>
            <w:tcW w:w="192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799</w:t>
            </w:r>
          </w:p>
        </w:tc>
        <w:tc>
          <w:tcPr>
            <w:tcW w:w="1921" w:type="dxa"/>
          </w:tcPr>
          <w:p w:rsidR="008215D7" w:rsidRPr="00C94B9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864</w:t>
            </w:r>
          </w:p>
        </w:tc>
        <w:tc>
          <w:tcPr>
            <w:tcW w:w="1901" w:type="dxa"/>
          </w:tcPr>
          <w:p w:rsidR="008215D7" w:rsidRPr="004B735A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-65</w:t>
            </w:r>
          </w:p>
        </w:tc>
        <w:tc>
          <w:tcPr>
            <w:tcW w:w="1935" w:type="dxa"/>
            <w:gridSpan w:val="2"/>
          </w:tcPr>
          <w:p w:rsidR="008215D7" w:rsidRPr="00B9547A" w:rsidRDefault="008215D7" w:rsidP="00B9547A">
            <w:pPr>
              <w:pStyle w:val="Standard"/>
              <w:jc w:val="right"/>
              <w:rPr>
                <w:lang w:val="bg-BG"/>
              </w:rPr>
            </w:pPr>
          </w:p>
        </w:tc>
      </w:tr>
      <w:tr w:rsidR="008215D7" w:rsidTr="00B9547A">
        <w:tc>
          <w:tcPr>
            <w:tcW w:w="21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Топлоенергия</w:t>
            </w:r>
          </w:p>
        </w:tc>
        <w:tc>
          <w:tcPr>
            <w:tcW w:w="192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1009</w:t>
            </w:r>
          </w:p>
        </w:tc>
        <w:tc>
          <w:tcPr>
            <w:tcW w:w="1921" w:type="dxa"/>
          </w:tcPr>
          <w:p w:rsidR="008215D7" w:rsidRPr="00C94B90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1272</w:t>
            </w:r>
          </w:p>
        </w:tc>
        <w:tc>
          <w:tcPr>
            <w:tcW w:w="1901" w:type="dxa"/>
          </w:tcPr>
          <w:p w:rsidR="008215D7" w:rsidRPr="004B735A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-263</w:t>
            </w:r>
          </w:p>
        </w:tc>
        <w:tc>
          <w:tcPr>
            <w:tcW w:w="1935" w:type="dxa"/>
            <w:gridSpan w:val="2"/>
          </w:tcPr>
          <w:p w:rsidR="008215D7" w:rsidRPr="00B9547A" w:rsidRDefault="008215D7" w:rsidP="00B9547A">
            <w:pPr>
              <w:pStyle w:val="Standard"/>
              <w:jc w:val="right"/>
              <w:rPr>
                <w:lang w:val="bg-BG"/>
              </w:rPr>
            </w:pPr>
          </w:p>
        </w:tc>
      </w:tr>
      <w:tr w:rsidR="008215D7" w:rsidTr="00B9547A">
        <w:tc>
          <w:tcPr>
            <w:tcW w:w="21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Услуги</w:t>
            </w:r>
          </w:p>
        </w:tc>
        <w:tc>
          <w:tcPr>
            <w:tcW w:w="1921" w:type="dxa"/>
          </w:tcPr>
          <w:p w:rsidR="008215D7" w:rsidRPr="008226F2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21" w:type="dxa"/>
          </w:tcPr>
          <w:p w:rsidR="008215D7" w:rsidRPr="004B735A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901" w:type="dxa"/>
          </w:tcPr>
          <w:p w:rsidR="008215D7" w:rsidRPr="004B735A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-6</w:t>
            </w:r>
          </w:p>
        </w:tc>
        <w:tc>
          <w:tcPr>
            <w:tcW w:w="1935" w:type="dxa"/>
            <w:gridSpan w:val="2"/>
          </w:tcPr>
          <w:p w:rsidR="008215D7" w:rsidRPr="00B9547A" w:rsidRDefault="008215D7" w:rsidP="00B9547A">
            <w:pPr>
              <w:pStyle w:val="Standard"/>
              <w:jc w:val="right"/>
              <w:rPr>
                <w:lang w:val="bg-BG"/>
              </w:rPr>
            </w:pPr>
          </w:p>
        </w:tc>
      </w:tr>
      <w:tr w:rsidR="008215D7" w:rsidTr="00B9547A">
        <w:tc>
          <w:tcPr>
            <w:tcW w:w="21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lang w:val="bg-BG"/>
              </w:rPr>
            </w:pPr>
            <w:r w:rsidRPr="00B9547A">
              <w:rPr>
                <w:b/>
                <w:lang w:val="bg-BG"/>
              </w:rPr>
              <w:t>Други приходи</w:t>
            </w:r>
          </w:p>
        </w:tc>
        <w:tc>
          <w:tcPr>
            <w:tcW w:w="1921" w:type="dxa"/>
          </w:tcPr>
          <w:p w:rsidR="008215D7" w:rsidRPr="008226F2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1921" w:type="dxa"/>
          </w:tcPr>
          <w:p w:rsidR="008215D7" w:rsidRPr="004B735A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901" w:type="dxa"/>
          </w:tcPr>
          <w:p w:rsidR="008215D7" w:rsidRPr="004B735A" w:rsidRDefault="008215D7" w:rsidP="00B9547A">
            <w:pPr>
              <w:pStyle w:val="Standard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935" w:type="dxa"/>
            <w:gridSpan w:val="2"/>
          </w:tcPr>
          <w:p w:rsidR="008215D7" w:rsidRPr="00B9547A" w:rsidRDefault="008215D7" w:rsidP="00B9547A">
            <w:pPr>
              <w:pStyle w:val="Standard"/>
              <w:jc w:val="right"/>
              <w:rPr>
                <w:lang w:val="bg-BG"/>
              </w:rPr>
            </w:pPr>
          </w:p>
        </w:tc>
      </w:tr>
    </w:tbl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Намалението на приходите от продажби на  продукция към 30.06.2016г. в сравнение със същия период на 2015г. се дължи на:</w:t>
      </w: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 xml:space="preserve">       * </w:t>
      </w:r>
      <w:r w:rsidRPr="0068342B">
        <w:rPr>
          <w:b/>
          <w:lang w:val="bg-BG"/>
        </w:rPr>
        <w:t>количеството  на реализираната топлинна енергия</w:t>
      </w:r>
      <w:r>
        <w:rPr>
          <w:lang w:val="bg-BG"/>
        </w:rPr>
        <w:t xml:space="preserve"> – към 30.06.2016г. е реализирана с </w:t>
      </w:r>
      <w:r>
        <w:rPr>
          <w:lang w:val="en-US"/>
        </w:rPr>
        <w:t>2545</w:t>
      </w:r>
      <w:r>
        <w:rPr>
          <w:lang w:val="bg-BG"/>
        </w:rPr>
        <w:t xml:space="preserve"> Мвтч по-малко топлинна енергия в сравнение със същият период на 2015г., което е довело до намаляване на приходите от топлинна енергия. </w:t>
      </w:r>
    </w:p>
    <w:p w:rsidR="008215D7" w:rsidRPr="00DD6976" w:rsidRDefault="008215D7">
      <w:pPr>
        <w:pStyle w:val="Standard"/>
        <w:jc w:val="both"/>
        <w:rPr>
          <w:lang w:val="bg-BG"/>
        </w:rPr>
      </w:pPr>
      <w:r>
        <w:rPr>
          <w:lang w:val="en-US"/>
        </w:rPr>
        <w:t xml:space="preserve">       *</w:t>
      </w:r>
      <w:r w:rsidRPr="00DD6976">
        <w:rPr>
          <w:b/>
          <w:lang w:val="bg-BG"/>
        </w:rPr>
        <w:t xml:space="preserve">количеството </w:t>
      </w:r>
      <w:r>
        <w:rPr>
          <w:b/>
          <w:lang w:val="bg-BG"/>
        </w:rPr>
        <w:t xml:space="preserve">на </w:t>
      </w:r>
      <w:r w:rsidRPr="00DD6976">
        <w:rPr>
          <w:b/>
          <w:lang w:val="bg-BG"/>
        </w:rPr>
        <w:t>реализирана електрическа енергия</w:t>
      </w:r>
      <w:r>
        <w:rPr>
          <w:b/>
          <w:lang w:val="bg-BG"/>
        </w:rPr>
        <w:t xml:space="preserve"> – </w:t>
      </w:r>
      <w:r w:rsidRPr="00DD6976">
        <w:rPr>
          <w:lang w:val="bg-BG"/>
        </w:rPr>
        <w:t>към 30.06.2016г.</w:t>
      </w:r>
      <w:r>
        <w:rPr>
          <w:lang w:val="bg-BG"/>
        </w:rPr>
        <w:t xml:space="preserve"> е реализирана с </w:t>
      </w:r>
      <w:r>
        <w:rPr>
          <w:lang w:val="en-US"/>
        </w:rPr>
        <w:t>499</w:t>
      </w:r>
      <w:r>
        <w:rPr>
          <w:lang w:val="bg-BG"/>
        </w:rPr>
        <w:t xml:space="preserve"> Мвтч повече електрическа енергия спрямо същия период на 2015г. </w:t>
      </w:r>
    </w:p>
    <w:p w:rsidR="008215D7" w:rsidRPr="004B735A" w:rsidRDefault="008215D7">
      <w:pPr>
        <w:pStyle w:val="Standard"/>
        <w:jc w:val="both"/>
        <w:rPr>
          <w:lang w:val="en-US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b/>
          <w:lang w:val="bg-BG"/>
        </w:rPr>
      </w:pPr>
      <w:r w:rsidRPr="00463889">
        <w:rPr>
          <w:b/>
          <w:lang w:val="bg-BG"/>
        </w:rPr>
        <w:t>Дружеството няма финансови приходи за първото шестмесечие на 2016г. и 2015г.</w:t>
      </w:r>
    </w:p>
    <w:p w:rsidR="008215D7" w:rsidRDefault="008215D7">
      <w:pPr>
        <w:pStyle w:val="Standard"/>
        <w:jc w:val="both"/>
        <w:rPr>
          <w:b/>
          <w:lang w:val="bg-BG"/>
        </w:rPr>
      </w:pPr>
    </w:p>
    <w:p w:rsidR="008215D7" w:rsidRPr="00463889" w:rsidRDefault="008215D7">
      <w:pPr>
        <w:pStyle w:val="Standard"/>
        <w:jc w:val="both"/>
        <w:rPr>
          <w:b/>
          <w:lang w:val="bg-BG"/>
        </w:rPr>
      </w:pPr>
    </w:p>
    <w:p w:rsidR="008215D7" w:rsidRPr="002C4F24" w:rsidRDefault="008215D7">
      <w:pPr>
        <w:pStyle w:val="Standard"/>
        <w:ind w:left="30"/>
        <w:jc w:val="both"/>
        <w:rPr>
          <w:b/>
          <w:bCs/>
          <w:color w:val="83CAFF"/>
          <w:u w:val="single"/>
          <w:lang w:val="bg-BG"/>
        </w:rPr>
      </w:pPr>
      <w:r w:rsidRPr="002C4F24">
        <w:rPr>
          <w:b/>
          <w:bCs/>
          <w:u w:val="single"/>
          <w:lang w:val="ru-RU"/>
        </w:rPr>
        <w:t xml:space="preserve"> </w:t>
      </w:r>
      <w:r w:rsidRPr="002C4F24">
        <w:rPr>
          <w:b/>
          <w:bCs/>
          <w:u w:val="single"/>
          <w:lang w:val="bg-BG"/>
        </w:rPr>
        <w:t>РАЗХОДИ</w:t>
      </w: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 xml:space="preserve">Разходите за дейността на дружеството след приспадане на сумите с корективен характер за периода м.Януари- Юни 2016г. са </w:t>
      </w:r>
      <w:r>
        <w:rPr>
          <w:b/>
          <w:bCs/>
          <w:lang w:val="en-US"/>
        </w:rPr>
        <w:t>2571</w:t>
      </w:r>
      <w:r>
        <w:rPr>
          <w:b/>
          <w:bCs/>
          <w:lang w:val="bg-BG"/>
        </w:rPr>
        <w:t xml:space="preserve"> хил. лв.</w:t>
      </w: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Pr="008428B6" w:rsidRDefault="008215D7">
      <w:pPr>
        <w:pStyle w:val="Standard"/>
        <w:ind w:left="30"/>
        <w:jc w:val="both"/>
        <w:rPr>
          <w:b/>
          <w:bCs/>
          <w:lang w:val="bg-BG"/>
        </w:rPr>
      </w:pPr>
      <w:r w:rsidRPr="008428B6">
        <w:rPr>
          <w:b/>
          <w:bCs/>
          <w:lang w:val="bg-BG"/>
        </w:rPr>
        <w:t>Изменението по икономически елементи спрямо същия период на предходната година е:</w:t>
      </w:r>
    </w:p>
    <w:p w:rsidR="008215D7" w:rsidRPr="00463889" w:rsidRDefault="008215D7">
      <w:pPr>
        <w:pStyle w:val="Standard"/>
        <w:ind w:left="30"/>
        <w:jc w:val="both"/>
        <w:rPr>
          <w:bCs/>
          <w:lang w:val="bg-BG"/>
        </w:rPr>
      </w:pPr>
      <w:r>
        <w:rPr>
          <w:bCs/>
          <w:lang w:val="bg-BG"/>
        </w:rPr>
        <w:t xml:space="preserve">                                                                     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06"/>
        <w:gridCol w:w="1701"/>
        <w:gridCol w:w="1701"/>
        <w:gridCol w:w="1275"/>
        <w:gridCol w:w="1194"/>
      </w:tblGrid>
      <w:tr w:rsidR="008215D7" w:rsidTr="00B9547A">
        <w:trPr>
          <w:trHeight w:val="562"/>
        </w:trPr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Елементи на разходите</w:t>
            </w:r>
          </w:p>
        </w:tc>
        <w:tc>
          <w:tcPr>
            <w:tcW w:w="1701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30</w:t>
            </w:r>
            <w:r w:rsidRPr="00B9547A">
              <w:rPr>
                <w:b/>
                <w:bCs/>
                <w:lang w:val="bg-BG"/>
              </w:rPr>
              <w:t>.06.2016г.</w:t>
            </w:r>
          </w:p>
          <w:p w:rsidR="008215D7" w:rsidRPr="00B9547A" w:rsidRDefault="008215D7" w:rsidP="00B9547A">
            <w:pPr>
              <w:pStyle w:val="Standard"/>
              <w:jc w:val="right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 xml:space="preserve">         хил.лв.</w:t>
            </w:r>
          </w:p>
        </w:tc>
        <w:tc>
          <w:tcPr>
            <w:tcW w:w="1701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30</w:t>
            </w:r>
            <w:r w:rsidRPr="00B9547A">
              <w:rPr>
                <w:b/>
                <w:bCs/>
                <w:lang w:val="bg-BG"/>
              </w:rPr>
              <w:t>.06.2015г.</w:t>
            </w:r>
          </w:p>
          <w:p w:rsidR="008215D7" w:rsidRPr="00B9547A" w:rsidRDefault="008215D7" w:rsidP="00B9547A">
            <w:pPr>
              <w:pStyle w:val="Standard"/>
              <w:jc w:val="right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хил.лв.</w:t>
            </w:r>
          </w:p>
        </w:tc>
        <w:tc>
          <w:tcPr>
            <w:tcW w:w="1275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Разлика</w:t>
            </w:r>
          </w:p>
          <w:p w:rsidR="008215D7" w:rsidRPr="00B9547A" w:rsidRDefault="008215D7" w:rsidP="00B9547A">
            <w:pPr>
              <w:pStyle w:val="Standard"/>
              <w:jc w:val="right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 xml:space="preserve">  хил.лв.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суровини и материали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1759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1664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+ 95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външни услуги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197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+15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възнаграждения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381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391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-10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осигуровки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85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95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-10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амортизации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68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+2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Други разходи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64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163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+99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</w:p>
        </w:tc>
      </w:tr>
      <w:tr w:rsidR="008215D7" w:rsidTr="00B9547A">
        <w:tc>
          <w:tcPr>
            <w:tcW w:w="3906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 xml:space="preserve">                                             Всичко: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2571</w:t>
            </w:r>
          </w:p>
        </w:tc>
        <w:tc>
          <w:tcPr>
            <w:tcW w:w="1701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2578</w:t>
            </w:r>
          </w:p>
        </w:tc>
        <w:tc>
          <w:tcPr>
            <w:tcW w:w="1275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- 7</w:t>
            </w:r>
          </w:p>
        </w:tc>
        <w:tc>
          <w:tcPr>
            <w:tcW w:w="1194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</w:p>
        </w:tc>
      </w:tr>
    </w:tbl>
    <w:p w:rsidR="008215D7" w:rsidRDefault="008215D7">
      <w:pPr>
        <w:pStyle w:val="Standard"/>
        <w:ind w:left="30"/>
        <w:jc w:val="both"/>
        <w:rPr>
          <w:bCs/>
          <w:lang w:val="bg-BG"/>
        </w:rPr>
      </w:pP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  <w:bookmarkStart w:id="0" w:name="_GoBack"/>
      <w:bookmarkEnd w:id="0"/>
      <w:r w:rsidRPr="008428B6">
        <w:rPr>
          <w:b/>
          <w:bCs/>
          <w:lang w:val="bg-BG"/>
        </w:rPr>
        <w:t xml:space="preserve">Относителен дял на разходите по елементи </w:t>
      </w:r>
      <w:r>
        <w:rPr>
          <w:b/>
          <w:bCs/>
          <w:lang w:val="bg-BG"/>
        </w:rPr>
        <w:t>от</w:t>
      </w:r>
      <w:r w:rsidRPr="008428B6">
        <w:rPr>
          <w:b/>
          <w:bCs/>
          <w:lang w:val="bg-BG"/>
        </w:rPr>
        <w:t xml:space="preserve"> общите разходи за дейността за периода Януари- Юни 2016г.</w:t>
      </w:r>
    </w:p>
    <w:p w:rsidR="008215D7" w:rsidRPr="008428B6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Default="008215D7">
      <w:pPr>
        <w:pStyle w:val="Standard"/>
        <w:ind w:left="30"/>
        <w:jc w:val="both"/>
        <w:rPr>
          <w:bCs/>
          <w:lang w:val="bg-BG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6"/>
        <w:gridCol w:w="1697"/>
        <w:gridCol w:w="1319"/>
        <w:gridCol w:w="1762"/>
        <w:gridCol w:w="1179"/>
      </w:tblGrid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center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Елементи на разходите</w:t>
            </w:r>
          </w:p>
        </w:tc>
        <w:tc>
          <w:tcPr>
            <w:tcW w:w="1697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30</w:t>
            </w:r>
            <w:r w:rsidRPr="00B9547A">
              <w:rPr>
                <w:b/>
                <w:bCs/>
                <w:lang w:val="bg-BG"/>
              </w:rPr>
              <w:t>.06.2016г.</w:t>
            </w:r>
          </w:p>
          <w:p w:rsidR="008215D7" w:rsidRPr="00B9547A" w:rsidRDefault="008215D7" w:rsidP="00B9547A">
            <w:pPr>
              <w:pStyle w:val="Standard"/>
              <w:jc w:val="right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 xml:space="preserve">         хил.лв.</w:t>
            </w:r>
          </w:p>
        </w:tc>
        <w:tc>
          <w:tcPr>
            <w:tcW w:w="1319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Отн.дял</w:t>
            </w:r>
          </w:p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%</w:t>
            </w:r>
          </w:p>
        </w:tc>
        <w:tc>
          <w:tcPr>
            <w:tcW w:w="1762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30.06.201</w:t>
            </w:r>
            <w:r>
              <w:rPr>
                <w:b/>
                <w:bCs/>
                <w:lang w:val="en-US"/>
              </w:rPr>
              <w:t>5</w:t>
            </w:r>
            <w:r w:rsidRPr="00B9547A">
              <w:rPr>
                <w:b/>
                <w:bCs/>
                <w:lang w:val="bg-BG"/>
              </w:rPr>
              <w:t>г.</w:t>
            </w:r>
          </w:p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 xml:space="preserve">         хил.лв.</w:t>
            </w:r>
          </w:p>
        </w:tc>
        <w:tc>
          <w:tcPr>
            <w:tcW w:w="1179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Отн.дял</w:t>
            </w:r>
          </w:p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>%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суровини и материали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1759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68.42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1664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64.55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външни услуги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212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8.24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197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7.64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възнаграждения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381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14.83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391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15.17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осигуровки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85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3.30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95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3.68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Разходи за амортизации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2.72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68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2.64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Cs/>
                <w:lang w:val="bg-BG"/>
              </w:rPr>
            </w:pPr>
            <w:r w:rsidRPr="00B9547A">
              <w:rPr>
                <w:bCs/>
                <w:lang w:val="bg-BG"/>
              </w:rPr>
              <w:t>Други разходи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64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2.49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163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6.32</w:t>
            </w:r>
          </w:p>
        </w:tc>
      </w:tr>
      <w:tr w:rsidR="008215D7" w:rsidTr="00B9547A">
        <w:tc>
          <w:tcPr>
            <w:tcW w:w="3866" w:type="dxa"/>
          </w:tcPr>
          <w:p w:rsidR="008215D7" w:rsidRPr="00B9547A" w:rsidRDefault="008215D7" w:rsidP="00B9547A">
            <w:pPr>
              <w:pStyle w:val="Standard"/>
              <w:jc w:val="both"/>
              <w:rPr>
                <w:b/>
                <w:bCs/>
                <w:lang w:val="bg-BG"/>
              </w:rPr>
            </w:pPr>
            <w:r w:rsidRPr="00B9547A">
              <w:rPr>
                <w:b/>
                <w:bCs/>
                <w:lang w:val="bg-BG"/>
              </w:rPr>
              <w:t xml:space="preserve">                                             Всичко:</w:t>
            </w:r>
          </w:p>
        </w:tc>
        <w:tc>
          <w:tcPr>
            <w:tcW w:w="1697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2571</w:t>
            </w:r>
          </w:p>
        </w:tc>
        <w:tc>
          <w:tcPr>
            <w:tcW w:w="1319" w:type="dxa"/>
          </w:tcPr>
          <w:p w:rsidR="008215D7" w:rsidRPr="00BA1FB1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  <w:tc>
          <w:tcPr>
            <w:tcW w:w="1762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2578</w:t>
            </w:r>
          </w:p>
        </w:tc>
        <w:tc>
          <w:tcPr>
            <w:tcW w:w="1179" w:type="dxa"/>
          </w:tcPr>
          <w:p w:rsidR="008215D7" w:rsidRPr="008A2E55" w:rsidRDefault="008215D7" w:rsidP="00B9547A">
            <w:pPr>
              <w:pStyle w:val="Standard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100</w:t>
            </w:r>
          </w:p>
        </w:tc>
      </w:tr>
    </w:tbl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Pr="008A2E55" w:rsidRDefault="008215D7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Разходите  в сравнение със същия период на предходната година са</w:t>
      </w:r>
      <w:r>
        <w:rPr>
          <w:b/>
          <w:bCs/>
          <w:lang w:val="en-US"/>
        </w:rPr>
        <w:t xml:space="preserve"> на едно ниво.</w:t>
      </w:r>
    </w:p>
    <w:p w:rsidR="008215D7" w:rsidRPr="008A2E55" w:rsidRDefault="008215D7" w:rsidP="008A2E55">
      <w:pPr>
        <w:pStyle w:val="Standard"/>
        <w:ind w:left="30"/>
        <w:jc w:val="both"/>
        <w:rPr>
          <w:b/>
          <w:bCs/>
          <w:lang w:val="en-US"/>
        </w:rPr>
      </w:pPr>
      <w:r>
        <w:rPr>
          <w:b/>
          <w:bCs/>
          <w:lang w:val="bg-BG"/>
        </w:rPr>
        <w:t xml:space="preserve">  -</w:t>
      </w:r>
    </w:p>
    <w:p w:rsidR="008215D7" w:rsidRPr="008428B6" w:rsidRDefault="008215D7">
      <w:pPr>
        <w:pStyle w:val="Standard"/>
        <w:ind w:left="30"/>
        <w:jc w:val="both"/>
        <w:rPr>
          <w:bCs/>
          <w:lang w:val="bg-BG"/>
        </w:rPr>
      </w:pPr>
      <w:r w:rsidRPr="008428B6">
        <w:rPr>
          <w:bCs/>
          <w:lang w:val="bg-BG"/>
        </w:rPr>
        <w:tab/>
      </w:r>
      <w:r w:rsidRPr="008428B6">
        <w:rPr>
          <w:bCs/>
          <w:lang w:val="bg-BG"/>
        </w:rPr>
        <w:tab/>
      </w:r>
      <w:r w:rsidRPr="008428B6">
        <w:rPr>
          <w:bCs/>
          <w:lang w:val="bg-BG"/>
        </w:rPr>
        <w:tab/>
      </w:r>
      <w:r w:rsidRPr="008428B6">
        <w:rPr>
          <w:bCs/>
          <w:lang w:val="bg-BG"/>
        </w:rPr>
        <w:tab/>
      </w: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Основен дял в разходите за оперативна дейност представляват разходите за материали (68,42 %), а в тях най-съществен е делът на разходите за горива за производство – 8</w:t>
      </w:r>
      <w:r>
        <w:rPr>
          <w:b/>
          <w:bCs/>
          <w:lang w:val="en-US"/>
        </w:rPr>
        <w:t>6</w:t>
      </w:r>
      <w:r>
        <w:rPr>
          <w:b/>
          <w:bCs/>
          <w:lang w:val="bg-BG"/>
        </w:rPr>
        <w:t xml:space="preserve"> %.</w:t>
      </w:r>
    </w:p>
    <w:p w:rsidR="008215D7" w:rsidRDefault="008215D7">
      <w:pPr>
        <w:pStyle w:val="Standard"/>
        <w:ind w:left="30"/>
        <w:jc w:val="both"/>
        <w:rPr>
          <w:b/>
          <w:bCs/>
          <w:lang w:val="bg-BG"/>
        </w:rPr>
      </w:pPr>
    </w:p>
    <w:p w:rsidR="008215D7" w:rsidRDefault="008215D7">
      <w:pPr>
        <w:pStyle w:val="Standard"/>
        <w:ind w:left="30"/>
        <w:jc w:val="both"/>
        <w:rPr>
          <w:lang w:val="bg-BG"/>
        </w:rPr>
      </w:pPr>
      <w:r w:rsidRPr="009E036B">
        <w:rPr>
          <w:lang w:val="bg-BG"/>
        </w:rPr>
        <w:t>През 201</w:t>
      </w:r>
      <w:r>
        <w:rPr>
          <w:lang w:val="bg-BG"/>
        </w:rPr>
        <w:t>6</w:t>
      </w:r>
      <w:r w:rsidRPr="009E036B">
        <w:rPr>
          <w:lang w:val="bg-BG"/>
        </w:rPr>
        <w:t>г. дружеството извършва разходи за ел. енергия за балансиране  като пряк участник в Специална балансираща група, съгласно Правилата за търговия с електрическа енергия /ПТЕЕ/, регламентиращи участието на производители на електрическа енергия в СпБГ.</w:t>
      </w:r>
    </w:p>
    <w:p w:rsidR="008215D7" w:rsidRPr="008A2E55" w:rsidRDefault="008215D7" w:rsidP="008A2E55">
      <w:pPr>
        <w:pStyle w:val="Standard"/>
        <w:jc w:val="both"/>
        <w:rPr>
          <w:bCs/>
          <w:lang w:val="bg-BG"/>
        </w:rPr>
      </w:pPr>
    </w:p>
    <w:p w:rsidR="008215D7" w:rsidRPr="00FA7C2E" w:rsidRDefault="008215D7">
      <w:pPr>
        <w:pStyle w:val="Standard"/>
        <w:ind w:left="30"/>
        <w:jc w:val="both"/>
        <w:rPr>
          <w:bCs/>
          <w:lang w:val="bg-BG"/>
        </w:rPr>
      </w:pPr>
    </w:p>
    <w:p w:rsidR="008215D7" w:rsidRPr="002C4F24" w:rsidRDefault="008215D7">
      <w:pPr>
        <w:pStyle w:val="Standard"/>
        <w:ind w:left="30"/>
        <w:jc w:val="both"/>
        <w:rPr>
          <w:bCs/>
          <w:lang w:val="bg-BG"/>
        </w:rPr>
      </w:pPr>
      <w:r>
        <w:rPr>
          <w:b/>
          <w:bCs/>
          <w:lang w:val="bg-BG"/>
        </w:rPr>
        <w:t xml:space="preserve">Финансовите  разходи </w:t>
      </w:r>
      <w:r w:rsidRPr="002C4F24">
        <w:rPr>
          <w:bCs/>
          <w:lang w:val="bg-BG"/>
        </w:rPr>
        <w:t>към 30.06.2016г.</w:t>
      </w:r>
      <w:r>
        <w:rPr>
          <w:bCs/>
          <w:lang w:val="bg-BG"/>
        </w:rPr>
        <w:t xml:space="preserve"> са </w:t>
      </w:r>
      <w:r>
        <w:rPr>
          <w:bCs/>
          <w:lang w:val="en-US"/>
        </w:rPr>
        <w:t>50</w:t>
      </w:r>
      <w:r w:rsidRPr="002C4F24">
        <w:rPr>
          <w:bCs/>
          <w:lang w:val="bg-BG"/>
        </w:rPr>
        <w:t xml:space="preserve"> хил.лв</w:t>
      </w:r>
      <w:r>
        <w:rPr>
          <w:bCs/>
          <w:lang w:val="bg-BG"/>
        </w:rPr>
        <w:t xml:space="preserve"> </w:t>
      </w:r>
      <w:r>
        <w:rPr>
          <w:bCs/>
          <w:lang w:val="en-US"/>
        </w:rPr>
        <w:t>срещу</w:t>
      </w:r>
      <w:r>
        <w:rPr>
          <w:bCs/>
          <w:lang w:val="bg-BG"/>
        </w:rPr>
        <w:t xml:space="preserve"> 78х.лв. спрямо първото полугодие на 2015г.</w:t>
      </w:r>
    </w:p>
    <w:p w:rsidR="008215D7" w:rsidRDefault="008215D7">
      <w:pPr>
        <w:pStyle w:val="Standard"/>
        <w:ind w:left="30"/>
        <w:jc w:val="both"/>
        <w:rPr>
          <w:lang w:val="bg-BG"/>
        </w:rPr>
      </w:pPr>
      <w:r>
        <w:rPr>
          <w:lang w:val="bg-BG"/>
        </w:rPr>
        <w:t>Финансовите разходи включват  разходи за лихви по банкови кредити,  облигационен заем,  други кредити и банкови такси и  комисионни по кредити.</w:t>
      </w:r>
    </w:p>
    <w:p w:rsidR="008215D7" w:rsidRDefault="008215D7">
      <w:pPr>
        <w:pStyle w:val="Standard"/>
        <w:ind w:left="30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Финансов резултат</w:t>
      </w:r>
    </w:p>
    <w:p w:rsidR="008215D7" w:rsidRDefault="008215D7">
      <w:pPr>
        <w:pStyle w:val="Standard"/>
        <w:jc w:val="both"/>
        <w:rPr>
          <w:bCs/>
          <w:lang w:val="bg-BG"/>
        </w:rPr>
      </w:pPr>
      <w:r w:rsidRPr="00FB38C8">
        <w:rPr>
          <w:bCs/>
          <w:lang w:val="bg-BG"/>
        </w:rPr>
        <w:t>Като резултат от дейността си към 30.06.2016г., реализирани приходи и отчетени разходи</w:t>
      </w:r>
      <w:r>
        <w:rPr>
          <w:bCs/>
          <w:lang w:val="bg-BG"/>
        </w:rPr>
        <w:t>, „Топлофикация Габрово“ ЕАД  отчита финансов резултат  - загуба в размер на 708 х.лв.</w:t>
      </w:r>
    </w:p>
    <w:p w:rsidR="008215D7" w:rsidRPr="00FB38C8" w:rsidRDefault="008215D7">
      <w:pPr>
        <w:pStyle w:val="Standard"/>
        <w:jc w:val="both"/>
        <w:rPr>
          <w:bCs/>
          <w:lang w:val="bg-BG"/>
        </w:rPr>
      </w:pPr>
      <w:r>
        <w:rPr>
          <w:bCs/>
          <w:lang w:val="bg-BG"/>
        </w:rPr>
        <w:t xml:space="preserve">В сравнение със същия период на предходната година, загубата е увеличена с </w:t>
      </w:r>
      <w:r>
        <w:rPr>
          <w:bCs/>
          <w:lang w:val="en-US"/>
        </w:rPr>
        <w:t>280</w:t>
      </w:r>
      <w:r>
        <w:rPr>
          <w:bCs/>
          <w:lang w:val="bg-BG"/>
        </w:rPr>
        <w:t xml:space="preserve"> х.лв.</w:t>
      </w:r>
      <w:r>
        <w:rPr>
          <w:bCs/>
          <w:lang w:val="en-US"/>
        </w:rPr>
        <w:t>Това се дължи на по-малките приходи,в резултат на по-малката реализация.</w:t>
      </w:r>
      <w:r>
        <w:rPr>
          <w:bCs/>
          <w:lang w:val="bg-BG"/>
        </w:rPr>
        <w:t xml:space="preserve">  </w:t>
      </w:r>
      <w:r w:rsidRPr="00FB38C8">
        <w:rPr>
          <w:bCs/>
          <w:lang w:val="bg-BG"/>
        </w:rPr>
        <w:t xml:space="preserve"> </w:t>
      </w: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Към 30.06.2016г. „Топлофикация Габрово“ЕАД няма кредитни задължени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  <w:r>
        <w:rPr>
          <w:lang w:val="bg-BG"/>
        </w:rPr>
        <w:t>Основни източници за текущо финансиране дейността на дружеството са приходите от продажба на електрическа и топлинна енергия. Това е  и основният източник на оборотни средства за покриване на текущите разходи.</w:t>
      </w:r>
    </w:p>
    <w:p w:rsidR="008215D7" w:rsidRDefault="008215D7">
      <w:pPr>
        <w:pStyle w:val="Standard"/>
        <w:jc w:val="both"/>
        <w:rPr>
          <w:lang w:val="bg-BG"/>
        </w:rPr>
      </w:pPr>
    </w:p>
    <w:p w:rsidR="008215D7" w:rsidRPr="003A42C6" w:rsidRDefault="008215D7">
      <w:pPr>
        <w:pStyle w:val="Standard"/>
        <w:jc w:val="both"/>
        <w:rPr>
          <w:b/>
          <w:lang w:val="bg-BG"/>
        </w:rPr>
      </w:pPr>
      <w:r w:rsidRPr="003A42C6">
        <w:rPr>
          <w:b/>
          <w:lang w:val="en-US"/>
        </w:rPr>
        <w:t>V</w:t>
      </w:r>
      <w:r w:rsidRPr="003A42C6">
        <w:rPr>
          <w:b/>
          <w:lang w:val="bg-BG"/>
        </w:rPr>
        <w:t>.</w:t>
      </w:r>
      <w:r>
        <w:rPr>
          <w:b/>
          <w:lang w:val="en-US"/>
        </w:rPr>
        <w:t xml:space="preserve"> </w:t>
      </w:r>
      <w:r w:rsidRPr="003A42C6">
        <w:rPr>
          <w:b/>
          <w:lang w:val="bg-BG"/>
        </w:rPr>
        <w:t>ОСНОВНИ РИСКОВЕ ПРЕД ДЕЙНОСТТА НА ДРУЖЕСТВОТО</w:t>
      </w:r>
    </w:p>
    <w:p w:rsidR="008215D7" w:rsidRDefault="008215D7">
      <w:pPr>
        <w:pStyle w:val="Standard"/>
        <w:jc w:val="both"/>
        <w:rPr>
          <w:b/>
          <w:bCs/>
          <w:lang w:val="en-US"/>
        </w:rPr>
      </w:pPr>
    </w:p>
    <w:p w:rsidR="008215D7" w:rsidRDefault="008215D7">
      <w:pPr>
        <w:pStyle w:val="Standard"/>
        <w:jc w:val="both"/>
        <w:rPr>
          <w:bCs/>
          <w:lang w:val="bg-BG"/>
        </w:rPr>
      </w:pPr>
      <w:r w:rsidRPr="00DB71C6">
        <w:rPr>
          <w:bCs/>
          <w:lang w:val="bg-BG"/>
        </w:rPr>
        <w:t>Разглеждайки средата в която работи дружестото ни</w:t>
      </w:r>
      <w:r>
        <w:rPr>
          <w:bCs/>
          <w:lang w:val="bg-BG"/>
        </w:rPr>
        <w:t>, можем да определим, че основните рискове, които биха оказали съществено значение в работата на дружеството са:</w:t>
      </w:r>
    </w:p>
    <w:p w:rsidR="008215D7" w:rsidRDefault="008215D7">
      <w:pPr>
        <w:pStyle w:val="Standard"/>
        <w:jc w:val="both"/>
        <w:rPr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  <w:r w:rsidRPr="00DB71C6">
        <w:rPr>
          <w:b/>
          <w:bCs/>
          <w:lang w:val="bg-BG"/>
        </w:rPr>
        <w:t xml:space="preserve">* Бизнес риск </w:t>
      </w:r>
    </w:p>
    <w:p w:rsidR="008215D7" w:rsidRPr="000A0317" w:rsidRDefault="008215D7" w:rsidP="00981AA7">
      <w:pPr>
        <w:jc w:val="both"/>
        <w:rPr>
          <w:rFonts w:cs="Arial"/>
        </w:rPr>
      </w:pPr>
      <w:r w:rsidRPr="000A0317">
        <w:rPr>
          <w:rFonts w:cs="Arial"/>
        </w:rPr>
        <w:t xml:space="preserve">Бизнес рискът или още наречен отраслов риск, е свързан със състоянието и тенденциите в развитието на отрасъла. Бизнес рискът се определя от особеностите на отрасловите суровини и материали, конкуренцията в сектора, наличието и цената на специалистите,  търсенето на продукцията, достъпа до финансиране, технологиите и рентабилността на сектора. </w:t>
      </w:r>
    </w:p>
    <w:p w:rsidR="008215D7" w:rsidRDefault="008215D7" w:rsidP="00981AA7">
      <w:pPr>
        <w:autoSpaceDE w:val="0"/>
        <w:adjustRightInd w:val="0"/>
        <w:jc w:val="both"/>
        <w:rPr>
          <w:rFonts w:cs="Arial"/>
          <w:lang w:val="bg-BG"/>
        </w:rPr>
      </w:pPr>
      <w:r w:rsidRPr="000A0317">
        <w:rPr>
          <w:rFonts w:cs="Arial"/>
        </w:rPr>
        <w:t>Секторът, в който оперира „ТОПЛОФИКАЦ</w:t>
      </w:r>
      <w:r>
        <w:rPr>
          <w:rFonts w:cs="Arial"/>
        </w:rPr>
        <w:t>ИЯ</w:t>
      </w:r>
      <w:r>
        <w:rPr>
          <w:rFonts w:cs="Arial"/>
          <w:lang w:val="bg-BG"/>
        </w:rPr>
        <w:t xml:space="preserve"> ГАБРОВО</w:t>
      </w:r>
      <w:r>
        <w:rPr>
          <w:rFonts w:cs="Arial"/>
        </w:rPr>
        <w:t>”</w:t>
      </w:r>
      <w:r>
        <w:rPr>
          <w:rFonts w:cs="Arial"/>
          <w:lang w:val="bg-BG"/>
        </w:rPr>
        <w:t>ЕАД</w:t>
      </w:r>
      <w:r>
        <w:rPr>
          <w:rFonts w:cs="Arial"/>
        </w:rPr>
        <w:t>,</w:t>
      </w:r>
      <w:r w:rsidRPr="000A0317">
        <w:rPr>
          <w:rFonts w:cs="Arial"/>
        </w:rPr>
        <w:t xml:space="preserve"> е топлоенергетиката, електроенергетиката и топло- и електропроизводството. За тази индустрия е характерна по-малка цикличност в сравнение с други отрасли на икономиката. Въпреки това на сектора се отразява промяната в покупателната способност на населението</w:t>
      </w:r>
      <w:r>
        <w:rPr>
          <w:rFonts w:cs="Arial"/>
          <w:lang w:val="bg-BG"/>
        </w:rPr>
        <w:t>.</w:t>
      </w:r>
    </w:p>
    <w:p w:rsidR="008215D7" w:rsidRPr="003D6BB3" w:rsidRDefault="008215D7" w:rsidP="00981AA7">
      <w:pPr>
        <w:autoSpaceDE w:val="0"/>
        <w:adjustRightInd w:val="0"/>
        <w:jc w:val="both"/>
        <w:rPr>
          <w:rFonts w:cs="Arial"/>
        </w:rPr>
      </w:pPr>
      <w:r w:rsidRPr="000A0317">
        <w:rPr>
          <w:rFonts w:cs="Arial"/>
        </w:rPr>
        <w:t>Мерките за енергоспестяване, както и санирането на апартаментите на все повече домакинства допринасят за намаленото потребление на топлоенергия.</w:t>
      </w:r>
      <w:r w:rsidRPr="003D6BB3">
        <w:rPr>
          <w:rFonts w:cs="Arial"/>
        </w:rPr>
        <w:t xml:space="preserve"> </w:t>
      </w:r>
    </w:p>
    <w:p w:rsidR="008215D7" w:rsidRPr="000A0317" w:rsidRDefault="008215D7" w:rsidP="00981AA7">
      <w:pPr>
        <w:jc w:val="both"/>
        <w:rPr>
          <w:rFonts w:cs="Arial"/>
        </w:rPr>
      </w:pPr>
      <w:r w:rsidRPr="000A0317">
        <w:rPr>
          <w:rFonts w:cs="Arial"/>
        </w:rPr>
        <w:t>През последните години компанията се опитва да намали производствените си разходи като модернизира основните производствени мощности и оборудване с цел постигане на по-добра ефективност на производството на топло и електро-енергия, както и с цел опазване на околната среда чрез по-екологично производство, което също ще спомогне за увеличаване на рентабилността.</w:t>
      </w:r>
    </w:p>
    <w:p w:rsidR="008215D7" w:rsidRDefault="008215D7" w:rsidP="00981AA7">
      <w:pPr>
        <w:pStyle w:val="Standard"/>
        <w:jc w:val="both"/>
        <w:rPr>
          <w:lang w:val="bg-BG"/>
        </w:rPr>
      </w:pPr>
      <w:r w:rsidRPr="000A0317">
        <w:t>Бизнес рискът намира своето проявление при евентуални неблагоприятни промени на производствените разходи на компанията, както и цените, по които Дружеството продава своята продукция. Основен фактор, влияещ върху финансовото състояние на Дружес</w:t>
      </w:r>
      <w:r>
        <w:t xml:space="preserve">твото </w:t>
      </w:r>
      <w:r>
        <w:rPr>
          <w:lang w:val="bg-BG"/>
        </w:rPr>
        <w:t>са</w:t>
      </w:r>
      <w:r>
        <w:t xml:space="preserve"> цен</w:t>
      </w:r>
      <w:r>
        <w:rPr>
          <w:lang w:val="bg-BG"/>
        </w:rPr>
        <w:t>ите</w:t>
      </w:r>
      <w:r>
        <w:t xml:space="preserve"> на </w:t>
      </w:r>
      <w:r>
        <w:rPr>
          <w:lang w:val="bg-BG"/>
        </w:rPr>
        <w:t>горивата</w:t>
      </w:r>
      <w:r w:rsidRPr="000A0317">
        <w:t>, от друга страна цените на произвежданата топлинна енергия и електроенергия са регулирани и се определят от КЕВР и компанията не може да влияе по никакъв начин на тези цени</w:t>
      </w:r>
      <w:r>
        <w:rPr>
          <w:lang w:val="bg-BG"/>
        </w:rPr>
        <w:t>.</w:t>
      </w:r>
    </w:p>
    <w:p w:rsidR="008215D7" w:rsidRDefault="008215D7" w:rsidP="00981AA7">
      <w:pPr>
        <w:pStyle w:val="Standard"/>
        <w:jc w:val="both"/>
        <w:rPr>
          <w:lang w:val="bg-BG"/>
        </w:rPr>
      </w:pPr>
    </w:p>
    <w:p w:rsidR="008215D7" w:rsidRDefault="008215D7" w:rsidP="00981AA7">
      <w:pPr>
        <w:pStyle w:val="Standard"/>
        <w:jc w:val="both"/>
        <w:rPr>
          <w:b/>
          <w:lang w:val="bg-BG"/>
        </w:rPr>
      </w:pPr>
      <w:r w:rsidRPr="00021D4F">
        <w:rPr>
          <w:lang w:val="bg-BG"/>
        </w:rPr>
        <w:t>*</w:t>
      </w:r>
      <w:r>
        <w:rPr>
          <w:b/>
          <w:lang w:val="bg-BG"/>
        </w:rPr>
        <w:t xml:space="preserve"> </w:t>
      </w:r>
      <w:r w:rsidRPr="00481693">
        <w:rPr>
          <w:b/>
          <w:lang w:val="bg-BG"/>
        </w:rPr>
        <w:t>Специфичен фирмен риск</w:t>
      </w:r>
    </w:p>
    <w:p w:rsidR="008215D7" w:rsidRPr="000A0317" w:rsidRDefault="008215D7" w:rsidP="00481693">
      <w:pPr>
        <w:jc w:val="both"/>
      </w:pPr>
      <w:r w:rsidRPr="000A0317">
        <w:t>Специфичният фирмен риск е свързан с естеството на дейност на Дружеството. За всяко дружество е важно възвръщаемостта от инвестираните средства и ресурси да съответства на риска, свързан с тази инвестиция.</w:t>
      </w:r>
    </w:p>
    <w:p w:rsidR="008215D7" w:rsidRPr="000A0317" w:rsidRDefault="008215D7" w:rsidP="00481693">
      <w:pPr>
        <w:jc w:val="both"/>
      </w:pPr>
      <w:r w:rsidRPr="000A0317">
        <w:t xml:space="preserve">Търсенето на продукцията, произвеждана от </w:t>
      </w:r>
      <w:r>
        <w:rPr>
          <w:rFonts w:cs="Arial"/>
        </w:rPr>
        <w:t xml:space="preserve">„ТОПЛОФИКАЦИЯ </w:t>
      </w:r>
      <w:r>
        <w:rPr>
          <w:rFonts w:cs="Arial"/>
          <w:lang w:val="bg-BG"/>
        </w:rPr>
        <w:t>ГАБРОВО</w:t>
      </w:r>
      <w:r>
        <w:rPr>
          <w:rFonts w:cs="Arial"/>
        </w:rPr>
        <w:t>”</w:t>
      </w:r>
      <w:r>
        <w:rPr>
          <w:rFonts w:cs="Arial"/>
          <w:lang w:val="bg-BG"/>
        </w:rPr>
        <w:t>ЕАД</w:t>
      </w:r>
      <w:r w:rsidRPr="000A0317">
        <w:t xml:space="preserve">, се характеризира с относителна постоянност. Въпреки конкуренцията в сектора, </w:t>
      </w:r>
      <w:r w:rsidRPr="000A0317">
        <w:rPr>
          <w:rFonts w:cs="Arial"/>
        </w:rPr>
        <w:t xml:space="preserve">„ТОПЛОФИКАЦИЯ </w:t>
      </w:r>
      <w:r>
        <w:rPr>
          <w:rFonts w:cs="Arial"/>
          <w:lang w:val="bg-BG"/>
        </w:rPr>
        <w:t>ГАБРОВО</w:t>
      </w:r>
      <w:r>
        <w:rPr>
          <w:rFonts w:cs="Arial"/>
        </w:rPr>
        <w:t>”</w:t>
      </w:r>
      <w:r>
        <w:rPr>
          <w:rFonts w:cs="Arial"/>
          <w:lang w:val="bg-BG"/>
        </w:rPr>
        <w:t>ЕАД</w:t>
      </w:r>
      <w:r w:rsidRPr="000A0317">
        <w:t xml:space="preserve"> се стреми да запазва и да увеличава квотата за производство, която се предоставя на крайните снабдители за задоволяване на потребностите от топло и електроенергия в страната.</w:t>
      </w:r>
    </w:p>
    <w:p w:rsidR="008215D7" w:rsidRPr="000A0317" w:rsidRDefault="008215D7" w:rsidP="00481693">
      <w:pPr>
        <w:jc w:val="both"/>
      </w:pPr>
      <w:r w:rsidRPr="000A0317">
        <w:t xml:space="preserve">Поради високата цена на природния газ Дружеството планира в инвестиционната си програма внедряване на нов енергиен източник, с по-евтино гориво – дървесен чипс, който да покрие значителна част от топлинните товари. Намаляването на разходите за гориво, които са основните разходи на </w:t>
      </w:r>
      <w:r>
        <w:rPr>
          <w:rFonts w:cs="Arial"/>
        </w:rPr>
        <w:t xml:space="preserve">„ТОПЛОФИКАЦИЯ </w:t>
      </w:r>
      <w:r>
        <w:rPr>
          <w:rFonts w:cs="Arial"/>
          <w:lang w:val="bg-BG"/>
        </w:rPr>
        <w:t>ГАБРОВО</w:t>
      </w:r>
      <w:r>
        <w:rPr>
          <w:rFonts w:cs="Arial"/>
        </w:rPr>
        <w:t xml:space="preserve">” </w:t>
      </w:r>
      <w:r>
        <w:rPr>
          <w:rFonts w:cs="Arial"/>
          <w:lang w:val="bg-BG"/>
        </w:rPr>
        <w:t>ЕАД</w:t>
      </w:r>
      <w:r w:rsidRPr="000A0317">
        <w:rPr>
          <w:rFonts w:cs="Arial"/>
        </w:rPr>
        <w:t xml:space="preserve"> би дало възможност  Дружеството да се стабилизира финансово, да укрепи позициите си на пазара и конкурентоспособността си.</w:t>
      </w:r>
    </w:p>
    <w:p w:rsidR="008215D7" w:rsidRDefault="008215D7" w:rsidP="00981AA7">
      <w:pPr>
        <w:pStyle w:val="Standard"/>
        <w:jc w:val="both"/>
        <w:rPr>
          <w:b/>
          <w:bCs/>
          <w:lang w:val="bg-BG"/>
        </w:rPr>
      </w:pPr>
    </w:p>
    <w:p w:rsidR="008215D7" w:rsidRDefault="008215D7" w:rsidP="00981AA7">
      <w:pPr>
        <w:pStyle w:val="Standard"/>
        <w:jc w:val="both"/>
        <w:rPr>
          <w:b/>
          <w:bCs/>
          <w:lang w:val="bg-BG"/>
        </w:rPr>
      </w:pPr>
    </w:p>
    <w:p w:rsidR="008215D7" w:rsidRPr="00F51B95" w:rsidRDefault="008215D7" w:rsidP="00021D4F">
      <w:pPr>
        <w:rPr>
          <w:rFonts w:cs="Arial"/>
          <w:b/>
        </w:rPr>
      </w:pPr>
      <w:r w:rsidRPr="00F51B95">
        <w:rPr>
          <w:bCs/>
          <w:lang w:val="bg-BG"/>
        </w:rPr>
        <w:t>*</w:t>
      </w:r>
      <w:r w:rsidRPr="00F51B95">
        <w:rPr>
          <w:rFonts w:cs="Arial"/>
          <w:b/>
        </w:rPr>
        <w:t xml:space="preserve"> Кредитен риск</w:t>
      </w:r>
    </w:p>
    <w:p w:rsidR="008215D7" w:rsidRPr="000A0317" w:rsidRDefault="008215D7" w:rsidP="00021D4F">
      <w:pPr>
        <w:jc w:val="both"/>
      </w:pPr>
      <w:r w:rsidRPr="000A0317">
        <w:t xml:space="preserve">Това е рискът, произтичащ от невъзможността на дадено дружество да посрещне задълженията си по обслужване на привлечените средства. Тази финансова несигурност допълва бизнес риска. </w:t>
      </w:r>
    </w:p>
    <w:p w:rsidR="008215D7" w:rsidRDefault="008215D7" w:rsidP="00021D4F">
      <w:pPr>
        <w:jc w:val="both"/>
      </w:pPr>
      <w:r w:rsidRPr="000A0317">
        <w:t>Рискът от невъзможност за посрещане на текущите задължения на Дружеството може да настъпи както при значително забавяне на плащанията от страна на клиентите, така и при неправилно управление на паричните потоци от дейността на компанията. Ръководството на Дружеството има кредитна политика да оценява и контролира кредитния риск</w:t>
      </w:r>
    </w:p>
    <w:p w:rsidR="008215D7" w:rsidRDefault="008215D7" w:rsidP="00021D4F">
      <w:pPr>
        <w:jc w:val="both"/>
      </w:pPr>
    </w:p>
    <w:p w:rsidR="008215D7" w:rsidRPr="00F51B95" w:rsidRDefault="008215D7" w:rsidP="00021D4F">
      <w:pPr>
        <w:jc w:val="both"/>
        <w:rPr>
          <w:rFonts w:cs="Arial"/>
          <w:b/>
        </w:rPr>
      </w:pPr>
      <w:r w:rsidRPr="00F51B95">
        <w:rPr>
          <w:lang w:val="bg-BG"/>
        </w:rPr>
        <w:t>*</w:t>
      </w:r>
      <w:r w:rsidRPr="00F51B95">
        <w:rPr>
          <w:rFonts w:cs="Arial"/>
          <w:b/>
        </w:rPr>
        <w:t>Оперативен риск</w:t>
      </w:r>
    </w:p>
    <w:p w:rsidR="008215D7" w:rsidRPr="000A0317" w:rsidRDefault="008215D7" w:rsidP="00021D4F">
      <w:pPr>
        <w:jc w:val="both"/>
        <w:rPr>
          <w:lang w:val="en-US"/>
        </w:rPr>
      </w:pPr>
      <w:r w:rsidRPr="000A0317">
        <w:t>Оперативният риск е свързан със загуби или непредвидени разходи, свързани с измами, съдебни дела или проблеми в текущото управление и контрол.</w:t>
      </w:r>
    </w:p>
    <w:p w:rsidR="008215D7" w:rsidRPr="000A0317" w:rsidRDefault="008215D7" w:rsidP="00021D4F">
      <w:pPr>
        <w:jc w:val="both"/>
      </w:pPr>
      <w:r w:rsidRPr="000A0317">
        <w:t>Разрастването на всяка компания носи три основни риска:</w:t>
      </w:r>
    </w:p>
    <w:p w:rsidR="008215D7" w:rsidRPr="000A0317" w:rsidRDefault="008215D7" w:rsidP="00021D4F">
      <w:pPr>
        <w:widowControl/>
        <w:numPr>
          <w:ilvl w:val="0"/>
          <w:numId w:val="7"/>
        </w:numPr>
        <w:suppressAutoHyphens w:val="0"/>
        <w:autoSpaceDN/>
        <w:spacing w:before="60" w:after="60" w:line="300" w:lineRule="atLeast"/>
        <w:ind w:firstLine="0"/>
        <w:jc w:val="both"/>
        <w:textAlignment w:val="auto"/>
      </w:pPr>
      <w:r w:rsidRPr="000A0317">
        <w:t>риск от невъзможност да се посрещнат растящите нужди на бизнеса от оборотни средства;</w:t>
      </w:r>
    </w:p>
    <w:p w:rsidR="008215D7" w:rsidRPr="000A0317" w:rsidRDefault="008215D7" w:rsidP="00021D4F">
      <w:pPr>
        <w:widowControl/>
        <w:numPr>
          <w:ilvl w:val="0"/>
          <w:numId w:val="7"/>
        </w:numPr>
        <w:suppressAutoHyphens w:val="0"/>
        <w:autoSpaceDN/>
        <w:spacing w:before="60" w:after="60" w:line="300" w:lineRule="atLeast"/>
        <w:ind w:firstLine="0"/>
        <w:jc w:val="both"/>
        <w:textAlignment w:val="auto"/>
      </w:pPr>
      <w:r w:rsidRPr="000A0317">
        <w:t>риск от загуба на контрол и/или визия за продължителен растеж от страна на мениджмънта;</w:t>
      </w:r>
    </w:p>
    <w:p w:rsidR="008215D7" w:rsidRPr="000A0317" w:rsidRDefault="008215D7" w:rsidP="00021D4F">
      <w:pPr>
        <w:widowControl/>
        <w:numPr>
          <w:ilvl w:val="0"/>
          <w:numId w:val="7"/>
        </w:numPr>
        <w:suppressAutoHyphens w:val="0"/>
        <w:autoSpaceDN/>
        <w:spacing w:before="60" w:after="60" w:line="300" w:lineRule="atLeast"/>
        <w:ind w:firstLine="0"/>
        <w:jc w:val="both"/>
        <w:textAlignment w:val="auto"/>
      </w:pPr>
      <w:r w:rsidRPr="000A0317">
        <w:t>риск от затруднения при наемането на квалифициран персонал.</w:t>
      </w:r>
    </w:p>
    <w:p w:rsidR="008215D7" w:rsidRDefault="008215D7" w:rsidP="00021D4F">
      <w:pPr>
        <w:jc w:val="both"/>
        <w:rPr>
          <w:lang w:val="en-US"/>
        </w:rPr>
      </w:pPr>
      <w:r w:rsidRPr="000A0317">
        <w:t>Компанията полага значителни усилия, за да управлява ефективно всички изброени рискове на растежа. Предприемат се мерки с цел намаляване на текучеството при основния производствен персонал.</w:t>
      </w:r>
    </w:p>
    <w:p w:rsidR="008215D7" w:rsidRDefault="008215D7" w:rsidP="00021D4F">
      <w:pPr>
        <w:pStyle w:val="Standard"/>
        <w:jc w:val="both"/>
        <w:rPr>
          <w:b/>
          <w:bCs/>
          <w:lang w:val="bg-BG"/>
        </w:rPr>
      </w:pPr>
    </w:p>
    <w:p w:rsidR="008215D7" w:rsidRDefault="008215D7" w:rsidP="004A1772">
      <w:pPr>
        <w:autoSpaceDE w:val="0"/>
        <w:adjustRightInd w:val="0"/>
        <w:rPr>
          <w:b/>
          <w:bCs/>
          <w:lang w:val="bg-BG"/>
        </w:rPr>
      </w:pPr>
      <w:r w:rsidRPr="004A1772">
        <w:rPr>
          <w:bCs/>
          <w:lang w:val="bg-BG"/>
        </w:rPr>
        <w:t>*</w:t>
      </w:r>
      <w:r>
        <w:rPr>
          <w:bCs/>
          <w:lang w:val="bg-BG"/>
        </w:rPr>
        <w:t xml:space="preserve"> </w:t>
      </w:r>
      <w:r>
        <w:rPr>
          <w:b/>
          <w:bCs/>
          <w:lang w:val="bg-BG"/>
        </w:rPr>
        <w:t>Финансов риск</w:t>
      </w:r>
    </w:p>
    <w:p w:rsidR="008215D7" w:rsidRDefault="008215D7" w:rsidP="004A1772">
      <w:pPr>
        <w:autoSpaceDE w:val="0"/>
        <w:adjustRightInd w:val="0"/>
        <w:jc w:val="both"/>
      </w:pPr>
      <w:r w:rsidRPr="004A1772">
        <w:t xml:space="preserve"> Съществува риск Дружеството да не успее да</w:t>
      </w:r>
      <w:r w:rsidRPr="00646300">
        <w:t xml:space="preserve"> събира вземанията си. Ръководството на Дружеството</w:t>
      </w:r>
      <w:r>
        <w:rPr>
          <w:lang w:val="en-US"/>
        </w:rPr>
        <w:t xml:space="preserve"> </w:t>
      </w:r>
      <w:r w:rsidRPr="00646300">
        <w:t>смята, че рис</w:t>
      </w:r>
      <w:r>
        <w:rPr>
          <w:lang w:val="en-US"/>
        </w:rPr>
        <w:t>к</w:t>
      </w:r>
      <w:r w:rsidRPr="00646300">
        <w:t>ът не е съществен с оглед на добрата история на събираемост на вземанията и</w:t>
      </w:r>
      <w:r>
        <w:rPr>
          <w:lang w:val="en-US"/>
        </w:rPr>
        <w:t xml:space="preserve"> </w:t>
      </w:r>
      <w:r w:rsidRPr="00646300">
        <w:t>надеждността на търговските му партнъори. Събираемостта на вземанията се следи текущо. За целта</w:t>
      </w:r>
      <w:r>
        <w:rPr>
          <w:lang w:val="en-US"/>
        </w:rPr>
        <w:t xml:space="preserve"> </w:t>
      </w:r>
      <w:r w:rsidRPr="00646300">
        <w:t>ежедневно се прави преглед</w:t>
      </w:r>
      <w:r>
        <w:rPr>
          <w:lang w:val="en-US"/>
        </w:rPr>
        <w:t xml:space="preserve"> </w:t>
      </w:r>
      <w:r w:rsidRPr="00646300">
        <w:t>от финансово-счетоводния отдел по клиенти, както и получените</w:t>
      </w:r>
      <w:r>
        <w:rPr>
          <w:lang w:val="en-US"/>
        </w:rPr>
        <w:t xml:space="preserve"> </w:t>
      </w:r>
      <w:r w:rsidRPr="00646300">
        <w:t>постъпления, като се извършва анализ на неплатените суми и състоянието на вземанията от клиентите. За</w:t>
      </w:r>
      <w:r>
        <w:rPr>
          <w:lang w:val="en-US"/>
        </w:rPr>
        <w:t xml:space="preserve"> </w:t>
      </w:r>
      <w:r w:rsidRPr="00646300">
        <w:t>да контролира риска, Дружеството следи за своевременно плащане на нововъзникнали задължения.</w:t>
      </w:r>
    </w:p>
    <w:p w:rsidR="008215D7" w:rsidRDefault="008215D7" w:rsidP="004A1772">
      <w:pPr>
        <w:autoSpaceDE w:val="0"/>
        <w:adjustRightInd w:val="0"/>
        <w:jc w:val="both"/>
      </w:pPr>
    </w:p>
    <w:p w:rsidR="008215D7" w:rsidRDefault="008215D7" w:rsidP="004A1772">
      <w:pPr>
        <w:autoSpaceDE w:val="0"/>
        <w:adjustRightInd w:val="0"/>
        <w:jc w:val="both"/>
      </w:pPr>
    </w:p>
    <w:p w:rsidR="008215D7" w:rsidRDefault="008215D7" w:rsidP="004A1772">
      <w:pPr>
        <w:jc w:val="both"/>
        <w:rPr>
          <w:b/>
          <w:lang w:val="bg-BG"/>
        </w:rPr>
      </w:pPr>
      <w:r w:rsidRPr="004A1772">
        <w:rPr>
          <w:b/>
          <w:i/>
          <w:lang w:val="bg-BG"/>
        </w:rPr>
        <w:t>*</w:t>
      </w:r>
      <w:r>
        <w:rPr>
          <w:b/>
          <w:i/>
          <w:lang w:val="bg-BG"/>
        </w:rPr>
        <w:t xml:space="preserve"> </w:t>
      </w:r>
      <w:r>
        <w:rPr>
          <w:b/>
          <w:lang w:val="bg-BG"/>
        </w:rPr>
        <w:t>Лихвен риск</w:t>
      </w:r>
    </w:p>
    <w:p w:rsidR="008215D7" w:rsidRPr="00E92B45" w:rsidRDefault="008215D7" w:rsidP="004A1772">
      <w:pPr>
        <w:jc w:val="both"/>
        <w:rPr>
          <w:rFonts w:cs="Arial"/>
          <w:lang w:val="en-US"/>
        </w:rPr>
      </w:pPr>
      <w:r w:rsidRPr="00E92B45">
        <w:rPr>
          <w:rFonts w:cs="Arial"/>
          <w:lang w:val="en-US"/>
        </w:rPr>
        <w:t>Лихвеният риск е свързан с възможността за промяна на преобладаващите лихвени равнища в страната. Това би се отразило върху дейността на</w:t>
      </w:r>
      <w:r>
        <w:rPr>
          <w:rFonts w:cs="Arial"/>
          <w:lang w:val="bg-BG"/>
        </w:rPr>
        <w:t xml:space="preserve"> </w:t>
      </w:r>
      <w:r w:rsidRPr="00E92B45">
        <w:rPr>
          <w:rFonts w:cs="Arial"/>
          <w:lang w:val="en-US"/>
        </w:rPr>
        <w:t xml:space="preserve">  дружество</w:t>
      </w:r>
      <w:r>
        <w:rPr>
          <w:rFonts w:cs="Arial"/>
          <w:lang w:val="bg-BG"/>
        </w:rPr>
        <w:t>то</w:t>
      </w:r>
      <w:r w:rsidRPr="00E92B45">
        <w:rPr>
          <w:rFonts w:cs="Arial"/>
          <w:lang w:val="en-US"/>
        </w:rPr>
        <w:t>, доколкото при равни други условия промяната на лихвените равнища води до промяна в цената на финансовия ресурс, използван от дружеството при осъществяване на различни проекти.</w:t>
      </w:r>
    </w:p>
    <w:p w:rsidR="008215D7" w:rsidRDefault="008215D7" w:rsidP="004A1772">
      <w:pPr>
        <w:jc w:val="both"/>
        <w:rPr>
          <w:rFonts w:cs="Arial"/>
        </w:rPr>
      </w:pPr>
      <w:r>
        <w:rPr>
          <w:rFonts w:cs="Arial"/>
          <w:lang w:val="bg-BG"/>
        </w:rPr>
        <w:t>„Топлофикация ГАБРОВО“ЕАД</w:t>
      </w:r>
      <w:r w:rsidRPr="00E92B45">
        <w:rPr>
          <w:rFonts w:cs="Arial"/>
          <w:lang w:val="en-US"/>
        </w:rPr>
        <w:t xml:space="preserve">  управлява лихвения риск посредством балансираното използване на различни източници на финансов ресурс.</w:t>
      </w:r>
    </w:p>
    <w:p w:rsidR="008215D7" w:rsidRDefault="008215D7" w:rsidP="004A1772">
      <w:pPr>
        <w:autoSpaceDE w:val="0"/>
        <w:adjustRightInd w:val="0"/>
        <w:jc w:val="both"/>
      </w:pPr>
    </w:p>
    <w:p w:rsidR="008215D7" w:rsidRDefault="008215D7" w:rsidP="004A1772">
      <w:pPr>
        <w:autoSpaceDE w:val="0"/>
        <w:adjustRightInd w:val="0"/>
        <w:jc w:val="both"/>
        <w:rPr>
          <w:b/>
          <w:lang w:val="bg-BG"/>
        </w:rPr>
      </w:pPr>
      <w:r w:rsidRPr="00F51B95">
        <w:rPr>
          <w:lang w:val="bg-BG"/>
        </w:rPr>
        <w:t>*</w:t>
      </w:r>
      <w:r w:rsidRPr="00F51B95">
        <w:rPr>
          <w:b/>
          <w:lang w:val="bg-BG"/>
        </w:rPr>
        <w:t xml:space="preserve"> Регулативен риск</w:t>
      </w:r>
    </w:p>
    <w:p w:rsidR="008215D7" w:rsidRDefault="008215D7" w:rsidP="00F51B95">
      <w:pPr>
        <w:autoSpaceDE w:val="0"/>
        <w:adjustRightInd w:val="0"/>
        <w:jc w:val="both"/>
        <w:rPr>
          <w:lang w:val="bg-BG"/>
        </w:rPr>
      </w:pPr>
      <w:r w:rsidRPr="00F51B95">
        <w:rPr>
          <w:lang w:val="bg-BG"/>
        </w:rPr>
        <w:t>Регулативният</w:t>
      </w:r>
      <w:r>
        <w:rPr>
          <w:lang w:val="bg-BG"/>
        </w:rPr>
        <w:t xml:space="preserve"> риск е свързан с вероятността да се понесат загуби в резултат на нарушения или неспазване на законовите и подзаконови нормативни  актове.Оценяваме опасността на този риск като ниска.</w:t>
      </w:r>
    </w:p>
    <w:p w:rsidR="008215D7" w:rsidRDefault="008215D7" w:rsidP="00F51B95">
      <w:pPr>
        <w:autoSpaceDE w:val="0"/>
        <w:adjustRightInd w:val="0"/>
        <w:jc w:val="both"/>
        <w:rPr>
          <w:lang w:val="bg-BG"/>
        </w:rPr>
      </w:pPr>
    </w:p>
    <w:p w:rsidR="008215D7" w:rsidRDefault="008215D7" w:rsidP="00F51B95">
      <w:pPr>
        <w:autoSpaceDE w:val="0"/>
        <w:adjustRightInd w:val="0"/>
        <w:jc w:val="both"/>
        <w:rPr>
          <w:b/>
          <w:lang w:val="bg-BG"/>
        </w:rPr>
      </w:pPr>
      <w:r w:rsidRPr="00F51B95">
        <w:rPr>
          <w:b/>
          <w:lang w:val="en-US"/>
        </w:rPr>
        <w:t>VI</w:t>
      </w:r>
      <w:r w:rsidRPr="00F51B95">
        <w:rPr>
          <w:b/>
          <w:lang w:val="bg-BG"/>
        </w:rPr>
        <w:t>.</w:t>
      </w:r>
      <w:r>
        <w:rPr>
          <w:b/>
          <w:lang w:val="bg-BG"/>
        </w:rPr>
        <w:t xml:space="preserve"> </w:t>
      </w:r>
      <w:r w:rsidRPr="00F51B95">
        <w:rPr>
          <w:b/>
          <w:lang w:val="bg-BG"/>
        </w:rPr>
        <w:t>ПОЛИТИКА НА УПРАВЛЕНИЕ</w:t>
      </w:r>
    </w:p>
    <w:p w:rsidR="008215D7" w:rsidRDefault="008215D7" w:rsidP="00F51B95">
      <w:pPr>
        <w:autoSpaceDE w:val="0"/>
        <w:adjustRightInd w:val="0"/>
        <w:jc w:val="both"/>
        <w:rPr>
          <w:b/>
          <w:lang w:val="bg-BG"/>
        </w:rPr>
      </w:pPr>
    </w:p>
    <w:p w:rsidR="008215D7" w:rsidRDefault="008215D7" w:rsidP="00F51B95">
      <w:pPr>
        <w:autoSpaceDE w:val="0"/>
        <w:adjustRightInd w:val="0"/>
        <w:jc w:val="both"/>
        <w:rPr>
          <w:lang w:val="bg-BG"/>
        </w:rPr>
      </w:pPr>
      <w:r w:rsidRPr="002514C4">
        <w:rPr>
          <w:lang w:val="bg-BG"/>
        </w:rPr>
        <w:t>Политиката на управление на дружеството е насочена към</w:t>
      </w:r>
      <w:r>
        <w:rPr>
          <w:lang w:val="bg-BG"/>
        </w:rPr>
        <w:t>:</w:t>
      </w:r>
    </w:p>
    <w:p w:rsidR="008215D7" w:rsidRDefault="008215D7" w:rsidP="009E3009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>1.Обезпечаване нормална и безаварийна работа на съоръженията и изпълнение на обществените задължения на дружеството,  съгласно лицензията.</w:t>
      </w:r>
    </w:p>
    <w:p w:rsidR="008215D7" w:rsidRDefault="008215D7" w:rsidP="009E3009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>2.Намаляване на разходите чрез снижение на загубите и оптимизация на технологичния процес с цел подобряване на финансовия резултат.</w:t>
      </w:r>
    </w:p>
    <w:p w:rsidR="008215D7" w:rsidRDefault="008215D7" w:rsidP="009E3009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 xml:space="preserve">3.Инвестиране в технологични схеми и инсталации, насочени към икономия на ресурси и материали чрез използване на комбинирано производство на електрическа и топлинна енергия,  инсталация за изгаряне на биомаса с цел  повишаване на ефективността. </w:t>
      </w: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 xml:space="preserve">4.Подобряване събираемостта от клиентите, чрез система от мерки и преференции при спазване на действащото законодателство.  </w:t>
      </w: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  <w:r>
        <w:rPr>
          <w:lang w:val="bg-BG"/>
        </w:rPr>
        <w:t>5.Навременно изпълнение на задълженията си към доставчици, кредитори, персонала, осигурителни и данъчни институции. Снижение на просрочените задължения.</w:t>
      </w: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</w:p>
    <w:p w:rsidR="008215D7" w:rsidRDefault="008215D7" w:rsidP="00797CCC">
      <w:pPr>
        <w:autoSpaceDE w:val="0"/>
        <w:adjustRightInd w:val="0"/>
        <w:jc w:val="both"/>
        <w:rPr>
          <w:b/>
          <w:lang w:val="bg-BG"/>
        </w:rPr>
      </w:pPr>
      <w:r w:rsidRPr="00797CCC">
        <w:rPr>
          <w:b/>
          <w:lang w:val="en-US"/>
        </w:rPr>
        <w:t>VII.</w:t>
      </w:r>
      <w:r w:rsidRPr="00797CCC">
        <w:rPr>
          <w:b/>
          <w:lang w:val="bg-BG"/>
        </w:rPr>
        <w:t xml:space="preserve">ВАЖНИ СЪБИТИЯ, КОИТО СА НАСТЪПИЛИ СЛЕД ДАТАТА, КЪМ КОЯТО Е СЪСТАВЕН МЕЖДИННИЯ ФИНАНСОВ ОТЧЕТ </w:t>
      </w:r>
    </w:p>
    <w:p w:rsidR="008215D7" w:rsidRDefault="008215D7" w:rsidP="00797CCC">
      <w:pPr>
        <w:autoSpaceDE w:val="0"/>
        <w:adjustRightInd w:val="0"/>
        <w:jc w:val="both"/>
        <w:rPr>
          <w:b/>
          <w:lang w:val="bg-BG"/>
        </w:rPr>
      </w:pP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  <w:r w:rsidRPr="00797CCC">
        <w:rPr>
          <w:lang w:val="bg-BG"/>
        </w:rPr>
        <w:t xml:space="preserve">След </w:t>
      </w:r>
      <w:r>
        <w:rPr>
          <w:lang w:val="bg-BG"/>
        </w:rPr>
        <w:t>съставянето на междинния финансов отчет на „ТОПЛОФИКАЦИЯ ГАБРОВО“</w:t>
      </w:r>
      <w:r w:rsidRPr="00797CCC">
        <w:rPr>
          <w:lang w:val="en-US"/>
        </w:rPr>
        <w:t xml:space="preserve"> </w:t>
      </w:r>
      <w:r>
        <w:rPr>
          <w:lang w:val="bg-BG"/>
        </w:rPr>
        <w:t>ЕАД към 30.06.2016г. не са настъпили важни събития.</w:t>
      </w: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</w:p>
    <w:p w:rsidR="008215D7" w:rsidRDefault="008215D7" w:rsidP="00797CCC">
      <w:pPr>
        <w:autoSpaceDE w:val="0"/>
        <w:adjustRightInd w:val="0"/>
        <w:jc w:val="both"/>
        <w:rPr>
          <w:lang w:val="bg-BG"/>
        </w:rPr>
      </w:pPr>
    </w:p>
    <w:p w:rsidR="008215D7" w:rsidRPr="00991E65" w:rsidRDefault="008215D7" w:rsidP="00797CCC">
      <w:pPr>
        <w:autoSpaceDE w:val="0"/>
        <w:adjustRightInd w:val="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Калин Ангелов</w:t>
      </w:r>
    </w:p>
    <w:p w:rsidR="008215D7" w:rsidRPr="00991E65" w:rsidRDefault="008215D7" w:rsidP="00797CCC">
      <w:pPr>
        <w:autoSpaceDE w:val="0"/>
        <w:adjustRightInd w:val="0"/>
        <w:jc w:val="both"/>
        <w:rPr>
          <w:b/>
          <w:bCs/>
          <w:lang w:val="bg-BG"/>
        </w:rPr>
      </w:pPr>
      <w:r w:rsidRPr="00991E65">
        <w:rPr>
          <w:b/>
          <w:bCs/>
          <w:lang w:val="bg-BG"/>
        </w:rPr>
        <w:t>Изпълнителен директор</w:t>
      </w: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>
      <w:pPr>
        <w:pStyle w:val="Standard"/>
        <w:jc w:val="both"/>
        <w:rPr>
          <w:lang w:val="bg-BG"/>
        </w:rPr>
      </w:pPr>
    </w:p>
    <w:p w:rsidR="008215D7" w:rsidRDefault="008215D7" w:rsidP="00BA30B9">
      <w:pPr>
        <w:pStyle w:val="Standard"/>
        <w:jc w:val="both"/>
        <w:rPr>
          <w:b/>
          <w:bCs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b/>
          <w:bCs/>
          <w:lang w:val="bg-BG"/>
        </w:rPr>
        <w:tab/>
      </w: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lang w:val="bg-BG"/>
        </w:rPr>
      </w:pPr>
    </w:p>
    <w:p w:rsidR="008215D7" w:rsidRDefault="008215D7">
      <w:pPr>
        <w:pStyle w:val="Standard"/>
        <w:jc w:val="both"/>
        <w:rPr>
          <w:b/>
          <w:bCs/>
          <w:u w:val="single"/>
          <w:lang w:val="bg-BG"/>
        </w:rPr>
      </w:pPr>
    </w:p>
    <w:p w:rsidR="008215D7" w:rsidRDefault="008215D7">
      <w:pPr>
        <w:pStyle w:val="Standard"/>
        <w:rPr>
          <w:b/>
          <w:bCs/>
          <w:lang w:val="bg-BG"/>
        </w:rPr>
      </w:pPr>
    </w:p>
    <w:sectPr w:rsidR="008215D7" w:rsidSect="000015CE">
      <w:pgSz w:w="11905" w:h="16837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D7" w:rsidRDefault="008215D7">
      <w:r>
        <w:separator/>
      </w:r>
    </w:p>
  </w:endnote>
  <w:endnote w:type="continuationSeparator" w:id="0">
    <w:p w:rsidR="008215D7" w:rsidRDefault="00821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D7" w:rsidRDefault="008215D7">
      <w:r>
        <w:rPr>
          <w:color w:val="000000"/>
        </w:rPr>
        <w:separator/>
      </w:r>
    </w:p>
  </w:footnote>
  <w:footnote w:type="continuationSeparator" w:id="0">
    <w:p w:rsidR="008215D7" w:rsidRDefault="00821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4B6D"/>
    <w:multiLevelType w:val="multilevel"/>
    <w:tmpl w:val="A6FC7B78"/>
    <w:lvl w:ilvl="0">
      <w:start w:val="5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0BDB0657"/>
    <w:multiLevelType w:val="hybridMultilevel"/>
    <w:tmpl w:val="CC6E541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A31699"/>
    <w:multiLevelType w:val="multilevel"/>
    <w:tmpl w:val="23C22A8A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  <w:color w:val="000080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  <w:color w:val="000080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  <w:color w:val="000080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  <w:color w:val="000080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  <w:color w:val="000080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  <w:color w:val="000080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  <w:color w:val="000080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  <w:color w:val="000080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  <w:color w:val="000080"/>
      </w:rPr>
    </w:lvl>
  </w:abstractNum>
  <w:abstractNum w:abstractNumId="3">
    <w:nsid w:val="3E615C2C"/>
    <w:multiLevelType w:val="hybridMultilevel"/>
    <w:tmpl w:val="162611D0"/>
    <w:lvl w:ilvl="0" w:tplc="B204EA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CE1518"/>
    <w:multiLevelType w:val="multilevel"/>
    <w:tmpl w:val="D2C42CEC"/>
    <w:lvl w:ilvl="0">
      <w:start w:val="7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>
    <w:nsid w:val="74E0766D"/>
    <w:multiLevelType w:val="hybridMultilevel"/>
    <w:tmpl w:val="E2E2AF66"/>
    <w:lvl w:ilvl="0" w:tplc="0AD8589C"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7A1B2C51"/>
    <w:multiLevelType w:val="multilevel"/>
    <w:tmpl w:val="B3D22A6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667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1E4"/>
    <w:rsid w:val="000015CE"/>
    <w:rsid w:val="00002EC4"/>
    <w:rsid w:val="00005C2F"/>
    <w:rsid w:val="000214E7"/>
    <w:rsid w:val="00021D4F"/>
    <w:rsid w:val="000437A5"/>
    <w:rsid w:val="00057319"/>
    <w:rsid w:val="00061F6D"/>
    <w:rsid w:val="000757E4"/>
    <w:rsid w:val="000A0317"/>
    <w:rsid w:val="000A3956"/>
    <w:rsid w:val="000D78C1"/>
    <w:rsid w:val="000F09FD"/>
    <w:rsid w:val="00116B87"/>
    <w:rsid w:val="00125747"/>
    <w:rsid w:val="0013177B"/>
    <w:rsid w:val="001407EA"/>
    <w:rsid w:val="00142CB4"/>
    <w:rsid w:val="00145447"/>
    <w:rsid w:val="0015037E"/>
    <w:rsid w:val="0015274C"/>
    <w:rsid w:val="001529B2"/>
    <w:rsid w:val="00165B0C"/>
    <w:rsid w:val="00166FEC"/>
    <w:rsid w:val="00176115"/>
    <w:rsid w:val="001846B5"/>
    <w:rsid w:val="00191289"/>
    <w:rsid w:val="00191B88"/>
    <w:rsid w:val="00196A9B"/>
    <w:rsid w:val="001A57CD"/>
    <w:rsid w:val="001B5242"/>
    <w:rsid w:val="001B53B2"/>
    <w:rsid w:val="001B57FF"/>
    <w:rsid w:val="001B7F76"/>
    <w:rsid w:val="001C1BDD"/>
    <w:rsid w:val="001C29EA"/>
    <w:rsid w:val="001D0DAA"/>
    <w:rsid w:val="001E2E86"/>
    <w:rsid w:val="001E2FA8"/>
    <w:rsid w:val="001F210A"/>
    <w:rsid w:val="002019B2"/>
    <w:rsid w:val="00203D72"/>
    <w:rsid w:val="0020504D"/>
    <w:rsid w:val="002067AB"/>
    <w:rsid w:val="002263F7"/>
    <w:rsid w:val="002514C4"/>
    <w:rsid w:val="00265665"/>
    <w:rsid w:val="002775AE"/>
    <w:rsid w:val="002B2BF2"/>
    <w:rsid w:val="002C2007"/>
    <w:rsid w:val="002C4F24"/>
    <w:rsid w:val="002D1092"/>
    <w:rsid w:val="002D54FE"/>
    <w:rsid w:val="002E266F"/>
    <w:rsid w:val="002E5667"/>
    <w:rsid w:val="002F012F"/>
    <w:rsid w:val="00303824"/>
    <w:rsid w:val="003131CF"/>
    <w:rsid w:val="00322EEF"/>
    <w:rsid w:val="00323A46"/>
    <w:rsid w:val="00326420"/>
    <w:rsid w:val="00335FFF"/>
    <w:rsid w:val="00352458"/>
    <w:rsid w:val="00352900"/>
    <w:rsid w:val="003845FE"/>
    <w:rsid w:val="00393A62"/>
    <w:rsid w:val="003A42C6"/>
    <w:rsid w:val="003B428D"/>
    <w:rsid w:val="003C46EC"/>
    <w:rsid w:val="003D11B7"/>
    <w:rsid w:val="003D1E48"/>
    <w:rsid w:val="003D6BB3"/>
    <w:rsid w:val="003E143A"/>
    <w:rsid w:val="003E2D3D"/>
    <w:rsid w:val="003F1BD5"/>
    <w:rsid w:val="00406C69"/>
    <w:rsid w:val="0041192B"/>
    <w:rsid w:val="00416CBA"/>
    <w:rsid w:val="00417CFE"/>
    <w:rsid w:val="00423B9B"/>
    <w:rsid w:val="00424139"/>
    <w:rsid w:val="0043311C"/>
    <w:rsid w:val="00436148"/>
    <w:rsid w:val="004471F0"/>
    <w:rsid w:val="00452F4A"/>
    <w:rsid w:val="0046187D"/>
    <w:rsid w:val="00463889"/>
    <w:rsid w:val="00481693"/>
    <w:rsid w:val="0048401E"/>
    <w:rsid w:val="00484736"/>
    <w:rsid w:val="00487702"/>
    <w:rsid w:val="004969D2"/>
    <w:rsid w:val="004A1772"/>
    <w:rsid w:val="004A25D3"/>
    <w:rsid w:val="004A31E4"/>
    <w:rsid w:val="004A41F1"/>
    <w:rsid w:val="004B197E"/>
    <w:rsid w:val="004B4251"/>
    <w:rsid w:val="004B6EC2"/>
    <w:rsid w:val="004B735A"/>
    <w:rsid w:val="004C565E"/>
    <w:rsid w:val="004C5BB5"/>
    <w:rsid w:val="004D432F"/>
    <w:rsid w:val="004D532B"/>
    <w:rsid w:val="004F57C2"/>
    <w:rsid w:val="00501AA4"/>
    <w:rsid w:val="0050224E"/>
    <w:rsid w:val="005254B4"/>
    <w:rsid w:val="005404DE"/>
    <w:rsid w:val="00544245"/>
    <w:rsid w:val="00544692"/>
    <w:rsid w:val="00567FF4"/>
    <w:rsid w:val="00576EBC"/>
    <w:rsid w:val="00577495"/>
    <w:rsid w:val="00582927"/>
    <w:rsid w:val="00591AEA"/>
    <w:rsid w:val="005972FB"/>
    <w:rsid w:val="005B4472"/>
    <w:rsid w:val="005C2F3C"/>
    <w:rsid w:val="005C6B88"/>
    <w:rsid w:val="005D07E2"/>
    <w:rsid w:val="005E2E88"/>
    <w:rsid w:val="005E35F0"/>
    <w:rsid w:val="005F30A5"/>
    <w:rsid w:val="005F3EC5"/>
    <w:rsid w:val="005F43FD"/>
    <w:rsid w:val="00605CCE"/>
    <w:rsid w:val="00621A26"/>
    <w:rsid w:val="00624468"/>
    <w:rsid w:val="0063349C"/>
    <w:rsid w:val="006437CA"/>
    <w:rsid w:val="00644A70"/>
    <w:rsid w:val="00646300"/>
    <w:rsid w:val="006517D5"/>
    <w:rsid w:val="00654CA8"/>
    <w:rsid w:val="00663169"/>
    <w:rsid w:val="00677527"/>
    <w:rsid w:val="006818C4"/>
    <w:rsid w:val="0068342B"/>
    <w:rsid w:val="006B1BEF"/>
    <w:rsid w:val="006B26E9"/>
    <w:rsid w:val="006B6AED"/>
    <w:rsid w:val="006C163E"/>
    <w:rsid w:val="006C36FE"/>
    <w:rsid w:val="006D7FDE"/>
    <w:rsid w:val="006F3E16"/>
    <w:rsid w:val="00706341"/>
    <w:rsid w:val="00706CBE"/>
    <w:rsid w:val="0071434B"/>
    <w:rsid w:val="00714CDB"/>
    <w:rsid w:val="00721EA0"/>
    <w:rsid w:val="00723A12"/>
    <w:rsid w:val="007330DB"/>
    <w:rsid w:val="00752D94"/>
    <w:rsid w:val="00773CA9"/>
    <w:rsid w:val="007842D1"/>
    <w:rsid w:val="00795CD0"/>
    <w:rsid w:val="00797CCC"/>
    <w:rsid w:val="007A0B5A"/>
    <w:rsid w:val="007C3781"/>
    <w:rsid w:val="007C496A"/>
    <w:rsid w:val="007E4BA4"/>
    <w:rsid w:val="007E5B03"/>
    <w:rsid w:val="007F075A"/>
    <w:rsid w:val="00810E66"/>
    <w:rsid w:val="0082011A"/>
    <w:rsid w:val="008215D7"/>
    <w:rsid w:val="008226F2"/>
    <w:rsid w:val="00824DEB"/>
    <w:rsid w:val="0083124A"/>
    <w:rsid w:val="008428B6"/>
    <w:rsid w:val="00855FB7"/>
    <w:rsid w:val="00867630"/>
    <w:rsid w:val="00882F3C"/>
    <w:rsid w:val="00891971"/>
    <w:rsid w:val="008A167F"/>
    <w:rsid w:val="008A1683"/>
    <w:rsid w:val="008A2E55"/>
    <w:rsid w:val="008A738E"/>
    <w:rsid w:val="008A7A03"/>
    <w:rsid w:val="008B389E"/>
    <w:rsid w:val="008C5093"/>
    <w:rsid w:val="008E36AD"/>
    <w:rsid w:val="008E5868"/>
    <w:rsid w:val="008E60B9"/>
    <w:rsid w:val="00901E41"/>
    <w:rsid w:val="00911C3E"/>
    <w:rsid w:val="009239A7"/>
    <w:rsid w:val="00926868"/>
    <w:rsid w:val="00927430"/>
    <w:rsid w:val="00953DF7"/>
    <w:rsid w:val="00965C4C"/>
    <w:rsid w:val="00965FA0"/>
    <w:rsid w:val="00977B17"/>
    <w:rsid w:val="00981AA7"/>
    <w:rsid w:val="0099177B"/>
    <w:rsid w:val="00991CFA"/>
    <w:rsid w:val="00991E65"/>
    <w:rsid w:val="009B1C5B"/>
    <w:rsid w:val="009B2DC1"/>
    <w:rsid w:val="009B461A"/>
    <w:rsid w:val="009C4940"/>
    <w:rsid w:val="009D1BD2"/>
    <w:rsid w:val="009E036B"/>
    <w:rsid w:val="009E3009"/>
    <w:rsid w:val="009F72B9"/>
    <w:rsid w:val="00A200F6"/>
    <w:rsid w:val="00A267A0"/>
    <w:rsid w:val="00A32EB8"/>
    <w:rsid w:val="00A33291"/>
    <w:rsid w:val="00A4061B"/>
    <w:rsid w:val="00A45DE9"/>
    <w:rsid w:val="00A50F02"/>
    <w:rsid w:val="00A54E19"/>
    <w:rsid w:val="00A566A1"/>
    <w:rsid w:val="00A74AE3"/>
    <w:rsid w:val="00A81A84"/>
    <w:rsid w:val="00A837E2"/>
    <w:rsid w:val="00AA5D0D"/>
    <w:rsid w:val="00AC34B8"/>
    <w:rsid w:val="00AD1D3C"/>
    <w:rsid w:val="00AD2E3A"/>
    <w:rsid w:val="00AE66D5"/>
    <w:rsid w:val="00AF472D"/>
    <w:rsid w:val="00AF50F8"/>
    <w:rsid w:val="00B0141F"/>
    <w:rsid w:val="00B16532"/>
    <w:rsid w:val="00B274D4"/>
    <w:rsid w:val="00B31A5B"/>
    <w:rsid w:val="00B75B76"/>
    <w:rsid w:val="00B8765D"/>
    <w:rsid w:val="00B9547A"/>
    <w:rsid w:val="00B97A9D"/>
    <w:rsid w:val="00BA1241"/>
    <w:rsid w:val="00BA1FB1"/>
    <w:rsid w:val="00BA30B9"/>
    <w:rsid w:val="00BB7BE5"/>
    <w:rsid w:val="00BC0627"/>
    <w:rsid w:val="00BC2618"/>
    <w:rsid w:val="00BC70DD"/>
    <w:rsid w:val="00BC7A0F"/>
    <w:rsid w:val="00BD12D7"/>
    <w:rsid w:val="00BD5E29"/>
    <w:rsid w:val="00C007C6"/>
    <w:rsid w:val="00C04DC6"/>
    <w:rsid w:val="00C143FC"/>
    <w:rsid w:val="00C176C2"/>
    <w:rsid w:val="00C35DF1"/>
    <w:rsid w:val="00C43997"/>
    <w:rsid w:val="00C440A7"/>
    <w:rsid w:val="00C45C93"/>
    <w:rsid w:val="00C64501"/>
    <w:rsid w:val="00C71F6F"/>
    <w:rsid w:val="00C7298E"/>
    <w:rsid w:val="00C7457F"/>
    <w:rsid w:val="00C85A1E"/>
    <w:rsid w:val="00C94B90"/>
    <w:rsid w:val="00CA1612"/>
    <w:rsid w:val="00CA45B7"/>
    <w:rsid w:val="00CB2E0B"/>
    <w:rsid w:val="00CB32D0"/>
    <w:rsid w:val="00CD1E64"/>
    <w:rsid w:val="00CD48CC"/>
    <w:rsid w:val="00CD73A1"/>
    <w:rsid w:val="00D024C9"/>
    <w:rsid w:val="00D13ECD"/>
    <w:rsid w:val="00D2361E"/>
    <w:rsid w:val="00D23B72"/>
    <w:rsid w:val="00D25D09"/>
    <w:rsid w:val="00D2658B"/>
    <w:rsid w:val="00D438FC"/>
    <w:rsid w:val="00D54935"/>
    <w:rsid w:val="00D75A36"/>
    <w:rsid w:val="00D80A2B"/>
    <w:rsid w:val="00DB06A8"/>
    <w:rsid w:val="00DB206A"/>
    <w:rsid w:val="00DB4662"/>
    <w:rsid w:val="00DB71C6"/>
    <w:rsid w:val="00DC57C0"/>
    <w:rsid w:val="00DD314D"/>
    <w:rsid w:val="00DD41C4"/>
    <w:rsid w:val="00DD4D98"/>
    <w:rsid w:val="00DD6976"/>
    <w:rsid w:val="00DE6067"/>
    <w:rsid w:val="00DE6BF2"/>
    <w:rsid w:val="00DF2D99"/>
    <w:rsid w:val="00DF476B"/>
    <w:rsid w:val="00DF48BB"/>
    <w:rsid w:val="00E019EE"/>
    <w:rsid w:val="00E04E14"/>
    <w:rsid w:val="00E06062"/>
    <w:rsid w:val="00E50D32"/>
    <w:rsid w:val="00E622CC"/>
    <w:rsid w:val="00E70F1F"/>
    <w:rsid w:val="00E77101"/>
    <w:rsid w:val="00E92B45"/>
    <w:rsid w:val="00EB2711"/>
    <w:rsid w:val="00EC0C7B"/>
    <w:rsid w:val="00EC0DD3"/>
    <w:rsid w:val="00EC64B1"/>
    <w:rsid w:val="00EC70C4"/>
    <w:rsid w:val="00EF0723"/>
    <w:rsid w:val="00EF2509"/>
    <w:rsid w:val="00F02BC5"/>
    <w:rsid w:val="00F04934"/>
    <w:rsid w:val="00F26513"/>
    <w:rsid w:val="00F51B95"/>
    <w:rsid w:val="00F51D41"/>
    <w:rsid w:val="00F6027A"/>
    <w:rsid w:val="00F62B13"/>
    <w:rsid w:val="00F65BB7"/>
    <w:rsid w:val="00F705E8"/>
    <w:rsid w:val="00F8468D"/>
    <w:rsid w:val="00F847E8"/>
    <w:rsid w:val="00F8575D"/>
    <w:rsid w:val="00F96510"/>
    <w:rsid w:val="00F9676B"/>
    <w:rsid w:val="00F96C77"/>
    <w:rsid w:val="00FA41D6"/>
    <w:rsid w:val="00FA5E5F"/>
    <w:rsid w:val="00FA7C2E"/>
    <w:rsid w:val="00FB38C8"/>
    <w:rsid w:val="00FB4644"/>
    <w:rsid w:val="00FC05B4"/>
    <w:rsid w:val="00FC0DF0"/>
    <w:rsid w:val="00FC6824"/>
    <w:rsid w:val="00FD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sz w:val="22"/>
        <w:szCs w:val="22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52F4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54FE"/>
    <w:pPr>
      <w:pageBreakBefore/>
      <w:numPr>
        <w:numId w:val="6"/>
      </w:numPr>
      <w:suppressAutoHyphens w:val="0"/>
      <w:autoSpaceDN/>
      <w:spacing w:before="120" w:after="120" w:line="300" w:lineRule="atLeast"/>
      <w:jc w:val="both"/>
      <w:textAlignment w:val="auto"/>
      <w:outlineLvl w:val="0"/>
    </w:pPr>
    <w:rPr>
      <w:rFonts w:ascii="Arial" w:eastAsia="Times New Roman" w:hAnsi="Arial" w:cs="Times New Roman"/>
      <w:b/>
      <w:bCs/>
      <w:caps/>
      <w:color w:val="0F243E"/>
      <w:kern w:val="32"/>
      <w:sz w:val="22"/>
      <w:szCs w:val="32"/>
      <w:lang w:val="bg-BG" w:eastAsia="en-US" w:bidi="ar-SA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2D54FE"/>
    <w:pPr>
      <w:widowControl/>
      <w:numPr>
        <w:ilvl w:val="1"/>
        <w:numId w:val="6"/>
      </w:numPr>
      <w:suppressAutoHyphens w:val="0"/>
      <w:autoSpaceDN/>
      <w:spacing w:before="120" w:after="120" w:line="300" w:lineRule="atLeast"/>
      <w:jc w:val="both"/>
      <w:textAlignment w:val="auto"/>
      <w:outlineLvl w:val="1"/>
    </w:pPr>
    <w:rPr>
      <w:rFonts w:ascii="Arial" w:eastAsia="Times New Roman" w:hAnsi="Arial" w:cs="Times New Roman"/>
      <w:b/>
      <w:bCs/>
      <w:iCs/>
      <w:color w:val="0F243E"/>
      <w:kern w:val="0"/>
      <w:sz w:val="22"/>
      <w:szCs w:val="28"/>
      <w:lang w:val="bg-BG"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54FE"/>
    <w:pPr>
      <w:numPr>
        <w:ilvl w:val="2"/>
        <w:numId w:val="6"/>
      </w:numPr>
      <w:suppressAutoHyphens w:val="0"/>
      <w:autoSpaceDN/>
      <w:spacing w:before="120" w:after="120" w:line="300" w:lineRule="atLeast"/>
      <w:jc w:val="both"/>
      <w:textAlignment w:val="auto"/>
      <w:outlineLvl w:val="2"/>
    </w:pPr>
    <w:rPr>
      <w:rFonts w:ascii="Arial" w:eastAsia="Times New Roman" w:hAnsi="Arial" w:cs="Times New Roman"/>
      <w:bCs/>
      <w:i/>
      <w:color w:val="0F243E"/>
      <w:kern w:val="0"/>
      <w:sz w:val="22"/>
      <w:szCs w:val="26"/>
      <w:lang w:val="bg-BG" w:eastAsia="en-US"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54FE"/>
    <w:pPr>
      <w:keepNext/>
      <w:widowControl/>
      <w:numPr>
        <w:ilvl w:val="3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bg-BG" w:eastAsia="en-US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54FE"/>
    <w:pPr>
      <w:widowControl/>
      <w:numPr>
        <w:ilvl w:val="4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bg-BG" w:eastAsia="en-US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54FE"/>
    <w:pPr>
      <w:widowControl/>
      <w:numPr>
        <w:ilvl w:val="5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5"/>
    </w:pPr>
    <w:rPr>
      <w:rFonts w:ascii="Calibri" w:eastAsia="Times New Roman" w:hAnsi="Calibri" w:cs="Times New Roman"/>
      <w:b/>
      <w:bCs/>
      <w:kern w:val="0"/>
      <w:sz w:val="22"/>
      <w:szCs w:val="22"/>
      <w:lang w:val="bg-BG" w:eastAsia="en-US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54FE"/>
    <w:pPr>
      <w:widowControl/>
      <w:numPr>
        <w:ilvl w:val="6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6"/>
    </w:pPr>
    <w:rPr>
      <w:rFonts w:ascii="Calibri" w:eastAsia="Times New Roman" w:hAnsi="Calibri" w:cs="Times New Roman"/>
      <w:kern w:val="0"/>
      <w:lang w:val="bg-BG" w:eastAsia="en-US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54FE"/>
    <w:pPr>
      <w:widowControl/>
      <w:numPr>
        <w:ilvl w:val="7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7"/>
    </w:pPr>
    <w:rPr>
      <w:rFonts w:ascii="Calibri" w:eastAsia="Times New Roman" w:hAnsi="Calibri" w:cs="Times New Roman"/>
      <w:i/>
      <w:iCs/>
      <w:kern w:val="0"/>
      <w:lang w:val="bg-BG" w:eastAsia="en-US" w:bidi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54FE"/>
    <w:pPr>
      <w:widowControl/>
      <w:numPr>
        <w:ilvl w:val="8"/>
        <w:numId w:val="6"/>
      </w:numPr>
      <w:suppressAutoHyphens w:val="0"/>
      <w:autoSpaceDN/>
      <w:spacing w:before="240" w:after="60" w:line="300" w:lineRule="atLeast"/>
      <w:jc w:val="both"/>
      <w:textAlignment w:val="auto"/>
      <w:outlineLvl w:val="8"/>
    </w:pPr>
    <w:rPr>
      <w:rFonts w:ascii="Cambria" w:eastAsia="Times New Roman" w:hAnsi="Cambria" w:cs="Times New Roman"/>
      <w:kern w:val="0"/>
      <w:sz w:val="22"/>
      <w:szCs w:val="22"/>
      <w:lang w:val="bg-BG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54FE"/>
    <w:rPr>
      <w:rFonts w:ascii="Arial" w:hAnsi="Arial" w:cs="Times New Roman"/>
      <w:b/>
      <w:bCs/>
      <w:caps/>
      <w:color w:val="0F243E"/>
      <w:kern w:val="32"/>
      <w:sz w:val="32"/>
      <w:szCs w:val="32"/>
      <w:lang w:val="bg-BG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54FE"/>
    <w:rPr>
      <w:rFonts w:ascii="Arial" w:hAnsi="Arial" w:cs="Times New Roman"/>
      <w:b/>
      <w:bCs/>
      <w:iCs/>
      <w:color w:val="0F243E"/>
      <w:kern w:val="0"/>
      <w:sz w:val="28"/>
      <w:szCs w:val="28"/>
      <w:lang w:val="bg-BG"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D54FE"/>
    <w:rPr>
      <w:rFonts w:ascii="Arial" w:hAnsi="Arial" w:cs="Times New Roman"/>
      <w:bCs/>
      <w:i/>
      <w:color w:val="0F243E"/>
      <w:kern w:val="0"/>
      <w:sz w:val="26"/>
      <w:szCs w:val="26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D54FE"/>
    <w:rPr>
      <w:rFonts w:ascii="Calibri" w:hAnsi="Calibri" w:cs="Times New Roman"/>
      <w:b/>
      <w:bCs/>
      <w:kern w:val="0"/>
      <w:sz w:val="28"/>
      <w:szCs w:val="28"/>
      <w:lang w:val="bg-BG"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D54FE"/>
    <w:rPr>
      <w:rFonts w:ascii="Calibri" w:hAnsi="Calibri" w:cs="Times New Roman"/>
      <w:b/>
      <w:bCs/>
      <w:i/>
      <w:iCs/>
      <w:kern w:val="0"/>
      <w:sz w:val="26"/>
      <w:szCs w:val="26"/>
      <w:lang w:val="bg-BG"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D54FE"/>
    <w:rPr>
      <w:rFonts w:ascii="Calibri" w:hAnsi="Calibri" w:cs="Times New Roman"/>
      <w:b/>
      <w:bCs/>
      <w:kern w:val="0"/>
      <w:sz w:val="22"/>
      <w:szCs w:val="22"/>
      <w:lang w:val="bg-BG"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D54FE"/>
    <w:rPr>
      <w:rFonts w:ascii="Calibri" w:hAnsi="Calibri" w:cs="Times New Roman"/>
      <w:kern w:val="0"/>
      <w:lang w:val="bg-BG"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D54FE"/>
    <w:rPr>
      <w:rFonts w:ascii="Calibri" w:hAnsi="Calibri" w:cs="Times New Roman"/>
      <w:i/>
      <w:iCs/>
      <w:kern w:val="0"/>
      <w:lang w:val="bg-BG"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D54FE"/>
    <w:rPr>
      <w:rFonts w:ascii="Cambria" w:hAnsi="Cambria" w:cs="Times New Roman"/>
      <w:kern w:val="0"/>
      <w:sz w:val="22"/>
      <w:szCs w:val="22"/>
      <w:lang w:val="bg-BG" w:eastAsia="en-US" w:bidi="ar-SA"/>
    </w:rPr>
  </w:style>
  <w:style w:type="paragraph" w:customStyle="1" w:styleId="Standard">
    <w:name w:val="Standard"/>
    <w:uiPriority w:val="99"/>
    <w:rsid w:val="00452F4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Title">
    <w:name w:val="Title"/>
    <w:basedOn w:val="Standard"/>
    <w:next w:val="Textbody"/>
    <w:link w:val="TitleChar"/>
    <w:uiPriority w:val="99"/>
    <w:qFormat/>
    <w:rsid w:val="00452F4A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F96C77"/>
    <w:rPr>
      <w:rFonts w:ascii="Cambria" w:hAnsi="Cambria" w:cs="Times New Roman"/>
      <w:b/>
      <w:bCs/>
      <w:kern w:val="28"/>
      <w:sz w:val="32"/>
      <w:szCs w:val="32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452F4A"/>
    <w:pPr>
      <w:spacing w:after="120"/>
    </w:pPr>
  </w:style>
  <w:style w:type="paragraph" w:styleId="Subtitle">
    <w:name w:val="Subtitle"/>
    <w:basedOn w:val="Title"/>
    <w:next w:val="Textbody"/>
    <w:link w:val="SubtitleChar"/>
    <w:uiPriority w:val="99"/>
    <w:qFormat/>
    <w:rsid w:val="00452F4A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96C77"/>
    <w:rPr>
      <w:rFonts w:ascii="Cambria" w:hAnsi="Cambria" w:cs="Times New Roman"/>
      <w:kern w:val="3"/>
      <w:sz w:val="24"/>
      <w:szCs w:val="24"/>
      <w:lang w:val="de-DE" w:eastAsia="ja-JP" w:bidi="fa-IR"/>
    </w:rPr>
  </w:style>
  <w:style w:type="paragraph" w:styleId="List">
    <w:name w:val="List"/>
    <w:basedOn w:val="Textbody"/>
    <w:uiPriority w:val="99"/>
    <w:rsid w:val="00452F4A"/>
  </w:style>
  <w:style w:type="paragraph" w:styleId="Caption">
    <w:name w:val="caption"/>
    <w:basedOn w:val="Standard"/>
    <w:uiPriority w:val="99"/>
    <w:qFormat/>
    <w:rsid w:val="00452F4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452F4A"/>
    <w:pPr>
      <w:suppressLineNumbers/>
    </w:pPr>
  </w:style>
  <w:style w:type="paragraph" w:customStyle="1" w:styleId="TableContents">
    <w:name w:val="Table Contents"/>
    <w:basedOn w:val="Standard"/>
    <w:uiPriority w:val="99"/>
    <w:rsid w:val="00452F4A"/>
    <w:pPr>
      <w:suppressLineNumbers/>
    </w:pPr>
  </w:style>
  <w:style w:type="paragraph" w:customStyle="1" w:styleId="TableHeading">
    <w:name w:val="Table Heading"/>
    <w:basedOn w:val="TableContents"/>
    <w:uiPriority w:val="99"/>
    <w:rsid w:val="00452F4A"/>
    <w:pPr>
      <w:jc w:val="center"/>
    </w:pPr>
    <w:rPr>
      <w:b/>
      <w:bCs/>
    </w:rPr>
  </w:style>
  <w:style w:type="character" w:customStyle="1" w:styleId="NumberingSymbols">
    <w:name w:val="Numbering Symbols"/>
    <w:uiPriority w:val="99"/>
    <w:rsid w:val="00452F4A"/>
  </w:style>
  <w:style w:type="character" w:customStyle="1" w:styleId="BulletSymbols">
    <w:name w:val="Bullet Symbols"/>
    <w:uiPriority w:val="99"/>
    <w:rsid w:val="00452F4A"/>
    <w:rPr>
      <w:rFonts w:ascii="OpenSymbol" w:hAnsi="OpenSymbol"/>
      <w:color w:val="000080"/>
    </w:rPr>
  </w:style>
  <w:style w:type="table" w:styleId="TableGrid">
    <w:name w:val="Table Grid"/>
    <w:basedOn w:val="TableNormal"/>
    <w:uiPriority w:val="99"/>
    <w:rsid w:val="007E5B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1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5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015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5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5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5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7</Pages>
  <Words>2097</Words>
  <Characters>11959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МЕЖДИНЕН  ДОКЛАД </dc:title>
  <dc:subject/>
  <dc:creator>VESELA</dc:creator>
  <cp:keywords/>
  <dc:description/>
  <cp:lastModifiedBy>JUPUNOV</cp:lastModifiedBy>
  <cp:revision>13</cp:revision>
  <cp:lastPrinted>2016-07-28T07:02:00Z</cp:lastPrinted>
  <dcterms:created xsi:type="dcterms:W3CDTF">2016-07-28T07:03:00Z</dcterms:created>
  <dcterms:modified xsi:type="dcterms:W3CDTF">2016-07-29T06:50:00Z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