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72CA" w:rsidRDefault="009F72CA" w:rsidP="009F72CA">
      <w:pPr>
        <w:jc w:val="center"/>
        <w:rPr>
          <w:b/>
        </w:rPr>
      </w:pPr>
    </w:p>
    <w:p w:rsidR="00E93105" w:rsidRDefault="00E93105" w:rsidP="009F72CA">
      <w:pPr>
        <w:jc w:val="center"/>
        <w:rPr>
          <w:b/>
        </w:rPr>
      </w:pPr>
    </w:p>
    <w:p w:rsidR="00E93105" w:rsidRPr="00E93105" w:rsidRDefault="00E93105" w:rsidP="009F72CA">
      <w:pPr>
        <w:jc w:val="center"/>
        <w:rPr>
          <w:b/>
        </w:rPr>
      </w:pPr>
    </w:p>
    <w:p w:rsidR="009F72CA" w:rsidRPr="00847B88" w:rsidRDefault="009F72CA" w:rsidP="009F72CA">
      <w:pPr>
        <w:jc w:val="center"/>
        <w:rPr>
          <w:b/>
          <w:sz w:val="28"/>
          <w:szCs w:val="28"/>
          <w:lang w:val="ru-RU"/>
        </w:rPr>
      </w:pPr>
      <w:r w:rsidRPr="00847B88">
        <w:rPr>
          <w:b/>
          <w:sz w:val="28"/>
          <w:szCs w:val="28"/>
        </w:rPr>
        <w:t>МЕЖДИНЕН ДОКЛАД ЗА ДЕЙНОСТТА</w:t>
      </w:r>
    </w:p>
    <w:p w:rsidR="009F72CA" w:rsidRPr="00847B88" w:rsidRDefault="009F72CA" w:rsidP="009F72CA">
      <w:pPr>
        <w:jc w:val="center"/>
        <w:rPr>
          <w:b/>
          <w:sz w:val="28"/>
          <w:szCs w:val="28"/>
          <w:lang w:val="ru-RU"/>
        </w:rPr>
      </w:pPr>
    </w:p>
    <w:p w:rsidR="009F72CA" w:rsidRPr="00847B88" w:rsidRDefault="009F72CA" w:rsidP="009F72CA">
      <w:pPr>
        <w:jc w:val="center"/>
        <w:rPr>
          <w:b/>
          <w:sz w:val="28"/>
          <w:szCs w:val="28"/>
        </w:rPr>
      </w:pPr>
      <w:r w:rsidRPr="00847B88">
        <w:rPr>
          <w:b/>
          <w:sz w:val="28"/>
          <w:szCs w:val="28"/>
        </w:rPr>
        <w:t>НА „ПЕРПЕТУУМ МОБИЛЕ БГ” АД</w:t>
      </w:r>
    </w:p>
    <w:p w:rsidR="009F72CA" w:rsidRPr="00847B88" w:rsidRDefault="009F72CA" w:rsidP="009F72CA">
      <w:pPr>
        <w:jc w:val="center"/>
        <w:rPr>
          <w:b/>
          <w:sz w:val="28"/>
          <w:szCs w:val="28"/>
        </w:rPr>
      </w:pPr>
    </w:p>
    <w:p w:rsidR="009F72CA" w:rsidRPr="00847B88" w:rsidRDefault="009F72CA" w:rsidP="009F72CA">
      <w:pPr>
        <w:jc w:val="center"/>
        <w:rPr>
          <w:b/>
          <w:sz w:val="28"/>
          <w:szCs w:val="28"/>
        </w:rPr>
      </w:pPr>
      <w:r w:rsidRPr="00847B88">
        <w:rPr>
          <w:b/>
          <w:sz w:val="28"/>
          <w:szCs w:val="28"/>
        </w:rPr>
        <w:t xml:space="preserve">към </w:t>
      </w:r>
      <w:r w:rsidRPr="00847B88">
        <w:rPr>
          <w:b/>
          <w:sz w:val="28"/>
          <w:szCs w:val="28"/>
          <w:lang w:val="en-US"/>
        </w:rPr>
        <w:t>3</w:t>
      </w:r>
      <w:r w:rsidRPr="00847B88">
        <w:rPr>
          <w:b/>
          <w:sz w:val="28"/>
          <w:szCs w:val="28"/>
        </w:rPr>
        <w:t>0</w:t>
      </w:r>
      <w:r w:rsidRPr="00847B88">
        <w:rPr>
          <w:b/>
          <w:sz w:val="28"/>
          <w:szCs w:val="28"/>
          <w:lang w:val="en-US"/>
        </w:rPr>
        <w:t>.0</w:t>
      </w:r>
      <w:r w:rsidRPr="00847B88">
        <w:rPr>
          <w:b/>
          <w:sz w:val="28"/>
          <w:szCs w:val="28"/>
        </w:rPr>
        <w:t>6</w:t>
      </w:r>
      <w:r w:rsidRPr="00847B88">
        <w:rPr>
          <w:b/>
          <w:sz w:val="28"/>
          <w:szCs w:val="28"/>
          <w:lang w:val="en-US"/>
        </w:rPr>
        <w:t>.201</w:t>
      </w:r>
      <w:r w:rsidRPr="00847B88">
        <w:rPr>
          <w:b/>
          <w:sz w:val="28"/>
          <w:szCs w:val="28"/>
        </w:rPr>
        <w:t>6</w:t>
      </w:r>
    </w:p>
    <w:p w:rsidR="009F72CA" w:rsidRPr="00847B88" w:rsidRDefault="009F72CA" w:rsidP="009F72CA">
      <w:pPr>
        <w:jc w:val="center"/>
        <w:rPr>
          <w:b/>
          <w:sz w:val="28"/>
          <w:szCs w:val="28"/>
        </w:rPr>
      </w:pPr>
      <w:r w:rsidRPr="00847B88">
        <w:rPr>
          <w:b/>
          <w:sz w:val="28"/>
          <w:szCs w:val="28"/>
        </w:rPr>
        <w:t xml:space="preserve"> ГОДИНА</w:t>
      </w:r>
    </w:p>
    <w:p w:rsidR="009F72CA" w:rsidRPr="00847B88" w:rsidRDefault="009F72CA" w:rsidP="009F72CA">
      <w:pPr>
        <w:jc w:val="center"/>
        <w:rPr>
          <w:b/>
          <w:color w:val="FF0000"/>
          <w:sz w:val="28"/>
          <w:szCs w:val="28"/>
        </w:rPr>
      </w:pPr>
    </w:p>
    <w:p w:rsidR="009F72CA" w:rsidRPr="00847B88" w:rsidRDefault="009F72CA" w:rsidP="009F72CA">
      <w:pPr>
        <w:jc w:val="center"/>
        <w:rPr>
          <w:b/>
          <w:sz w:val="28"/>
          <w:szCs w:val="28"/>
        </w:rPr>
      </w:pPr>
      <w:r w:rsidRPr="00847B88">
        <w:rPr>
          <w:b/>
          <w:sz w:val="28"/>
          <w:szCs w:val="28"/>
        </w:rPr>
        <w:t>съгласно изискванията на чл. 100о, ал.4, т.2 от ЗППЦК</w:t>
      </w:r>
    </w:p>
    <w:p w:rsidR="009F72CA" w:rsidRPr="00847B88" w:rsidRDefault="009F72CA" w:rsidP="009F72CA">
      <w:pPr>
        <w:jc w:val="center"/>
        <w:rPr>
          <w:b/>
          <w:sz w:val="28"/>
          <w:szCs w:val="28"/>
          <w:lang w:val="ru-RU"/>
        </w:rPr>
      </w:pPr>
    </w:p>
    <w:p w:rsidR="009F72CA" w:rsidRPr="00847B88" w:rsidRDefault="009F72CA" w:rsidP="009F72CA">
      <w:pPr>
        <w:jc w:val="center"/>
        <w:rPr>
          <w:b/>
          <w:sz w:val="28"/>
          <w:szCs w:val="28"/>
          <w:lang w:val="ru-RU"/>
        </w:rPr>
      </w:pPr>
    </w:p>
    <w:p w:rsidR="009F72CA" w:rsidRPr="00847B88" w:rsidRDefault="009F72CA" w:rsidP="009F72CA">
      <w:pPr>
        <w:jc w:val="center"/>
        <w:rPr>
          <w:b/>
          <w:lang w:val="ru-RU"/>
        </w:rPr>
      </w:pPr>
    </w:p>
    <w:p w:rsidR="009F72CA" w:rsidRPr="00847B88" w:rsidRDefault="009F72CA" w:rsidP="009F72CA">
      <w:pPr>
        <w:jc w:val="center"/>
        <w:rPr>
          <w:b/>
          <w:lang w:val="ru-RU"/>
        </w:rPr>
      </w:pPr>
    </w:p>
    <w:p w:rsidR="009F72CA" w:rsidRPr="00847B88" w:rsidRDefault="009F72CA" w:rsidP="009F72CA">
      <w:pPr>
        <w:jc w:val="center"/>
        <w:rPr>
          <w:b/>
          <w:lang w:val="ru-RU"/>
        </w:rPr>
      </w:pPr>
    </w:p>
    <w:p w:rsidR="009F72CA" w:rsidRPr="00847B88" w:rsidRDefault="009F72CA" w:rsidP="009F72CA">
      <w:pPr>
        <w:jc w:val="center"/>
        <w:rPr>
          <w:b/>
          <w:lang w:val="ru-RU"/>
        </w:rPr>
      </w:pPr>
    </w:p>
    <w:p w:rsidR="009F72CA" w:rsidRPr="00847B88" w:rsidRDefault="009F72CA" w:rsidP="009F72CA">
      <w:pPr>
        <w:jc w:val="center"/>
        <w:rPr>
          <w:b/>
          <w:lang w:val="ru-RU"/>
        </w:rPr>
      </w:pPr>
    </w:p>
    <w:p w:rsidR="009F72CA" w:rsidRPr="00847B88" w:rsidRDefault="009F72CA" w:rsidP="009F72CA">
      <w:pPr>
        <w:jc w:val="center"/>
        <w:rPr>
          <w:b/>
          <w:lang w:val="ru-RU"/>
        </w:rPr>
      </w:pPr>
    </w:p>
    <w:p w:rsidR="009F72CA" w:rsidRPr="00847B88" w:rsidRDefault="009F72CA" w:rsidP="009F72CA">
      <w:pPr>
        <w:jc w:val="center"/>
        <w:rPr>
          <w:b/>
          <w:lang w:val="ru-RU"/>
        </w:rPr>
      </w:pPr>
    </w:p>
    <w:p w:rsidR="009F72CA" w:rsidRPr="00847B88" w:rsidRDefault="009F72CA" w:rsidP="009F72CA">
      <w:pPr>
        <w:jc w:val="center"/>
        <w:rPr>
          <w:b/>
          <w:lang w:val="ru-RU"/>
        </w:rPr>
      </w:pPr>
    </w:p>
    <w:p w:rsidR="009F72CA" w:rsidRPr="00847B88" w:rsidRDefault="009F72CA" w:rsidP="009F72CA">
      <w:pPr>
        <w:jc w:val="center"/>
        <w:rPr>
          <w:b/>
          <w:lang w:val="ru-RU"/>
        </w:rPr>
      </w:pPr>
    </w:p>
    <w:p w:rsidR="009F72CA" w:rsidRPr="00847B88" w:rsidRDefault="009F72CA" w:rsidP="009F72CA">
      <w:pPr>
        <w:jc w:val="center"/>
        <w:rPr>
          <w:b/>
          <w:lang w:val="ru-RU"/>
        </w:rPr>
      </w:pPr>
    </w:p>
    <w:p w:rsidR="009F72CA" w:rsidRPr="00847B88" w:rsidRDefault="009F72CA" w:rsidP="009F72CA">
      <w:pPr>
        <w:jc w:val="center"/>
        <w:rPr>
          <w:b/>
          <w:lang w:val="ru-RU"/>
        </w:rPr>
      </w:pPr>
    </w:p>
    <w:p w:rsidR="009F72CA" w:rsidRPr="00847B88" w:rsidRDefault="009F72CA" w:rsidP="009F72CA">
      <w:pPr>
        <w:jc w:val="center"/>
        <w:rPr>
          <w:b/>
          <w:lang w:val="ru-RU"/>
        </w:rPr>
      </w:pPr>
    </w:p>
    <w:p w:rsidR="009F72CA" w:rsidRPr="00847B88" w:rsidRDefault="009F72CA" w:rsidP="009F72CA">
      <w:pPr>
        <w:jc w:val="center"/>
        <w:rPr>
          <w:b/>
          <w:lang w:val="ru-RU"/>
        </w:rPr>
      </w:pPr>
    </w:p>
    <w:p w:rsidR="009F72CA" w:rsidRPr="00847B88" w:rsidRDefault="009F72CA" w:rsidP="009F72CA">
      <w:pPr>
        <w:jc w:val="center"/>
        <w:rPr>
          <w:b/>
          <w:lang w:val="ru-RU"/>
        </w:rPr>
      </w:pPr>
    </w:p>
    <w:p w:rsidR="009F72CA" w:rsidRPr="00847B88" w:rsidRDefault="009F72CA" w:rsidP="009F72CA">
      <w:pPr>
        <w:jc w:val="center"/>
        <w:rPr>
          <w:b/>
          <w:lang w:val="ru-RU"/>
        </w:rPr>
      </w:pPr>
    </w:p>
    <w:p w:rsidR="009F72CA" w:rsidRPr="00847B88" w:rsidRDefault="009F72CA" w:rsidP="009F72CA">
      <w:pPr>
        <w:jc w:val="center"/>
        <w:rPr>
          <w:b/>
          <w:lang w:val="ru-RU"/>
        </w:rPr>
      </w:pPr>
    </w:p>
    <w:p w:rsidR="009F72CA" w:rsidRPr="00847B88" w:rsidRDefault="009F72CA" w:rsidP="009F72CA">
      <w:pPr>
        <w:jc w:val="center"/>
        <w:rPr>
          <w:b/>
          <w:lang w:val="ru-RU"/>
        </w:rPr>
      </w:pPr>
    </w:p>
    <w:p w:rsidR="009F72CA" w:rsidRPr="00847B88" w:rsidRDefault="009F72CA" w:rsidP="009F72CA">
      <w:pPr>
        <w:jc w:val="center"/>
        <w:rPr>
          <w:b/>
          <w:lang w:val="ru-RU"/>
        </w:rPr>
      </w:pPr>
    </w:p>
    <w:p w:rsidR="009F72CA" w:rsidRPr="00847B88" w:rsidRDefault="009F72CA" w:rsidP="009F72CA">
      <w:pPr>
        <w:jc w:val="center"/>
        <w:rPr>
          <w:b/>
          <w:lang w:val="ru-RU"/>
        </w:rPr>
      </w:pPr>
    </w:p>
    <w:p w:rsidR="009F72CA" w:rsidRPr="00847B88" w:rsidRDefault="009F72CA" w:rsidP="009F72CA">
      <w:pPr>
        <w:jc w:val="center"/>
        <w:rPr>
          <w:b/>
          <w:lang w:val="ru-RU"/>
        </w:rPr>
      </w:pPr>
    </w:p>
    <w:p w:rsidR="00847B88" w:rsidRPr="00847B88" w:rsidRDefault="00847B88" w:rsidP="009F72CA">
      <w:pPr>
        <w:jc w:val="center"/>
        <w:rPr>
          <w:b/>
          <w:lang w:val="ru-RU"/>
        </w:rPr>
      </w:pPr>
    </w:p>
    <w:p w:rsidR="00847B88" w:rsidRPr="00847B88" w:rsidRDefault="00847B88" w:rsidP="009F72CA">
      <w:pPr>
        <w:jc w:val="center"/>
        <w:rPr>
          <w:b/>
          <w:lang w:val="ru-RU"/>
        </w:rPr>
      </w:pPr>
    </w:p>
    <w:p w:rsidR="00FD1C90" w:rsidRPr="00847B88" w:rsidRDefault="00FD1C90" w:rsidP="009F72CA">
      <w:pPr>
        <w:jc w:val="center"/>
        <w:rPr>
          <w:b/>
          <w:lang w:val="ru-RU"/>
        </w:rPr>
      </w:pPr>
    </w:p>
    <w:p w:rsidR="00FD1C90" w:rsidRPr="00847B88" w:rsidRDefault="00FD1C90" w:rsidP="009F72CA">
      <w:pPr>
        <w:jc w:val="center"/>
        <w:rPr>
          <w:b/>
          <w:lang w:val="ru-RU"/>
        </w:rPr>
      </w:pPr>
    </w:p>
    <w:p w:rsidR="00FD1C90" w:rsidRPr="00847B88" w:rsidRDefault="00FD1C90" w:rsidP="009F72CA">
      <w:pPr>
        <w:jc w:val="center"/>
        <w:rPr>
          <w:b/>
          <w:lang w:val="ru-RU"/>
        </w:rPr>
      </w:pPr>
    </w:p>
    <w:p w:rsidR="00FD1C90" w:rsidRPr="00847B88" w:rsidRDefault="00FD1C90" w:rsidP="009F72CA">
      <w:pPr>
        <w:jc w:val="center"/>
        <w:rPr>
          <w:b/>
          <w:lang w:val="ru-RU"/>
        </w:rPr>
      </w:pPr>
    </w:p>
    <w:p w:rsidR="009F72CA" w:rsidRPr="00847B88" w:rsidRDefault="009F72CA" w:rsidP="009F72CA">
      <w:pPr>
        <w:jc w:val="center"/>
        <w:rPr>
          <w:b/>
          <w:lang w:val="ru-RU"/>
        </w:rPr>
      </w:pPr>
    </w:p>
    <w:p w:rsidR="00BB2AA2" w:rsidRPr="00847B88" w:rsidRDefault="00FD1C90" w:rsidP="00FD1C90">
      <w:pPr>
        <w:jc w:val="center"/>
      </w:pPr>
      <w:r w:rsidRPr="00847B88">
        <w:rPr>
          <w:b/>
          <w:noProof/>
        </w:rPr>
        <w:drawing>
          <wp:inline distT="0" distB="0" distL="0" distR="0">
            <wp:extent cx="1266825" cy="1266825"/>
            <wp:effectExtent l="19050" t="0" r="9525" b="0"/>
            <wp:docPr id="1" name="Картина 1" descr="Описание: perpetuum_mobile-logo-web_rgb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Картина 1" descr="Описание: perpetuum_mobile-logo-web_rgb copy"/>
                    <pic:cNvPicPr>
                      <a:picLocks noChangeAspect="1" noChangeArrowheads="1"/>
                    </pic:cNvPicPr>
                  </pic:nvPicPr>
                  <pic:blipFill>
                    <a:blip r:embed="rId5" cstate="print"/>
                    <a:srcRect/>
                    <a:stretch>
                      <a:fillRect/>
                    </a:stretch>
                  </pic:blipFill>
                  <pic:spPr bwMode="auto">
                    <a:xfrm>
                      <a:off x="0" y="0"/>
                      <a:ext cx="1266825" cy="1266825"/>
                    </a:xfrm>
                    <a:prstGeom prst="rect">
                      <a:avLst/>
                    </a:prstGeom>
                    <a:noFill/>
                    <a:ln w="9525">
                      <a:noFill/>
                      <a:miter lim="800000"/>
                      <a:headEnd/>
                      <a:tailEnd/>
                    </a:ln>
                  </pic:spPr>
                </pic:pic>
              </a:graphicData>
            </a:graphic>
          </wp:inline>
        </w:drawing>
      </w:r>
    </w:p>
    <w:p w:rsidR="00FD1C90" w:rsidRPr="00847B88" w:rsidRDefault="00FD1C90" w:rsidP="00FD1C90">
      <w:pPr>
        <w:jc w:val="center"/>
      </w:pPr>
    </w:p>
    <w:p w:rsidR="00847B88" w:rsidRPr="00847B88" w:rsidRDefault="00847B88" w:rsidP="00FD1C90">
      <w:pPr>
        <w:jc w:val="center"/>
      </w:pPr>
    </w:p>
    <w:p w:rsidR="00847B88" w:rsidRPr="000908C4" w:rsidRDefault="00847B88" w:rsidP="00847B88">
      <w:pPr>
        <w:ind w:firstLine="708"/>
        <w:jc w:val="both"/>
      </w:pPr>
      <w:r w:rsidRPr="000908C4">
        <w:rPr>
          <w:b/>
        </w:rPr>
        <w:t xml:space="preserve">Перпетуум мобиле БГ „ АД </w:t>
      </w:r>
      <w:r w:rsidR="00F33372">
        <w:t xml:space="preserve">е </w:t>
      </w:r>
      <w:r w:rsidRPr="000908C4">
        <w:t>учредено през 2012 г. като акционерно дружество. Дружеството е със седалище и адрес на с.Оброчище, кк Албена, Администра</w:t>
      </w:r>
      <w:r w:rsidR="00782151">
        <w:t xml:space="preserve">тивна сграда на ‘Албена” АД, офис </w:t>
      </w:r>
      <w:r w:rsidRPr="000908C4">
        <w:t>335</w:t>
      </w:r>
      <w:r w:rsidR="000908C4">
        <w:t>.</w:t>
      </w:r>
    </w:p>
    <w:p w:rsidR="000908C4" w:rsidRPr="000908C4" w:rsidRDefault="00847B88" w:rsidP="000908C4">
      <w:pPr>
        <w:spacing w:line="360" w:lineRule="auto"/>
        <w:jc w:val="both"/>
      </w:pPr>
      <w:r w:rsidRPr="00847B88">
        <w:tab/>
      </w:r>
      <w:r w:rsidR="00975B2C">
        <w:t>Размерът на капитала на дружеството към 30.06.2016 г.</w:t>
      </w:r>
      <w:r w:rsidR="000908C4" w:rsidRPr="000908C4">
        <w:t xml:space="preserve">  е 2393 хил.лв, разпределен в 2393200 (два милиона триста деветдесет и три хиляди и двеста) броя акции с номинална стойност 1.00 (един) лев всяка, в т.ч. обикновени поименни налични акции с право на един глас всяка – 2 123 900 броя и обикновени акции на приносител с право на един глас всяка – 269 300 броя.</w:t>
      </w:r>
    </w:p>
    <w:p w:rsidR="00847B88" w:rsidRPr="00847B88" w:rsidRDefault="00847B88" w:rsidP="00847B88">
      <w:pPr>
        <w:jc w:val="both"/>
      </w:pPr>
    </w:p>
    <w:p w:rsidR="00B65496" w:rsidRDefault="00B65496" w:rsidP="00847B88">
      <w:pPr>
        <w:jc w:val="both"/>
      </w:pPr>
    </w:p>
    <w:p w:rsidR="00847B88" w:rsidRPr="00975B2C" w:rsidRDefault="00847B88" w:rsidP="00847B88">
      <w:pPr>
        <w:jc w:val="both"/>
        <w:rPr>
          <w:rFonts w:eastAsia="Georgia"/>
          <w:u w:val="single"/>
        </w:rPr>
      </w:pPr>
      <w:r w:rsidRPr="00975B2C">
        <w:rPr>
          <w:u w:val="single"/>
        </w:rPr>
        <w:t>Разпределението на акционерния капитал е както следва:</w:t>
      </w:r>
    </w:p>
    <w:p w:rsidR="00847B88" w:rsidRPr="00847B88" w:rsidRDefault="00847B88" w:rsidP="00847B88">
      <w:pPr>
        <w:jc w:val="both"/>
        <w:rPr>
          <w:rFonts w:eastAsia="Georgia"/>
          <w:lang w:val="en-US"/>
        </w:rPr>
      </w:pPr>
      <w:r w:rsidRPr="00847B88">
        <w:rPr>
          <w:rFonts w:eastAsia="Georgia"/>
        </w:rPr>
        <w:t>‘</w:t>
      </w:r>
      <w:r w:rsidRPr="00847B88">
        <w:t>Албена”АД</w:t>
      </w:r>
      <w:r w:rsidRPr="00847B88">
        <w:tab/>
      </w:r>
      <w:r w:rsidRPr="00847B88">
        <w:tab/>
      </w:r>
      <w:r w:rsidRPr="00847B88">
        <w:tab/>
      </w:r>
      <w:r w:rsidRPr="00847B88">
        <w:tab/>
      </w:r>
      <w:r w:rsidRPr="00847B88">
        <w:tab/>
      </w:r>
      <w:r w:rsidR="00AA7CED">
        <w:t xml:space="preserve">37.61 </w:t>
      </w:r>
      <w:r w:rsidRPr="00847B88">
        <w:t>%</w:t>
      </w:r>
    </w:p>
    <w:p w:rsidR="00847B88" w:rsidRPr="00847B88" w:rsidRDefault="00AA7CED" w:rsidP="00847B88">
      <w:pPr>
        <w:jc w:val="both"/>
        <w:rPr>
          <w:rFonts w:eastAsia="Georgia"/>
        </w:rPr>
      </w:pPr>
      <w:r w:rsidRPr="00847B88">
        <w:rPr>
          <w:rFonts w:eastAsia="Georgia"/>
        </w:rPr>
        <w:t xml:space="preserve"> </w:t>
      </w:r>
      <w:r w:rsidR="00847B88" w:rsidRPr="00847B88">
        <w:rPr>
          <w:rFonts w:eastAsia="Georgia"/>
        </w:rPr>
        <w:t>„</w:t>
      </w:r>
      <w:r>
        <w:t>Албена инвест холдинг”АД</w:t>
      </w:r>
      <w:r>
        <w:tab/>
      </w:r>
      <w:r>
        <w:tab/>
        <w:t xml:space="preserve">12.54 </w:t>
      </w:r>
      <w:r w:rsidR="00847B88" w:rsidRPr="00847B88">
        <w:t>%</w:t>
      </w:r>
    </w:p>
    <w:p w:rsidR="00847B88" w:rsidRPr="00847B88" w:rsidRDefault="00847B88" w:rsidP="00847B88">
      <w:pPr>
        <w:jc w:val="both"/>
        <w:rPr>
          <w:rFonts w:eastAsia="Georgia"/>
        </w:rPr>
      </w:pPr>
      <w:r w:rsidRPr="00847B88">
        <w:rPr>
          <w:rFonts w:eastAsia="Georgia"/>
        </w:rPr>
        <w:t xml:space="preserve"> </w:t>
      </w:r>
      <w:r w:rsidR="00B65496">
        <w:rPr>
          <w:rFonts w:eastAsia="Georgia"/>
        </w:rPr>
        <w:t>‘</w:t>
      </w:r>
      <w:r w:rsidRPr="00847B88">
        <w:rPr>
          <w:rFonts w:eastAsia="Georgia"/>
        </w:rPr>
        <w:t>‘</w:t>
      </w:r>
      <w:r w:rsidR="00AA7CED">
        <w:t>Албена холдинг”АД</w:t>
      </w:r>
      <w:r w:rsidR="00AA7CED">
        <w:tab/>
      </w:r>
      <w:r w:rsidR="00AA7CED">
        <w:tab/>
      </w:r>
      <w:r w:rsidR="00AA7CED">
        <w:tab/>
        <w:t xml:space="preserve">4.18 </w:t>
      </w:r>
      <w:r w:rsidRPr="00847B88">
        <w:t>%</w:t>
      </w:r>
    </w:p>
    <w:p w:rsidR="00847B88" w:rsidRPr="00847B88" w:rsidRDefault="00847B88" w:rsidP="00847B88">
      <w:pPr>
        <w:jc w:val="both"/>
      </w:pPr>
      <w:r w:rsidRPr="00847B88">
        <w:rPr>
          <w:rFonts w:eastAsia="Georgia"/>
        </w:rPr>
        <w:t>„Алфа Консулт 2000</w:t>
      </w:r>
      <w:r w:rsidRPr="00847B88">
        <w:t>”ЕООД</w:t>
      </w:r>
      <w:r w:rsidRPr="00847B88">
        <w:tab/>
      </w:r>
      <w:r w:rsidRPr="00847B88">
        <w:tab/>
        <w:t>2.</w:t>
      </w:r>
      <w:r w:rsidR="00AA7CED">
        <w:t xml:space="preserve">09 </w:t>
      </w:r>
      <w:r w:rsidRPr="00847B88">
        <w:t>%</w:t>
      </w:r>
    </w:p>
    <w:p w:rsidR="00847B88" w:rsidRPr="00847B88" w:rsidRDefault="00847B88" w:rsidP="00847B88">
      <w:pPr>
        <w:jc w:val="both"/>
      </w:pPr>
      <w:r w:rsidRPr="00847B88">
        <w:t>Физически лица</w:t>
      </w:r>
      <w:r w:rsidRPr="00847B88">
        <w:tab/>
      </w:r>
      <w:r w:rsidRPr="00847B88">
        <w:tab/>
      </w:r>
      <w:r w:rsidRPr="00847B88">
        <w:tab/>
      </w:r>
      <w:r w:rsidRPr="00847B88">
        <w:tab/>
      </w:r>
      <w:r w:rsidR="000D7FC1">
        <w:t>43</w:t>
      </w:r>
      <w:r w:rsidRPr="00847B88">
        <w:t>.</w:t>
      </w:r>
      <w:r w:rsidR="00D204A0">
        <w:t>58</w:t>
      </w:r>
      <w:r w:rsidR="00AA7CED">
        <w:t xml:space="preserve"> </w:t>
      </w:r>
      <w:r w:rsidRPr="00847B88">
        <w:t>%</w:t>
      </w:r>
    </w:p>
    <w:p w:rsidR="00847B88" w:rsidRPr="00847B88" w:rsidRDefault="00847B88" w:rsidP="00847B88">
      <w:pPr>
        <w:jc w:val="both"/>
      </w:pPr>
      <w:r w:rsidRPr="00847B88">
        <w:tab/>
      </w:r>
    </w:p>
    <w:p w:rsidR="00847B88" w:rsidRPr="00847B88" w:rsidRDefault="00847B88" w:rsidP="00847B88">
      <w:r w:rsidRPr="00847B88">
        <w:tab/>
        <w:t xml:space="preserve">Дружеството се представлява  от  </w:t>
      </w:r>
      <w:r>
        <w:t>Димитър Христов Захаридов - Прокурист</w:t>
      </w:r>
      <w:r w:rsidRPr="00847B88">
        <w:t>.</w:t>
      </w:r>
      <w:r w:rsidRPr="00847B88">
        <w:tab/>
      </w:r>
      <w:r w:rsidRPr="00847B88">
        <w:tab/>
      </w:r>
    </w:p>
    <w:p w:rsidR="00847B88" w:rsidRPr="0087018C" w:rsidRDefault="00847B88" w:rsidP="00847B88">
      <w:pPr>
        <w:ind w:firstLine="709"/>
        <w:rPr>
          <w:u w:val="single"/>
        </w:rPr>
      </w:pPr>
      <w:r w:rsidRPr="0087018C">
        <w:rPr>
          <w:u w:val="single"/>
        </w:rPr>
        <w:t>Състав на съвета на директорите на дружеството:</w:t>
      </w:r>
    </w:p>
    <w:p w:rsidR="00847B88" w:rsidRPr="00847B88" w:rsidRDefault="00847B88" w:rsidP="00847B88">
      <w:pPr>
        <w:ind w:firstLine="709"/>
      </w:pPr>
      <w:r w:rsidRPr="00847B88">
        <w:t>- Красимир Веселинов Станев</w:t>
      </w:r>
    </w:p>
    <w:p w:rsidR="00847B88" w:rsidRPr="00847B88" w:rsidRDefault="00847B88" w:rsidP="00847B88">
      <w:pPr>
        <w:ind w:firstLine="709"/>
      </w:pPr>
      <w:r w:rsidRPr="00847B88">
        <w:t xml:space="preserve">- Христо Петров Христов </w:t>
      </w:r>
    </w:p>
    <w:p w:rsidR="00847B88" w:rsidRPr="00847B88" w:rsidRDefault="00847B88" w:rsidP="00847B88">
      <w:pPr>
        <w:ind w:firstLine="709"/>
      </w:pPr>
      <w:r w:rsidRPr="00847B88">
        <w:t>- Славчо Любомиров Гигов</w:t>
      </w:r>
    </w:p>
    <w:p w:rsidR="00847B88" w:rsidRPr="00847B88" w:rsidRDefault="00847B88" w:rsidP="005569E2">
      <w:pPr>
        <w:jc w:val="both"/>
      </w:pPr>
    </w:p>
    <w:p w:rsidR="00847B88" w:rsidRPr="00847B88" w:rsidRDefault="00847B88" w:rsidP="00847B88">
      <w:pPr>
        <w:ind w:firstLine="708"/>
        <w:jc w:val="both"/>
      </w:pPr>
      <w:r w:rsidRPr="00847B88">
        <w:t>Членовете на Съвета на директорите участват в управлението на следните дружества:</w:t>
      </w:r>
    </w:p>
    <w:p w:rsidR="00847B88" w:rsidRPr="00847B88" w:rsidRDefault="00847B88" w:rsidP="00847B88">
      <w:pPr>
        <w:numPr>
          <w:ilvl w:val="0"/>
          <w:numId w:val="1"/>
        </w:numPr>
        <w:suppressAutoHyphens/>
        <w:jc w:val="both"/>
      </w:pPr>
      <w:r w:rsidRPr="00847B88">
        <w:t>Красимир Веселинов Станев -„Албена”АД, „Албена инвест холдинг”АД, „Албена холдинг”АД</w:t>
      </w:r>
      <w:r w:rsidRPr="00847B88">
        <w:rPr>
          <w:lang w:val="ru-RU"/>
        </w:rPr>
        <w:t>, “</w:t>
      </w:r>
      <w:r w:rsidRPr="00847B88">
        <w:t>Бялата лагуна</w:t>
      </w:r>
      <w:r w:rsidRPr="00847B88">
        <w:rPr>
          <w:lang w:val="ru-RU"/>
        </w:rPr>
        <w:t>”АД, “Приморско клуб”АД</w:t>
      </w:r>
    </w:p>
    <w:p w:rsidR="00847B88" w:rsidRPr="00847B88" w:rsidRDefault="00847B88" w:rsidP="00847B88">
      <w:pPr>
        <w:numPr>
          <w:ilvl w:val="0"/>
          <w:numId w:val="1"/>
        </w:numPr>
        <w:suppressAutoHyphens/>
        <w:jc w:val="both"/>
      </w:pPr>
      <w:r w:rsidRPr="00847B88">
        <w:t>Христо Петров Христов – „Интерскай”АД</w:t>
      </w:r>
    </w:p>
    <w:p w:rsidR="00847B88" w:rsidRPr="00847B88" w:rsidRDefault="00847B88" w:rsidP="00847B88">
      <w:pPr>
        <w:numPr>
          <w:ilvl w:val="0"/>
          <w:numId w:val="1"/>
        </w:numPr>
        <w:suppressAutoHyphens/>
        <w:jc w:val="both"/>
        <w:rPr>
          <w:lang w:val="ru-RU"/>
        </w:rPr>
      </w:pPr>
      <w:r w:rsidRPr="00847B88">
        <w:t>Славчо Любомиров Гигов – ‘Еко агро”АД, „Екоплод”ЕООД</w:t>
      </w:r>
    </w:p>
    <w:p w:rsidR="00847B88" w:rsidRPr="00847B88" w:rsidRDefault="00847B88" w:rsidP="00847B88">
      <w:pPr>
        <w:ind w:firstLine="709"/>
        <w:rPr>
          <w:lang w:val="ru-RU"/>
        </w:rPr>
      </w:pPr>
    </w:p>
    <w:p w:rsidR="00847B88" w:rsidRPr="00847B88" w:rsidRDefault="00847B88" w:rsidP="00847B88">
      <w:pPr>
        <w:ind w:firstLine="708"/>
      </w:pPr>
      <w:r w:rsidRPr="00847B88">
        <w:t>Дружеството няма регистрирани клонове.</w:t>
      </w:r>
    </w:p>
    <w:p w:rsidR="00847B88" w:rsidRPr="00847B88" w:rsidRDefault="00847B88" w:rsidP="00847B88">
      <w:pPr>
        <w:ind w:firstLine="708"/>
      </w:pPr>
    </w:p>
    <w:p w:rsidR="00847B88" w:rsidRPr="00847B88" w:rsidRDefault="000908C4" w:rsidP="00847B88">
      <w:pPr>
        <w:ind w:firstLine="708"/>
        <w:jc w:val="both"/>
        <w:rPr>
          <w:b/>
          <w:spacing w:val="-1"/>
        </w:rPr>
      </w:pPr>
      <w:r>
        <w:t>Към 30 юни 2016</w:t>
      </w:r>
      <w:r w:rsidR="00847B88" w:rsidRPr="00847B88">
        <w:t xml:space="preserve"> г. дружеството няма участия в дъщерни и асоциирани дружества.</w:t>
      </w:r>
    </w:p>
    <w:p w:rsidR="00847B88" w:rsidRPr="00847B88" w:rsidRDefault="00847B88" w:rsidP="00847B88">
      <w:pPr>
        <w:rPr>
          <w:b/>
          <w:spacing w:val="-1"/>
        </w:rPr>
      </w:pPr>
    </w:p>
    <w:p w:rsidR="00847B88" w:rsidRPr="00847B88" w:rsidRDefault="00847B88" w:rsidP="00847B88">
      <w:pPr>
        <w:jc w:val="both"/>
      </w:pPr>
      <w:r w:rsidRPr="00847B88">
        <w:rPr>
          <w:b/>
          <w:i/>
        </w:rPr>
        <w:tab/>
      </w:r>
      <w:r w:rsidRPr="00847B88">
        <w:t>Дружеството е с предмет на дейност: проучване, финансиране, строителство и експлоатация на инсталации за оползотворяване на  отпадъци; инсталации за производство на ел. енергия от отпадъци; произвоство на електрическа и топлинна енергия чрез индиректно използване на биомаса; производство на органична тор; произвоство и продажба на биогорива; производство, доставка и продажба на елементи и инсталации за производство на биогорива;консултантска, проектантска и инженерингова дейност в областта на възобновяемите енергийни източници.</w:t>
      </w:r>
      <w:r w:rsidRPr="00847B88">
        <w:tab/>
      </w:r>
    </w:p>
    <w:p w:rsidR="00847B88" w:rsidRDefault="00847B88" w:rsidP="00847B88">
      <w:pPr>
        <w:jc w:val="both"/>
      </w:pPr>
      <w:r w:rsidRPr="00847B88">
        <w:t>През 2012г дружеството стартира изграждането на инсталация за произвоство на електрическа и топлинна енергия чрез индиректно използване на биомаса, като през 2013г дружеството въведе инсталацията в експлоатация.</w:t>
      </w:r>
      <w:r w:rsidRPr="00847B88">
        <w:tab/>
      </w:r>
    </w:p>
    <w:p w:rsidR="00365C3F" w:rsidRDefault="00365C3F" w:rsidP="00510C22">
      <w:pPr>
        <w:jc w:val="both"/>
        <w:rPr>
          <w:b/>
        </w:rPr>
      </w:pPr>
    </w:p>
    <w:p w:rsidR="00510C22" w:rsidRPr="009F1A0D" w:rsidRDefault="00510C22" w:rsidP="00510C22">
      <w:pPr>
        <w:jc w:val="both"/>
        <w:rPr>
          <w:b/>
        </w:rPr>
      </w:pPr>
      <w:r w:rsidRPr="009F1A0D">
        <w:rPr>
          <w:b/>
        </w:rPr>
        <w:lastRenderedPageBreak/>
        <w:t xml:space="preserve">1.Финансова информация за първото </w:t>
      </w:r>
      <w:r>
        <w:rPr>
          <w:b/>
        </w:rPr>
        <w:t>шестмесечие</w:t>
      </w:r>
      <w:r w:rsidRPr="009F1A0D">
        <w:rPr>
          <w:b/>
        </w:rPr>
        <w:t xml:space="preserve"> на 2016 г.</w:t>
      </w:r>
    </w:p>
    <w:p w:rsidR="00510C22" w:rsidRPr="009F1A0D" w:rsidRDefault="00510C22" w:rsidP="00510C22">
      <w:pPr>
        <w:jc w:val="both"/>
        <w:rPr>
          <w:b/>
          <w:highlight w:val="red"/>
          <w:lang w:val="ru-RU"/>
        </w:rPr>
      </w:pPr>
    </w:p>
    <w:p w:rsidR="00510C22" w:rsidRPr="009F1A0D" w:rsidRDefault="00510C22" w:rsidP="00510C22">
      <w:pPr>
        <w:jc w:val="both"/>
        <w:rPr>
          <w:b/>
        </w:rPr>
      </w:pPr>
      <w:r w:rsidRPr="009F1A0D">
        <w:rPr>
          <w:b/>
        </w:rPr>
        <w:t>Отчет за всеобхв</w:t>
      </w:r>
      <w:r w:rsidRPr="009F1A0D">
        <w:rPr>
          <w:b/>
          <w:lang w:val="en-US"/>
        </w:rPr>
        <w:t>a</w:t>
      </w:r>
      <w:r w:rsidRPr="009F1A0D">
        <w:rPr>
          <w:b/>
        </w:rPr>
        <w:t>тния доход</w:t>
      </w:r>
    </w:p>
    <w:p w:rsidR="00510C22" w:rsidRPr="009F1A0D" w:rsidRDefault="00D21654" w:rsidP="00510C22">
      <w:pPr>
        <w:jc w:val="both"/>
        <w:rPr>
          <w:b/>
        </w:rPr>
      </w:pPr>
      <w:r>
        <w:t>Финансовият резултат на „Перпетуум Мобиле БГ</w:t>
      </w:r>
      <w:r w:rsidR="00510C22" w:rsidRPr="009F1A0D">
        <w:t xml:space="preserve">” АД  към м. </w:t>
      </w:r>
      <w:r>
        <w:t>юни</w:t>
      </w:r>
      <w:r w:rsidR="00510C22" w:rsidRPr="009F1A0D">
        <w:t xml:space="preserve"> 2016 г. е загуба в размер на </w:t>
      </w:r>
      <w:r>
        <w:t>116</w:t>
      </w:r>
      <w:r w:rsidR="00510C22" w:rsidRPr="009F1A0D">
        <w:t xml:space="preserve"> хил. лева</w:t>
      </w:r>
      <w:r>
        <w:t>.</w:t>
      </w:r>
      <w:r w:rsidR="00510C22" w:rsidRPr="009F1A0D">
        <w:t xml:space="preserve"> Към м.</w:t>
      </w:r>
      <w:r>
        <w:t>юни</w:t>
      </w:r>
      <w:r w:rsidR="00510C22" w:rsidRPr="009F1A0D">
        <w:t xml:space="preserve"> 2016 г. приходите на</w:t>
      </w:r>
      <w:r>
        <w:t xml:space="preserve"> </w:t>
      </w:r>
      <w:r w:rsidR="00510C22" w:rsidRPr="009F1A0D">
        <w:t xml:space="preserve"> </w:t>
      </w:r>
      <w:r>
        <w:t>дружеството</w:t>
      </w:r>
      <w:r w:rsidR="00510C22" w:rsidRPr="009F1A0D">
        <w:t xml:space="preserve"> са в р</w:t>
      </w:r>
      <w:r>
        <w:t xml:space="preserve"> </w:t>
      </w:r>
      <w:r w:rsidR="00510C22" w:rsidRPr="009F1A0D">
        <w:t xml:space="preserve">азмер на </w:t>
      </w:r>
      <w:r>
        <w:t xml:space="preserve"> </w:t>
      </w:r>
      <w:r w:rsidR="00510C22" w:rsidRPr="009F1A0D">
        <w:t xml:space="preserve">1 </w:t>
      </w:r>
      <w:r>
        <w:t>420</w:t>
      </w:r>
      <w:r w:rsidR="00510C22" w:rsidRPr="009F1A0D">
        <w:t xml:space="preserve"> хил.лв. , с </w:t>
      </w:r>
      <w:r>
        <w:t>372</w:t>
      </w:r>
      <w:r w:rsidR="00510C22" w:rsidRPr="009F1A0D">
        <w:t xml:space="preserve"> хил.лв. по</w:t>
      </w:r>
      <w:r>
        <w:t>-малко</w:t>
      </w:r>
      <w:r w:rsidR="00510C22" w:rsidRPr="009F1A0D">
        <w:t xml:space="preserve"> спрямо 2015 г. Другите доходи за 2016 г. са в размер на </w:t>
      </w:r>
      <w:r>
        <w:t>7</w:t>
      </w:r>
      <w:r w:rsidR="00510C22" w:rsidRPr="009F1A0D">
        <w:t xml:space="preserve"> хил.лв., което </w:t>
      </w:r>
      <w:r>
        <w:t xml:space="preserve">е </w:t>
      </w:r>
      <w:r w:rsidR="00510C22" w:rsidRPr="009F1A0D">
        <w:t xml:space="preserve">с </w:t>
      </w:r>
      <w:r>
        <w:t>2</w:t>
      </w:r>
      <w:r w:rsidR="00510C22" w:rsidRPr="009F1A0D">
        <w:t xml:space="preserve"> хил. лв. по</w:t>
      </w:r>
      <w:r>
        <w:t>вече</w:t>
      </w:r>
      <w:r w:rsidR="00510C22" w:rsidRPr="009F1A0D">
        <w:t xml:space="preserve"> от 2015 г. </w:t>
      </w:r>
    </w:p>
    <w:p w:rsidR="00510C22" w:rsidRPr="009F1A0D" w:rsidRDefault="00510C22" w:rsidP="00510C22">
      <w:pPr>
        <w:jc w:val="both"/>
      </w:pPr>
      <w:r w:rsidRPr="009F1A0D">
        <w:t xml:space="preserve">Общо разходите за дейността на </w:t>
      </w:r>
      <w:r w:rsidR="00166452">
        <w:t>„Перпетуум Мобиле БГ</w:t>
      </w:r>
      <w:r w:rsidR="00166452" w:rsidRPr="009F1A0D">
        <w:t>” АД</w:t>
      </w:r>
      <w:r w:rsidRPr="009F1A0D">
        <w:t xml:space="preserve"> към  3</w:t>
      </w:r>
      <w:r w:rsidR="00166452">
        <w:t>0</w:t>
      </w:r>
      <w:r w:rsidRPr="009F1A0D">
        <w:t>.0</w:t>
      </w:r>
      <w:r w:rsidR="00166452">
        <w:t>6</w:t>
      </w:r>
      <w:r w:rsidRPr="009F1A0D">
        <w:t xml:space="preserve">.2016 г. са в размер на </w:t>
      </w:r>
      <w:r w:rsidR="00166452">
        <w:t>1 478</w:t>
      </w:r>
      <w:r w:rsidRPr="009F1A0D">
        <w:t xml:space="preserve"> хил.лв.,</w:t>
      </w:r>
      <w:r w:rsidR="00166452">
        <w:t xml:space="preserve"> с 55 хил. лв. </w:t>
      </w:r>
      <w:r w:rsidRPr="009F1A0D">
        <w:t xml:space="preserve">повече спрямо предходната година. Те включват себестойност на продажбите, в размер на </w:t>
      </w:r>
      <w:r w:rsidR="00166452">
        <w:t>1 430</w:t>
      </w:r>
      <w:r w:rsidRPr="009F1A0D">
        <w:t xml:space="preserve"> хил.лв., общи и административни разходи, в размер на </w:t>
      </w:r>
      <w:r w:rsidR="00166452">
        <w:t>48</w:t>
      </w:r>
      <w:r w:rsidRPr="009F1A0D">
        <w:t xml:space="preserve"> хил.лв.</w:t>
      </w:r>
    </w:p>
    <w:p w:rsidR="00510C22" w:rsidRPr="009F1A0D" w:rsidRDefault="00510C22" w:rsidP="00510C22">
      <w:pPr>
        <w:jc w:val="both"/>
        <w:rPr>
          <w:color w:val="FF0000"/>
          <w:highlight w:val="red"/>
        </w:rPr>
      </w:pPr>
    </w:p>
    <w:p w:rsidR="00510C22" w:rsidRPr="009F1A0D" w:rsidRDefault="00510C22" w:rsidP="00510C22">
      <w:pPr>
        <w:jc w:val="both"/>
        <w:rPr>
          <w:b/>
        </w:rPr>
      </w:pPr>
      <w:r w:rsidRPr="009F1A0D">
        <w:rPr>
          <w:b/>
        </w:rPr>
        <w:t>Отчет за  финансовото състояние</w:t>
      </w:r>
    </w:p>
    <w:p w:rsidR="00510C22" w:rsidRPr="009F1A0D" w:rsidRDefault="00510C22" w:rsidP="00510C22">
      <w:pPr>
        <w:jc w:val="both"/>
      </w:pPr>
      <w:r w:rsidRPr="009F1A0D">
        <w:t>Към 3</w:t>
      </w:r>
      <w:r w:rsidR="00A02977">
        <w:t>0</w:t>
      </w:r>
      <w:r w:rsidRPr="009F1A0D">
        <w:t>.</w:t>
      </w:r>
      <w:r w:rsidR="00A02977">
        <w:t>06</w:t>
      </w:r>
      <w:r w:rsidRPr="009F1A0D">
        <w:t xml:space="preserve">.2016 г. активите на </w:t>
      </w:r>
      <w:r w:rsidR="00A02977">
        <w:t>„Перпетуум Мобиле БГ</w:t>
      </w:r>
      <w:r w:rsidR="00A02977" w:rsidRPr="009F1A0D">
        <w:t xml:space="preserve">” АД  </w:t>
      </w:r>
      <w:r w:rsidRPr="009F1A0D">
        <w:t xml:space="preserve">възлизат на </w:t>
      </w:r>
      <w:r w:rsidR="00A02977">
        <w:t>7 003</w:t>
      </w:r>
      <w:r w:rsidRPr="009F1A0D">
        <w:t xml:space="preserve"> хил.лв., в т.ч. стойността на нетекущите активи е в размер на </w:t>
      </w:r>
      <w:r w:rsidR="00A02977">
        <w:t>5 547</w:t>
      </w:r>
      <w:r w:rsidRPr="009F1A0D">
        <w:t xml:space="preserve"> хил.лв., а на текущите активи </w:t>
      </w:r>
      <w:r w:rsidR="00A02977">
        <w:t xml:space="preserve">1 456 </w:t>
      </w:r>
      <w:r w:rsidRPr="009F1A0D">
        <w:t xml:space="preserve">хил.лв.  </w:t>
      </w:r>
    </w:p>
    <w:p w:rsidR="00510C22" w:rsidRPr="009F1A0D" w:rsidRDefault="00510C22" w:rsidP="00510C22">
      <w:pPr>
        <w:jc w:val="both"/>
      </w:pPr>
      <w:r w:rsidRPr="009F1A0D">
        <w:t xml:space="preserve">Към </w:t>
      </w:r>
      <w:r w:rsidR="009B3F31">
        <w:t>30.06</w:t>
      </w:r>
      <w:r w:rsidRPr="009F1A0D">
        <w:t xml:space="preserve">.2016 г. сумата на собствения капитал и резервите е в размер на </w:t>
      </w:r>
      <w:r w:rsidR="00487CE3">
        <w:t>2 38</w:t>
      </w:r>
      <w:r w:rsidR="0088309F">
        <w:rPr>
          <w:lang w:val="en-US"/>
        </w:rPr>
        <w:t>8</w:t>
      </w:r>
      <w:r w:rsidRPr="009F1A0D">
        <w:t xml:space="preserve"> хил.лв., нетекущи пасиви са в размер на </w:t>
      </w:r>
      <w:r w:rsidR="009B3F31">
        <w:t xml:space="preserve">3 276 </w:t>
      </w:r>
      <w:r w:rsidRPr="009F1A0D">
        <w:t xml:space="preserve">хил.лв., а текущи пасиви са в размер на </w:t>
      </w:r>
      <w:r w:rsidR="00487CE3">
        <w:t>1 33</w:t>
      </w:r>
      <w:r w:rsidR="0088309F">
        <w:rPr>
          <w:lang w:val="en-US"/>
        </w:rPr>
        <w:t>9</w:t>
      </w:r>
      <w:r w:rsidRPr="009F1A0D">
        <w:t xml:space="preserve"> хил.лв.</w:t>
      </w:r>
    </w:p>
    <w:p w:rsidR="00510C22" w:rsidRPr="009F1A0D" w:rsidRDefault="00510C22" w:rsidP="00510C22">
      <w:pPr>
        <w:jc w:val="both"/>
      </w:pPr>
    </w:p>
    <w:p w:rsidR="00510C22" w:rsidRPr="009F1A0D" w:rsidRDefault="00510C22" w:rsidP="00510C22">
      <w:pPr>
        <w:jc w:val="both"/>
        <w:rPr>
          <w:b/>
        </w:rPr>
      </w:pPr>
      <w:r w:rsidRPr="009F1A0D">
        <w:rPr>
          <w:b/>
        </w:rPr>
        <w:t>2.Информация за важни събития, настъпили през тримесечието и с натрупване от началото на финансовата година до края на съответното тримесечие, и за тяхното влияние върху резултатите във финансовия отчет.</w:t>
      </w:r>
    </w:p>
    <w:p w:rsidR="00510C22" w:rsidRPr="009F1A0D" w:rsidRDefault="00510C22" w:rsidP="00510C22">
      <w:pPr>
        <w:jc w:val="both"/>
        <w:rPr>
          <w:b/>
        </w:rPr>
      </w:pPr>
    </w:p>
    <w:p w:rsidR="00510C22" w:rsidRDefault="00510C22" w:rsidP="00510C22">
      <w:pPr>
        <w:jc w:val="both"/>
      </w:pPr>
      <w:r w:rsidRPr="009F1A0D">
        <w:t>Не са налице важни събития, настъпили през тримесечието, които са оказали влияние върху резултатите във финансовия отчет.</w:t>
      </w:r>
    </w:p>
    <w:p w:rsidR="00974DC7" w:rsidRDefault="00974DC7" w:rsidP="00510C22">
      <w:pPr>
        <w:jc w:val="both"/>
      </w:pPr>
    </w:p>
    <w:p w:rsidR="00974DC7" w:rsidRPr="009F1A0D" w:rsidRDefault="00974DC7" w:rsidP="00974DC7">
      <w:pPr>
        <w:jc w:val="both"/>
        <w:rPr>
          <w:b/>
          <w:lang w:val="ru-RU"/>
        </w:rPr>
      </w:pPr>
      <w:r w:rsidRPr="009F1A0D">
        <w:rPr>
          <w:b/>
        </w:rPr>
        <w:t>3.Описание на основните рискове и несигурности, пред които е изправен емитентът през останалата част от финансовата година</w:t>
      </w:r>
    </w:p>
    <w:p w:rsidR="00974DC7" w:rsidRPr="009F1A0D" w:rsidRDefault="00974DC7" w:rsidP="00974DC7">
      <w:pPr>
        <w:jc w:val="both"/>
        <w:rPr>
          <w:b/>
          <w:color w:val="FF0000"/>
          <w:highlight w:val="red"/>
          <w:lang w:val="ru-RU"/>
        </w:rPr>
      </w:pPr>
    </w:p>
    <w:p w:rsidR="00974DC7" w:rsidRPr="0022231C" w:rsidRDefault="00974DC7" w:rsidP="00974DC7">
      <w:pPr>
        <w:jc w:val="both"/>
      </w:pPr>
      <w:r w:rsidRPr="009F1A0D">
        <w:t>При осъществяване на своята текуща, инвестиционна и финансова дейност, Дружеството е изложено на следните финансови рискове:</w:t>
      </w:r>
    </w:p>
    <w:p w:rsidR="00974DC7" w:rsidRPr="009F1A0D" w:rsidRDefault="00974DC7" w:rsidP="00974DC7">
      <w:pPr>
        <w:jc w:val="both"/>
        <w:rPr>
          <w:lang w:val="ru-RU" w:eastAsia="en-US"/>
        </w:rPr>
      </w:pPr>
      <w:r w:rsidRPr="009F1A0D">
        <w:t>•</w:t>
      </w:r>
      <w:r w:rsidRPr="009F1A0D">
        <w:tab/>
      </w:r>
      <w:r w:rsidRPr="009F1A0D">
        <w:rPr>
          <w:lang w:val="ru-RU" w:eastAsia="en-US"/>
        </w:rPr>
        <w:t>Кредитен риск: възможността длъжник да не изплати заем – изцяло или частично – или да не го изплати своевременно, предизвиквайки по този начин загуба за Дружеството;</w:t>
      </w:r>
    </w:p>
    <w:p w:rsidR="00974DC7" w:rsidRPr="009F1A0D" w:rsidRDefault="00974DC7" w:rsidP="00974DC7">
      <w:pPr>
        <w:jc w:val="both"/>
        <w:rPr>
          <w:lang w:val="ru-RU" w:eastAsia="en-US"/>
        </w:rPr>
      </w:pPr>
      <w:r w:rsidRPr="009F1A0D">
        <w:rPr>
          <w:lang w:val="ru-RU" w:eastAsia="en-US"/>
        </w:rPr>
        <w:t>•</w:t>
      </w:r>
      <w:r w:rsidRPr="009F1A0D">
        <w:rPr>
          <w:lang w:val="ru-RU" w:eastAsia="en-US"/>
        </w:rPr>
        <w:tab/>
        <w:t>Ликвиден риск: рискът компанията да няма или да не е в състояние да набави парични средства, когато са необходими и поради това да срещне трудности при изпълнение на своите финансови задължения;</w:t>
      </w:r>
    </w:p>
    <w:p w:rsidR="00974DC7" w:rsidRPr="009F1A0D" w:rsidRDefault="00974DC7" w:rsidP="00974DC7">
      <w:pPr>
        <w:jc w:val="both"/>
        <w:rPr>
          <w:lang w:val="ru-RU" w:eastAsia="en-US"/>
        </w:rPr>
      </w:pPr>
      <w:r w:rsidRPr="009F1A0D">
        <w:rPr>
          <w:lang w:val="ru-RU" w:eastAsia="en-US"/>
        </w:rPr>
        <w:t>•</w:t>
      </w:r>
      <w:r w:rsidRPr="009F1A0D">
        <w:rPr>
          <w:lang w:val="ru-RU" w:eastAsia="en-US"/>
        </w:rPr>
        <w:tab/>
        <w:t>Пазарен риск: рискът определен финансов инструмент да претърпи колебания по отношение на справедливата стойност или на бъдещите парични потоци в резултат на колебания на пазарните цени. Всъщност Дружеството е изложено на три компонента на пазарния риск:</w:t>
      </w:r>
    </w:p>
    <w:p w:rsidR="00974DC7" w:rsidRPr="009F1A0D" w:rsidRDefault="00974DC7" w:rsidP="00974DC7">
      <w:pPr>
        <w:jc w:val="both"/>
        <w:rPr>
          <w:lang w:val="ru-RU" w:eastAsia="en-US"/>
        </w:rPr>
      </w:pPr>
      <w:r w:rsidRPr="009F1A0D">
        <w:rPr>
          <w:lang w:val="ru-RU" w:eastAsia="en-US"/>
        </w:rPr>
        <w:t>-</w:t>
      </w:r>
      <w:r w:rsidRPr="009F1A0D">
        <w:rPr>
          <w:lang w:val="ru-RU" w:eastAsia="en-US"/>
        </w:rPr>
        <w:tab/>
        <w:t>Лихвен риск;</w:t>
      </w:r>
    </w:p>
    <w:p w:rsidR="00974DC7" w:rsidRPr="009F1A0D" w:rsidRDefault="00974DC7" w:rsidP="00974DC7">
      <w:pPr>
        <w:jc w:val="both"/>
        <w:rPr>
          <w:lang w:val="ru-RU" w:eastAsia="en-US"/>
        </w:rPr>
      </w:pPr>
      <w:r w:rsidRPr="009F1A0D">
        <w:rPr>
          <w:lang w:val="ru-RU" w:eastAsia="en-US"/>
        </w:rPr>
        <w:t>-</w:t>
      </w:r>
      <w:r w:rsidRPr="009F1A0D">
        <w:rPr>
          <w:lang w:val="ru-RU" w:eastAsia="en-US"/>
        </w:rPr>
        <w:tab/>
        <w:t>Валутен риск;</w:t>
      </w:r>
    </w:p>
    <w:p w:rsidR="00974DC7" w:rsidRPr="009F1A0D" w:rsidRDefault="00974DC7" w:rsidP="00974DC7">
      <w:pPr>
        <w:jc w:val="both"/>
        <w:rPr>
          <w:lang w:val="ru-RU" w:eastAsia="en-US"/>
        </w:rPr>
      </w:pPr>
      <w:r w:rsidRPr="009F1A0D">
        <w:rPr>
          <w:lang w:val="ru-RU" w:eastAsia="en-US"/>
        </w:rPr>
        <w:t>-</w:t>
      </w:r>
      <w:r w:rsidRPr="009F1A0D">
        <w:rPr>
          <w:lang w:val="ru-RU" w:eastAsia="en-US"/>
        </w:rPr>
        <w:tab/>
        <w:t>Риск от промяна в цената на собствения капитал.</w:t>
      </w:r>
    </w:p>
    <w:p w:rsidR="00974DC7" w:rsidRPr="009F1A0D" w:rsidRDefault="00974DC7" w:rsidP="00974DC7">
      <w:pPr>
        <w:jc w:val="both"/>
        <w:rPr>
          <w:lang w:val="ru-RU" w:eastAsia="en-US"/>
        </w:rPr>
      </w:pPr>
      <w:r w:rsidRPr="009F1A0D">
        <w:rPr>
          <w:lang w:val="ru-RU" w:eastAsia="en-US"/>
        </w:rPr>
        <w:t xml:space="preserve">За ефективно управление на тези рискове, </w:t>
      </w:r>
      <w:r w:rsidRPr="009F1A0D">
        <w:rPr>
          <w:lang w:eastAsia="en-US"/>
        </w:rPr>
        <w:t>Съвета</w:t>
      </w:r>
      <w:r w:rsidRPr="009F1A0D">
        <w:rPr>
          <w:lang w:val="ru-RU" w:eastAsia="en-US"/>
        </w:rPr>
        <w:t xml:space="preserve"> на директорите е одобрил специфични стратегии за мениджмънт на финансовия риск, които са в съответствие с корпоративните цели. Основните насоки на тези стратегии определят краткосрочните и дългосрочните цели и действия, които трябва да се предприемат, за да се управляват финансовите рискове, пред които е изправено Дружеството. </w:t>
      </w:r>
    </w:p>
    <w:p w:rsidR="00974DC7" w:rsidRPr="009F1A0D" w:rsidRDefault="00974DC7" w:rsidP="00974DC7">
      <w:pPr>
        <w:jc w:val="both"/>
        <w:rPr>
          <w:lang w:val="ru-RU" w:eastAsia="en-US"/>
        </w:rPr>
      </w:pPr>
      <w:r w:rsidRPr="009F1A0D">
        <w:rPr>
          <w:lang w:val="ru-RU" w:eastAsia="en-US"/>
        </w:rPr>
        <w:lastRenderedPageBreak/>
        <w:t>Основните насоки на политиката по отношение на финансовите рискове са следните:</w:t>
      </w:r>
    </w:p>
    <w:p w:rsidR="00974DC7" w:rsidRPr="009F1A0D" w:rsidRDefault="00974DC7" w:rsidP="00974DC7">
      <w:pPr>
        <w:jc w:val="both"/>
        <w:rPr>
          <w:lang w:val="ru-RU" w:eastAsia="en-US"/>
        </w:rPr>
      </w:pPr>
      <w:r w:rsidRPr="009F1A0D">
        <w:rPr>
          <w:lang w:val="ru-RU" w:eastAsia="en-US"/>
        </w:rPr>
        <w:t>•  Минимизиране на лихвения риск, валутния риск и ценовия риск за всички видове сделки;</w:t>
      </w:r>
    </w:p>
    <w:p w:rsidR="00974DC7" w:rsidRPr="009F1A0D" w:rsidRDefault="00974DC7" w:rsidP="00974DC7">
      <w:pPr>
        <w:jc w:val="both"/>
        <w:rPr>
          <w:lang w:val="ru-RU" w:eastAsia="en-US"/>
        </w:rPr>
      </w:pPr>
      <w:r w:rsidRPr="009F1A0D">
        <w:rPr>
          <w:lang w:val="ru-RU" w:eastAsia="en-US"/>
        </w:rPr>
        <w:t>•  Максимално използване на „естественото хеджиране”, при което в максимална възможна степен се залага на естественото прихващане на продажби, разходи, дължими суми и вземания, преизчислени в съответната валута, вследствие на което се налага прилагане на стратегии на хеджиране само за салдата в превишение. Същата стратегия се прилага и по отношение на лихвения риск;</w:t>
      </w:r>
    </w:p>
    <w:p w:rsidR="00974DC7" w:rsidRPr="009F1A0D" w:rsidRDefault="00974DC7" w:rsidP="00974DC7">
      <w:pPr>
        <w:jc w:val="both"/>
        <w:rPr>
          <w:lang w:val="ru-RU" w:eastAsia="en-US"/>
        </w:rPr>
      </w:pPr>
      <w:r w:rsidRPr="009F1A0D">
        <w:rPr>
          <w:lang w:val="ru-RU" w:eastAsia="en-US"/>
        </w:rPr>
        <w:t>•  Внедряване на деривативи или други подобни инструменти единствено за целите на хеджиране;</w:t>
      </w:r>
    </w:p>
    <w:p w:rsidR="00974DC7" w:rsidRPr="009F1A0D" w:rsidRDefault="00974DC7" w:rsidP="00974DC7">
      <w:pPr>
        <w:jc w:val="both"/>
        <w:rPr>
          <w:lang w:val="ru-RU" w:eastAsia="en-US"/>
        </w:rPr>
      </w:pPr>
      <w:r w:rsidRPr="009F1A0D">
        <w:rPr>
          <w:lang w:val="ru-RU" w:eastAsia="en-US"/>
        </w:rPr>
        <w:t>•  Всички дейности по управление на финансовия риск се осъществяват и контролират на централно ниво;</w:t>
      </w:r>
    </w:p>
    <w:p w:rsidR="00974DC7" w:rsidRPr="009F1A0D" w:rsidRDefault="00974DC7" w:rsidP="00974DC7">
      <w:pPr>
        <w:jc w:val="both"/>
        <w:rPr>
          <w:lang w:val="ru-RU" w:eastAsia="en-US"/>
        </w:rPr>
      </w:pPr>
      <w:r w:rsidRPr="009F1A0D">
        <w:rPr>
          <w:lang w:val="ru-RU" w:eastAsia="en-US"/>
        </w:rPr>
        <w:t>•  Всички дейности по управление на финансовия риск се осъществяват на разумна и последователна основа и при спазване на най-добрите пазарни практики.</w:t>
      </w:r>
    </w:p>
    <w:p w:rsidR="00974DC7" w:rsidRPr="009F1A0D" w:rsidRDefault="00974DC7" w:rsidP="00974DC7">
      <w:pPr>
        <w:jc w:val="both"/>
      </w:pPr>
      <w:r w:rsidRPr="009F1A0D">
        <w:rPr>
          <w:lang w:val="ru-RU" w:eastAsia="en-US"/>
        </w:rPr>
        <w:t xml:space="preserve">Дружеството може да инвестира в акции или други подобни инструменти само в случай, че е налице временна допълнителна ликвидност, като за всички подобни сделки е необходимо разрешение от </w:t>
      </w:r>
      <w:r w:rsidRPr="009F1A0D">
        <w:rPr>
          <w:lang w:eastAsia="en-US"/>
        </w:rPr>
        <w:t>Съвета</w:t>
      </w:r>
      <w:r w:rsidRPr="009F1A0D">
        <w:rPr>
          <w:lang w:val="ru-RU" w:eastAsia="en-US"/>
        </w:rPr>
        <w:t xml:space="preserve"> на директорите.</w:t>
      </w:r>
    </w:p>
    <w:p w:rsidR="00974DC7" w:rsidRPr="009F1A0D" w:rsidRDefault="00974DC7" w:rsidP="00974DC7">
      <w:pPr>
        <w:jc w:val="both"/>
      </w:pPr>
      <w:r w:rsidRPr="009F1A0D">
        <w:t>По-долу са описани различните видове рискове на които е изложено дружеството при осъществяване на търговските му операции както и възприетият подход при управлението на тези рискове.</w:t>
      </w:r>
    </w:p>
    <w:p w:rsidR="00974DC7" w:rsidRPr="009F1A0D" w:rsidRDefault="00974DC7" w:rsidP="00974DC7">
      <w:pPr>
        <w:jc w:val="both"/>
      </w:pPr>
      <w:r w:rsidRPr="009F1A0D">
        <w:t>Валутен риск</w:t>
      </w:r>
    </w:p>
    <w:p w:rsidR="00974DC7" w:rsidRPr="009F1A0D" w:rsidRDefault="00974DC7" w:rsidP="00974DC7">
      <w:pPr>
        <w:jc w:val="both"/>
      </w:pPr>
      <w:r w:rsidRPr="009F1A0D">
        <w:t>Дружеството не е изложено на съществен валутен риск, защото основно неговите операции и сделки са деноминирани в български лева и/или евро, доколкото последното е с фиксиран курс спрямо лева по закон.</w:t>
      </w:r>
    </w:p>
    <w:p w:rsidR="00974DC7" w:rsidRPr="009F1A0D" w:rsidRDefault="00974DC7" w:rsidP="00974DC7">
      <w:pPr>
        <w:jc w:val="both"/>
        <w:rPr>
          <w:b/>
        </w:rPr>
      </w:pPr>
      <w:bookmarkStart w:id="0" w:name="_Toc221440217"/>
      <w:r w:rsidRPr="009F1A0D">
        <w:rPr>
          <w:b/>
        </w:rPr>
        <w:t>Ценови риск</w:t>
      </w:r>
      <w:bookmarkEnd w:id="0"/>
    </w:p>
    <w:p w:rsidR="00974DC7" w:rsidRPr="009F1A0D" w:rsidRDefault="00974DC7" w:rsidP="00974DC7">
      <w:pPr>
        <w:jc w:val="both"/>
        <w:rPr>
          <w:lang w:val="ru-RU"/>
        </w:rPr>
      </w:pPr>
      <w:r w:rsidRPr="009F1A0D">
        <w:t xml:space="preserve">Ценовата политика е функция от следните фактори – структура на разходите, цени на конкуренти и покупателна възможност на потребителите, регулаторни режими. Дружеството прилага гъвкава фирмена стратегия с цел поддържане на оптимално ниво на разходите, разширяване на номенклатурата на продуктите и услугите и поддържане на  пазарни и конкурентни ценови равнища. </w:t>
      </w:r>
    </w:p>
    <w:p w:rsidR="00974DC7" w:rsidRPr="009F1A0D" w:rsidRDefault="00974DC7" w:rsidP="00974DC7">
      <w:pPr>
        <w:jc w:val="both"/>
      </w:pPr>
      <w:bookmarkStart w:id="1" w:name="_Toc221440218"/>
      <w:r w:rsidRPr="009F1A0D">
        <w:t>Кредитен риск</w:t>
      </w:r>
      <w:bookmarkEnd w:id="1"/>
    </w:p>
    <w:p w:rsidR="00974DC7" w:rsidRPr="009F1A0D" w:rsidRDefault="00974DC7" w:rsidP="00974DC7">
      <w:pPr>
        <w:jc w:val="both"/>
      </w:pPr>
      <w:r w:rsidRPr="009F1A0D">
        <w:t xml:space="preserve">Кредитният риск е основно рискът, при който клиентите и другите контрагенти на дружеството няма да бъдат в състояние да изплатят изцяло и в обичайно предвидените срокове дължимите от тях суми по заеми, търговски и други вземания. </w:t>
      </w:r>
    </w:p>
    <w:p w:rsidR="00974DC7" w:rsidRPr="009F1A0D" w:rsidRDefault="00974DC7" w:rsidP="00974DC7">
      <w:pPr>
        <w:jc w:val="both"/>
      </w:pPr>
      <w:r w:rsidRPr="009F1A0D">
        <w:t xml:space="preserve">Основните финансови активи на дружеството носители на кредитен риск са парични средства в банкови сметки (текущи депозити), вземания по предоставени заеми, вземания от клиенти и други краткосрочни вземания.     </w:t>
      </w:r>
    </w:p>
    <w:p w:rsidR="00974DC7" w:rsidRPr="009F1A0D" w:rsidRDefault="00974DC7" w:rsidP="00974DC7">
      <w:pPr>
        <w:jc w:val="both"/>
      </w:pPr>
      <w:r w:rsidRPr="009F1A0D">
        <w:t>За ограничаване на кредитния риск по текущи и срочни депозити в банки, дружеството е възприело политика да разпределя и инвестира свободните си парични средства в различни финансови институции в България, с висока репутация и доказан стабилитет.</w:t>
      </w:r>
    </w:p>
    <w:p w:rsidR="00974DC7" w:rsidRPr="009F1A0D" w:rsidRDefault="00974DC7" w:rsidP="00974DC7">
      <w:pPr>
        <w:jc w:val="both"/>
      </w:pPr>
      <w:r w:rsidRPr="009F1A0D">
        <w:t xml:space="preserve">Дружеството не предоставя кредитни периоди на клиентите си. Голяма част от туристическите услуги и наемите се предплащат. </w:t>
      </w:r>
      <w:r w:rsidRPr="009F1A0D">
        <w:rPr>
          <w:spacing w:val="-2"/>
        </w:rPr>
        <w:t xml:space="preserve">Дружеството предоставя заеми основно на  свързани лица, като се изискват и съответните обезпечения – записи на заповед и/или ипотеки на недвижими имоти в зависимост от взаимоотношенията на Дружеството с лицата. </w:t>
      </w:r>
      <w:r w:rsidRPr="009F1A0D">
        <w:rPr>
          <w:spacing w:val="-1"/>
        </w:rPr>
        <w:t xml:space="preserve">В Дружеството няма значителна концентрация на кредитен риск. </w:t>
      </w:r>
      <w:r w:rsidRPr="009F1A0D">
        <w:rPr>
          <w:spacing w:val="-2"/>
        </w:rPr>
        <w:t xml:space="preserve">Ръководството не очаква загуби, в следствие на неизпълнение на задълженията на своите контрагенти. </w:t>
      </w:r>
      <w:r w:rsidRPr="009F1A0D">
        <w:rPr>
          <w:spacing w:val="-1"/>
        </w:rPr>
        <w:t>Дружеството има изградена политика, която ограничава размера на кредитната експозиция към отделна финансова институция. Максималната експозиция на кредитен риск е балансовата стойност на финансовите активи.</w:t>
      </w:r>
    </w:p>
    <w:p w:rsidR="00974DC7" w:rsidRPr="009F1A0D" w:rsidRDefault="00974DC7" w:rsidP="00974DC7">
      <w:pPr>
        <w:jc w:val="both"/>
      </w:pPr>
      <w:r w:rsidRPr="009F1A0D">
        <w:lastRenderedPageBreak/>
        <w:t>Вземанията от клиенти са представени в отчета за финансовото състояние в нетен размер след приспадане на начислените обезценки по съмнителни и трудносъбираеми вземания. Такива обезценки са направени където и когато са били налице събития идентифициращи загуби от несъбираемост съгласно предишен опит.</w:t>
      </w:r>
    </w:p>
    <w:p w:rsidR="00974DC7" w:rsidRPr="009F1A0D" w:rsidRDefault="00974DC7" w:rsidP="00974DC7">
      <w:pPr>
        <w:jc w:val="both"/>
      </w:pPr>
      <w:r w:rsidRPr="009F1A0D">
        <w:t>Ликвиден риск</w:t>
      </w:r>
    </w:p>
    <w:p w:rsidR="00974DC7" w:rsidRPr="009F1A0D" w:rsidRDefault="00974DC7" w:rsidP="00974DC7">
      <w:pPr>
        <w:jc w:val="both"/>
      </w:pPr>
      <w:r w:rsidRPr="009F1A0D">
        <w:t>Ликвидният риск се изразява в негативната ситуация дружеството да не бъде в състояние да посрещне безусловно всички свои задължения съгласно техния падеж. То провежда консервативна политика по управление на ликвидността чрез която постоянно поддържа оптимален ликвиден запас парични средства добра способност на финансиране на стопанската си дейност. Дружеството генерира и разполага с достатъчно собствени оборотни средства. Текущо матуритетът и своевременното осъществяване на плащанията се следи от финансовия отдел като се поддържа ежедневна информация за наличните парични средства и предстоящите плащания. За свободните средства се обмисля краткосрочно инвестиране при най-добри лихвени равнища.</w:t>
      </w:r>
    </w:p>
    <w:p w:rsidR="00974DC7" w:rsidRPr="009F1A0D" w:rsidRDefault="00974DC7" w:rsidP="00974DC7">
      <w:pPr>
        <w:jc w:val="both"/>
        <w:rPr>
          <w:b/>
        </w:rPr>
      </w:pPr>
      <w:r w:rsidRPr="009F1A0D">
        <w:rPr>
          <w:b/>
        </w:rPr>
        <w:t xml:space="preserve">Риск на лихвено-обвързаните паричните потоци </w:t>
      </w:r>
    </w:p>
    <w:p w:rsidR="00974DC7" w:rsidRPr="009F1A0D" w:rsidRDefault="00974DC7" w:rsidP="00974DC7">
      <w:pPr>
        <w:jc w:val="both"/>
      </w:pPr>
      <w:r w:rsidRPr="009F1A0D">
        <w:rPr>
          <w:lang w:eastAsia="en-US"/>
        </w:rPr>
        <w:t xml:space="preserve">Лихвеният риск за Дружеството възниква от получените дългосрочни заеми. Заемите с плаващи лихвени проценти излагат Дружеството на лихвен риск, свързан с изменение на бъдещите паричните потоци. Заемите с фиксирани лихвени проценти излагат Дружеството на лихвен риск, свързан с колебания при бъдещо определяне на справедливи стойности. </w:t>
      </w:r>
      <w:r w:rsidRPr="009F1A0D">
        <w:rPr>
          <w:lang w:val="ru-RU" w:eastAsia="en-US"/>
        </w:rPr>
        <w:t>За да хеджира тези рискове,  Дружеството използва деривативи и други хеджиращи инструменти</w:t>
      </w:r>
      <w:r w:rsidRPr="009F1A0D">
        <w:rPr>
          <w:lang w:eastAsia="en-US"/>
        </w:rPr>
        <w:t xml:space="preserve"> - х</w:t>
      </w:r>
      <w:r w:rsidRPr="009F1A0D">
        <w:rPr>
          <w:lang w:val="ru-RU" w:eastAsia="en-US"/>
        </w:rPr>
        <w:t>еджиране на паричен поток.</w:t>
      </w:r>
    </w:p>
    <w:p w:rsidR="00974DC7" w:rsidRPr="009F1A0D" w:rsidRDefault="00974DC7" w:rsidP="00974DC7">
      <w:pPr>
        <w:jc w:val="both"/>
      </w:pPr>
      <w:r w:rsidRPr="009F1A0D">
        <w:rPr>
          <w:lang w:eastAsia="en-US"/>
        </w:rPr>
        <w:t>Политиката на Дружеството е да сключва договори за заем при лихвен процент, фиксиран към пазарния, например EURIBOR, и експозициите се следят регулярно.</w:t>
      </w:r>
    </w:p>
    <w:p w:rsidR="00974DC7" w:rsidRPr="009F1A0D" w:rsidRDefault="00974DC7" w:rsidP="00974DC7">
      <w:pPr>
        <w:jc w:val="both"/>
      </w:pPr>
      <w:r w:rsidRPr="009F1A0D">
        <w:t xml:space="preserve">Наличностите по безсрочни депозити в банкови сметки се олихвяват на база на официално обявените фиксирани лихвени нива от съответната банка и приходите от тях са несъществени по размер. Лихвени нива по този тип депозити не са директно обвързани с пазарни лихвени индекси но същевременно могат да бъдат едностранно променени от банката-контрагент в следствие на промените на пазара. Поради това тези депозити са третирани като финансови активи с променлив лихвен процент. </w:t>
      </w:r>
    </w:p>
    <w:p w:rsidR="00974DC7" w:rsidRPr="009F1A0D" w:rsidRDefault="00974DC7" w:rsidP="00974DC7">
      <w:pPr>
        <w:jc w:val="both"/>
      </w:pPr>
      <w:r w:rsidRPr="009F1A0D">
        <w:t>Ръководството на дружеството текущо наблюдава и анализира неговата  експозиция спрямо промените в лихвените равнища. Поради наличието на известна концентрация на лихвен риск се симулират различни сценарии на рефинансиране, подновяване на съществуващи позицииq алтернативно финансиране</w:t>
      </w:r>
      <w:r w:rsidRPr="009F1A0D">
        <w:rPr>
          <w:lang w:val="ru-RU"/>
        </w:rPr>
        <w:t xml:space="preserve"> </w:t>
      </w:r>
      <w:r w:rsidRPr="009F1A0D">
        <w:t xml:space="preserve">и хеджиране. На база тези сценарии се измерва и ефекта върху финансовия резултат и собствения капитал при промяна на лихвения процент. </w:t>
      </w:r>
    </w:p>
    <w:p w:rsidR="00974DC7" w:rsidRPr="009F1A0D" w:rsidRDefault="00974DC7" w:rsidP="00974DC7">
      <w:pPr>
        <w:jc w:val="both"/>
        <w:rPr>
          <w:b/>
        </w:rPr>
      </w:pPr>
    </w:p>
    <w:p w:rsidR="00974DC7" w:rsidRPr="009F1A0D" w:rsidRDefault="00974DC7" w:rsidP="00974DC7">
      <w:pPr>
        <w:jc w:val="both"/>
        <w:rPr>
          <w:b/>
          <w:lang w:val="en-US"/>
        </w:rPr>
      </w:pPr>
      <w:r w:rsidRPr="009F1A0D">
        <w:rPr>
          <w:b/>
        </w:rPr>
        <w:t>Управление на капиталовия риск</w:t>
      </w:r>
      <w:r w:rsidRPr="009F1A0D">
        <w:rPr>
          <w:b/>
          <w:lang w:val="en-US"/>
        </w:rPr>
        <w:t xml:space="preserve"> </w:t>
      </w:r>
    </w:p>
    <w:p w:rsidR="00974DC7" w:rsidRPr="009F1A0D" w:rsidRDefault="00974DC7" w:rsidP="00974DC7">
      <w:pPr>
        <w:jc w:val="both"/>
      </w:pPr>
      <w:r w:rsidRPr="009F1A0D">
        <w:t>С управлението на капитала дружеството цели да създава и поддържа възможности то да продължи да функционира като действащо предприятие и да осигурява съответната възвръщаемост на инвестираните средства на собственика и стопански ползи на другите заинтересовани лица  и участници в неговия бизнес.</w:t>
      </w:r>
    </w:p>
    <w:p w:rsidR="00974DC7" w:rsidRPr="009F1A0D" w:rsidRDefault="00974DC7" w:rsidP="00974DC7">
      <w:pPr>
        <w:jc w:val="both"/>
        <w:rPr>
          <w:rFonts w:eastAsia="Calibri"/>
          <w:lang w:val="ru-RU" w:eastAsia="en-US"/>
        </w:rPr>
      </w:pPr>
      <w:r w:rsidRPr="009F1A0D">
        <w:rPr>
          <w:rFonts w:eastAsia="Calibri"/>
          <w:lang w:val="ru-RU" w:eastAsia="en-US"/>
        </w:rPr>
        <w:t>Дружеството управлява капиталовата си структура и прави корекции в нея с оглед на промените в икономическите условия. За поддържане или коригиране на капиталовата структура Дружеството може да коригира плащането на дивиденти на акционерите, възвръщаемостта върху капитала на акционерите или емисията на нови акции.</w:t>
      </w:r>
    </w:p>
    <w:p w:rsidR="00974DC7" w:rsidRPr="009F1A0D" w:rsidRDefault="00974DC7" w:rsidP="00974DC7">
      <w:pPr>
        <w:jc w:val="both"/>
        <w:rPr>
          <w:lang w:val="en-US"/>
        </w:rPr>
      </w:pPr>
      <w:r w:rsidRPr="009F1A0D">
        <w:t xml:space="preserve">Дружеството контролира капитала на база на коефициент на задлъжнялост. Този коефциент се изчислява като нетния дълг се раздели на общия капитал. Нетния дълг се изчислява като от общите заеми (включващи „текущи и нетекущи заеми”, както са показани в отчета за финансовото състояние) се приспаднат парите и паричните </w:t>
      </w:r>
      <w:r w:rsidRPr="009F1A0D">
        <w:lastRenderedPageBreak/>
        <w:t>еквиваленти. Общият капитал се изчислява като „собствения капитал”, както е показан в отчета за финансовото състояние, се събере с нетния дълг</w:t>
      </w:r>
      <w:r w:rsidRPr="009F1A0D">
        <w:rPr>
          <w:lang w:val="ru-RU"/>
        </w:rPr>
        <w:t xml:space="preserve">. </w:t>
      </w:r>
      <w:r w:rsidR="0022231C">
        <w:t>Нивата на задлъжнялост към 30 юни</w:t>
      </w:r>
      <w:r w:rsidRPr="009F1A0D">
        <w:t xml:space="preserve"> са както следва:</w:t>
      </w:r>
    </w:p>
    <w:tbl>
      <w:tblPr>
        <w:tblW w:w="8955" w:type="dxa"/>
        <w:tblCellMar>
          <w:left w:w="0" w:type="dxa"/>
          <w:right w:w="0" w:type="dxa"/>
        </w:tblCellMar>
        <w:tblLook w:val="0000"/>
      </w:tblPr>
      <w:tblGrid>
        <w:gridCol w:w="5955"/>
        <w:gridCol w:w="1380"/>
        <w:gridCol w:w="240"/>
        <w:gridCol w:w="1380"/>
      </w:tblGrid>
      <w:tr w:rsidR="00974DC7" w:rsidRPr="009F1A0D" w:rsidTr="000F155B">
        <w:trPr>
          <w:trHeight w:val="315"/>
        </w:trPr>
        <w:tc>
          <w:tcPr>
            <w:tcW w:w="5955" w:type="dxa"/>
            <w:tcBorders>
              <w:top w:val="nil"/>
              <w:left w:val="nil"/>
              <w:bottom w:val="nil"/>
              <w:right w:val="nil"/>
            </w:tcBorders>
            <w:tcMar>
              <w:top w:w="15" w:type="dxa"/>
              <w:left w:w="15" w:type="dxa"/>
              <w:bottom w:w="0" w:type="dxa"/>
              <w:right w:w="15" w:type="dxa"/>
            </w:tcMar>
            <w:vAlign w:val="bottom"/>
          </w:tcPr>
          <w:p w:rsidR="00974DC7" w:rsidRPr="009F1A0D" w:rsidRDefault="00974DC7" w:rsidP="000F155B">
            <w:pPr>
              <w:jc w:val="both"/>
              <w:rPr>
                <w:rFonts w:eastAsia="Arial Unicode MS"/>
              </w:rPr>
            </w:pPr>
          </w:p>
        </w:tc>
        <w:tc>
          <w:tcPr>
            <w:tcW w:w="1380" w:type="dxa"/>
            <w:tcBorders>
              <w:top w:val="nil"/>
              <w:left w:val="nil"/>
              <w:bottom w:val="nil"/>
              <w:right w:val="nil"/>
            </w:tcBorders>
            <w:tcMar>
              <w:top w:w="15" w:type="dxa"/>
              <w:left w:w="15" w:type="dxa"/>
              <w:bottom w:w="0" w:type="dxa"/>
              <w:right w:w="15" w:type="dxa"/>
            </w:tcMar>
            <w:vAlign w:val="bottom"/>
          </w:tcPr>
          <w:p w:rsidR="00974DC7" w:rsidRPr="009F1A0D" w:rsidRDefault="00F26E46" w:rsidP="000F155B">
            <w:pPr>
              <w:jc w:val="both"/>
              <w:rPr>
                <w:rFonts w:eastAsia="Arial Unicode MS"/>
                <w:b/>
                <w:bCs/>
                <w:iCs/>
                <w:lang w:val="en-US"/>
              </w:rPr>
            </w:pPr>
            <w:r>
              <w:rPr>
                <w:b/>
                <w:bCs/>
                <w:iCs/>
              </w:rPr>
              <w:t>30</w:t>
            </w:r>
            <w:r w:rsidR="00475EF0">
              <w:rPr>
                <w:b/>
                <w:bCs/>
                <w:iCs/>
              </w:rPr>
              <w:t>.06</w:t>
            </w:r>
            <w:r w:rsidR="00974DC7" w:rsidRPr="009F1A0D">
              <w:rPr>
                <w:b/>
                <w:bCs/>
                <w:iCs/>
              </w:rPr>
              <w:t>.2016</w:t>
            </w:r>
          </w:p>
        </w:tc>
        <w:tc>
          <w:tcPr>
            <w:tcW w:w="240" w:type="dxa"/>
            <w:tcBorders>
              <w:top w:val="nil"/>
              <w:left w:val="nil"/>
              <w:bottom w:val="nil"/>
              <w:right w:val="nil"/>
            </w:tcBorders>
            <w:tcMar>
              <w:top w:w="15" w:type="dxa"/>
              <w:left w:w="15" w:type="dxa"/>
              <w:bottom w:w="0" w:type="dxa"/>
              <w:right w:w="15" w:type="dxa"/>
            </w:tcMar>
            <w:vAlign w:val="bottom"/>
          </w:tcPr>
          <w:p w:rsidR="00974DC7" w:rsidRPr="009F1A0D" w:rsidRDefault="00974DC7" w:rsidP="000F155B">
            <w:pPr>
              <w:jc w:val="both"/>
              <w:rPr>
                <w:rFonts w:eastAsia="Arial Unicode MS"/>
                <w:b/>
              </w:rPr>
            </w:pPr>
          </w:p>
        </w:tc>
        <w:tc>
          <w:tcPr>
            <w:tcW w:w="1380" w:type="dxa"/>
            <w:tcBorders>
              <w:top w:val="nil"/>
              <w:left w:val="nil"/>
              <w:bottom w:val="nil"/>
              <w:right w:val="nil"/>
            </w:tcBorders>
            <w:tcMar>
              <w:top w:w="15" w:type="dxa"/>
              <w:left w:w="15" w:type="dxa"/>
              <w:bottom w:w="0" w:type="dxa"/>
              <w:right w:w="15" w:type="dxa"/>
            </w:tcMar>
            <w:vAlign w:val="bottom"/>
          </w:tcPr>
          <w:p w:rsidR="00974DC7" w:rsidRPr="009F1A0D" w:rsidRDefault="00974DC7" w:rsidP="000F155B">
            <w:pPr>
              <w:jc w:val="both"/>
              <w:rPr>
                <w:rFonts w:eastAsia="Arial Unicode MS"/>
                <w:b/>
                <w:bCs/>
                <w:iCs/>
                <w:lang w:val="en-US"/>
              </w:rPr>
            </w:pPr>
            <w:r w:rsidRPr="009F1A0D">
              <w:rPr>
                <w:b/>
                <w:bCs/>
                <w:iCs/>
              </w:rPr>
              <w:t>31.12.2015</w:t>
            </w:r>
          </w:p>
        </w:tc>
      </w:tr>
      <w:tr w:rsidR="00974DC7" w:rsidRPr="009F1A0D" w:rsidTr="000F155B">
        <w:trPr>
          <w:trHeight w:val="315"/>
        </w:trPr>
        <w:tc>
          <w:tcPr>
            <w:tcW w:w="5955" w:type="dxa"/>
            <w:tcBorders>
              <w:top w:val="nil"/>
              <w:left w:val="nil"/>
              <w:bottom w:val="nil"/>
              <w:right w:val="nil"/>
            </w:tcBorders>
            <w:tcMar>
              <w:top w:w="15" w:type="dxa"/>
              <w:left w:w="15" w:type="dxa"/>
              <w:bottom w:w="0" w:type="dxa"/>
              <w:right w:w="15" w:type="dxa"/>
            </w:tcMar>
            <w:vAlign w:val="bottom"/>
          </w:tcPr>
          <w:p w:rsidR="00974DC7" w:rsidRPr="009F1A0D" w:rsidRDefault="00974DC7" w:rsidP="000F155B">
            <w:pPr>
              <w:jc w:val="both"/>
              <w:rPr>
                <w:rFonts w:eastAsia="Arial Unicode MS"/>
              </w:rPr>
            </w:pPr>
          </w:p>
        </w:tc>
        <w:tc>
          <w:tcPr>
            <w:tcW w:w="1380" w:type="dxa"/>
            <w:tcBorders>
              <w:top w:val="nil"/>
              <w:left w:val="nil"/>
              <w:bottom w:val="nil"/>
              <w:right w:val="nil"/>
            </w:tcBorders>
            <w:tcMar>
              <w:top w:w="15" w:type="dxa"/>
              <w:left w:w="15" w:type="dxa"/>
              <w:bottom w:w="0" w:type="dxa"/>
              <w:right w:w="15" w:type="dxa"/>
            </w:tcMar>
          </w:tcPr>
          <w:p w:rsidR="00974DC7" w:rsidRPr="009F1A0D" w:rsidRDefault="00974DC7" w:rsidP="000F155B">
            <w:pPr>
              <w:jc w:val="both"/>
              <w:rPr>
                <w:rFonts w:eastAsia="Arial Unicode MS"/>
                <w:b/>
                <w:bCs/>
                <w:iCs/>
              </w:rPr>
            </w:pPr>
            <w:r w:rsidRPr="009F1A0D">
              <w:rPr>
                <w:b/>
                <w:bCs/>
                <w:iCs/>
              </w:rPr>
              <w:t>BGN’000</w:t>
            </w:r>
          </w:p>
        </w:tc>
        <w:tc>
          <w:tcPr>
            <w:tcW w:w="240" w:type="dxa"/>
            <w:tcBorders>
              <w:top w:val="nil"/>
              <w:left w:val="nil"/>
              <w:bottom w:val="nil"/>
              <w:right w:val="nil"/>
            </w:tcBorders>
            <w:tcMar>
              <w:top w:w="15" w:type="dxa"/>
              <w:left w:w="15" w:type="dxa"/>
              <w:bottom w:w="0" w:type="dxa"/>
              <w:right w:w="15" w:type="dxa"/>
            </w:tcMar>
          </w:tcPr>
          <w:p w:rsidR="00974DC7" w:rsidRPr="009F1A0D" w:rsidRDefault="00974DC7" w:rsidP="000F155B">
            <w:pPr>
              <w:jc w:val="both"/>
              <w:rPr>
                <w:rFonts w:eastAsia="Arial Unicode MS"/>
                <w:b/>
              </w:rPr>
            </w:pPr>
          </w:p>
        </w:tc>
        <w:tc>
          <w:tcPr>
            <w:tcW w:w="1380" w:type="dxa"/>
            <w:tcBorders>
              <w:top w:val="nil"/>
              <w:left w:val="nil"/>
              <w:bottom w:val="nil"/>
              <w:right w:val="nil"/>
            </w:tcBorders>
            <w:tcMar>
              <w:top w:w="15" w:type="dxa"/>
              <w:left w:w="15" w:type="dxa"/>
              <w:bottom w:w="0" w:type="dxa"/>
              <w:right w:w="15" w:type="dxa"/>
            </w:tcMar>
          </w:tcPr>
          <w:p w:rsidR="00974DC7" w:rsidRPr="009F1A0D" w:rsidRDefault="00974DC7" w:rsidP="000F155B">
            <w:pPr>
              <w:jc w:val="both"/>
              <w:rPr>
                <w:rFonts w:eastAsia="Arial Unicode MS"/>
                <w:b/>
                <w:bCs/>
                <w:iCs/>
              </w:rPr>
            </w:pPr>
            <w:r w:rsidRPr="009F1A0D">
              <w:rPr>
                <w:b/>
                <w:bCs/>
                <w:iCs/>
              </w:rPr>
              <w:t>BGN’000</w:t>
            </w:r>
          </w:p>
        </w:tc>
      </w:tr>
      <w:tr w:rsidR="00974DC7" w:rsidRPr="009F1A0D" w:rsidTr="000F155B">
        <w:trPr>
          <w:trHeight w:val="315"/>
        </w:trPr>
        <w:tc>
          <w:tcPr>
            <w:tcW w:w="5955" w:type="dxa"/>
            <w:tcBorders>
              <w:top w:val="nil"/>
              <w:left w:val="nil"/>
              <w:bottom w:val="nil"/>
              <w:right w:val="nil"/>
            </w:tcBorders>
            <w:tcMar>
              <w:top w:w="15" w:type="dxa"/>
              <w:left w:w="15" w:type="dxa"/>
              <w:bottom w:w="0" w:type="dxa"/>
              <w:right w:w="15" w:type="dxa"/>
            </w:tcMar>
            <w:vAlign w:val="bottom"/>
          </w:tcPr>
          <w:p w:rsidR="00974DC7" w:rsidRPr="009F1A0D" w:rsidRDefault="00974DC7" w:rsidP="000F155B">
            <w:pPr>
              <w:jc w:val="both"/>
              <w:rPr>
                <w:rFonts w:eastAsia="Arial Unicode MS"/>
              </w:rPr>
            </w:pPr>
            <w:r w:rsidRPr="009F1A0D">
              <w:t>Общо заеми и лизинг</w:t>
            </w:r>
          </w:p>
        </w:tc>
        <w:tc>
          <w:tcPr>
            <w:tcW w:w="0" w:type="auto"/>
            <w:tcBorders>
              <w:top w:val="nil"/>
              <w:left w:val="nil"/>
              <w:bottom w:val="nil"/>
              <w:right w:val="nil"/>
            </w:tcBorders>
            <w:noWrap/>
            <w:tcMar>
              <w:top w:w="15" w:type="dxa"/>
              <w:left w:w="15" w:type="dxa"/>
              <w:bottom w:w="0" w:type="dxa"/>
              <w:right w:w="15" w:type="dxa"/>
            </w:tcMar>
            <w:vAlign w:val="bottom"/>
          </w:tcPr>
          <w:p w:rsidR="00974DC7" w:rsidRPr="009F1A0D" w:rsidRDefault="00CF243F" w:rsidP="000F155B">
            <w:pPr>
              <w:jc w:val="both"/>
            </w:pPr>
            <w:r>
              <w:t>4018</w:t>
            </w:r>
          </w:p>
        </w:tc>
        <w:tc>
          <w:tcPr>
            <w:tcW w:w="0" w:type="auto"/>
            <w:tcBorders>
              <w:top w:val="nil"/>
              <w:left w:val="nil"/>
              <w:bottom w:val="nil"/>
              <w:right w:val="nil"/>
            </w:tcBorders>
            <w:noWrap/>
            <w:tcMar>
              <w:top w:w="15" w:type="dxa"/>
              <w:left w:w="15" w:type="dxa"/>
              <w:bottom w:w="0" w:type="dxa"/>
              <w:right w:w="15" w:type="dxa"/>
            </w:tcMar>
            <w:vAlign w:val="bottom"/>
          </w:tcPr>
          <w:p w:rsidR="00974DC7" w:rsidRPr="009F1A0D" w:rsidRDefault="00974DC7" w:rsidP="000F155B">
            <w:pPr>
              <w:jc w:val="both"/>
              <w:rPr>
                <w:rFonts w:eastAsia="Arial Unicode MS"/>
              </w:rPr>
            </w:pPr>
          </w:p>
        </w:tc>
        <w:tc>
          <w:tcPr>
            <w:tcW w:w="0" w:type="auto"/>
            <w:tcBorders>
              <w:top w:val="nil"/>
              <w:left w:val="nil"/>
              <w:bottom w:val="nil"/>
              <w:right w:val="nil"/>
            </w:tcBorders>
            <w:noWrap/>
            <w:tcMar>
              <w:top w:w="15" w:type="dxa"/>
              <w:left w:w="15" w:type="dxa"/>
              <w:bottom w:w="0" w:type="dxa"/>
              <w:right w:w="15" w:type="dxa"/>
            </w:tcMar>
            <w:vAlign w:val="bottom"/>
          </w:tcPr>
          <w:p w:rsidR="00974DC7" w:rsidRPr="009F1A0D" w:rsidRDefault="00CF243F" w:rsidP="000F155B">
            <w:pPr>
              <w:jc w:val="both"/>
            </w:pPr>
            <w:r>
              <w:t>4794</w:t>
            </w:r>
          </w:p>
        </w:tc>
      </w:tr>
      <w:tr w:rsidR="00974DC7" w:rsidRPr="009F1A0D" w:rsidTr="000F155B">
        <w:trPr>
          <w:trHeight w:val="290"/>
        </w:trPr>
        <w:tc>
          <w:tcPr>
            <w:tcW w:w="5955" w:type="dxa"/>
            <w:tcBorders>
              <w:top w:val="nil"/>
              <w:left w:val="nil"/>
              <w:bottom w:val="nil"/>
              <w:right w:val="nil"/>
            </w:tcBorders>
            <w:tcMar>
              <w:top w:w="15" w:type="dxa"/>
              <w:left w:w="15" w:type="dxa"/>
              <w:bottom w:w="0" w:type="dxa"/>
              <w:right w:w="15" w:type="dxa"/>
            </w:tcMar>
            <w:vAlign w:val="bottom"/>
          </w:tcPr>
          <w:p w:rsidR="00974DC7" w:rsidRPr="009F1A0D" w:rsidRDefault="00CF243F" w:rsidP="000F155B">
            <w:pPr>
              <w:jc w:val="both"/>
              <w:rPr>
                <w:rFonts w:eastAsia="Arial Unicode MS"/>
                <w:b/>
                <w:bCs/>
              </w:rPr>
            </w:pPr>
            <w:r>
              <w:rPr>
                <w:b/>
                <w:bCs/>
              </w:rPr>
              <w:t xml:space="preserve">Намалени </w:t>
            </w:r>
            <w:r w:rsidR="00974DC7" w:rsidRPr="009F1A0D">
              <w:rPr>
                <w:b/>
                <w:bCs/>
              </w:rPr>
              <w:t xml:space="preserve">с:парични средства и парични еквиваленти </w:t>
            </w:r>
          </w:p>
        </w:tc>
        <w:tc>
          <w:tcPr>
            <w:tcW w:w="0" w:type="auto"/>
            <w:tcBorders>
              <w:top w:val="nil"/>
              <w:left w:val="nil"/>
              <w:bottom w:val="single" w:sz="4" w:space="0" w:color="auto"/>
              <w:right w:val="nil"/>
            </w:tcBorders>
            <w:noWrap/>
            <w:tcMar>
              <w:top w:w="15" w:type="dxa"/>
              <w:left w:w="15" w:type="dxa"/>
              <w:bottom w:w="0" w:type="dxa"/>
              <w:right w:w="15" w:type="dxa"/>
            </w:tcMar>
            <w:vAlign w:val="bottom"/>
          </w:tcPr>
          <w:p w:rsidR="00974DC7" w:rsidRPr="009F1A0D" w:rsidRDefault="00974DC7" w:rsidP="00CF243F">
            <w:pPr>
              <w:jc w:val="both"/>
              <w:rPr>
                <w:bCs/>
                <w:lang w:val="en-US"/>
              </w:rPr>
            </w:pPr>
            <w:r w:rsidRPr="009F1A0D">
              <w:rPr>
                <w:bCs/>
                <w:lang w:val="en-US"/>
              </w:rPr>
              <w:t>(</w:t>
            </w:r>
            <w:r w:rsidR="00CF243F">
              <w:rPr>
                <w:bCs/>
              </w:rPr>
              <w:t>7</w:t>
            </w:r>
            <w:r w:rsidRPr="009F1A0D">
              <w:rPr>
                <w:bCs/>
                <w:lang w:val="en-US"/>
              </w:rPr>
              <w:t>)</w:t>
            </w:r>
          </w:p>
        </w:tc>
        <w:tc>
          <w:tcPr>
            <w:tcW w:w="0" w:type="auto"/>
            <w:tcBorders>
              <w:top w:val="nil"/>
              <w:left w:val="nil"/>
              <w:bottom w:val="nil"/>
              <w:right w:val="nil"/>
            </w:tcBorders>
            <w:noWrap/>
            <w:tcMar>
              <w:top w:w="15" w:type="dxa"/>
              <w:left w:w="15" w:type="dxa"/>
              <w:bottom w:w="0" w:type="dxa"/>
              <w:right w:w="15" w:type="dxa"/>
            </w:tcMar>
            <w:vAlign w:val="bottom"/>
          </w:tcPr>
          <w:p w:rsidR="00974DC7" w:rsidRPr="009F1A0D" w:rsidRDefault="00974DC7" w:rsidP="000F155B">
            <w:pPr>
              <w:jc w:val="both"/>
              <w:rPr>
                <w:rFonts w:eastAsia="Arial Unicode MS"/>
              </w:rPr>
            </w:pPr>
          </w:p>
        </w:tc>
        <w:tc>
          <w:tcPr>
            <w:tcW w:w="0" w:type="auto"/>
            <w:tcBorders>
              <w:top w:val="nil"/>
              <w:left w:val="nil"/>
              <w:bottom w:val="single" w:sz="4" w:space="0" w:color="auto"/>
              <w:right w:val="nil"/>
            </w:tcBorders>
            <w:noWrap/>
            <w:tcMar>
              <w:top w:w="15" w:type="dxa"/>
              <w:left w:w="15" w:type="dxa"/>
              <w:bottom w:w="0" w:type="dxa"/>
              <w:right w:w="15" w:type="dxa"/>
            </w:tcMar>
            <w:vAlign w:val="bottom"/>
          </w:tcPr>
          <w:p w:rsidR="00974DC7" w:rsidRPr="009F1A0D" w:rsidRDefault="00974DC7" w:rsidP="00CF243F">
            <w:pPr>
              <w:jc w:val="both"/>
              <w:rPr>
                <w:bCs/>
                <w:lang w:val="en-US"/>
              </w:rPr>
            </w:pPr>
            <w:r w:rsidRPr="009F1A0D">
              <w:rPr>
                <w:bCs/>
                <w:lang w:val="en-US"/>
              </w:rPr>
              <w:t>(</w:t>
            </w:r>
            <w:r w:rsidR="00CF243F">
              <w:rPr>
                <w:bCs/>
              </w:rPr>
              <w:t>57</w:t>
            </w:r>
            <w:r w:rsidRPr="009F1A0D">
              <w:rPr>
                <w:bCs/>
                <w:lang w:val="en-US"/>
              </w:rPr>
              <w:t>)</w:t>
            </w:r>
          </w:p>
        </w:tc>
      </w:tr>
      <w:tr w:rsidR="00974DC7" w:rsidRPr="009F1A0D" w:rsidTr="000F155B">
        <w:trPr>
          <w:trHeight w:val="315"/>
        </w:trPr>
        <w:tc>
          <w:tcPr>
            <w:tcW w:w="5955" w:type="dxa"/>
            <w:tcBorders>
              <w:top w:val="nil"/>
              <w:left w:val="nil"/>
              <w:bottom w:val="nil"/>
              <w:right w:val="nil"/>
            </w:tcBorders>
            <w:tcMar>
              <w:top w:w="15" w:type="dxa"/>
              <w:left w:w="15" w:type="dxa"/>
              <w:bottom w:w="0" w:type="dxa"/>
              <w:right w:w="15" w:type="dxa"/>
            </w:tcMar>
            <w:vAlign w:val="bottom"/>
          </w:tcPr>
          <w:p w:rsidR="00974DC7" w:rsidRPr="009F1A0D" w:rsidRDefault="00974DC7" w:rsidP="000F155B">
            <w:pPr>
              <w:jc w:val="both"/>
              <w:rPr>
                <w:rFonts w:eastAsia="Arial Unicode MS"/>
                <w:b/>
                <w:bCs/>
              </w:rPr>
            </w:pPr>
            <w:r w:rsidRPr="009F1A0D">
              <w:rPr>
                <w:b/>
                <w:bCs/>
              </w:rPr>
              <w:t>Нетен дълг</w:t>
            </w:r>
          </w:p>
        </w:tc>
        <w:tc>
          <w:tcPr>
            <w:tcW w:w="0" w:type="auto"/>
            <w:tcBorders>
              <w:top w:val="nil"/>
              <w:left w:val="nil"/>
              <w:bottom w:val="nil"/>
              <w:right w:val="nil"/>
            </w:tcBorders>
            <w:noWrap/>
            <w:tcMar>
              <w:top w:w="15" w:type="dxa"/>
              <w:left w:w="15" w:type="dxa"/>
              <w:bottom w:w="0" w:type="dxa"/>
              <w:right w:w="15" w:type="dxa"/>
            </w:tcMar>
            <w:vAlign w:val="bottom"/>
          </w:tcPr>
          <w:p w:rsidR="00974DC7" w:rsidRPr="009F1A0D" w:rsidRDefault="00CF243F" w:rsidP="000F155B">
            <w:pPr>
              <w:jc w:val="both"/>
              <w:rPr>
                <w:b/>
                <w:bCs/>
              </w:rPr>
            </w:pPr>
            <w:r>
              <w:rPr>
                <w:b/>
                <w:bCs/>
              </w:rPr>
              <w:t>4011</w:t>
            </w:r>
          </w:p>
        </w:tc>
        <w:tc>
          <w:tcPr>
            <w:tcW w:w="0" w:type="auto"/>
            <w:tcBorders>
              <w:top w:val="nil"/>
              <w:left w:val="nil"/>
              <w:bottom w:val="nil"/>
              <w:right w:val="nil"/>
            </w:tcBorders>
            <w:noWrap/>
            <w:tcMar>
              <w:top w:w="15" w:type="dxa"/>
              <w:left w:w="15" w:type="dxa"/>
              <w:bottom w:w="0" w:type="dxa"/>
              <w:right w:w="15" w:type="dxa"/>
            </w:tcMar>
            <w:vAlign w:val="bottom"/>
          </w:tcPr>
          <w:p w:rsidR="00974DC7" w:rsidRPr="009F1A0D" w:rsidRDefault="00974DC7" w:rsidP="000F155B">
            <w:pPr>
              <w:jc w:val="both"/>
              <w:rPr>
                <w:rFonts w:eastAsia="Arial Unicode MS"/>
              </w:rPr>
            </w:pPr>
          </w:p>
        </w:tc>
        <w:tc>
          <w:tcPr>
            <w:tcW w:w="0" w:type="auto"/>
            <w:tcBorders>
              <w:top w:val="nil"/>
              <w:left w:val="nil"/>
              <w:bottom w:val="nil"/>
              <w:right w:val="nil"/>
            </w:tcBorders>
            <w:noWrap/>
            <w:tcMar>
              <w:top w:w="15" w:type="dxa"/>
              <w:left w:w="15" w:type="dxa"/>
              <w:bottom w:w="0" w:type="dxa"/>
              <w:right w:w="15" w:type="dxa"/>
            </w:tcMar>
            <w:vAlign w:val="bottom"/>
          </w:tcPr>
          <w:p w:rsidR="00974DC7" w:rsidRPr="009F1A0D" w:rsidRDefault="00CF243F" w:rsidP="000F155B">
            <w:pPr>
              <w:jc w:val="both"/>
              <w:rPr>
                <w:b/>
                <w:bCs/>
              </w:rPr>
            </w:pPr>
            <w:r>
              <w:rPr>
                <w:b/>
                <w:bCs/>
              </w:rPr>
              <w:t>4737</w:t>
            </w:r>
          </w:p>
        </w:tc>
      </w:tr>
      <w:tr w:rsidR="00974DC7" w:rsidRPr="009F1A0D" w:rsidTr="000F155B">
        <w:trPr>
          <w:trHeight w:val="315"/>
        </w:trPr>
        <w:tc>
          <w:tcPr>
            <w:tcW w:w="5955" w:type="dxa"/>
            <w:tcBorders>
              <w:top w:val="nil"/>
              <w:left w:val="nil"/>
              <w:bottom w:val="nil"/>
              <w:right w:val="nil"/>
            </w:tcBorders>
            <w:tcMar>
              <w:top w:w="15" w:type="dxa"/>
              <w:left w:w="15" w:type="dxa"/>
              <w:bottom w:w="0" w:type="dxa"/>
              <w:right w:w="15" w:type="dxa"/>
            </w:tcMar>
            <w:vAlign w:val="bottom"/>
          </w:tcPr>
          <w:p w:rsidR="00974DC7" w:rsidRPr="009F1A0D" w:rsidRDefault="00974DC7" w:rsidP="000F155B">
            <w:pPr>
              <w:jc w:val="both"/>
              <w:rPr>
                <w:rFonts w:eastAsia="Arial Unicode MS"/>
                <w:b/>
                <w:bCs/>
              </w:rPr>
            </w:pPr>
          </w:p>
        </w:tc>
        <w:tc>
          <w:tcPr>
            <w:tcW w:w="0" w:type="auto"/>
            <w:tcBorders>
              <w:top w:val="nil"/>
              <w:left w:val="nil"/>
              <w:bottom w:val="nil"/>
              <w:right w:val="nil"/>
            </w:tcBorders>
            <w:noWrap/>
            <w:tcMar>
              <w:top w:w="15" w:type="dxa"/>
              <w:left w:w="15" w:type="dxa"/>
              <w:bottom w:w="0" w:type="dxa"/>
              <w:right w:w="15" w:type="dxa"/>
            </w:tcMar>
            <w:vAlign w:val="bottom"/>
          </w:tcPr>
          <w:p w:rsidR="00974DC7" w:rsidRPr="009F1A0D" w:rsidRDefault="00974DC7" w:rsidP="000F155B">
            <w:pPr>
              <w:jc w:val="both"/>
              <w:rPr>
                <w:b/>
                <w:bCs/>
              </w:rPr>
            </w:pPr>
          </w:p>
        </w:tc>
        <w:tc>
          <w:tcPr>
            <w:tcW w:w="0" w:type="auto"/>
            <w:tcBorders>
              <w:top w:val="nil"/>
              <w:left w:val="nil"/>
              <w:bottom w:val="nil"/>
              <w:right w:val="nil"/>
            </w:tcBorders>
            <w:noWrap/>
            <w:tcMar>
              <w:top w:w="15" w:type="dxa"/>
              <w:left w:w="15" w:type="dxa"/>
              <w:bottom w:w="0" w:type="dxa"/>
              <w:right w:w="15" w:type="dxa"/>
            </w:tcMar>
            <w:vAlign w:val="bottom"/>
          </w:tcPr>
          <w:p w:rsidR="00974DC7" w:rsidRPr="009F1A0D" w:rsidRDefault="00974DC7" w:rsidP="000F155B">
            <w:pPr>
              <w:jc w:val="both"/>
              <w:rPr>
                <w:rFonts w:eastAsia="Arial Unicode MS"/>
              </w:rPr>
            </w:pPr>
          </w:p>
        </w:tc>
        <w:tc>
          <w:tcPr>
            <w:tcW w:w="0" w:type="auto"/>
            <w:tcBorders>
              <w:top w:val="nil"/>
              <w:left w:val="nil"/>
              <w:bottom w:val="nil"/>
              <w:right w:val="nil"/>
            </w:tcBorders>
            <w:noWrap/>
            <w:tcMar>
              <w:top w:w="15" w:type="dxa"/>
              <w:left w:w="15" w:type="dxa"/>
              <w:bottom w:w="0" w:type="dxa"/>
              <w:right w:w="15" w:type="dxa"/>
            </w:tcMar>
            <w:vAlign w:val="bottom"/>
          </w:tcPr>
          <w:p w:rsidR="00974DC7" w:rsidRPr="009F1A0D" w:rsidRDefault="00974DC7" w:rsidP="000F155B">
            <w:pPr>
              <w:jc w:val="both"/>
              <w:rPr>
                <w:b/>
                <w:bCs/>
              </w:rPr>
            </w:pPr>
          </w:p>
        </w:tc>
      </w:tr>
      <w:tr w:rsidR="00974DC7" w:rsidRPr="009F1A0D" w:rsidTr="000F155B">
        <w:trPr>
          <w:trHeight w:val="315"/>
        </w:trPr>
        <w:tc>
          <w:tcPr>
            <w:tcW w:w="5955" w:type="dxa"/>
            <w:tcBorders>
              <w:top w:val="nil"/>
              <w:left w:val="nil"/>
              <w:bottom w:val="nil"/>
              <w:right w:val="nil"/>
            </w:tcBorders>
            <w:tcMar>
              <w:top w:w="15" w:type="dxa"/>
              <w:left w:w="15" w:type="dxa"/>
              <w:bottom w:w="0" w:type="dxa"/>
              <w:right w:w="15" w:type="dxa"/>
            </w:tcMar>
            <w:vAlign w:val="bottom"/>
          </w:tcPr>
          <w:p w:rsidR="00974DC7" w:rsidRPr="009F1A0D" w:rsidRDefault="00974DC7" w:rsidP="000F155B">
            <w:pPr>
              <w:jc w:val="both"/>
              <w:rPr>
                <w:rFonts w:eastAsia="Arial Unicode MS"/>
                <w:b/>
                <w:bCs/>
              </w:rPr>
            </w:pPr>
            <w:r w:rsidRPr="009F1A0D">
              <w:rPr>
                <w:b/>
                <w:bCs/>
              </w:rPr>
              <w:t>Общо собствен капитал</w:t>
            </w:r>
          </w:p>
        </w:tc>
        <w:tc>
          <w:tcPr>
            <w:tcW w:w="0" w:type="auto"/>
            <w:tcBorders>
              <w:top w:val="nil"/>
              <w:left w:val="nil"/>
              <w:bottom w:val="single" w:sz="4" w:space="0" w:color="auto"/>
              <w:right w:val="nil"/>
            </w:tcBorders>
            <w:noWrap/>
            <w:tcMar>
              <w:top w:w="15" w:type="dxa"/>
              <w:left w:w="15" w:type="dxa"/>
              <w:bottom w:w="0" w:type="dxa"/>
              <w:right w:w="15" w:type="dxa"/>
            </w:tcMar>
            <w:vAlign w:val="bottom"/>
          </w:tcPr>
          <w:p w:rsidR="00974DC7" w:rsidRPr="009F1A0D" w:rsidRDefault="00365C3F" w:rsidP="000F155B">
            <w:pPr>
              <w:jc w:val="both"/>
              <w:rPr>
                <w:bCs/>
                <w:color w:val="000000"/>
              </w:rPr>
            </w:pPr>
            <w:r>
              <w:rPr>
                <w:bCs/>
                <w:color w:val="000000"/>
              </w:rPr>
              <w:t>2409</w:t>
            </w:r>
          </w:p>
        </w:tc>
        <w:tc>
          <w:tcPr>
            <w:tcW w:w="0" w:type="auto"/>
            <w:tcBorders>
              <w:top w:val="nil"/>
              <w:left w:val="nil"/>
              <w:bottom w:val="nil"/>
              <w:right w:val="nil"/>
            </w:tcBorders>
            <w:noWrap/>
            <w:tcMar>
              <w:top w:w="15" w:type="dxa"/>
              <w:left w:w="15" w:type="dxa"/>
              <w:bottom w:w="0" w:type="dxa"/>
              <w:right w:w="15" w:type="dxa"/>
            </w:tcMar>
            <w:vAlign w:val="bottom"/>
          </w:tcPr>
          <w:p w:rsidR="00974DC7" w:rsidRPr="009F1A0D" w:rsidRDefault="00974DC7" w:rsidP="000F155B">
            <w:pPr>
              <w:jc w:val="both"/>
              <w:rPr>
                <w:rFonts w:eastAsia="Arial Unicode MS"/>
              </w:rPr>
            </w:pPr>
          </w:p>
        </w:tc>
        <w:tc>
          <w:tcPr>
            <w:tcW w:w="0" w:type="auto"/>
            <w:tcBorders>
              <w:top w:val="nil"/>
              <w:left w:val="nil"/>
              <w:bottom w:val="single" w:sz="4" w:space="0" w:color="auto"/>
              <w:right w:val="nil"/>
            </w:tcBorders>
            <w:noWrap/>
            <w:tcMar>
              <w:top w:w="15" w:type="dxa"/>
              <w:left w:w="15" w:type="dxa"/>
              <w:bottom w:w="0" w:type="dxa"/>
              <w:right w:w="15" w:type="dxa"/>
            </w:tcMar>
            <w:vAlign w:val="bottom"/>
          </w:tcPr>
          <w:p w:rsidR="00974DC7" w:rsidRPr="009F1A0D" w:rsidRDefault="00365C3F" w:rsidP="000F155B">
            <w:pPr>
              <w:jc w:val="both"/>
              <w:rPr>
                <w:bCs/>
                <w:color w:val="000000"/>
              </w:rPr>
            </w:pPr>
            <w:r>
              <w:rPr>
                <w:bCs/>
                <w:color w:val="000000"/>
              </w:rPr>
              <w:t>1907</w:t>
            </w:r>
          </w:p>
        </w:tc>
      </w:tr>
      <w:tr w:rsidR="00974DC7" w:rsidRPr="009F1A0D" w:rsidTr="000F155B">
        <w:trPr>
          <w:trHeight w:val="315"/>
        </w:trPr>
        <w:tc>
          <w:tcPr>
            <w:tcW w:w="5955" w:type="dxa"/>
            <w:tcBorders>
              <w:top w:val="nil"/>
              <w:left w:val="nil"/>
              <w:bottom w:val="nil"/>
              <w:right w:val="nil"/>
            </w:tcBorders>
            <w:tcMar>
              <w:top w:w="15" w:type="dxa"/>
              <w:left w:w="15" w:type="dxa"/>
              <w:bottom w:w="0" w:type="dxa"/>
              <w:right w:w="15" w:type="dxa"/>
            </w:tcMar>
            <w:vAlign w:val="bottom"/>
          </w:tcPr>
          <w:p w:rsidR="00974DC7" w:rsidRPr="009F1A0D" w:rsidRDefault="00974DC7" w:rsidP="000F155B">
            <w:pPr>
              <w:jc w:val="both"/>
              <w:rPr>
                <w:rFonts w:eastAsia="Arial Unicode MS"/>
                <w:b/>
                <w:bCs/>
              </w:rPr>
            </w:pPr>
            <w:r w:rsidRPr="009F1A0D">
              <w:rPr>
                <w:b/>
                <w:bCs/>
              </w:rPr>
              <w:t>Общо капитал</w:t>
            </w:r>
          </w:p>
        </w:tc>
        <w:tc>
          <w:tcPr>
            <w:tcW w:w="0" w:type="auto"/>
            <w:tcBorders>
              <w:top w:val="nil"/>
              <w:left w:val="nil"/>
              <w:bottom w:val="single" w:sz="4" w:space="0" w:color="auto"/>
              <w:right w:val="nil"/>
            </w:tcBorders>
            <w:noWrap/>
            <w:tcMar>
              <w:top w:w="15" w:type="dxa"/>
              <w:left w:w="15" w:type="dxa"/>
              <w:bottom w:w="0" w:type="dxa"/>
              <w:right w:w="15" w:type="dxa"/>
            </w:tcMar>
            <w:vAlign w:val="bottom"/>
          </w:tcPr>
          <w:p w:rsidR="00974DC7" w:rsidRPr="009F1A0D" w:rsidRDefault="00365C3F" w:rsidP="000F155B">
            <w:pPr>
              <w:jc w:val="both"/>
              <w:rPr>
                <w:b/>
                <w:bCs/>
              </w:rPr>
            </w:pPr>
            <w:r>
              <w:rPr>
                <w:b/>
                <w:bCs/>
              </w:rPr>
              <w:t>6420</w:t>
            </w:r>
          </w:p>
        </w:tc>
        <w:tc>
          <w:tcPr>
            <w:tcW w:w="0" w:type="auto"/>
            <w:tcBorders>
              <w:top w:val="nil"/>
              <w:left w:val="nil"/>
              <w:bottom w:val="nil"/>
              <w:right w:val="nil"/>
            </w:tcBorders>
            <w:noWrap/>
            <w:tcMar>
              <w:top w:w="15" w:type="dxa"/>
              <w:left w:w="15" w:type="dxa"/>
              <w:bottom w:w="0" w:type="dxa"/>
              <w:right w:w="15" w:type="dxa"/>
            </w:tcMar>
            <w:vAlign w:val="bottom"/>
          </w:tcPr>
          <w:p w:rsidR="00974DC7" w:rsidRPr="009F1A0D" w:rsidRDefault="00974DC7" w:rsidP="000F155B">
            <w:pPr>
              <w:jc w:val="both"/>
              <w:rPr>
                <w:rFonts w:eastAsia="Arial Unicode MS"/>
              </w:rPr>
            </w:pPr>
          </w:p>
        </w:tc>
        <w:tc>
          <w:tcPr>
            <w:tcW w:w="0" w:type="auto"/>
            <w:tcBorders>
              <w:top w:val="nil"/>
              <w:left w:val="nil"/>
              <w:bottom w:val="single" w:sz="4" w:space="0" w:color="auto"/>
              <w:right w:val="nil"/>
            </w:tcBorders>
            <w:noWrap/>
            <w:tcMar>
              <w:top w:w="15" w:type="dxa"/>
              <w:left w:w="15" w:type="dxa"/>
              <w:bottom w:w="0" w:type="dxa"/>
              <w:right w:w="15" w:type="dxa"/>
            </w:tcMar>
            <w:vAlign w:val="bottom"/>
          </w:tcPr>
          <w:p w:rsidR="00974DC7" w:rsidRPr="009F1A0D" w:rsidRDefault="005C5327" w:rsidP="000F155B">
            <w:pPr>
              <w:jc w:val="both"/>
              <w:rPr>
                <w:b/>
                <w:bCs/>
              </w:rPr>
            </w:pPr>
            <w:r>
              <w:rPr>
                <w:b/>
                <w:bCs/>
              </w:rPr>
              <w:t>6644</w:t>
            </w:r>
          </w:p>
        </w:tc>
      </w:tr>
      <w:tr w:rsidR="00974DC7" w:rsidRPr="009F1A0D" w:rsidTr="000F155B">
        <w:trPr>
          <w:trHeight w:val="315"/>
        </w:trPr>
        <w:tc>
          <w:tcPr>
            <w:tcW w:w="5955" w:type="dxa"/>
            <w:tcBorders>
              <w:top w:val="nil"/>
              <w:left w:val="nil"/>
              <w:bottom w:val="nil"/>
              <w:right w:val="nil"/>
            </w:tcBorders>
            <w:tcMar>
              <w:top w:w="15" w:type="dxa"/>
              <w:left w:w="15" w:type="dxa"/>
              <w:bottom w:w="0" w:type="dxa"/>
              <w:right w:w="15" w:type="dxa"/>
            </w:tcMar>
            <w:vAlign w:val="bottom"/>
          </w:tcPr>
          <w:p w:rsidR="00974DC7" w:rsidRPr="009F1A0D" w:rsidRDefault="00974DC7" w:rsidP="000F155B">
            <w:pPr>
              <w:jc w:val="both"/>
              <w:rPr>
                <w:rFonts w:eastAsia="Arial Unicode MS"/>
                <w:b/>
                <w:bCs/>
                <w:iCs/>
              </w:rPr>
            </w:pPr>
            <w:r w:rsidRPr="009F1A0D">
              <w:rPr>
                <w:b/>
                <w:bCs/>
                <w:iCs/>
              </w:rPr>
              <w:t xml:space="preserve">Съотношение на задлъжнялост </w:t>
            </w:r>
          </w:p>
        </w:tc>
        <w:tc>
          <w:tcPr>
            <w:tcW w:w="0" w:type="auto"/>
            <w:tcBorders>
              <w:top w:val="nil"/>
              <w:left w:val="nil"/>
              <w:bottom w:val="nil"/>
              <w:right w:val="nil"/>
            </w:tcBorders>
            <w:noWrap/>
            <w:tcMar>
              <w:top w:w="15" w:type="dxa"/>
              <w:left w:w="15" w:type="dxa"/>
              <w:bottom w:w="0" w:type="dxa"/>
              <w:right w:w="15" w:type="dxa"/>
            </w:tcMar>
            <w:vAlign w:val="bottom"/>
          </w:tcPr>
          <w:p w:rsidR="00974DC7" w:rsidRPr="009F1A0D" w:rsidRDefault="005C5327" w:rsidP="000F155B">
            <w:pPr>
              <w:jc w:val="both"/>
              <w:rPr>
                <w:b/>
                <w:bCs/>
              </w:rPr>
            </w:pPr>
            <w:r>
              <w:rPr>
                <w:b/>
                <w:bCs/>
              </w:rPr>
              <w:t>62</w:t>
            </w:r>
            <w:r w:rsidR="00365C3F">
              <w:rPr>
                <w:b/>
                <w:bCs/>
              </w:rPr>
              <w:t xml:space="preserve"> </w:t>
            </w:r>
            <w:r w:rsidR="00974DC7" w:rsidRPr="009F1A0D">
              <w:rPr>
                <w:b/>
                <w:bCs/>
              </w:rPr>
              <w:t>%</w:t>
            </w:r>
          </w:p>
        </w:tc>
        <w:tc>
          <w:tcPr>
            <w:tcW w:w="0" w:type="auto"/>
            <w:tcBorders>
              <w:top w:val="nil"/>
              <w:left w:val="nil"/>
              <w:bottom w:val="nil"/>
              <w:right w:val="nil"/>
            </w:tcBorders>
            <w:noWrap/>
            <w:tcMar>
              <w:top w:w="15" w:type="dxa"/>
              <w:left w:w="15" w:type="dxa"/>
              <w:bottom w:w="0" w:type="dxa"/>
              <w:right w:w="15" w:type="dxa"/>
            </w:tcMar>
            <w:vAlign w:val="bottom"/>
          </w:tcPr>
          <w:p w:rsidR="00974DC7" w:rsidRPr="009F1A0D" w:rsidRDefault="00974DC7" w:rsidP="000F155B">
            <w:pPr>
              <w:jc w:val="both"/>
              <w:rPr>
                <w:rFonts w:eastAsia="Arial Unicode MS"/>
              </w:rPr>
            </w:pPr>
          </w:p>
        </w:tc>
        <w:tc>
          <w:tcPr>
            <w:tcW w:w="0" w:type="auto"/>
            <w:tcBorders>
              <w:top w:val="nil"/>
              <w:left w:val="nil"/>
              <w:bottom w:val="nil"/>
              <w:right w:val="nil"/>
            </w:tcBorders>
            <w:noWrap/>
            <w:tcMar>
              <w:top w:w="15" w:type="dxa"/>
              <w:left w:w="15" w:type="dxa"/>
              <w:bottom w:w="0" w:type="dxa"/>
              <w:right w:w="15" w:type="dxa"/>
            </w:tcMar>
            <w:vAlign w:val="bottom"/>
          </w:tcPr>
          <w:p w:rsidR="00974DC7" w:rsidRPr="009F1A0D" w:rsidRDefault="005C5327" w:rsidP="000F155B">
            <w:pPr>
              <w:jc w:val="both"/>
              <w:rPr>
                <w:b/>
                <w:bCs/>
              </w:rPr>
            </w:pPr>
            <w:r>
              <w:rPr>
                <w:b/>
                <w:bCs/>
              </w:rPr>
              <w:t>71</w:t>
            </w:r>
            <w:r w:rsidR="00365C3F">
              <w:rPr>
                <w:b/>
                <w:bCs/>
              </w:rPr>
              <w:t xml:space="preserve"> </w:t>
            </w:r>
            <w:r w:rsidR="00974DC7" w:rsidRPr="009F1A0D">
              <w:rPr>
                <w:b/>
                <w:bCs/>
              </w:rPr>
              <w:t>%</w:t>
            </w:r>
          </w:p>
        </w:tc>
      </w:tr>
    </w:tbl>
    <w:p w:rsidR="00974DC7" w:rsidRPr="009F1A0D" w:rsidRDefault="00974DC7" w:rsidP="00974DC7">
      <w:pPr>
        <w:jc w:val="both"/>
        <w:rPr>
          <w:b/>
          <w:highlight w:val="red"/>
        </w:rPr>
      </w:pPr>
    </w:p>
    <w:p w:rsidR="00974DC7" w:rsidRPr="009F1A0D" w:rsidRDefault="00974DC7" w:rsidP="00974DC7">
      <w:pPr>
        <w:jc w:val="both"/>
        <w:rPr>
          <w:b/>
          <w:lang w:val="ru-RU"/>
        </w:rPr>
      </w:pPr>
      <w:r w:rsidRPr="009F1A0D">
        <w:rPr>
          <w:b/>
        </w:rPr>
        <w:t>4. Информация за сключените големи сделки между свързани лица, чието минимално съдържание се определя с наредба</w:t>
      </w:r>
      <w:r w:rsidR="00407A99">
        <w:rPr>
          <w:b/>
        </w:rPr>
        <w:t>.</w:t>
      </w:r>
    </w:p>
    <w:p w:rsidR="00974DC7" w:rsidRPr="009F1A0D" w:rsidRDefault="00974DC7" w:rsidP="00974DC7">
      <w:pPr>
        <w:jc w:val="both"/>
        <w:rPr>
          <w:b/>
          <w:color w:val="FF0000"/>
          <w:lang w:val="ru-RU"/>
        </w:rPr>
      </w:pPr>
    </w:p>
    <w:p w:rsidR="00974DC7" w:rsidRPr="009F1A0D" w:rsidRDefault="00974DC7" w:rsidP="00974DC7">
      <w:pPr>
        <w:jc w:val="both"/>
      </w:pPr>
      <w:r w:rsidRPr="009F1A0D">
        <w:t>Няма сделки между свързани лица, сключени през отчетния период на текущата финансова година, които са повлияли съществено на финансовото състояние или резултатите от дейността на дружеството в този период.</w:t>
      </w:r>
    </w:p>
    <w:p w:rsidR="00974DC7" w:rsidRPr="009F1A0D" w:rsidRDefault="00974DC7" w:rsidP="00510C22">
      <w:pPr>
        <w:jc w:val="both"/>
      </w:pPr>
    </w:p>
    <w:p w:rsidR="00510C22" w:rsidRPr="00847B88" w:rsidRDefault="00510C22" w:rsidP="00847B88">
      <w:pPr>
        <w:jc w:val="both"/>
      </w:pPr>
    </w:p>
    <w:p w:rsidR="00847B88" w:rsidRPr="00847B88" w:rsidRDefault="00847B88" w:rsidP="00847B88">
      <w:pPr>
        <w:jc w:val="both"/>
      </w:pPr>
    </w:p>
    <w:p w:rsidR="00847B88" w:rsidRPr="00847B88" w:rsidRDefault="00847B88" w:rsidP="00847B88">
      <w:pPr>
        <w:jc w:val="both"/>
      </w:pPr>
    </w:p>
    <w:p w:rsidR="00974DC7" w:rsidRPr="009F1A0D" w:rsidRDefault="00974DC7" w:rsidP="00974DC7">
      <w:pPr>
        <w:jc w:val="both"/>
      </w:pPr>
    </w:p>
    <w:p w:rsidR="00974DC7" w:rsidRPr="009F1A0D" w:rsidRDefault="00974DC7" w:rsidP="00974DC7">
      <w:pPr>
        <w:jc w:val="both"/>
      </w:pPr>
    </w:p>
    <w:p w:rsidR="00974DC7" w:rsidRPr="009F1A0D" w:rsidRDefault="00974DC7" w:rsidP="00974DC7">
      <w:pPr>
        <w:jc w:val="both"/>
      </w:pPr>
      <w:r w:rsidRPr="009F1A0D">
        <w:t>27.</w:t>
      </w:r>
      <w:r>
        <w:t>07</w:t>
      </w:r>
      <w:r w:rsidRPr="009F1A0D">
        <w:t>.20</w:t>
      </w:r>
      <w:r w:rsidRPr="009F1A0D">
        <w:rPr>
          <w:lang w:val="ru-RU"/>
        </w:rPr>
        <w:t>1</w:t>
      </w:r>
      <w:r w:rsidRPr="009F1A0D">
        <w:t xml:space="preserve">6 г.                                                      </w:t>
      </w:r>
      <w:r>
        <w:t>Димитър Захаридов</w:t>
      </w:r>
    </w:p>
    <w:p w:rsidR="00974DC7" w:rsidRPr="009F1A0D" w:rsidRDefault="00974DC7" w:rsidP="00974DC7">
      <w:pPr>
        <w:jc w:val="both"/>
      </w:pPr>
      <w:r w:rsidRPr="009F1A0D">
        <w:t xml:space="preserve">К.к. Албена                        </w:t>
      </w:r>
      <w:r>
        <w:t xml:space="preserve">                               Прокурист</w:t>
      </w:r>
    </w:p>
    <w:p w:rsidR="00847B88" w:rsidRPr="00847B88" w:rsidRDefault="00847B88" w:rsidP="00974DC7">
      <w:pPr>
        <w:ind w:left="705"/>
        <w:jc w:val="both"/>
      </w:pPr>
    </w:p>
    <w:sectPr w:rsidR="00847B88" w:rsidRPr="00847B88" w:rsidSect="00BB2AA2">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Bodoni Book 12pt">
    <w:altName w:val="Times New Roman"/>
    <w:panose1 w:val="00000000000000000000"/>
    <w:charset w:val="00"/>
    <w:family w:val="roman"/>
    <w:notTrueType/>
    <w:pitch w:val="default"/>
    <w:sig w:usb0="00000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3"/>
    <w:multiLevelType w:val="singleLevel"/>
    <w:tmpl w:val="00000003"/>
    <w:name w:val="WW8Num3"/>
    <w:lvl w:ilvl="0">
      <w:start w:val="1"/>
      <w:numFmt w:val="bullet"/>
      <w:lvlText w:val=""/>
      <w:lvlJc w:val="left"/>
      <w:pPr>
        <w:tabs>
          <w:tab w:val="num" w:pos="1428"/>
        </w:tabs>
        <w:ind w:left="1428" w:hanging="360"/>
      </w:pPr>
      <w:rPr>
        <w:rFonts w:ascii="Symbol" w:hAnsi="Symbol" w:cs="Symbol" w:hint="default"/>
        <w:lang w:val="ru-RU"/>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9F72CA"/>
    <w:rsid w:val="00063AFE"/>
    <w:rsid w:val="000908C4"/>
    <w:rsid w:val="000D7FC1"/>
    <w:rsid w:val="00166452"/>
    <w:rsid w:val="0022231C"/>
    <w:rsid w:val="002D43DD"/>
    <w:rsid w:val="00365C3F"/>
    <w:rsid w:val="00407A99"/>
    <w:rsid w:val="00475EF0"/>
    <w:rsid w:val="00487CE3"/>
    <w:rsid w:val="00510C22"/>
    <w:rsid w:val="005569E2"/>
    <w:rsid w:val="005C5327"/>
    <w:rsid w:val="00782151"/>
    <w:rsid w:val="00847B88"/>
    <w:rsid w:val="0087018C"/>
    <w:rsid w:val="0088309F"/>
    <w:rsid w:val="00974DC7"/>
    <w:rsid w:val="00975B2C"/>
    <w:rsid w:val="009B3F31"/>
    <w:rsid w:val="009C7F5D"/>
    <w:rsid w:val="009F72CA"/>
    <w:rsid w:val="00A02977"/>
    <w:rsid w:val="00AA7CED"/>
    <w:rsid w:val="00B43921"/>
    <w:rsid w:val="00B65496"/>
    <w:rsid w:val="00BB2AA2"/>
    <w:rsid w:val="00CF243F"/>
    <w:rsid w:val="00D204A0"/>
    <w:rsid w:val="00D21654"/>
    <w:rsid w:val="00D54AA2"/>
    <w:rsid w:val="00DA2264"/>
    <w:rsid w:val="00DE7E41"/>
    <w:rsid w:val="00E93105"/>
    <w:rsid w:val="00F26E46"/>
    <w:rsid w:val="00F33372"/>
    <w:rsid w:val="00FD11F7"/>
    <w:rsid w:val="00FD1C90"/>
    <w:rsid w:val="00FE5491"/>
  </w:rsids>
  <m:mathPr>
    <m:mathFont m:val="Cambria Math"/>
    <m:brkBin m:val="before"/>
    <m:brkBinSub m:val="--"/>
    <m:smallFrac m:val="off"/>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72CA"/>
    <w:pPr>
      <w:spacing w:after="0" w:line="240" w:lineRule="auto"/>
    </w:pPr>
    <w:rPr>
      <w:rFonts w:ascii="Times New Roman" w:eastAsia="Times New Roman" w:hAnsi="Times New Roman" w:cs="Times New Roman"/>
      <w:sz w:val="24"/>
      <w:szCs w:val="24"/>
      <w:lang w:eastAsia="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D1C90"/>
    <w:rPr>
      <w:rFonts w:ascii="Tahoma" w:hAnsi="Tahoma" w:cs="Tahoma"/>
      <w:sz w:val="16"/>
      <w:szCs w:val="16"/>
    </w:rPr>
  </w:style>
  <w:style w:type="character" w:customStyle="1" w:styleId="BalloonTextChar">
    <w:name w:val="Balloon Text Char"/>
    <w:basedOn w:val="DefaultParagraphFont"/>
    <w:link w:val="BalloonText"/>
    <w:uiPriority w:val="99"/>
    <w:semiHidden/>
    <w:rsid w:val="00FD1C90"/>
    <w:rPr>
      <w:rFonts w:ascii="Tahoma" w:eastAsia="Times New Roman" w:hAnsi="Tahoma" w:cs="Tahoma"/>
      <w:sz w:val="16"/>
      <w:szCs w:val="16"/>
      <w:lang w:eastAsia="bg-BG"/>
    </w:rPr>
  </w:style>
  <w:style w:type="paragraph" w:customStyle="1" w:styleId="Document1">
    <w:name w:val="Document 1"/>
    <w:rsid w:val="00847B88"/>
    <w:pPr>
      <w:keepNext/>
      <w:keepLines/>
      <w:widowControl w:val="0"/>
      <w:tabs>
        <w:tab w:val="left" w:pos="-720"/>
      </w:tabs>
      <w:suppressAutoHyphens/>
      <w:spacing w:after="0" w:line="240" w:lineRule="auto"/>
    </w:pPr>
    <w:rPr>
      <w:rFonts w:ascii="Bodoni Book 12pt" w:eastAsia="Times New Roman" w:hAnsi="Bodoni Book 12pt" w:cs="Bodoni Book 12pt"/>
      <w:sz w:val="24"/>
      <w:szCs w:val="20"/>
      <w:lang w:val="en-US" w:eastAsia="zh-CN"/>
    </w:rPr>
  </w:style>
  <w:style w:type="paragraph" w:customStyle="1" w:styleId="a">
    <w:name w:val="Основен текст"/>
    <w:basedOn w:val="Normal"/>
    <w:rsid w:val="00847B88"/>
    <w:pPr>
      <w:widowControl w:val="0"/>
      <w:shd w:val="clear" w:color="auto" w:fill="FFFFFF"/>
      <w:suppressAutoHyphens/>
      <w:spacing w:before="60" w:after="180" w:line="262" w:lineRule="exact"/>
      <w:jc w:val="both"/>
    </w:pPr>
    <w:rPr>
      <w:spacing w:val="2"/>
      <w:sz w:val="16"/>
      <w:szCs w:val="16"/>
      <w:shd w:val="clear" w:color="auto" w:fill="FFFFFF"/>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TotalTime>
  <Pages>6</Pages>
  <Words>1905</Words>
  <Characters>10862</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37</cp:revision>
  <dcterms:created xsi:type="dcterms:W3CDTF">2016-07-27T10:57:00Z</dcterms:created>
  <dcterms:modified xsi:type="dcterms:W3CDTF">2016-08-01T06:15:00Z</dcterms:modified>
</cp:coreProperties>
</file>