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B50E" w14:textId="4F577D2D" w:rsidR="00247D77" w:rsidRPr="007747CA" w:rsidRDefault="007F246A" w:rsidP="00677B42">
      <w:pPr>
        <w:jc w:val="both"/>
        <w:rPr>
          <w:sz w:val="28"/>
        </w:rPr>
      </w:pPr>
      <w:r w:rsidRPr="007747CA">
        <w:rPr>
          <w:sz w:val="28"/>
        </w:rPr>
        <w:t xml:space="preserve">Приложение 1: </w:t>
      </w:r>
      <w:r w:rsidR="007747CA">
        <w:rPr>
          <w:sz w:val="28"/>
        </w:rPr>
        <w:t>П</w:t>
      </w:r>
      <w:r w:rsidR="007747CA" w:rsidRPr="007747CA">
        <w:rPr>
          <w:sz w:val="28"/>
          <w:szCs w:val="23"/>
          <w14:shadow w14:blurRad="50800" w14:dist="38100" w14:dir="2700000" w14:sx="100000" w14:sy="100000" w14:kx="0" w14:ky="0" w14:algn="tl">
            <w14:srgbClr w14:val="000000">
              <w14:alpha w14:val="60000"/>
            </w14:srgbClr>
          </w14:shadow>
        </w:rPr>
        <w:t>ромени в счетоводната политика:</w:t>
      </w:r>
    </w:p>
    <w:p w14:paraId="5A5CD02C" w14:textId="77777777" w:rsidR="002B4B7A" w:rsidRPr="002B4B7A" w:rsidRDefault="002B4B7A" w:rsidP="00677B42">
      <w:pPr>
        <w:pStyle w:val="Heading2"/>
        <w:jc w:val="both"/>
      </w:pPr>
      <w:bookmarkStart w:id="0" w:name="_Toc294186553"/>
      <w:bookmarkStart w:id="1" w:name="_Toc294187655"/>
      <w:bookmarkStart w:id="2" w:name="_Toc320467423"/>
      <w:bookmarkStart w:id="3" w:name="_Toc294186568"/>
      <w:bookmarkStart w:id="4" w:name="_Toc294187689"/>
      <w:bookmarkStart w:id="5" w:name="_Toc320467441"/>
      <w:r w:rsidRPr="002B4B7A">
        <w:t>1 Въведение</w:t>
      </w:r>
      <w:bookmarkEnd w:id="0"/>
      <w:bookmarkEnd w:id="1"/>
      <w:bookmarkEnd w:id="2"/>
    </w:p>
    <w:p w14:paraId="35AB0C04" w14:textId="77777777" w:rsidR="002B4B7A" w:rsidRDefault="002B4B7A" w:rsidP="00677B42">
      <w:pPr>
        <w:pStyle w:val="Heading2"/>
        <w:numPr>
          <w:ilvl w:val="1"/>
          <w:numId w:val="7"/>
        </w:numPr>
        <w:jc w:val="both"/>
      </w:pPr>
      <w:bookmarkStart w:id="6" w:name="_Toc294186554"/>
      <w:bookmarkStart w:id="7" w:name="_Toc294187656"/>
      <w:bookmarkStart w:id="8" w:name="_Toc320467424"/>
      <w:r>
        <w:t>Представяне на Дружеството</w:t>
      </w:r>
      <w:bookmarkEnd w:id="6"/>
      <w:bookmarkEnd w:id="7"/>
      <w:bookmarkEnd w:id="8"/>
    </w:p>
    <w:p w14:paraId="2D067BB4" w14:textId="77777777" w:rsidR="00941FD2" w:rsidRDefault="00941FD2" w:rsidP="00677B42">
      <w:pPr>
        <w:pStyle w:val="BodyText"/>
        <w:jc w:val="both"/>
      </w:pPr>
    </w:p>
    <w:p w14:paraId="7DF8BBBB" w14:textId="3F6BFE45" w:rsidR="002B4B7A" w:rsidRPr="002B4B7A" w:rsidRDefault="002B4B7A" w:rsidP="00677B42">
      <w:pPr>
        <w:pStyle w:val="BodyText"/>
        <w:jc w:val="both"/>
      </w:pPr>
      <w:r w:rsidRPr="001457A1">
        <w:t xml:space="preserve">Дружеството е с </w:t>
      </w:r>
      <w:r w:rsidRPr="008A014F">
        <w:t xml:space="preserve">капитал </w:t>
      </w:r>
      <w:r w:rsidRPr="00460472">
        <w:rPr>
          <w:strike/>
          <w:color w:val="FF0000"/>
        </w:rPr>
        <w:t>330 391 067 лева</w:t>
      </w:r>
      <w:r w:rsidRPr="00460472">
        <w:rPr>
          <w:strike/>
        </w:rPr>
        <w:t>,</w:t>
      </w:r>
      <w:r>
        <w:t xml:space="preserve"> </w:t>
      </w:r>
      <w:r w:rsidRPr="00460472">
        <w:rPr>
          <w:color w:val="00B050"/>
        </w:rPr>
        <w:t>206 297 188</w:t>
      </w:r>
      <w:r w:rsidRPr="00460472">
        <w:rPr>
          <w:color w:val="000000" w:themeColor="text1"/>
        </w:rPr>
        <w:t xml:space="preserve"> </w:t>
      </w:r>
      <w:r w:rsidRPr="00460472">
        <w:rPr>
          <w:color w:val="00B050"/>
        </w:rPr>
        <w:t>лева</w:t>
      </w:r>
      <w:r w:rsidRPr="00D212CC">
        <w:rPr>
          <w:color w:val="000000" w:themeColor="text1"/>
        </w:rPr>
        <w:t xml:space="preserve">  </w:t>
      </w:r>
      <w:r w:rsidRPr="001457A1">
        <w:t xml:space="preserve">разделен </w:t>
      </w:r>
      <w:r>
        <w:t>в</w:t>
      </w:r>
      <w:r w:rsidRPr="001457A1">
        <w:t xml:space="preserve"> поименни неприв</w:t>
      </w:r>
      <w:r>
        <w:t>илегировани акции с номинал 1</w:t>
      </w:r>
      <w:r w:rsidRPr="001457A1">
        <w:t xml:space="preserve"> лв</w:t>
      </w:r>
      <w:r>
        <w:t>.</w:t>
      </w:r>
      <w:r w:rsidRPr="001457A1">
        <w:t>, даващи право на един глас за всяка акция.</w:t>
      </w:r>
    </w:p>
    <w:p w14:paraId="4A4703AC" w14:textId="77777777" w:rsidR="005077C3" w:rsidRDefault="002B4B7A" w:rsidP="00677B42">
      <w:pPr>
        <w:pStyle w:val="BodyText"/>
        <w:jc w:val="both"/>
      </w:pPr>
      <w:r w:rsidRPr="005220FE">
        <w:t xml:space="preserve">Списък на Стандартите и Разясненията, приети от </w:t>
      </w:r>
      <w:r w:rsidRPr="00BA5A80">
        <w:t xml:space="preserve">Съвета по международни стандарти, приети за прилагане </w:t>
      </w:r>
      <w:r w:rsidRPr="0069750B">
        <w:t xml:space="preserve">от Европейската </w:t>
      </w:r>
      <w:r w:rsidR="005077C3" w:rsidRPr="005077C3">
        <w:t xml:space="preserve">Комисия към </w:t>
      </w:r>
      <w:r w:rsidR="005077C3" w:rsidRPr="005077C3">
        <w:rPr>
          <w:strike/>
          <w:color w:val="FF0000"/>
        </w:rPr>
        <w:t>30.06.2011 г.</w:t>
      </w:r>
      <w:r w:rsidR="005077C3" w:rsidRPr="005077C3">
        <w:t xml:space="preserve"> 01.01.2016 г. е представен в</w:t>
      </w:r>
    </w:p>
    <w:p w14:paraId="3001FB04" w14:textId="2D905A5C" w:rsidR="005077C3" w:rsidRDefault="005077C3" w:rsidP="00677B42">
      <w:pPr>
        <w:pStyle w:val="BodyText"/>
        <w:jc w:val="both"/>
        <w:rPr>
          <w:i/>
        </w:rPr>
      </w:pPr>
      <w:bookmarkStart w:id="9" w:name="_Toc295491903"/>
      <w:bookmarkStart w:id="10" w:name="_Toc320467433"/>
      <w:r w:rsidRPr="005077C3">
        <w:rPr>
          <w:i/>
        </w:rPr>
        <w:t>Приложение: Приложими счетоводни стандарти.</w:t>
      </w:r>
    </w:p>
    <w:p w14:paraId="15E7362B" w14:textId="77777777" w:rsidR="00621209" w:rsidRPr="005077C3" w:rsidRDefault="00621209" w:rsidP="00677B42">
      <w:pPr>
        <w:pStyle w:val="BodyText"/>
        <w:jc w:val="both"/>
        <w:rPr>
          <w:i/>
        </w:rPr>
      </w:pPr>
    </w:p>
    <w:p w14:paraId="57078E83" w14:textId="14A459E6" w:rsidR="002B4B7A" w:rsidRDefault="002B4B7A" w:rsidP="00677B42">
      <w:pPr>
        <w:pStyle w:val="Heading2"/>
        <w:jc w:val="both"/>
      </w:pPr>
      <w:r>
        <w:t xml:space="preserve">2.2 </w:t>
      </w:r>
      <w:r w:rsidRPr="002B5873">
        <w:t>Софтуер</w:t>
      </w:r>
      <w:bookmarkEnd w:id="9"/>
      <w:bookmarkEnd w:id="10"/>
    </w:p>
    <w:p w14:paraId="00198714" w14:textId="77777777" w:rsidR="000C5C4D" w:rsidRPr="000C5C4D" w:rsidRDefault="000C5C4D" w:rsidP="000C5C4D">
      <w:pPr>
        <w:pStyle w:val="BodyText"/>
      </w:pPr>
    </w:p>
    <w:p w14:paraId="57F30B0F" w14:textId="16F9D06D" w:rsidR="002B4B7A" w:rsidRDefault="002B4B7A" w:rsidP="00677B42">
      <w:pPr>
        <w:pStyle w:val="BodyText"/>
        <w:jc w:val="both"/>
      </w:pPr>
      <w:r>
        <w:t xml:space="preserve">Дружеството използва програмния продукт </w:t>
      </w:r>
      <w:r w:rsidRPr="00E30CAB">
        <w:t>“</w:t>
      </w:r>
      <w:r>
        <w:t>Ажур</w:t>
      </w:r>
      <w:r w:rsidRPr="00E30CAB">
        <w:t>”</w:t>
      </w:r>
      <w:r>
        <w:t xml:space="preserve"> </w:t>
      </w:r>
      <w:r w:rsidRPr="002B5873">
        <w:t>за обработване на счетоводната информация</w:t>
      </w:r>
      <w:r>
        <w:t xml:space="preserve"> </w:t>
      </w:r>
      <w:r w:rsidRPr="002B5873">
        <w:t xml:space="preserve"> и </w:t>
      </w:r>
      <w:r w:rsidRPr="00460472">
        <w:rPr>
          <w:strike/>
          <w:color w:val="FF0000"/>
        </w:rPr>
        <w:t>допълнително приложение към счетоводният</w:t>
      </w:r>
      <w:r>
        <w:t xml:space="preserve"> </w:t>
      </w:r>
      <w:r w:rsidRPr="00460472">
        <w:rPr>
          <w:strike/>
          <w:color w:val="FF0000"/>
        </w:rPr>
        <w:t>софтуер за обработване</w:t>
      </w:r>
      <w:r>
        <w:t xml:space="preserve"> </w:t>
      </w:r>
      <w:r w:rsidRPr="00460472">
        <w:rPr>
          <w:color w:val="00B050"/>
        </w:rPr>
        <w:t>софтуер  „Булсал“ за обработване</w:t>
      </w:r>
      <w:r>
        <w:t xml:space="preserve">   на информацията във връзка с възнагражденията на  персонала.</w:t>
      </w:r>
    </w:p>
    <w:p w14:paraId="08BDA704" w14:textId="77777777" w:rsidR="000C5C4D" w:rsidRDefault="000C5C4D" w:rsidP="00677B42">
      <w:pPr>
        <w:pStyle w:val="BodyText"/>
        <w:jc w:val="both"/>
      </w:pPr>
    </w:p>
    <w:p w14:paraId="21FC25A1" w14:textId="77777777" w:rsidR="002B4B7A" w:rsidRDefault="002B4B7A" w:rsidP="00677B42">
      <w:pPr>
        <w:pStyle w:val="BodyText"/>
        <w:jc w:val="both"/>
      </w:pPr>
      <w:r>
        <w:t>Полезният живот на активите е определен както следва:</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2"/>
        <w:gridCol w:w="3669"/>
      </w:tblGrid>
      <w:tr w:rsidR="002B4B7A" w:rsidRPr="00903DA4" w14:paraId="3B214923" w14:textId="77777777" w:rsidTr="000C5C4D">
        <w:trPr>
          <w:trHeight w:val="113"/>
        </w:trPr>
        <w:tc>
          <w:tcPr>
            <w:tcW w:w="4242" w:type="dxa"/>
          </w:tcPr>
          <w:p w14:paraId="613C4988" w14:textId="77777777" w:rsidR="002B4B7A" w:rsidRPr="00903DA4" w:rsidRDefault="002B4B7A" w:rsidP="00677B42">
            <w:pPr>
              <w:pStyle w:val="BodyText"/>
              <w:jc w:val="both"/>
            </w:pPr>
            <w:r>
              <w:t>Машини, съоръжения и оборудване</w:t>
            </w:r>
          </w:p>
        </w:tc>
        <w:tc>
          <w:tcPr>
            <w:tcW w:w="3669" w:type="dxa"/>
          </w:tcPr>
          <w:p w14:paraId="60DDE183" w14:textId="77777777" w:rsidR="002B4B7A" w:rsidRPr="00903DA4" w:rsidRDefault="002B4B7A" w:rsidP="00677B42">
            <w:pPr>
              <w:pStyle w:val="BodyText"/>
              <w:jc w:val="both"/>
            </w:pPr>
            <w:r>
              <w:t xml:space="preserve">От 2 до </w:t>
            </w:r>
            <w:r w:rsidRPr="00460472">
              <w:rPr>
                <w:strike/>
                <w:color w:val="FF0000"/>
              </w:rPr>
              <w:t>19</w:t>
            </w:r>
            <w:r>
              <w:t xml:space="preserve"> </w:t>
            </w:r>
            <w:r w:rsidRPr="00460472">
              <w:rPr>
                <w:color w:val="00B050"/>
              </w:rPr>
              <w:t>25</w:t>
            </w:r>
            <w:r>
              <w:t xml:space="preserve"> години</w:t>
            </w:r>
          </w:p>
        </w:tc>
      </w:tr>
      <w:tr w:rsidR="002B4B7A" w:rsidRPr="00903DA4" w14:paraId="7C0D22F6" w14:textId="77777777" w:rsidTr="000C5C4D">
        <w:trPr>
          <w:trHeight w:val="113"/>
        </w:trPr>
        <w:tc>
          <w:tcPr>
            <w:tcW w:w="4242" w:type="dxa"/>
          </w:tcPr>
          <w:p w14:paraId="06FFA8CC" w14:textId="0CCD0830" w:rsidR="002B4B7A" w:rsidRPr="00460472" w:rsidRDefault="002B4B7A" w:rsidP="00677B42">
            <w:pPr>
              <w:pStyle w:val="BodyText"/>
              <w:jc w:val="both"/>
              <w:rPr>
                <w:color w:val="00B050"/>
              </w:rPr>
            </w:pPr>
            <w:r w:rsidRPr="00460472">
              <w:rPr>
                <w:color w:val="00B050"/>
              </w:rPr>
              <w:t>Компютри,</w:t>
            </w:r>
            <w:r w:rsidR="00941FD2">
              <w:rPr>
                <w:color w:val="00B050"/>
              </w:rPr>
              <w:t xml:space="preserve"> </w:t>
            </w:r>
            <w:r w:rsidRPr="00460472">
              <w:rPr>
                <w:color w:val="00B050"/>
              </w:rPr>
              <w:t>софтуер,мобилни телефони</w:t>
            </w:r>
          </w:p>
        </w:tc>
        <w:tc>
          <w:tcPr>
            <w:tcW w:w="3669" w:type="dxa"/>
          </w:tcPr>
          <w:p w14:paraId="18FB4EDD" w14:textId="77777777" w:rsidR="002B4B7A" w:rsidRPr="00460472" w:rsidRDefault="002B4B7A" w:rsidP="00677B42">
            <w:pPr>
              <w:pStyle w:val="BodyText"/>
              <w:jc w:val="both"/>
              <w:rPr>
                <w:color w:val="00B050"/>
              </w:rPr>
            </w:pPr>
            <w:r w:rsidRPr="00460472">
              <w:rPr>
                <w:color w:val="00B050"/>
              </w:rPr>
              <w:t>От 2 до 10 години</w:t>
            </w:r>
          </w:p>
        </w:tc>
      </w:tr>
      <w:tr w:rsidR="002B4B7A" w:rsidRPr="00903DA4" w14:paraId="202A0D2D" w14:textId="77777777" w:rsidTr="000C5C4D">
        <w:trPr>
          <w:trHeight w:val="113"/>
        </w:trPr>
        <w:tc>
          <w:tcPr>
            <w:tcW w:w="4242" w:type="dxa"/>
          </w:tcPr>
          <w:p w14:paraId="1F033DCA" w14:textId="77777777" w:rsidR="002B4B7A" w:rsidRPr="00903DA4" w:rsidRDefault="002B4B7A" w:rsidP="00677B42">
            <w:pPr>
              <w:pStyle w:val="BodyText"/>
              <w:jc w:val="both"/>
            </w:pPr>
            <w:r>
              <w:t>Транспортни средства</w:t>
            </w:r>
          </w:p>
        </w:tc>
        <w:tc>
          <w:tcPr>
            <w:tcW w:w="3669" w:type="dxa"/>
          </w:tcPr>
          <w:p w14:paraId="5A664320" w14:textId="77777777" w:rsidR="002B4B7A" w:rsidRPr="00903DA4" w:rsidRDefault="002B4B7A" w:rsidP="00677B42">
            <w:pPr>
              <w:pStyle w:val="BodyText"/>
              <w:jc w:val="both"/>
            </w:pPr>
            <w:r>
              <w:t>От 2 до 9 години</w:t>
            </w:r>
          </w:p>
        </w:tc>
      </w:tr>
      <w:tr w:rsidR="002B4B7A" w:rsidRPr="00903DA4" w14:paraId="4DCAFF24" w14:textId="77777777" w:rsidTr="000C5C4D">
        <w:trPr>
          <w:trHeight w:val="113"/>
        </w:trPr>
        <w:tc>
          <w:tcPr>
            <w:tcW w:w="4242" w:type="dxa"/>
          </w:tcPr>
          <w:p w14:paraId="08483611" w14:textId="77777777" w:rsidR="002B4B7A" w:rsidRPr="00903DA4" w:rsidRDefault="002B4B7A" w:rsidP="00677B42">
            <w:pPr>
              <w:pStyle w:val="BodyText"/>
              <w:jc w:val="both"/>
            </w:pPr>
            <w:r>
              <w:t>Стопански инвентар</w:t>
            </w:r>
          </w:p>
        </w:tc>
        <w:tc>
          <w:tcPr>
            <w:tcW w:w="3669" w:type="dxa"/>
          </w:tcPr>
          <w:p w14:paraId="554EDEED" w14:textId="77777777" w:rsidR="002B4B7A" w:rsidRPr="00903DA4" w:rsidRDefault="002B4B7A" w:rsidP="00677B42">
            <w:pPr>
              <w:pStyle w:val="BodyText"/>
              <w:jc w:val="both"/>
            </w:pPr>
            <w:r>
              <w:t>От 2 до 7 години</w:t>
            </w:r>
          </w:p>
        </w:tc>
      </w:tr>
    </w:tbl>
    <w:p w14:paraId="7FAAE822" w14:textId="77777777" w:rsidR="002B4B7A" w:rsidRDefault="002B4B7A" w:rsidP="00621209">
      <w:pPr>
        <w:pStyle w:val="BodyText"/>
        <w:spacing w:after="0"/>
        <w:jc w:val="both"/>
      </w:pPr>
    </w:p>
    <w:p w14:paraId="22E1EF94" w14:textId="77777777" w:rsidR="00621209" w:rsidRDefault="00621209" w:rsidP="000C5C4D">
      <w:pPr>
        <w:pStyle w:val="ListBullet"/>
        <w:numPr>
          <w:ilvl w:val="0"/>
          <w:numId w:val="0"/>
        </w:numPr>
        <w:spacing w:before="0" w:after="0"/>
        <w:ind w:left="340"/>
        <w:rPr>
          <w:color w:val="000000"/>
        </w:rPr>
      </w:pPr>
    </w:p>
    <w:p w14:paraId="5A985B4F" w14:textId="038BBD18" w:rsidR="002B4B7A" w:rsidRPr="000C5C4D" w:rsidRDefault="002B4B7A" w:rsidP="000C5C4D">
      <w:pPr>
        <w:pStyle w:val="BodyText"/>
        <w:spacing w:after="0"/>
        <w:jc w:val="both"/>
      </w:pPr>
      <w:r w:rsidRPr="000C5C4D">
        <w:t>Датата на въвеждане в експлоатация следва да е документално обоснована.</w:t>
      </w:r>
    </w:p>
    <w:p w14:paraId="21F3C263" w14:textId="77777777" w:rsidR="002B4B7A" w:rsidRPr="000C5C4D" w:rsidRDefault="002B4B7A" w:rsidP="000C5C4D">
      <w:pPr>
        <w:pStyle w:val="BodyText"/>
        <w:spacing w:after="0"/>
        <w:jc w:val="both"/>
      </w:pPr>
      <w:r w:rsidRPr="000C5C4D">
        <w:t>Сроковете на амортизация се определят по следния начин:</w:t>
      </w:r>
    </w:p>
    <w:p w14:paraId="1F751DE5" w14:textId="77777777" w:rsidR="002B4B7A" w:rsidRPr="000C5C4D" w:rsidRDefault="002B4B7A" w:rsidP="000C5C4D">
      <w:pPr>
        <w:pStyle w:val="ListBullet"/>
        <w:numPr>
          <w:ilvl w:val="0"/>
          <w:numId w:val="2"/>
        </w:numPr>
        <w:spacing w:before="0" w:after="0"/>
        <w:ind w:left="0" w:firstLine="0"/>
        <w:rPr>
          <w:color w:val="00B050"/>
          <w:sz w:val="22"/>
        </w:rPr>
      </w:pPr>
      <w:r w:rsidRPr="000C5C4D">
        <w:rPr>
          <w:color w:val="000000"/>
          <w:sz w:val="22"/>
        </w:rPr>
        <w:t>програмни продукти – срок на ползването им (</w:t>
      </w:r>
      <w:r w:rsidRPr="000C5C4D">
        <w:rPr>
          <w:strike/>
          <w:color w:val="FF0000"/>
          <w:sz w:val="22"/>
        </w:rPr>
        <w:t>10 години</w:t>
      </w:r>
      <w:r w:rsidRPr="000C5C4D">
        <w:rPr>
          <w:strike/>
          <w:color w:val="000000"/>
          <w:sz w:val="22"/>
        </w:rPr>
        <w:t xml:space="preserve">) </w:t>
      </w:r>
      <w:r w:rsidRPr="000C5C4D">
        <w:rPr>
          <w:color w:val="00B050"/>
          <w:sz w:val="22"/>
        </w:rPr>
        <w:t>( 2 -10 години)</w:t>
      </w:r>
    </w:p>
    <w:p w14:paraId="6B088A11" w14:textId="77777777" w:rsidR="002B4B7A" w:rsidRPr="002B4B7A" w:rsidRDefault="002B4B7A" w:rsidP="00677B42">
      <w:pPr>
        <w:pStyle w:val="BodyText"/>
        <w:jc w:val="both"/>
      </w:pPr>
    </w:p>
    <w:p w14:paraId="41A5B100" w14:textId="77777777" w:rsidR="00E8746C" w:rsidRPr="005220FE" w:rsidRDefault="00E8746C" w:rsidP="00677B42">
      <w:pPr>
        <w:pStyle w:val="Heading2"/>
        <w:jc w:val="both"/>
      </w:pPr>
      <w:r>
        <w:t xml:space="preserve">3.5 </w:t>
      </w:r>
      <w:r w:rsidRPr="005220FE">
        <w:t>Амортизация</w:t>
      </w:r>
      <w:bookmarkEnd w:id="3"/>
      <w:bookmarkEnd w:id="4"/>
      <w:bookmarkEnd w:id="5"/>
    </w:p>
    <w:p w14:paraId="0C842C89" w14:textId="77777777" w:rsidR="00E8746C" w:rsidRDefault="00E8746C" w:rsidP="00677B42">
      <w:pPr>
        <w:jc w:val="both"/>
      </w:pPr>
    </w:p>
    <w:p w14:paraId="45AD4DF3" w14:textId="77777777" w:rsidR="00E8746C" w:rsidRDefault="00E8746C" w:rsidP="00677B42">
      <w:pPr>
        <w:pStyle w:val="BodyText"/>
        <w:jc w:val="both"/>
      </w:pPr>
      <w:r>
        <w:t>Полезният живот на активите е определен както следва:</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2"/>
        <w:gridCol w:w="3669"/>
      </w:tblGrid>
      <w:tr w:rsidR="00E8746C" w:rsidRPr="00903DA4" w14:paraId="69F87544" w14:textId="77777777" w:rsidTr="000D5CE1">
        <w:tc>
          <w:tcPr>
            <w:tcW w:w="4242" w:type="dxa"/>
          </w:tcPr>
          <w:p w14:paraId="24943660" w14:textId="77777777" w:rsidR="00E8746C" w:rsidRPr="00903DA4" w:rsidRDefault="00E8746C" w:rsidP="00677B42">
            <w:pPr>
              <w:pStyle w:val="BodyText"/>
              <w:jc w:val="both"/>
            </w:pPr>
            <w:r>
              <w:t>Машини, съоръжения и оборудване</w:t>
            </w:r>
          </w:p>
        </w:tc>
        <w:tc>
          <w:tcPr>
            <w:tcW w:w="3669" w:type="dxa"/>
          </w:tcPr>
          <w:p w14:paraId="64F6C535" w14:textId="77777777" w:rsidR="00E8746C" w:rsidRPr="00903DA4" w:rsidRDefault="00E8746C" w:rsidP="00677B42">
            <w:pPr>
              <w:pStyle w:val="BodyText"/>
              <w:jc w:val="both"/>
            </w:pPr>
            <w:r>
              <w:t xml:space="preserve">От 2 до </w:t>
            </w:r>
            <w:r w:rsidRPr="00460472">
              <w:rPr>
                <w:strike/>
                <w:color w:val="FF0000"/>
              </w:rPr>
              <w:t>19</w:t>
            </w:r>
            <w:r>
              <w:t xml:space="preserve"> </w:t>
            </w:r>
            <w:r w:rsidRPr="00460472">
              <w:rPr>
                <w:color w:val="00B050"/>
              </w:rPr>
              <w:t>25</w:t>
            </w:r>
            <w:r>
              <w:t xml:space="preserve"> години</w:t>
            </w:r>
          </w:p>
        </w:tc>
      </w:tr>
      <w:tr w:rsidR="00E8746C" w:rsidRPr="00903DA4" w14:paraId="4BEB0C46" w14:textId="77777777" w:rsidTr="000D5CE1">
        <w:tc>
          <w:tcPr>
            <w:tcW w:w="4242" w:type="dxa"/>
          </w:tcPr>
          <w:p w14:paraId="7BB7AAEF" w14:textId="2176E5BB" w:rsidR="00E8746C" w:rsidRPr="00460472" w:rsidRDefault="00E8746C" w:rsidP="00677B42">
            <w:pPr>
              <w:pStyle w:val="BodyText"/>
              <w:jc w:val="both"/>
              <w:rPr>
                <w:color w:val="00B050"/>
              </w:rPr>
            </w:pPr>
            <w:r w:rsidRPr="00460472">
              <w:rPr>
                <w:color w:val="00B050"/>
              </w:rPr>
              <w:t>Компютри,софтуер,</w:t>
            </w:r>
            <w:r w:rsidR="00941FD2">
              <w:rPr>
                <w:color w:val="00B050"/>
              </w:rPr>
              <w:t xml:space="preserve"> </w:t>
            </w:r>
            <w:r w:rsidRPr="00460472">
              <w:rPr>
                <w:color w:val="00B050"/>
              </w:rPr>
              <w:t>мобилни телефони</w:t>
            </w:r>
          </w:p>
        </w:tc>
        <w:tc>
          <w:tcPr>
            <w:tcW w:w="3669" w:type="dxa"/>
          </w:tcPr>
          <w:p w14:paraId="50258EFB" w14:textId="77777777" w:rsidR="00E8746C" w:rsidRPr="00460472" w:rsidRDefault="00E8746C" w:rsidP="00677B42">
            <w:pPr>
              <w:pStyle w:val="BodyText"/>
              <w:jc w:val="both"/>
              <w:rPr>
                <w:color w:val="00B050"/>
              </w:rPr>
            </w:pPr>
            <w:r w:rsidRPr="00460472">
              <w:rPr>
                <w:color w:val="00B050"/>
              </w:rPr>
              <w:t>От 2 до 10 години</w:t>
            </w:r>
          </w:p>
        </w:tc>
      </w:tr>
      <w:tr w:rsidR="00E8746C" w:rsidRPr="00903DA4" w14:paraId="56E80AB0" w14:textId="77777777" w:rsidTr="000D5CE1">
        <w:tc>
          <w:tcPr>
            <w:tcW w:w="4242" w:type="dxa"/>
          </w:tcPr>
          <w:p w14:paraId="1342B226" w14:textId="77777777" w:rsidR="00E8746C" w:rsidRPr="00903DA4" w:rsidRDefault="00E8746C" w:rsidP="00677B42">
            <w:pPr>
              <w:pStyle w:val="BodyText"/>
              <w:jc w:val="both"/>
            </w:pPr>
            <w:r>
              <w:t>Транспортни средства</w:t>
            </w:r>
          </w:p>
        </w:tc>
        <w:tc>
          <w:tcPr>
            <w:tcW w:w="3669" w:type="dxa"/>
          </w:tcPr>
          <w:p w14:paraId="00B911AF" w14:textId="77777777" w:rsidR="00E8746C" w:rsidRPr="00903DA4" w:rsidRDefault="00E8746C" w:rsidP="00677B42">
            <w:pPr>
              <w:pStyle w:val="BodyText"/>
              <w:jc w:val="both"/>
            </w:pPr>
            <w:r>
              <w:t>От 2 до 9 години</w:t>
            </w:r>
          </w:p>
        </w:tc>
      </w:tr>
      <w:tr w:rsidR="00E8746C" w:rsidRPr="00903DA4" w14:paraId="4F627880" w14:textId="77777777" w:rsidTr="000D5CE1">
        <w:tc>
          <w:tcPr>
            <w:tcW w:w="4242" w:type="dxa"/>
          </w:tcPr>
          <w:p w14:paraId="1EEEF0E9" w14:textId="77777777" w:rsidR="00E8746C" w:rsidRPr="00903DA4" w:rsidRDefault="00E8746C" w:rsidP="00677B42">
            <w:pPr>
              <w:pStyle w:val="BodyText"/>
              <w:jc w:val="both"/>
            </w:pPr>
            <w:r>
              <w:t>Стопански инвентар</w:t>
            </w:r>
          </w:p>
        </w:tc>
        <w:tc>
          <w:tcPr>
            <w:tcW w:w="3669" w:type="dxa"/>
          </w:tcPr>
          <w:p w14:paraId="4F9CD9F5" w14:textId="77777777" w:rsidR="00E8746C" w:rsidRPr="00903DA4" w:rsidRDefault="00E8746C" w:rsidP="00677B42">
            <w:pPr>
              <w:pStyle w:val="BodyText"/>
              <w:jc w:val="both"/>
            </w:pPr>
            <w:r>
              <w:t>От 2 до 7 години</w:t>
            </w:r>
          </w:p>
        </w:tc>
      </w:tr>
    </w:tbl>
    <w:p w14:paraId="0FB5A0F1" w14:textId="77777777" w:rsidR="00E8746C" w:rsidRDefault="00E8746C" w:rsidP="00677B42">
      <w:pPr>
        <w:jc w:val="both"/>
      </w:pPr>
    </w:p>
    <w:p w14:paraId="66CA36A1" w14:textId="77777777" w:rsidR="000C5C4D" w:rsidRDefault="000C5C4D" w:rsidP="00621209">
      <w:pPr>
        <w:pStyle w:val="ListBullet"/>
        <w:numPr>
          <w:ilvl w:val="0"/>
          <w:numId w:val="0"/>
        </w:numPr>
        <w:spacing w:before="0" w:after="0"/>
        <w:ind w:left="340" w:hanging="340"/>
        <w:rPr>
          <w:color w:val="000000"/>
        </w:rPr>
      </w:pPr>
    </w:p>
    <w:p w14:paraId="45EBFA3E" w14:textId="3170D573" w:rsidR="00E8746C" w:rsidRPr="000C5C4D" w:rsidRDefault="00E8746C" w:rsidP="00621209">
      <w:pPr>
        <w:pStyle w:val="ListBullet"/>
        <w:numPr>
          <w:ilvl w:val="0"/>
          <w:numId w:val="0"/>
        </w:numPr>
        <w:spacing w:before="0" w:after="0"/>
        <w:ind w:left="340" w:hanging="340"/>
        <w:rPr>
          <w:color w:val="000000"/>
          <w:sz w:val="22"/>
        </w:rPr>
      </w:pPr>
      <w:r w:rsidRPr="000C5C4D">
        <w:rPr>
          <w:color w:val="000000"/>
          <w:sz w:val="22"/>
        </w:rPr>
        <w:t>Сроковете на амортизация се определят по следния начин:</w:t>
      </w:r>
    </w:p>
    <w:p w14:paraId="08EBFB50" w14:textId="34549E1E" w:rsidR="00E8746C" w:rsidRDefault="00E8746C" w:rsidP="00621209">
      <w:pPr>
        <w:pStyle w:val="ListBullet"/>
        <w:numPr>
          <w:ilvl w:val="0"/>
          <w:numId w:val="2"/>
        </w:numPr>
        <w:spacing w:before="0" w:after="0"/>
        <w:rPr>
          <w:color w:val="00B050"/>
        </w:rPr>
      </w:pPr>
      <w:r w:rsidRPr="000C5C4D">
        <w:rPr>
          <w:color w:val="000000"/>
          <w:sz w:val="22"/>
        </w:rPr>
        <w:t>програмни продукти – срок на ползването им (</w:t>
      </w:r>
      <w:r w:rsidRPr="000C5C4D">
        <w:rPr>
          <w:strike/>
          <w:color w:val="FF0000"/>
          <w:sz w:val="22"/>
        </w:rPr>
        <w:t>10 години</w:t>
      </w:r>
      <w:r w:rsidRPr="000C5C4D">
        <w:rPr>
          <w:strike/>
          <w:color w:val="000000"/>
          <w:sz w:val="22"/>
        </w:rPr>
        <w:t xml:space="preserve">) </w:t>
      </w:r>
      <w:r w:rsidRPr="000C5C4D">
        <w:rPr>
          <w:color w:val="00B050"/>
          <w:sz w:val="22"/>
        </w:rPr>
        <w:t>( 2 -10 години</w:t>
      </w:r>
      <w:r w:rsidRPr="00460472">
        <w:rPr>
          <w:color w:val="00B050"/>
        </w:rPr>
        <w:t>)</w:t>
      </w:r>
    </w:p>
    <w:p w14:paraId="6014D6EB" w14:textId="77777777" w:rsidR="00E8746C" w:rsidRPr="00E8746C" w:rsidRDefault="00E8746C" w:rsidP="00621209">
      <w:pPr>
        <w:pStyle w:val="Heading2"/>
        <w:spacing w:before="0"/>
        <w:jc w:val="both"/>
      </w:pPr>
      <w:bookmarkStart w:id="11" w:name="_Toc294186599"/>
      <w:bookmarkStart w:id="12" w:name="_Toc294187753"/>
      <w:bookmarkStart w:id="13" w:name="_Toc320467467"/>
      <w:r w:rsidRPr="00E8746C">
        <w:lastRenderedPageBreak/>
        <w:t>9. Материални запаси</w:t>
      </w:r>
      <w:bookmarkEnd w:id="11"/>
      <w:bookmarkEnd w:id="12"/>
      <w:bookmarkEnd w:id="13"/>
    </w:p>
    <w:p w14:paraId="1A85F1AE" w14:textId="77777777" w:rsidR="00E8746C" w:rsidRPr="005220FE" w:rsidRDefault="00E8746C" w:rsidP="00621209">
      <w:pPr>
        <w:pStyle w:val="Heading2"/>
        <w:spacing w:before="0"/>
        <w:jc w:val="both"/>
      </w:pPr>
      <w:bookmarkStart w:id="14" w:name="_Toc294186601"/>
      <w:bookmarkStart w:id="15" w:name="_Toc294187755"/>
      <w:bookmarkStart w:id="16" w:name="_Toc320467469"/>
      <w:r>
        <w:t xml:space="preserve">9.2 </w:t>
      </w:r>
      <w:r w:rsidRPr="005220FE">
        <w:t>Първоначално признаване</w:t>
      </w:r>
      <w:bookmarkEnd w:id="14"/>
      <w:bookmarkEnd w:id="15"/>
      <w:bookmarkEnd w:id="16"/>
      <w:r w:rsidRPr="005220FE">
        <w:t xml:space="preserve"> </w:t>
      </w:r>
    </w:p>
    <w:p w14:paraId="1F9560CD" w14:textId="77777777" w:rsidR="00E8746C" w:rsidRDefault="00E8746C" w:rsidP="00677B42">
      <w:pPr>
        <w:jc w:val="both"/>
      </w:pPr>
    </w:p>
    <w:p w14:paraId="40AF61FA" w14:textId="77777777" w:rsidR="00E8746C" w:rsidRDefault="00E8746C" w:rsidP="00677B42">
      <w:pPr>
        <w:pStyle w:val="BodyText"/>
        <w:jc w:val="both"/>
      </w:pPr>
      <w:r w:rsidRPr="002F0F0A">
        <w:t xml:space="preserve">При определяне на нетната реализируема стойност към края на отчетния период се използват цените, които Комисия за енергийно и водно регулиране ( КЕВР) е утвърдила за </w:t>
      </w:r>
      <w:r w:rsidRPr="002F0F0A">
        <w:rPr>
          <w:strike/>
          <w:color w:val="FF0000"/>
        </w:rPr>
        <w:t>първото</w:t>
      </w:r>
      <w:r w:rsidRPr="002F0F0A">
        <w:t xml:space="preserve"> тримесечие</w:t>
      </w:r>
      <w:r>
        <w:t>то</w:t>
      </w:r>
      <w:r w:rsidRPr="002F0F0A">
        <w:t xml:space="preserve"> на следващия отчетен период, като за природния газ, намиращ се в транзитен газопровод на територията на Р. Румъния  , се има предвид утвърдената цена, без цената за такса пренос </w:t>
      </w:r>
      <w:r>
        <w:t xml:space="preserve">на територията на България </w:t>
      </w:r>
      <w:r w:rsidRPr="002F0F0A">
        <w:t>.</w:t>
      </w:r>
    </w:p>
    <w:p w14:paraId="234E94EE" w14:textId="77777777" w:rsidR="00E8746C" w:rsidRPr="003D42D8" w:rsidRDefault="00E8746C" w:rsidP="00677B42">
      <w:pPr>
        <w:pStyle w:val="BodyText"/>
        <w:jc w:val="both"/>
        <w:rPr>
          <w:color w:val="00B050"/>
        </w:rPr>
      </w:pPr>
      <w:r w:rsidRPr="003D42D8">
        <w:rPr>
          <w:color w:val="00B050"/>
        </w:rPr>
        <w:t>В случай, че цената</w:t>
      </w:r>
      <w:r>
        <w:rPr>
          <w:color w:val="00B050"/>
        </w:rPr>
        <w:t>,</w:t>
      </w:r>
      <w:r w:rsidRPr="003D42D8">
        <w:rPr>
          <w:color w:val="00B050"/>
        </w:rPr>
        <w:t xml:space="preserve"> определена  от КЕВР  за следващия тримесечен период </w:t>
      </w:r>
      <w:r w:rsidRPr="00732F48">
        <w:rPr>
          <w:i/>
          <w:color w:val="00B050"/>
        </w:rPr>
        <w:t>е по-ниска</w:t>
      </w:r>
      <w:r w:rsidRPr="003D42D8">
        <w:rPr>
          <w:color w:val="00B050"/>
        </w:rPr>
        <w:t>, спрямо отчетната за текущия , се начислява обезценка .</w:t>
      </w:r>
    </w:p>
    <w:p w14:paraId="18B43186" w14:textId="77777777" w:rsidR="00E8746C" w:rsidRPr="003D42D8" w:rsidRDefault="00E8746C" w:rsidP="00677B42">
      <w:pPr>
        <w:pStyle w:val="BodyText"/>
        <w:jc w:val="both"/>
        <w:rPr>
          <w:color w:val="00B050"/>
        </w:rPr>
      </w:pPr>
      <w:r w:rsidRPr="002F0F0A">
        <w:rPr>
          <w:strike/>
          <w:color w:val="FF0000"/>
        </w:rPr>
        <w:t xml:space="preserve"> В случай, че природният газ вече е бил обезценен до нетна реализируема стойност и в следващ отчетен период се окаже, че условията довели до обезценка не са вече на лице, то се възприема новата му нетна реализируема стойност.Сумата на възстановяването може да бъде само до размера на балансовата стойност на природният газ преди обезценката. </w:t>
      </w:r>
    </w:p>
    <w:p w14:paraId="53DCAAF5" w14:textId="77777777" w:rsidR="00E8746C" w:rsidRPr="003D42D8" w:rsidRDefault="00E8746C" w:rsidP="00677B42">
      <w:pPr>
        <w:pStyle w:val="BodyText"/>
        <w:jc w:val="both"/>
        <w:rPr>
          <w:color w:val="00B050"/>
        </w:rPr>
      </w:pPr>
      <w:r w:rsidRPr="003D42D8">
        <w:rPr>
          <w:color w:val="00B050"/>
        </w:rPr>
        <w:t>В случай , че природният газ</w:t>
      </w:r>
      <w:r>
        <w:rPr>
          <w:color w:val="00B050"/>
        </w:rPr>
        <w:t>,</w:t>
      </w:r>
      <w:r w:rsidRPr="003D42D8">
        <w:rPr>
          <w:color w:val="00B050"/>
        </w:rPr>
        <w:t xml:space="preserve"> вече е бил обезценен в предходен отчетен период </w:t>
      </w:r>
      <w:r>
        <w:rPr>
          <w:color w:val="00B050"/>
        </w:rPr>
        <w:t>, но</w:t>
      </w:r>
      <w:r w:rsidRPr="003D42D8">
        <w:rPr>
          <w:color w:val="00B050"/>
        </w:rPr>
        <w:t xml:space="preserve"> </w:t>
      </w:r>
      <w:r>
        <w:rPr>
          <w:color w:val="00B050"/>
        </w:rPr>
        <w:t xml:space="preserve"> в</w:t>
      </w:r>
      <w:r w:rsidRPr="003D42D8">
        <w:rPr>
          <w:color w:val="00B050"/>
        </w:rPr>
        <w:t xml:space="preserve"> следващ</w:t>
      </w:r>
      <w:r>
        <w:rPr>
          <w:color w:val="00B050"/>
        </w:rPr>
        <w:t xml:space="preserve">ия </w:t>
      </w:r>
      <w:r w:rsidRPr="003D42D8">
        <w:rPr>
          <w:color w:val="00B050"/>
        </w:rPr>
        <w:t xml:space="preserve">се окаже, че условията довели до обезценка не са  налице (цената, определена от </w:t>
      </w:r>
      <w:r w:rsidRPr="00732F48">
        <w:rPr>
          <w:i/>
          <w:color w:val="00B050"/>
        </w:rPr>
        <w:t>КЕВР е по-висока</w:t>
      </w:r>
      <w:r w:rsidRPr="003D42D8">
        <w:rPr>
          <w:color w:val="00B050"/>
        </w:rPr>
        <w:t xml:space="preserve">, спрямо отчетната) , то се възстановява </w:t>
      </w:r>
      <w:r>
        <w:rPr>
          <w:color w:val="00B050"/>
        </w:rPr>
        <w:t xml:space="preserve">вече </w:t>
      </w:r>
      <w:r w:rsidRPr="003D42D8">
        <w:rPr>
          <w:color w:val="00B050"/>
        </w:rPr>
        <w:t xml:space="preserve">начислена  обезценка, но само до  размера на балансовата стойност на </w:t>
      </w:r>
      <w:r>
        <w:rPr>
          <w:color w:val="00B050"/>
        </w:rPr>
        <w:t>природния газ преди обезценката и до количеството, което е било обезценено и е налично при текущата обезценка .</w:t>
      </w:r>
    </w:p>
    <w:p w14:paraId="53976B92" w14:textId="77777777" w:rsidR="00E8746C" w:rsidRPr="003D42D8" w:rsidRDefault="00E8746C" w:rsidP="00677B42">
      <w:pPr>
        <w:pStyle w:val="BodyText"/>
        <w:jc w:val="both"/>
        <w:rPr>
          <w:color w:val="00B050"/>
        </w:rPr>
      </w:pPr>
      <w:r w:rsidRPr="003D42D8">
        <w:t>Сумата на обезценката се отчита в печалби или загуби за периода, в който е възникнала.</w:t>
      </w:r>
    </w:p>
    <w:p w14:paraId="5DBA9063" w14:textId="77777777" w:rsidR="00E8746C" w:rsidRDefault="00E8746C" w:rsidP="00677B42">
      <w:pPr>
        <w:pStyle w:val="Heading2"/>
        <w:jc w:val="both"/>
      </w:pPr>
      <w:bookmarkStart w:id="17" w:name="_Toc294187772"/>
      <w:r>
        <w:t xml:space="preserve">10.1.7 </w:t>
      </w:r>
      <w:r w:rsidRPr="005220FE">
        <w:t>Инвентаризация и отписване</w:t>
      </w:r>
      <w:bookmarkEnd w:id="17"/>
      <w:r w:rsidRPr="005220FE">
        <w:t xml:space="preserve">  </w:t>
      </w:r>
    </w:p>
    <w:p w14:paraId="538C58AE" w14:textId="77777777" w:rsidR="00E8746C" w:rsidRPr="002B4B7A" w:rsidRDefault="00E8746C" w:rsidP="00677B42">
      <w:pPr>
        <w:pStyle w:val="BodyText"/>
        <w:jc w:val="both"/>
        <w:rPr>
          <w:b/>
        </w:rPr>
      </w:pPr>
      <w:r w:rsidRPr="002B4B7A">
        <w:rPr>
          <w:b/>
        </w:rPr>
        <w:t>Индикация за обезценка</w:t>
      </w:r>
    </w:p>
    <w:p w14:paraId="4A32EFFD" w14:textId="77777777" w:rsidR="00E8746C" w:rsidRDefault="00E8746C" w:rsidP="00677B42">
      <w:pPr>
        <w:pStyle w:val="BodyText"/>
        <w:jc w:val="both"/>
      </w:pPr>
      <w:r w:rsidRPr="00F6166B">
        <w:t>Обезценката на вземанията става с решение на Съвета на директорите на Дружеството по предложение на главния счетоводител и/или финансовия директор на Дружеството</w:t>
      </w:r>
    </w:p>
    <w:p w14:paraId="1F2DA284" w14:textId="77777777" w:rsidR="00E8746C" w:rsidRPr="000C5C4D" w:rsidRDefault="00E8746C" w:rsidP="00677B42">
      <w:pPr>
        <w:pStyle w:val="ListBullet"/>
        <w:numPr>
          <w:ilvl w:val="0"/>
          <w:numId w:val="0"/>
        </w:numPr>
        <w:rPr>
          <w:color w:val="00B050"/>
          <w:sz w:val="22"/>
        </w:rPr>
      </w:pPr>
      <w:r w:rsidRPr="000C5C4D">
        <w:rPr>
          <w:color w:val="00B050"/>
          <w:sz w:val="22"/>
        </w:rPr>
        <w:t>В случай, че е налице индикация за обезценка на вземанията, загубата се изчислява на база процент на несъбираемост.</w:t>
      </w:r>
    </w:p>
    <w:p w14:paraId="34C0611E" w14:textId="77777777" w:rsidR="00E8746C" w:rsidRPr="000C5C4D" w:rsidRDefault="00E8746C" w:rsidP="00677B42">
      <w:pPr>
        <w:pStyle w:val="ListBullet"/>
        <w:numPr>
          <w:ilvl w:val="0"/>
          <w:numId w:val="0"/>
        </w:numPr>
        <w:rPr>
          <w:color w:val="00B050"/>
          <w:sz w:val="22"/>
        </w:rPr>
      </w:pPr>
      <w:r w:rsidRPr="000C5C4D">
        <w:rPr>
          <w:color w:val="00B050"/>
          <w:sz w:val="22"/>
        </w:rPr>
        <w:t>Съпоставят се  вземанията от клиентите към 31.12. на съответната година</w:t>
      </w:r>
      <w:r w:rsidR="00EC6844" w:rsidRPr="000C5C4D">
        <w:rPr>
          <w:color w:val="00B050"/>
          <w:sz w:val="22"/>
        </w:rPr>
        <w:t xml:space="preserve"> и по-конкретно,  тези,  с просрочие повече от 31 дни</w:t>
      </w:r>
      <w:r w:rsidRPr="000C5C4D">
        <w:rPr>
          <w:color w:val="00B050"/>
          <w:sz w:val="22"/>
        </w:rPr>
        <w:t>, с плащанията за тях към датата на одиторските процедури за годишния или шестмесечния финансов отчет.</w:t>
      </w:r>
    </w:p>
    <w:p w14:paraId="535A9A75" w14:textId="77777777" w:rsidR="00E8746C" w:rsidRPr="000C5C4D" w:rsidRDefault="00E8746C" w:rsidP="00677B42">
      <w:pPr>
        <w:pStyle w:val="ListBullet"/>
        <w:numPr>
          <w:ilvl w:val="0"/>
          <w:numId w:val="0"/>
        </w:numPr>
        <w:rPr>
          <w:color w:val="00B050"/>
          <w:sz w:val="22"/>
        </w:rPr>
      </w:pPr>
      <w:r w:rsidRPr="000C5C4D">
        <w:rPr>
          <w:color w:val="00B050"/>
          <w:sz w:val="22"/>
        </w:rPr>
        <w:t xml:space="preserve">Изчислява се </w:t>
      </w:r>
      <w:r w:rsidRPr="000C5C4D">
        <w:rPr>
          <w:i/>
          <w:color w:val="00B050"/>
          <w:sz w:val="22"/>
        </w:rPr>
        <w:t>процент на събираемост</w:t>
      </w:r>
      <w:r w:rsidRPr="000C5C4D">
        <w:rPr>
          <w:color w:val="00B050"/>
          <w:sz w:val="22"/>
        </w:rPr>
        <w:t xml:space="preserve">  като съотношение между платеното и непогасеното задължение.</w:t>
      </w:r>
    </w:p>
    <w:p w14:paraId="55E45D2F" w14:textId="77777777" w:rsidR="00E8746C" w:rsidRPr="000C5C4D" w:rsidRDefault="00E8746C" w:rsidP="00677B42">
      <w:pPr>
        <w:pStyle w:val="ListBullet"/>
        <w:numPr>
          <w:ilvl w:val="0"/>
          <w:numId w:val="0"/>
        </w:numPr>
        <w:rPr>
          <w:color w:val="00B050"/>
          <w:sz w:val="22"/>
        </w:rPr>
      </w:pPr>
      <w:r w:rsidRPr="000C5C4D">
        <w:rPr>
          <w:color w:val="00B050"/>
          <w:sz w:val="22"/>
        </w:rPr>
        <w:t xml:space="preserve">Изчислява се </w:t>
      </w:r>
      <w:r w:rsidRPr="000C5C4D">
        <w:rPr>
          <w:i/>
          <w:color w:val="00B050"/>
          <w:sz w:val="22"/>
        </w:rPr>
        <w:t>процент на несъбираемост</w:t>
      </w:r>
      <w:r w:rsidRPr="000C5C4D">
        <w:rPr>
          <w:color w:val="00B050"/>
          <w:sz w:val="22"/>
        </w:rPr>
        <w:t xml:space="preserve"> като разлика между 100% и процента на събираемост.</w:t>
      </w:r>
    </w:p>
    <w:p w14:paraId="34D7B662" w14:textId="77777777" w:rsidR="00E8746C" w:rsidRPr="000C5C4D" w:rsidRDefault="00E8746C" w:rsidP="00677B42">
      <w:pPr>
        <w:pStyle w:val="ListBullet"/>
        <w:numPr>
          <w:ilvl w:val="0"/>
          <w:numId w:val="0"/>
        </w:numPr>
        <w:rPr>
          <w:color w:val="00B050"/>
          <w:sz w:val="22"/>
        </w:rPr>
      </w:pPr>
      <w:r w:rsidRPr="000C5C4D">
        <w:rPr>
          <w:color w:val="00B050"/>
          <w:sz w:val="22"/>
        </w:rPr>
        <w:t>Произведението на  стойността на вземането  и процента на несъбираемост, представляват загубата от обезценката за начисляване.</w:t>
      </w:r>
    </w:p>
    <w:p w14:paraId="527C8D11" w14:textId="77777777" w:rsidR="00E8746C" w:rsidRDefault="00E8746C" w:rsidP="00677B42">
      <w:pPr>
        <w:pStyle w:val="BodyText"/>
        <w:jc w:val="both"/>
        <w:rPr>
          <w:color w:val="00B050"/>
        </w:rPr>
      </w:pPr>
      <w:r w:rsidRPr="00F6166B">
        <w:t xml:space="preserve">Когато наличната информация за определяне на сумата на обезценката е ограничена, тогава преценката за обезценка се обосновава с исторически данни от опита на Дружеството, свързан с търговските взаимоотношения с подобни длъжници или </w:t>
      </w:r>
      <w:r>
        <w:t>друга надеждна база за преценка</w:t>
      </w:r>
      <w:r w:rsidRPr="00362082">
        <w:rPr>
          <w:color w:val="00B050"/>
        </w:rPr>
        <w:t>, както и</w:t>
      </w:r>
      <w:r>
        <w:rPr>
          <w:color w:val="00B050"/>
        </w:rPr>
        <w:t xml:space="preserve"> прилагане на </w:t>
      </w:r>
      <w:r w:rsidRPr="00362082">
        <w:rPr>
          <w:color w:val="00B050"/>
        </w:rPr>
        <w:t xml:space="preserve"> индивидуален п</w:t>
      </w:r>
      <w:r>
        <w:rPr>
          <w:color w:val="00B050"/>
        </w:rPr>
        <w:t xml:space="preserve">одход за  най-големите длъжници. </w:t>
      </w:r>
    </w:p>
    <w:p w14:paraId="0F3C9940" w14:textId="4F8018CF" w:rsidR="00E8746C" w:rsidRDefault="00E8746C" w:rsidP="00677B42">
      <w:pPr>
        <w:pStyle w:val="BodyText"/>
        <w:jc w:val="both"/>
        <w:rPr>
          <w:color w:val="00B050"/>
        </w:rPr>
      </w:pPr>
    </w:p>
    <w:p w14:paraId="0044ABB9" w14:textId="77777777" w:rsidR="00621209" w:rsidRDefault="00621209" w:rsidP="00677B42">
      <w:pPr>
        <w:pStyle w:val="BodyText"/>
        <w:jc w:val="both"/>
        <w:rPr>
          <w:color w:val="00B050"/>
        </w:rPr>
      </w:pPr>
    </w:p>
    <w:p w14:paraId="22CFD816" w14:textId="77777777" w:rsidR="00E8746C" w:rsidRPr="00E8746C" w:rsidRDefault="00E8746C" w:rsidP="00621209">
      <w:pPr>
        <w:pStyle w:val="Heading2"/>
        <w:spacing w:before="0"/>
        <w:jc w:val="both"/>
      </w:pPr>
      <w:bookmarkStart w:id="18" w:name="_Toc294186619"/>
      <w:bookmarkStart w:id="19" w:name="_Toc294187796"/>
      <w:bookmarkStart w:id="20" w:name="_Toc320467484"/>
      <w:r w:rsidRPr="00E8746C">
        <w:t>12 Доходи на наети лица</w:t>
      </w:r>
      <w:bookmarkEnd w:id="18"/>
      <w:bookmarkEnd w:id="19"/>
      <w:bookmarkEnd w:id="20"/>
    </w:p>
    <w:p w14:paraId="1AA18170" w14:textId="77777777" w:rsidR="00E8746C" w:rsidRPr="005220FE" w:rsidRDefault="00E8746C" w:rsidP="00621209">
      <w:pPr>
        <w:pStyle w:val="Heading2"/>
        <w:spacing w:before="0"/>
        <w:jc w:val="both"/>
      </w:pPr>
      <w:bookmarkStart w:id="21" w:name="_Toc294186621"/>
      <w:bookmarkStart w:id="22" w:name="_Toc294187798"/>
      <w:bookmarkStart w:id="23" w:name="_Toc320467486"/>
      <w:r>
        <w:t xml:space="preserve">12.2 </w:t>
      </w:r>
      <w:r w:rsidRPr="005220FE">
        <w:t>Дефиниция и признаване</w:t>
      </w:r>
      <w:bookmarkEnd w:id="21"/>
      <w:bookmarkEnd w:id="22"/>
      <w:bookmarkEnd w:id="23"/>
      <w:r w:rsidRPr="005220FE">
        <w:t xml:space="preserve"> </w:t>
      </w:r>
    </w:p>
    <w:p w14:paraId="40EF5711" w14:textId="77777777" w:rsidR="00E8746C" w:rsidRDefault="00E8746C" w:rsidP="00677B42">
      <w:pPr>
        <w:pStyle w:val="BodyText"/>
        <w:jc w:val="both"/>
      </w:pPr>
    </w:p>
    <w:p w14:paraId="38EBF58D" w14:textId="77777777" w:rsidR="00E8746C" w:rsidRPr="00362082" w:rsidRDefault="00E8746C" w:rsidP="00677B42">
      <w:pPr>
        <w:pStyle w:val="BodyText"/>
        <w:jc w:val="both"/>
        <w:rPr>
          <w:color w:val="00B050"/>
        </w:rPr>
      </w:pPr>
      <w:r w:rsidRPr="00E15810">
        <w:lastRenderedPageBreak/>
        <w:t>Дружеството има задължение за изплащане на доход при напускане на тези свои служители, които се пенсионират</w:t>
      </w:r>
      <w:r>
        <w:t>,</w:t>
      </w:r>
      <w:r w:rsidRPr="00E15810">
        <w:t xml:space="preserve"> в съответствие с изискванията на чл. 222, § 3 от Кодекса на труда (КТ) в България и </w:t>
      </w:r>
      <w:r w:rsidRPr="00362082">
        <w:t xml:space="preserve">Заповед </w:t>
      </w:r>
      <w:r w:rsidRPr="00362082">
        <w:rPr>
          <w:strike/>
          <w:color w:val="FF0000"/>
          <w:lang w:val="en-US"/>
        </w:rPr>
        <w:t>N</w:t>
      </w:r>
      <w:r w:rsidRPr="00362082">
        <w:rPr>
          <w:strike/>
          <w:color w:val="FF0000"/>
        </w:rPr>
        <w:t xml:space="preserve"> БГ -92-04-03/ 08.04.2008 и</w:t>
      </w:r>
      <w:r w:rsidRPr="00362082">
        <w:rPr>
          <w:color w:val="FF0000"/>
        </w:rPr>
        <w:t xml:space="preserve"> </w:t>
      </w:r>
      <w:r w:rsidRPr="00362082">
        <w:rPr>
          <w:strike/>
          <w:color w:val="FF0000"/>
        </w:rPr>
        <w:t>приложенията към нея.</w:t>
      </w:r>
      <w:r w:rsidRPr="00362082">
        <w:rPr>
          <w:color w:val="FF0000"/>
        </w:rPr>
        <w:t xml:space="preserve">  </w:t>
      </w:r>
      <w:r w:rsidRPr="00362082">
        <w:rPr>
          <w:color w:val="00B050"/>
        </w:rPr>
        <w:t>на Изпълнителния директор.</w:t>
      </w:r>
    </w:p>
    <w:p w14:paraId="4F37FBE9" w14:textId="77777777" w:rsidR="00E8746C" w:rsidRPr="00E8746C" w:rsidRDefault="00E8746C" w:rsidP="00677B42">
      <w:pPr>
        <w:pStyle w:val="Heading2"/>
        <w:jc w:val="both"/>
      </w:pPr>
      <w:bookmarkStart w:id="24" w:name="_Toc294186649"/>
      <w:bookmarkStart w:id="25" w:name="_Toc294187861"/>
      <w:bookmarkStart w:id="26" w:name="_Toc320467508"/>
      <w:r w:rsidRPr="00E8746C">
        <w:t>17 . Приходи</w:t>
      </w:r>
      <w:bookmarkEnd w:id="24"/>
      <w:bookmarkEnd w:id="25"/>
      <w:bookmarkEnd w:id="26"/>
    </w:p>
    <w:p w14:paraId="614471A7" w14:textId="77777777" w:rsidR="002B4B7A" w:rsidRPr="00695853" w:rsidRDefault="002B4B7A" w:rsidP="00677B42">
      <w:pPr>
        <w:pStyle w:val="BodyText"/>
        <w:jc w:val="both"/>
      </w:pPr>
      <w:r w:rsidRPr="002B4B7A">
        <w:rPr>
          <w:i/>
        </w:rPr>
        <w:t>Класификация</w:t>
      </w:r>
    </w:p>
    <w:p w14:paraId="19C90782" w14:textId="77777777" w:rsidR="00E8746C" w:rsidRPr="005220FE" w:rsidRDefault="00E8746C" w:rsidP="000C5C4D">
      <w:pPr>
        <w:pStyle w:val="BodyText"/>
        <w:spacing w:after="0"/>
        <w:jc w:val="both"/>
        <w:rPr>
          <w:color w:val="000000"/>
        </w:rPr>
      </w:pPr>
      <w:r w:rsidRPr="005220FE">
        <w:rPr>
          <w:color w:val="000000"/>
        </w:rPr>
        <w:t>При</w:t>
      </w:r>
      <w:r>
        <w:rPr>
          <w:color w:val="000000"/>
        </w:rPr>
        <w:t>ходите на Дружеството</w:t>
      </w:r>
      <w:r w:rsidRPr="005220FE">
        <w:rPr>
          <w:color w:val="000000"/>
        </w:rPr>
        <w:t xml:space="preserve"> включват:</w:t>
      </w:r>
    </w:p>
    <w:p w14:paraId="5031D906" w14:textId="77777777" w:rsidR="00E8746C" w:rsidRPr="000C5C4D" w:rsidRDefault="00E8746C" w:rsidP="000C5C4D">
      <w:pPr>
        <w:pStyle w:val="ListBullet2"/>
        <w:tabs>
          <w:tab w:val="clear" w:pos="643"/>
        </w:tabs>
        <w:ind w:left="284"/>
        <w:jc w:val="both"/>
        <w:rPr>
          <w:color w:val="00B050"/>
          <w:szCs w:val="22"/>
        </w:rPr>
      </w:pPr>
      <w:r w:rsidRPr="00E313ED">
        <w:t>приходи от продажби на природен газ</w:t>
      </w:r>
      <w:r>
        <w:t xml:space="preserve">, в това число </w:t>
      </w:r>
      <w:r w:rsidRPr="003D42D8">
        <w:rPr>
          <w:strike/>
          <w:color w:val="FF0000"/>
        </w:rPr>
        <w:t>приходи от продажби на газ и приходи от оказани услуги, префактурирани услуги, оказани от Булгартрансгаз ЕАД за пренос и разпределение на природен газ;</w:t>
      </w:r>
      <w:r w:rsidRPr="003D42D8">
        <w:t xml:space="preserve"> </w:t>
      </w:r>
      <w:r w:rsidRPr="003D42D8">
        <w:rPr>
          <w:color w:val="00B050"/>
        </w:rPr>
        <w:t xml:space="preserve">от продажби на природен газ, </w:t>
      </w:r>
      <w:r>
        <w:rPr>
          <w:color w:val="00B050"/>
        </w:rPr>
        <w:t xml:space="preserve">с </w:t>
      </w:r>
      <w:r w:rsidRPr="003D42D8">
        <w:rPr>
          <w:color w:val="00B050"/>
        </w:rPr>
        <w:t xml:space="preserve"> включ</w:t>
      </w:r>
      <w:r>
        <w:rPr>
          <w:color w:val="00B050"/>
        </w:rPr>
        <w:t>ена</w:t>
      </w:r>
      <w:r w:rsidRPr="003D42D8">
        <w:rPr>
          <w:color w:val="00B050"/>
        </w:rPr>
        <w:t xml:space="preserve">  такса пренос за пренос и разпределение на природен газ, фактурирана от Булгартрансгаз ЕАД на дружеството и префактурирана на клиентите </w:t>
      </w:r>
      <w:r>
        <w:rPr>
          <w:color w:val="00B050"/>
        </w:rPr>
        <w:t>.</w:t>
      </w:r>
      <w:r w:rsidRPr="003D42D8">
        <w:rPr>
          <w:color w:val="00B050"/>
        </w:rPr>
        <w:t xml:space="preserve"> </w:t>
      </w:r>
    </w:p>
    <w:p w14:paraId="235F8A02" w14:textId="77777777" w:rsidR="00E8746C" w:rsidRPr="000C5C4D" w:rsidRDefault="00E8746C" w:rsidP="000C5C4D">
      <w:pPr>
        <w:pStyle w:val="ListBullet"/>
        <w:spacing w:after="0"/>
        <w:rPr>
          <w:sz w:val="22"/>
          <w:szCs w:val="22"/>
        </w:rPr>
      </w:pPr>
      <w:r w:rsidRPr="000C5C4D">
        <w:rPr>
          <w:sz w:val="22"/>
          <w:szCs w:val="22"/>
        </w:rPr>
        <w:t>приходи от други продажби - услуги, ИМС, материали;</w:t>
      </w:r>
    </w:p>
    <w:p w14:paraId="233E2580" w14:textId="77777777" w:rsidR="00E8746C" w:rsidRPr="000C5C4D" w:rsidRDefault="00E8746C" w:rsidP="000C5C4D">
      <w:pPr>
        <w:pStyle w:val="ListBullet"/>
        <w:spacing w:after="0"/>
        <w:rPr>
          <w:sz w:val="22"/>
          <w:szCs w:val="22"/>
        </w:rPr>
      </w:pPr>
      <w:r w:rsidRPr="000C5C4D">
        <w:rPr>
          <w:sz w:val="22"/>
          <w:szCs w:val="22"/>
        </w:rPr>
        <w:t>други приходи от дейността – приходи от неустойки, излишъци на активи, глоби, неустойки, отписване на задължения, санкции на длъжностни лица, отстъпки за ниска щетимост по застрахователни договори, наеми и др.;</w:t>
      </w:r>
    </w:p>
    <w:p w14:paraId="223170E0" w14:textId="77777777" w:rsidR="00E8746C" w:rsidRPr="000C5C4D" w:rsidRDefault="00E8746C" w:rsidP="000C5C4D">
      <w:pPr>
        <w:pStyle w:val="ListBullet"/>
        <w:spacing w:after="0"/>
        <w:rPr>
          <w:sz w:val="22"/>
          <w:szCs w:val="22"/>
        </w:rPr>
      </w:pPr>
      <w:r w:rsidRPr="000C5C4D">
        <w:rPr>
          <w:sz w:val="22"/>
          <w:szCs w:val="22"/>
        </w:rPr>
        <w:t>приходи от услуги – отдаден капацитет;</w:t>
      </w:r>
    </w:p>
    <w:p w14:paraId="5DC3FEE4" w14:textId="77777777" w:rsidR="00E8746C" w:rsidRPr="000C5C4D" w:rsidRDefault="00E8746C" w:rsidP="000C5C4D">
      <w:pPr>
        <w:pStyle w:val="ListBullet"/>
        <w:spacing w:after="0"/>
        <w:rPr>
          <w:sz w:val="22"/>
          <w:szCs w:val="22"/>
        </w:rPr>
      </w:pPr>
      <w:r w:rsidRPr="000C5C4D">
        <w:rPr>
          <w:sz w:val="22"/>
          <w:szCs w:val="22"/>
        </w:rPr>
        <w:t>приходи от лихви от суми, дължими на Дружеството, възнаграждения за права и дивиденти от участия в конкретен клас капитал.</w:t>
      </w:r>
    </w:p>
    <w:p w14:paraId="43164F8A" w14:textId="77777777" w:rsidR="00E8746C" w:rsidRPr="000C5C4D" w:rsidRDefault="00E8746C" w:rsidP="000C5C4D">
      <w:pPr>
        <w:pStyle w:val="BodyText"/>
        <w:spacing w:after="0"/>
        <w:jc w:val="both"/>
        <w:rPr>
          <w:color w:val="000000"/>
          <w:szCs w:val="22"/>
        </w:rPr>
      </w:pPr>
      <w:r w:rsidRPr="000C5C4D">
        <w:rPr>
          <w:color w:val="000000"/>
          <w:szCs w:val="22"/>
        </w:rPr>
        <w:t>Други приходи, които не попадат в обхвата на МСС 18 Приходи, но са част от счетоводния резултат на Дружеството, са:</w:t>
      </w:r>
    </w:p>
    <w:p w14:paraId="49F62B63" w14:textId="77777777" w:rsidR="00E8746C" w:rsidRPr="000C5C4D" w:rsidRDefault="00E8746C" w:rsidP="000C5C4D">
      <w:pPr>
        <w:pStyle w:val="ListBullet"/>
        <w:spacing w:after="0"/>
        <w:rPr>
          <w:sz w:val="22"/>
          <w:szCs w:val="22"/>
        </w:rPr>
      </w:pPr>
      <w:r w:rsidRPr="000C5C4D">
        <w:rPr>
          <w:sz w:val="22"/>
          <w:szCs w:val="22"/>
        </w:rPr>
        <w:t>приходи от операции по предоставени заеми и по договори за финансов лизинг, операции с финансови инструменти и с чуждестранна валута и от други финансови операции;</w:t>
      </w:r>
    </w:p>
    <w:p w14:paraId="03EB4F08" w14:textId="77777777" w:rsidR="00E8746C" w:rsidRPr="000C5C4D" w:rsidRDefault="00E8746C" w:rsidP="000C5C4D">
      <w:pPr>
        <w:pStyle w:val="ListBullet"/>
        <w:spacing w:after="0"/>
        <w:rPr>
          <w:sz w:val="22"/>
          <w:szCs w:val="22"/>
        </w:rPr>
      </w:pPr>
      <w:r w:rsidRPr="000C5C4D">
        <w:rPr>
          <w:sz w:val="22"/>
          <w:szCs w:val="22"/>
        </w:rPr>
        <w:t>приходи от преоценки - на ИМС, нематериални активи, материални запаси, финансови инструменти;</w:t>
      </w:r>
    </w:p>
    <w:p w14:paraId="7543A61E" w14:textId="77777777" w:rsidR="00E8746C" w:rsidRPr="000C5C4D" w:rsidRDefault="00E8746C" w:rsidP="000C5C4D">
      <w:pPr>
        <w:pStyle w:val="BodyText"/>
        <w:spacing w:after="0"/>
        <w:jc w:val="both"/>
        <w:rPr>
          <w:szCs w:val="22"/>
        </w:rPr>
      </w:pPr>
      <w:r w:rsidRPr="000C5C4D">
        <w:rPr>
          <w:szCs w:val="22"/>
        </w:rPr>
        <w:t>приходи от финансирания, от бизнес комбинации и други случайни сделки.</w:t>
      </w:r>
    </w:p>
    <w:p w14:paraId="3F48C04A" w14:textId="77777777" w:rsidR="00E8746C" w:rsidRPr="000C5C4D" w:rsidRDefault="00E8746C" w:rsidP="00677B42">
      <w:pPr>
        <w:pStyle w:val="BodyText"/>
        <w:jc w:val="both"/>
        <w:rPr>
          <w:szCs w:val="22"/>
        </w:rPr>
      </w:pPr>
    </w:p>
    <w:p w14:paraId="6505A63B" w14:textId="77777777" w:rsidR="00E8746C" w:rsidRPr="005220FE" w:rsidRDefault="00E8746C" w:rsidP="00677B42">
      <w:pPr>
        <w:pStyle w:val="Heading2"/>
        <w:jc w:val="both"/>
      </w:pPr>
      <w:r>
        <w:t>17.3.1.Общи политики</w:t>
      </w:r>
    </w:p>
    <w:p w14:paraId="0349FA70" w14:textId="77777777" w:rsidR="00E8746C" w:rsidRPr="002B4B7A" w:rsidRDefault="00E8746C" w:rsidP="00677B42">
      <w:pPr>
        <w:pStyle w:val="BodyText"/>
        <w:jc w:val="both"/>
        <w:rPr>
          <w:b/>
          <w:color w:val="00B050"/>
        </w:rPr>
      </w:pPr>
      <w:bookmarkStart w:id="27" w:name="_Toc294187869"/>
      <w:r w:rsidRPr="002B4B7A">
        <w:rPr>
          <w:b/>
        </w:rPr>
        <w:t>Приходи от неустойки</w:t>
      </w:r>
      <w:bookmarkEnd w:id="27"/>
      <w:r w:rsidRPr="002B4B7A">
        <w:rPr>
          <w:b/>
        </w:rPr>
        <w:t xml:space="preserve"> /</w:t>
      </w:r>
      <w:r w:rsidRPr="002B4B7A">
        <w:rPr>
          <w:b/>
          <w:color w:val="00B050"/>
        </w:rPr>
        <w:t>лихви /</w:t>
      </w:r>
    </w:p>
    <w:p w14:paraId="48195AD3" w14:textId="77777777" w:rsidR="00E8746C" w:rsidRDefault="00E8746C" w:rsidP="00677B42">
      <w:pPr>
        <w:jc w:val="both"/>
      </w:pPr>
    </w:p>
    <w:p w14:paraId="0FBE3D14" w14:textId="77777777" w:rsidR="00E8746C" w:rsidRDefault="00E8746C" w:rsidP="00677B42">
      <w:pPr>
        <w:pStyle w:val="BodyText"/>
        <w:jc w:val="both"/>
        <w:rPr>
          <w:color w:val="000000"/>
        </w:rPr>
      </w:pPr>
      <w:r w:rsidRPr="008B63AF">
        <w:rPr>
          <w:color w:val="000000"/>
        </w:rPr>
        <w:t xml:space="preserve">В случаите, когато съществуват данни поставящи под съмнение платежоспособността на клиента, приходи от неустойки не се признават. </w:t>
      </w:r>
    </w:p>
    <w:p w14:paraId="1039EC61" w14:textId="77777777" w:rsidR="00E8746C" w:rsidRPr="000C5C4D" w:rsidRDefault="00E8746C" w:rsidP="00677B42">
      <w:pPr>
        <w:pStyle w:val="BodyText"/>
        <w:jc w:val="both"/>
        <w:rPr>
          <w:color w:val="00B050"/>
        </w:rPr>
      </w:pPr>
      <w:r w:rsidRPr="000C5C4D">
        <w:rPr>
          <w:color w:val="00B050"/>
        </w:rPr>
        <w:t>Прилага  се принципът на предпазливостта, според който признаването на вземане по неустойки се преустановява при наличие на съществени рискове относно събираемостта на отчетените вземания. В  случаите, когато съществуват данни,  поставящи под съмнение платежоспособността на клиента, приходи от неустойки не се признават</w:t>
      </w:r>
      <w:r w:rsidRPr="000C5C4D">
        <w:rPr>
          <w:color w:val="000000"/>
        </w:rPr>
        <w:t xml:space="preserve">. </w:t>
      </w:r>
      <w:r w:rsidRPr="000C5C4D">
        <w:rPr>
          <w:color w:val="00B050"/>
        </w:rPr>
        <w:t>Преценката  се извършва, като се вземат предвид вътрешни и външни източници на информация за наличието на следните признаци:</w:t>
      </w:r>
    </w:p>
    <w:p w14:paraId="192DFCFD" w14:textId="77777777" w:rsidR="00E8746C" w:rsidRPr="000C5C4D" w:rsidRDefault="00E8746C" w:rsidP="00677B42">
      <w:pPr>
        <w:pStyle w:val="BodyText"/>
        <w:jc w:val="both"/>
        <w:rPr>
          <w:color w:val="00B050"/>
        </w:rPr>
      </w:pPr>
      <w:r w:rsidRPr="000C5C4D">
        <w:rPr>
          <w:color w:val="00B050"/>
        </w:rPr>
        <w:t>Значителни финансови трудности на клиента.</w:t>
      </w:r>
    </w:p>
    <w:p w14:paraId="144F2EC9" w14:textId="77777777" w:rsidR="00E8746C" w:rsidRPr="000C5C4D" w:rsidRDefault="00E8746C" w:rsidP="00677B42">
      <w:pPr>
        <w:pStyle w:val="BodyText"/>
        <w:jc w:val="both"/>
        <w:rPr>
          <w:color w:val="00B050"/>
        </w:rPr>
      </w:pPr>
      <w:r w:rsidRPr="000C5C4D">
        <w:rPr>
          <w:color w:val="00B050"/>
        </w:rPr>
        <w:t>Значителни неизпълнения на договорни задължения или просрочие в плащането на лихвата или на главницата</w:t>
      </w:r>
    </w:p>
    <w:p w14:paraId="3CC28353" w14:textId="77777777" w:rsidR="00E8746C" w:rsidRPr="000C5C4D" w:rsidRDefault="00E8746C" w:rsidP="00677B42">
      <w:pPr>
        <w:pStyle w:val="BodyText"/>
        <w:jc w:val="both"/>
        <w:rPr>
          <w:color w:val="00B050"/>
        </w:rPr>
      </w:pPr>
      <w:r w:rsidRPr="000C5C4D">
        <w:rPr>
          <w:color w:val="00B050"/>
        </w:rPr>
        <w:t>Национални или местни икономически условия</w:t>
      </w:r>
    </w:p>
    <w:p w14:paraId="0D34EABC" w14:textId="77777777" w:rsidR="00E8746C" w:rsidRPr="000C5C4D" w:rsidRDefault="00E8746C" w:rsidP="00677B42">
      <w:pPr>
        <w:pStyle w:val="BodyText"/>
        <w:jc w:val="both"/>
        <w:rPr>
          <w:color w:val="00B050"/>
        </w:rPr>
      </w:pPr>
      <w:r w:rsidRPr="000C5C4D">
        <w:rPr>
          <w:color w:val="00B050"/>
        </w:rPr>
        <w:t>Технологични, пазарни или правни промени с неблагоприятен ефект</w:t>
      </w:r>
    </w:p>
    <w:p w14:paraId="421DF122" w14:textId="77777777" w:rsidR="00E8746C" w:rsidRPr="000C5C4D" w:rsidRDefault="00E8746C" w:rsidP="00677B42">
      <w:pPr>
        <w:pStyle w:val="BodyText"/>
        <w:jc w:val="both"/>
        <w:rPr>
          <w:color w:val="00B050"/>
        </w:rPr>
      </w:pPr>
      <w:r w:rsidRPr="000C5C4D">
        <w:rPr>
          <w:color w:val="00B050"/>
        </w:rPr>
        <w:t>Липси на споразумения за разсрочване</w:t>
      </w:r>
    </w:p>
    <w:p w14:paraId="11B88018" w14:textId="77777777" w:rsidR="00E8746C" w:rsidRPr="000C5C4D" w:rsidRDefault="00E8746C" w:rsidP="00677B42">
      <w:pPr>
        <w:pStyle w:val="BodyText"/>
        <w:jc w:val="both"/>
        <w:rPr>
          <w:color w:val="00B050"/>
        </w:rPr>
      </w:pPr>
      <w:r w:rsidRPr="000C5C4D">
        <w:rPr>
          <w:color w:val="00B050"/>
        </w:rPr>
        <w:t>Писмени становища от юристи</w:t>
      </w:r>
    </w:p>
    <w:p w14:paraId="6E16CAEB" w14:textId="77777777" w:rsidR="00E8746C" w:rsidRPr="000C5C4D" w:rsidRDefault="00E8746C" w:rsidP="00677B42">
      <w:pPr>
        <w:pStyle w:val="BodyText"/>
        <w:jc w:val="both"/>
        <w:rPr>
          <w:color w:val="00B050"/>
        </w:rPr>
      </w:pPr>
      <w:r w:rsidRPr="000C5C4D">
        <w:rPr>
          <w:color w:val="00B050"/>
        </w:rPr>
        <w:lastRenderedPageBreak/>
        <w:t>Обявена процедура по ликвидация или несъстоятелност.</w:t>
      </w:r>
    </w:p>
    <w:p w14:paraId="7B738E08" w14:textId="77777777" w:rsidR="00E8746C" w:rsidRPr="000C5C4D" w:rsidRDefault="00E8746C" w:rsidP="00677B42">
      <w:pPr>
        <w:pStyle w:val="Heading5"/>
        <w:jc w:val="both"/>
        <w:rPr>
          <w:rFonts w:ascii="Times New Roman" w:hAnsi="Times New Roman" w:cs="Times New Roman"/>
          <w:color w:val="00B050"/>
        </w:rPr>
      </w:pPr>
      <w:r w:rsidRPr="000C5C4D">
        <w:rPr>
          <w:rFonts w:ascii="Times New Roman" w:hAnsi="Times New Roman" w:cs="Times New Roman"/>
          <w:color w:val="00B050"/>
        </w:rPr>
        <w:t>Други приходи от неустойки /лихви /</w:t>
      </w:r>
    </w:p>
    <w:p w14:paraId="1B1CC211" w14:textId="77777777" w:rsidR="00E8746C" w:rsidRPr="000C5C4D" w:rsidRDefault="00E8746C" w:rsidP="00677B42">
      <w:pPr>
        <w:pStyle w:val="BodyText"/>
        <w:jc w:val="both"/>
        <w:rPr>
          <w:color w:val="00B050"/>
        </w:rPr>
      </w:pPr>
      <w:r w:rsidRPr="000C5C4D">
        <w:rPr>
          <w:color w:val="00B050"/>
        </w:rPr>
        <w:t>Приходи от неустойки, за просрочено вземане  с характер на други приходи - в случаи на неприети количества природен газ, съгласно договор с клиентите.</w:t>
      </w:r>
    </w:p>
    <w:p w14:paraId="394DD513" w14:textId="77777777" w:rsidR="00E8746C" w:rsidRPr="000C5C4D" w:rsidRDefault="00E8746C" w:rsidP="00677B42">
      <w:pPr>
        <w:pStyle w:val="BodyText"/>
        <w:jc w:val="both"/>
        <w:rPr>
          <w:color w:val="00B050"/>
        </w:rPr>
      </w:pPr>
      <w:r w:rsidRPr="000C5C4D">
        <w:rPr>
          <w:color w:val="00B050"/>
        </w:rPr>
        <w:t>Приходът се  признава в периода, за който се отнася, на база принципа на текущо начисляване, въз основа на подписан двустранен акт, приложен към документите за продажба на природен газ.</w:t>
      </w:r>
    </w:p>
    <w:p w14:paraId="79F41E01" w14:textId="77777777" w:rsidR="002B4B7A" w:rsidRPr="002B4B7A" w:rsidRDefault="002B4B7A" w:rsidP="00677B42">
      <w:pPr>
        <w:pStyle w:val="Heading2"/>
        <w:jc w:val="both"/>
      </w:pPr>
      <w:bookmarkStart w:id="28" w:name="_Toc294186655"/>
      <w:bookmarkStart w:id="29" w:name="_Toc294187874"/>
      <w:bookmarkStart w:id="30" w:name="_Toc320467514"/>
      <w:r w:rsidRPr="002B4B7A">
        <w:t>19 Разходи</w:t>
      </w:r>
      <w:bookmarkEnd w:id="28"/>
      <w:bookmarkEnd w:id="29"/>
      <w:bookmarkEnd w:id="30"/>
    </w:p>
    <w:p w14:paraId="252FFFFB" w14:textId="77777777" w:rsidR="00E8746C" w:rsidRPr="005220FE" w:rsidRDefault="00E8746C" w:rsidP="00677B42">
      <w:pPr>
        <w:pStyle w:val="Heading2"/>
        <w:jc w:val="both"/>
      </w:pPr>
      <w:bookmarkStart w:id="31" w:name="_Toc294187878"/>
      <w:bookmarkStart w:id="32" w:name="_Toc320467517"/>
      <w:r>
        <w:t>19.3.</w:t>
      </w:r>
      <w:r w:rsidRPr="005220FE">
        <w:t>Класификация</w:t>
      </w:r>
      <w:bookmarkEnd w:id="31"/>
      <w:bookmarkEnd w:id="32"/>
      <w:r w:rsidRPr="005220FE">
        <w:t xml:space="preserve"> </w:t>
      </w:r>
    </w:p>
    <w:p w14:paraId="3D7BFE26" w14:textId="77777777" w:rsidR="00E8746C" w:rsidRDefault="00E8746C" w:rsidP="00677B42">
      <w:pPr>
        <w:pStyle w:val="BodyText"/>
        <w:jc w:val="both"/>
        <w:rPr>
          <w:color w:val="00B050"/>
        </w:rPr>
      </w:pPr>
    </w:p>
    <w:p w14:paraId="58D1D9F6" w14:textId="77777777" w:rsidR="00E8746C" w:rsidRPr="003D42D8" w:rsidRDefault="00E8746C" w:rsidP="00677B42">
      <w:pPr>
        <w:pStyle w:val="ListBullet"/>
        <w:numPr>
          <w:ilvl w:val="0"/>
          <w:numId w:val="4"/>
        </w:numPr>
      </w:pPr>
      <w:r w:rsidRPr="003D42D8">
        <w:t>Разходи за външни услуги, в това число</w:t>
      </w:r>
    </w:p>
    <w:p w14:paraId="05A38A43"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услуги към свързани лица;</w:t>
      </w:r>
    </w:p>
    <w:p w14:paraId="6DFBE249"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наеми;</w:t>
      </w:r>
    </w:p>
    <w:p w14:paraId="73250254"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пощенски разходи;</w:t>
      </w:r>
    </w:p>
    <w:p w14:paraId="6DD73B70"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одиторски и консултантски услуги;</w:t>
      </w:r>
    </w:p>
    <w:p w14:paraId="75101951"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застраховки;</w:t>
      </w:r>
    </w:p>
    <w:p w14:paraId="05A82C58"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лицензионни такси;</w:t>
      </w:r>
    </w:p>
    <w:p w14:paraId="1FB9DF72"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съдебни такси и разноски;</w:t>
      </w:r>
    </w:p>
    <w:p w14:paraId="38BDEA16"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абонамент и абонаментен сервиз;</w:t>
      </w:r>
    </w:p>
    <w:p w14:paraId="68CA2761"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комуникации</w:t>
      </w:r>
    </w:p>
    <w:p w14:paraId="2E55A8D4" w14:textId="77777777" w:rsidR="00E8746C" w:rsidRPr="0005491A" w:rsidRDefault="00E8746C" w:rsidP="000C5C4D">
      <w:pPr>
        <w:pStyle w:val="ListBullet2"/>
        <w:tabs>
          <w:tab w:val="clear" w:pos="643"/>
          <w:tab w:val="num" w:pos="482"/>
          <w:tab w:val="num" w:pos="1020"/>
        </w:tabs>
        <w:ind w:left="1020" w:hanging="340"/>
        <w:contextualSpacing w:val="0"/>
        <w:jc w:val="both"/>
        <w:rPr>
          <w:strike/>
          <w:color w:val="FF0000"/>
        </w:rPr>
      </w:pPr>
      <w:r w:rsidRPr="0005491A">
        <w:rPr>
          <w:strike/>
          <w:color w:val="FF0000"/>
        </w:rPr>
        <w:t>ел. енергия, вода и топлинна енергия</w:t>
      </w:r>
    </w:p>
    <w:p w14:paraId="273A98C5" w14:textId="77777777" w:rsidR="00E8746C" w:rsidRPr="0005491A" w:rsidRDefault="00E8746C" w:rsidP="000C5C4D">
      <w:pPr>
        <w:pStyle w:val="ListBullet2"/>
        <w:tabs>
          <w:tab w:val="clear" w:pos="643"/>
          <w:tab w:val="num" w:pos="482"/>
          <w:tab w:val="num" w:pos="1020"/>
        </w:tabs>
        <w:ind w:left="1020" w:hanging="340"/>
        <w:contextualSpacing w:val="0"/>
        <w:jc w:val="both"/>
      </w:pPr>
      <w:r w:rsidRPr="0005491A">
        <w:rPr>
          <w:strike/>
          <w:color w:val="FF0000"/>
        </w:rPr>
        <w:t>и други</w:t>
      </w:r>
      <w:r w:rsidRPr="0005491A">
        <w:t>.</w:t>
      </w:r>
    </w:p>
    <w:p w14:paraId="0E03898C"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отдаден капацитет;</w:t>
      </w:r>
    </w:p>
    <w:p w14:paraId="38C07A61"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наеми;</w:t>
      </w:r>
    </w:p>
    <w:p w14:paraId="4B23AFC2"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пощенски разходи;</w:t>
      </w:r>
    </w:p>
    <w:p w14:paraId="331A7B1F"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одиторски и консултантски услуги;</w:t>
      </w:r>
    </w:p>
    <w:p w14:paraId="19F21F58"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застраховки;</w:t>
      </w:r>
    </w:p>
    <w:p w14:paraId="78A92697"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лицензионни такси;</w:t>
      </w:r>
    </w:p>
    <w:p w14:paraId="0C3A74D5"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съдебни такси и разноски;</w:t>
      </w:r>
    </w:p>
    <w:p w14:paraId="39A0BA2A"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абонамент и абонаментен сервиз;</w:t>
      </w:r>
    </w:p>
    <w:p w14:paraId="6612AC3B"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комуникации</w:t>
      </w:r>
    </w:p>
    <w:p w14:paraId="75663E81"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ел. енергия, вода и топлинна енергия</w:t>
      </w:r>
    </w:p>
    <w:p w14:paraId="6E78CA5B"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такси за съхранение</w:t>
      </w:r>
    </w:p>
    <w:p w14:paraId="2AF7E9B0" w14:textId="77777777" w:rsidR="00E8746C" w:rsidRPr="001543BF" w:rsidRDefault="00E8746C" w:rsidP="000C5C4D">
      <w:pPr>
        <w:pStyle w:val="ListBullet2"/>
        <w:tabs>
          <w:tab w:val="clear" w:pos="643"/>
          <w:tab w:val="num" w:pos="482"/>
          <w:tab w:val="num" w:pos="1020"/>
        </w:tabs>
        <w:ind w:left="1020" w:hanging="340"/>
        <w:contextualSpacing w:val="0"/>
        <w:jc w:val="both"/>
        <w:rPr>
          <w:color w:val="00B050"/>
        </w:rPr>
      </w:pPr>
      <w:r w:rsidRPr="001543BF">
        <w:rPr>
          <w:color w:val="00B050"/>
        </w:rPr>
        <w:t>и други.</w:t>
      </w:r>
    </w:p>
    <w:p w14:paraId="03CCDCAF" w14:textId="77777777" w:rsidR="00E8746C" w:rsidRDefault="00E8746C" w:rsidP="00677B42">
      <w:pPr>
        <w:pStyle w:val="BodyText"/>
        <w:jc w:val="both"/>
        <w:rPr>
          <w:color w:val="00B050"/>
        </w:rPr>
      </w:pPr>
    </w:p>
    <w:p w14:paraId="653ACD96" w14:textId="77777777" w:rsidR="00E8746C" w:rsidRPr="005220FE" w:rsidRDefault="00E8746C" w:rsidP="00677B42">
      <w:pPr>
        <w:pStyle w:val="Heading2"/>
        <w:jc w:val="both"/>
      </w:pPr>
      <w:bookmarkStart w:id="33" w:name="_Toc294347186"/>
      <w:bookmarkStart w:id="34" w:name="_Toc295491995"/>
      <w:bookmarkStart w:id="35" w:name="_Toc320467518"/>
      <w:r>
        <w:t>19</w:t>
      </w:r>
      <w:r w:rsidRPr="008909EE">
        <w:t xml:space="preserve">.4. </w:t>
      </w:r>
      <w:r w:rsidRPr="005220FE">
        <w:t>Отчитане на разходите по икономически елементи</w:t>
      </w:r>
      <w:bookmarkEnd w:id="33"/>
      <w:bookmarkEnd w:id="34"/>
      <w:bookmarkEnd w:id="35"/>
    </w:p>
    <w:p w14:paraId="1BEDCD2F" w14:textId="77777777" w:rsidR="00E8746C" w:rsidRDefault="00E8746C" w:rsidP="00677B42">
      <w:pPr>
        <w:pStyle w:val="BodyText"/>
        <w:jc w:val="both"/>
        <w:rPr>
          <w:color w:val="00B050"/>
        </w:rPr>
      </w:pPr>
    </w:p>
    <w:p w14:paraId="0CE547D0" w14:textId="77777777" w:rsidR="00E8746C" w:rsidRDefault="00E8746C" w:rsidP="00677B42">
      <w:pPr>
        <w:pStyle w:val="BodyText"/>
        <w:jc w:val="both"/>
        <w:rPr>
          <w:color w:val="000000"/>
        </w:rPr>
      </w:pPr>
      <w:r w:rsidRPr="005220FE">
        <w:rPr>
          <w:color w:val="000000"/>
        </w:rPr>
        <w:t>Основните разходи</w:t>
      </w:r>
      <w:r>
        <w:rPr>
          <w:color w:val="000000"/>
        </w:rPr>
        <w:t>,</w:t>
      </w:r>
      <w:r w:rsidRPr="005220FE">
        <w:rPr>
          <w:color w:val="000000"/>
        </w:rPr>
        <w:t xml:space="preserve"> се отчитат първоначално по икономически елементи. </w:t>
      </w:r>
    </w:p>
    <w:p w14:paraId="5300B1D4" w14:textId="77777777" w:rsidR="00E8746C" w:rsidRDefault="00E8746C" w:rsidP="00677B42">
      <w:pPr>
        <w:pStyle w:val="ListBullet"/>
      </w:pPr>
      <w:r>
        <w:t>Разходи за външни услуги:</w:t>
      </w:r>
    </w:p>
    <w:p w14:paraId="5CB305DA" w14:textId="77777777" w:rsidR="00E8746C" w:rsidRPr="000C5C4D" w:rsidRDefault="00E8746C" w:rsidP="00677B42">
      <w:pPr>
        <w:pStyle w:val="ListBullet"/>
        <w:numPr>
          <w:ilvl w:val="0"/>
          <w:numId w:val="0"/>
        </w:numPr>
        <w:ind w:left="340"/>
        <w:rPr>
          <w:strike/>
          <w:color w:val="00B050"/>
          <w:sz w:val="22"/>
        </w:rPr>
      </w:pPr>
      <w:r w:rsidRPr="000C5C4D">
        <w:rPr>
          <w:color w:val="00B050"/>
          <w:sz w:val="22"/>
        </w:rPr>
        <w:t xml:space="preserve">Разходи за външни услуги, са разходите за извършени услуги от трети лица за: </w:t>
      </w:r>
      <w:r w:rsidRPr="000C5C4D">
        <w:rPr>
          <w:strike/>
          <w:color w:val="FF0000"/>
          <w:sz w:val="22"/>
        </w:rPr>
        <w:t>застраховки, наеми и транспортни услуги, разходи по договори за управление,  въоръжена и противопожарна охрана, телеграфо-пощенски услуги, телефонни и телексни такси, информационни услуги, реклами, обяви, съобщения, одиторски, консултантски и управленски услуги абонаменти за печатни издания, дарения и спонсорство, такси за пренос на природен газ , такса за съхранение на природен газ, лицензионни такси,  и други</w:t>
      </w:r>
      <w:r w:rsidRPr="000C5C4D">
        <w:rPr>
          <w:strike/>
          <w:sz w:val="22"/>
        </w:rPr>
        <w:t xml:space="preserve">. </w:t>
      </w:r>
      <w:r w:rsidRPr="000C5C4D">
        <w:rPr>
          <w:color w:val="00B050"/>
          <w:sz w:val="22"/>
        </w:rPr>
        <w:t xml:space="preserve"> услуги, свързани с </w:t>
      </w:r>
      <w:r w:rsidRPr="000C5C4D">
        <w:rPr>
          <w:color w:val="00B050"/>
          <w:sz w:val="22"/>
        </w:rPr>
        <w:lastRenderedPageBreak/>
        <w:t>нерегулирана дейност, разходи за съхранение на природен газ, лицензионни такси,  застраховки, наеми, разходи по договори за управление, охрана, комуникации,  реклами, обяви,  одиторски и консултантски услуги, абонаментен сервиз и други.</w:t>
      </w:r>
    </w:p>
    <w:p w14:paraId="5AF4755A" w14:textId="77777777" w:rsidR="00E8746C" w:rsidRPr="000C5C4D" w:rsidRDefault="00E8746C" w:rsidP="00677B42">
      <w:pPr>
        <w:pStyle w:val="ListBullet"/>
        <w:numPr>
          <w:ilvl w:val="0"/>
          <w:numId w:val="0"/>
        </w:numPr>
        <w:ind w:left="340"/>
        <w:rPr>
          <w:color w:val="00B050"/>
          <w:sz w:val="22"/>
        </w:rPr>
      </w:pPr>
      <w:r w:rsidRPr="000C5C4D">
        <w:rPr>
          <w:color w:val="00B050"/>
          <w:sz w:val="22"/>
        </w:rPr>
        <w:t xml:space="preserve">Разходите за съдебни разноски,  възникнали  в случаите на предявени просрочени вземания от клиенти на Дружеството, се отчитат в разчетна сметка до края на съответното производство. </w:t>
      </w:r>
    </w:p>
    <w:p w14:paraId="6F46F2E1" w14:textId="77777777" w:rsidR="00E8746C" w:rsidRPr="000C5C4D" w:rsidRDefault="00E8746C" w:rsidP="00677B42">
      <w:pPr>
        <w:pStyle w:val="ListBullet"/>
        <w:numPr>
          <w:ilvl w:val="0"/>
          <w:numId w:val="0"/>
        </w:numPr>
        <w:ind w:left="340"/>
        <w:rPr>
          <w:color w:val="00B050"/>
          <w:sz w:val="22"/>
        </w:rPr>
      </w:pPr>
      <w:r w:rsidRPr="000C5C4D">
        <w:rPr>
          <w:color w:val="00B050"/>
          <w:sz w:val="22"/>
        </w:rPr>
        <w:t>В случай, че изходът е в полза на Дружеството, с възстановяването на съдебните разноски, разчетът се закрива.</w:t>
      </w:r>
    </w:p>
    <w:p w14:paraId="0FE0A53E" w14:textId="77777777" w:rsidR="00E8746C" w:rsidRPr="000C5C4D" w:rsidRDefault="00E8746C" w:rsidP="00677B42">
      <w:pPr>
        <w:pStyle w:val="ListBullet"/>
        <w:numPr>
          <w:ilvl w:val="0"/>
          <w:numId w:val="0"/>
        </w:numPr>
        <w:ind w:left="340"/>
        <w:rPr>
          <w:color w:val="00B050"/>
          <w:sz w:val="22"/>
        </w:rPr>
      </w:pPr>
      <w:r w:rsidRPr="000C5C4D">
        <w:rPr>
          <w:color w:val="00B050"/>
          <w:sz w:val="22"/>
        </w:rPr>
        <w:t xml:space="preserve"> В случай на изход, който не е в полза на Дружеството, съдебните разноски се  отчитат на разход в отчетния период, в който съдебното производство има окончателно решение. </w:t>
      </w:r>
    </w:p>
    <w:p w14:paraId="382FE69C" w14:textId="77777777" w:rsidR="00E8746C" w:rsidRPr="000C5C4D" w:rsidRDefault="00E8746C" w:rsidP="00677B42">
      <w:pPr>
        <w:pStyle w:val="ListBullet"/>
        <w:numPr>
          <w:ilvl w:val="0"/>
          <w:numId w:val="0"/>
        </w:numPr>
        <w:ind w:left="340"/>
        <w:rPr>
          <w:strike/>
          <w:color w:val="00B050"/>
          <w:sz w:val="22"/>
        </w:rPr>
      </w:pPr>
      <w:r w:rsidRPr="000C5C4D">
        <w:rPr>
          <w:color w:val="00B050"/>
          <w:sz w:val="22"/>
        </w:rPr>
        <w:t>В случай на съдебни производства с продължителност повече от един отчетен период, в края на  отчетния период, се прави преглед за обезценка, като се прилагат насоките описани в т. 10.1.8 Обезценка.</w:t>
      </w:r>
    </w:p>
    <w:p w14:paraId="20AEB329" w14:textId="77777777" w:rsidR="00E8746C" w:rsidRPr="000C5C4D" w:rsidRDefault="00E8746C" w:rsidP="00677B42">
      <w:pPr>
        <w:pStyle w:val="ListBullet"/>
        <w:numPr>
          <w:ilvl w:val="0"/>
          <w:numId w:val="0"/>
        </w:numPr>
        <w:ind w:left="340"/>
        <w:rPr>
          <w:sz w:val="22"/>
        </w:rPr>
      </w:pPr>
      <w:r w:rsidRPr="000C5C4D">
        <w:rPr>
          <w:sz w:val="22"/>
        </w:rPr>
        <w:t xml:space="preserve">Разходите за външни услуги </w:t>
      </w:r>
      <w:r w:rsidRPr="000C5C4D">
        <w:rPr>
          <w:strike/>
          <w:color w:val="FF0000"/>
          <w:sz w:val="22"/>
        </w:rPr>
        <w:t>следва д</w:t>
      </w:r>
      <w:r w:rsidRPr="000C5C4D">
        <w:rPr>
          <w:sz w:val="22"/>
        </w:rPr>
        <w:t xml:space="preserve">а се </w:t>
      </w:r>
      <w:r w:rsidRPr="000C5C4D">
        <w:rPr>
          <w:strike/>
          <w:color w:val="FF0000"/>
          <w:sz w:val="22"/>
        </w:rPr>
        <w:t>отчитат</w:t>
      </w:r>
      <w:r w:rsidRPr="000C5C4D">
        <w:rPr>
          <w:color w:val="FF0000"/>
          <w:sz w:val="22"/>
        </w:rPr>
        <w:t xml:space="preserve"> </w:t>
      </w:r>
      <w:r w:rsidRPr="000C5C4D">
        <w:rPr>
          <w:sz w:val="22"/>
        </w:rPr>
        <w:t>документират, като на обратната страна на първичния документ, с който е извършена услугата  на Дружеството, се вписва обекта и вида дейност, за която се отнася тя . Ако услугата е регламентирана с договор, се изготвя приемо – предавателен протокол, който се разписва от двете страни и доказва извършената услуга. Протоколът се прилага  към издадената фактура.</w:t>
      </w:r>
    </w:p>
    <w:p w14:paraId="691BE01E" w14:textId="77777777" w:rsidR="00E8746C" w:rsidRPr="000C5C4D" w:rsidRDefault="00E8746C" w:rsidP="00677B42">
      <w:pPr>
        <w:pStyle w:val="ListBullet"/>
        <w:rPr>
          <w:sz w:val="22"/>
        </w:rPr>
      </w:pPr>
      <w:r w:rsidRPr="000C5C4D">
        <w:rPr>
          <w:sz w:val="22"/>
        </w:rPr>
        <w:t>Разходи за социално осигуряване:</w:t>
      </w:r>
    </w:p>
    <w:p w14:paraId="6D71CFE3" w14:textId="77777777" w:rsidR="00E8746C" w:rsidRPr="000C5C4D" w:rsidRDefault="00E8746C" w:rsidP="00677B42">
      <w:pPr>
        <w:pStyle w:val="ListBullet"/>
        <w:numPr>
          <w:ilvl w:val="0"/>
          <w:numId w:val="0"/>
        </w:numPr>
        <w:ind w:left="340"/>
        <w:rPr>
          <w:sz w:val="22"/>
        </w:rPr>
      </w:pPr>
      <w:r w:rsidRPr="000C5C4D">
        <w:rPr>
          <w:sz w:val="22"/>
        </w:rPr>
        <w:t>Разходи за социално осигуряване са разходите за осигуровки и други плащания на персонала КТ.</w:t>
      </w:r>
    </w:p>
    <w:p w14:paraId="4241345F" w14:textId="77777777" w:rsidR="00E8746C" w:rsidRDefault="00E8746C" w:rsidP="00677B42">
      <w:pPr>
        <w:pStyle w:val="ListBullet2"/>
        <w:tabs>
          <w:tab w:val="clear" w:pos="643"/>
          <w:tab w:val="num" w:pos="482"/>
          <w:tab w:val="num" w:pos="1020"/>
        </w:tabs>
        <w:spacing w:before="130" w:after="130"/>
        <w:ind w:left="1020" w:hanging="340"/>
        <w:contextualSpacing w:val="0"/>
        <w:jc w:val="both"/>
      </w:pPr>
      <w:r w:rsidRPr="00A54256">
        <w:rPr>
          <w:i/>
        </w:rPr>
        <w:t>Разходите за осигуровки</w:t>
      </w:r>
      <w:r>
        <w:t xml:space="preserve"> са начислените суми за социални и здравни осигуровки, за допълнителни пенсионни осигуровки, както и начислените суми за фонд “Безработица”. Осигурителните вноски за фонд “Трудова злополука и професионална болест” са за сметка на осигурителите. Върху средствата за социални разходи, давани постоянно или периодично пряко на лицата в пари или в натура се внасят осигурителни вноски в размера за фонд “Пенсии”.</w:t>
      </w:r>
    </w:p>
    <w:p w14:paraId="5A82F28F" w14:textId="77777777" w:rsidR="00E8746C" w:rsidRPr="0005491A" w:rsidRDefault="00E8746C" w:rsidP="00677B42">
      <w:pPr>
        <w:pStyle w:val="ListBullet2"/>
        <w:numPr>
          <w:ilvl w:val="0"/>
          <w:numId w:val="0"/>
        </w:numPr>
        <w:ind w:left="1020"/>
        <w:jc w:val="both"/>
        <w:rPr>
          <w:strike/>
          <w:color w:val="FF0000"/>
        </w:rPr>
      </w:pPr>
      <w:r w:rsidRPr="0005491A">
        <w:rPr>
          <w:strike/>
          <w:color w:val="FF0000"/>
        </w:rPr>
        <w:t xml:space="preserve">При съставяне на годишния финансов отчет, заедно с начисляването на разходи за персонала от неизползвани отпуски, се начисляват и разходи за осигуровки, съгласно действащото законодателство. </w:t>
      </w:r>
    </w:p>
    <w:p w14:paraId="6CA02DD1" w14:textId="77777777" w:rsidR="00E8746C" w:rsidRPr="00764F37" w:rsidRDefault="00E8746C" w:rsidP="00677B42">
      <w:pPr>
        <w:pStyle w:val="ListBullet2"/>
        <w:numPr>
          <w:ilvl w:val="0"/>
          <w:numId w:val="0"/>
        </w:numPr>
        <w:ind w:left="1020"/>
        <w:jc w:val="both"/>
      </w:pPr>
      <w:r w:rsidRPr="00764F37">
        <w:t>В края на всяка финансова година</w:t>
      </w:r>
      <w:r>
        <w:t xml:space="preserve">, се начисляват разходи за неизползван платен годишен отпуск и осигуровки към тях, съгласно действащото законодателство. </w:t>
      </w:r>
    </w:p>
    <w:p w14:paraId="580A8AE8" w14:textId="77777777" w:rsidR="00E8746C" w:rsidRPr="00764F37" w:rsidRDefault="00E8746C" w:rsidP="00677B42">
      <w:pPr>
        <w:pStyle w:val="ListBullet2"/>
        <w:tabs>
          <w:tab w:val="clear" w:pos="643"/>
          <w:tab w:val="num" w:pos="482"/>
          <w:tab w:val="num" w:pos="1020"/>
        </w:tabs>
        <w:spacing w:before="130" w:after="130"/>
        <w:ind w:left="1020" w:hanging="340"/>
        <w:contextualSpacing w:val="0"/>
        <w:jc w:val="both"/>
        <w:rPr>
          <w:strike/>
        </w:rPr>
      </w:pPr>
      <w:r w:rsidRPr="00764F37">
        <w:rPr>
          <w:i/>
        </w:rPr>
        <w:t xml:space="preserve">Разходи за други плащания </w:t>
      </w:r>
      <w:r w:rsidRPr="00764F37">
        <w:t xml:space="preserve">са плащания на персонала съгласно  Заповед </w:t>
      </w:r>
      <w:r w:rsidRPr="0005491A">
        <w:rPr>
          <w:strike/>
          <w:color w:val="FF0000"/>
          <w:lang w:val="en-US"/>
        </w:rPr>
        <w:t>N</w:t>
      </w:r>
      <w:r w:rsidRPr="0005491A">
        <w:rPr>
          <w:strike/>
          <w:color w:val="FF0000"/>
        </w:rPr>
        <w:t xml:space="preserve"> БГ -92 – 04 -03/08.04.2008, както следва:</w:t>
      </w:r>
    </w:p>
    <w:p w14:paraId="277FDA59" w14:textId="77777777" w:rsidR="00E8746C" w:rsidRDefault="00E8746C" w:rsidP="00677B42">
      <w:pPr>
        <w:pStyle w:val="ListBullet2"/>
        <w:numPr>
          <w:ilvl w:val="0"/>
          <w:numId w:val="0"/>
        </w:numPr>
        <w:ind w:left="1020"/>
        <w:jc w:val="both"/>
      </w:pPr>
      <w:r>
        <w:t>на Изпълнителния директор, във връзка с чл. 294 от Кодекса на труда и са свързани със социално-битови и културни потребности:</w:t>
      </w:r>
    </w:p>
    <w:p w14:paraId="6EE849AB" w14:textId="77777777" w:rsidR="00E8746C" w:rsidRPr="0005491A" w:rsidRDefault="00E8746C" w:rsidP="00677B42">
      <w:pPr>
        <w:pStyle w:val="ListBullet2"/>
        <w:numPr>
          <w:ilvl w:val="0"/>
          <w:numId w:val="0"/>
        </w:numPr>
        <w:ind w:left="680"/>
        <w:jc w:val="both"/>
        <w:rPr>
          <w:strike/>
          <w:color w:val="FF0000"/>
        </w:rPr>
      </w:pPr>
      <w:r>
        <w:t xml:space="preserve">           -  </w:t>
      </w:r>
      <w:r w:rsidRPr="00764F37">
        <w:t xml:space="preserve">сумите, които се изплащат за храна на персонала </w:t>
      </w:r>
      <w:r w:rsidRPr="0005491A">
        <w:rPr>
          <w:strike/>
          <w:color w:val="FF0000"/>
        </w:rPr>
        <w:t>в местата, в които  няма стол;</w:t>
      </w:r>
    </w:p>
    <w:p w14:paraId="605F0DF2" w14:textId="77777777" w:rsidR="00E8746C" w:rsidRPr="00764F37" w:rsidRDefault="00E8746C" w:rsidP="00677B42">
      <w:pPr>
        <w:pStyle w:val="ListBullet2"/>
        <w:numPr>
          <w:ilvl w:val="1"/>
          <w:numId w:val="5"/>
        </w:numPr>
        <w:spacing w:before="130" w:after="130"/>
        <w:ind w:left="1710" w:hanging="290"/>
        <w:contextualSpacing w:val="0"/>
        <w:jc w:val="both"/>
      </w:pPr>
      <w:r w:rsidRPr="00764F37">
        <w:t>изплащане на суми за почивка на персонала;</w:t>
      </w:r>
    </w:p>
    <w:p w14:paraId="39A6DB40" w14:textId="77777777" w:rsidR="00E8746C" w:rsidRPr="0005491A" w:rsidRDefault="00E8746C" w:rsidP="00677B42">
      <w:pPr>
        <w:pStyle w:val="ListBullet2"/>
        <w:numPr>
          <w:ilvl w:val="1"/>
          <w:numId w:val="5"/>
        </w:numPr>
        <w:spacing w:before="130" w:after="130"/>
        <w:ind w:left="1710" w:hanging="290"/>
        <w:contextualSpacing w:val="0"/>
        <w:jc w:val="both"/>
        <w:rPr>
          <w:strike/>
          <w:color w:val="FF0000"/>
        </w:rPr>
      </w:pPr>
      <w:r w:rsidRPr="0005491A">
        <w:rPr>
          <w:strike/>
          <w:color w:val="FF0000"/>
        </w:rPr>
        <w:t>за лекарства, лечение и кръводаряване;</w:t>
      </w:r>
    </w:p>
    <w:p w14:paraId="5135F406" w14:textId="77777777" w:rsidR="00E8746C" w:rsidRPr="0005491A" w:rsidRDefault="00E8746C" w:rsidP="00677B42">
      <w:pPr>
        <w:pStyle w:val="ListBullet2"/>
        <w:numPr>
          <w:ilvl w:val="1"/>
          <w:numId w:val="5"/>
        </w:numPr>
        <w:spacing w:before="130" w:after="130"/>
        <w:ind w:left="1710" w:hanging="290"/>
        <w:contextualSpacing w:val="0"/>
        <w:jc w:val="both"/>
        <w:rPr>
          <w:strike/>
          <w:color w:val="FF0000"/>
        </w:rPr>
      </w:pPr>
      <w:r w:rsidRPr="0005491A">
        <w:rPr>
          <w:strike/>
          <w:color w:val="FF0000"/>
        </w:rPr>
        <w:t xml:space="preserve">социални помощи на персонала по силата на КТ и Заповед </w:t>
      </w:r>
      <w:r w:rsidRPr="0005491A">
        <w:rPr>
          <w:strike/>
          <w:color w:val="FF0000"/>
          <w:lang w:val="en-US"/>
        </w:rPr>
        <w:t>N</w:t>
      </w:r>
      <w:r w:rsidRPr="0005491A">
        <w:rPr>
          <w:strike/>
          <w:color w:val="FF0000"/>
        </w:rPr>
        <w:t xml:space="preserve"> БГ -92 – 04 -03/08.04.2008 в дружеството;</w:t>
      </w:r>
    </w:p>
    <w:p w14:paraId="1DDF78DA" w14:textId="77777777" w:rsidR="00E8746C" w:rsidRPr="0005491A" w:rsidRDefault="00E8746C" w:rsidP="00677B42">
      <w:pPr>
        <w:pStyle w:val="ListBullet2"/>
        <w:numPr>
          <w:ilvl w:val="1"/>
          <w:numId w:val="5"/>
        </w:numPr>
        <w:spacing w:before="130" w:after="130"/>
        <w:ind w:left="1710" w:hanging="290"/>
        <w:contextualSpacing w:val="0"/>
        <w:jc w:val="both"/>
        <w:rPr>
          <w:strike/>
          <w:color w:val="FF0000"/>
        </w:rPr>
      </w:pPr>
      <w:r w:rsidRPr="00677B42">
        <w:rPr>
          <w:color w:val="000000" w:themeColor="text1"/>
        </w:rPr>
        <w:t>суми за честване на професионален и национални празници, юбилеи,</w:t>
      </w:r>
      <w:r w:rsidRPr="00677B42">
        <w:rPr>
          <w:strike/>
          <w:color w:val="000000" w:themeColor="text1"/>
        </w:rPr>
        <w:t xml:space="preserve"> </w:t>
      </w:r>
      <w:r w:rsidRPr="0005491A">
        <w:rPr>
          <w:strike/>
          <w:color w:val="FF0000"/>
        </w:rPr>
        <w:t xml:space="preserve">ритуали и други предвидени в КТ и в Заповед </w:t>
      </w:r>
      <w:r w:rsidRPr="0005491A">
        <w:rPr>
          <w:strike/>
          <w:color w:val="FF0000"/>
          <w:lang w:val="en-US"/>
        </w:rPr>
        <w:t>N</w:t>
      </w:r>
      <w:r w:rsidRPr="0005491A">
        <w:rPr>
          <w:strike/>
          <w:color w:val="FF0000"/>
        </w:rPr>
        <w:t xml:space="preserve"> БГ -92 – 04 -03/08.04.2008;</w:t>
      </w:r>
    </w:p>
    <w:p w14:paraId="212C018A" w14:textId="77777777" w:rsidR="00E8746C" w:rsidRPr="0005491A" w:rsidRDefault="00E8746C" w:rsidP="00677B42">
      <w:pPr>
        <w:pStyle w:val="ListBullet2"/>
        <w:numPr>
          <w:ilvl w:val="1"/>
          <w:numId w:val="5"/>
        </w:numPr>
        <w:spacing w:before="130" w:after="130"/>
        <w:ind w:left="1710" w:hanging="290"/>
        <w:contextualSpacing w:val="0"/>
        <w:jc w:val="both"/>
        <w:rPr>
          <w:strike/>
          <w:color w:val="FF0000"/>
        </w:rPr>
      </w:pPr>
      <w:r w:rsidRPr="00764F37">
        <w:t xml:space="preserve">други плащания по КТ </w:t>
      </w:r>
      <w:r w:rsidRPr="0005491A">
        <w:rPr>
          <w:strike/>
          <w:color w:val="FF0000"/>
        </w:rPr>
        <w:t xml:space="preserve">и в Заповед </w:t>
      </w:r>
      <w:r w:rsidRPr="0005491A">
        <w:rPr>
          <w:strike/>
          <w:color w:val="FF0000"/>
          <w:lang w:val="en-US"/>
        </w:rPr>
        <w:t>N</w:t>
      </w:r>
      <w:r w:rsidRPr="0005491A">
        <w:rPr>
          <w:strike/>
          <w:color w:val="FF0000"/>
        </w:rPr>
        <w:t xml:space="preserve"> БГ -92 – 04 -03/08.04.2008.</w:t>
      </w:r>
    </w:p>
    <w:p w14:paraId="3043C368" w14:textId="77777777" w:rsidR="00E8746C" w:rsidRDefault="00E8746C" w:rsidP="00677B42">
      <w:pPr>
        <w:jc w:val="both"/>
      </w:pPr>
    </w:p>
    <w:p w14:paraId="32AC3011" w14:textId="77777777" w:rsidR="00E8746C" w:rsidRPr="00E8746C" w:rsidRDefault="00E8746C" w:rsidP="00677B42">
      <w:pPr>
        <w:pStyle w:val="Heading3"/>
        <w:keepLines w:val="0"/>
        <w:spacing w:before="400" w:line="280" w:lineRule="exact"/>
        <w:jc w:val="both"/>
        <w:rPr>
          <w:rFonts w:ascii="Times New Roman" w:eastAsia="Times New Roman" w:hAnsi="Times New Roman" w:cs="Times New Roman"/>
          <w:b/>
          <w:color w:val="auto"/>
          <w:sz w:val="26"/>
          <w:szCs w:val="20"/>
        </w:rPr>
      </w:pPr>
      <w:r w:rsidRPr="00E8746C">
        <w:rPr>
          <w:rFonts w:ascii="Times New Roman" w:eastAsia="Times New Roman" w:hAnsi="Times New Roman" w:cs="Times New Roman"/>
          <w:b/>
          <w:color w:val="auto"/>
          <w:sz w:val="26"/>
          <w:szCs w:val="20"/>
        </w:rPr>
        <w:lastRenderedPageBreak/>
        <w:t xml:space="preserve">19.4.3 Други разходи </w:t>
      </w:r>
    </w:p>
    <w:p w14:paraId="12BCDA5D" w14:textId="77777777" w:rsidR="00E8746C" w:rsidRDefault="00E8746C" w:rsidP="00677B42">
      <w:pPr>
        <w:jc w:val="both"/>
      </w:pPr>
    </w:p>
    <w:p w14:paraId="7211E19F" w14:textId="77777777" w:rsidR="00E8746C" w:rsidRPr="00E35C59" w:rsidRDefault="00E8746C" w:rsidP="00677B42">
      <w:pPr>
        <w:pStyle w:val="BodyText"/>
        <w:jc w:val="both"/>
      </w:pPr>
      <w:r w:rsidRPr="007F77CC">
        <w:t>обичайната дейност и не се очаква да възникнат отново в близко бъдещ</w:t>
      </w:r>
      <w:r>
        <w:t>е се отчитат като други разходи.</w:t>
      </w:r>
    </w:p>
    <w:p w14:paraId="330987AD" w14:textId="77777777" w:rsidR="00E8746C" w:rsidRPr="000C5C4D" w:rsidRDefault="00E8746C" w:rsidP="00677B42">
      <w:pPr>
        <w:pStyle w:val="BodyText"/>
        <w:jc w:val="both"/>
        <w:rPr>
          <w:color w:val="000000"/>
          <w:szCs w:val="22"/>
        </w:rPr>
      </w:pPr>
      <w:r w:rsidRPr="000C5C4D">
        <w:rPr>
          <w:color w:val="000000"/>
          <w:szCs w:val="22"/>
        </w:rPr>
        <w:t>В други разходи се отчитат:</w:t>
      </w:r>
    </w:p>
    <w:p w14:paraId="0FA6B584" w14:textId="77777777" w:rsidR="00E8746C" w:rsidRPr="000C5C4D" w:rsidRDefault="00E8746C" w:rsidP="00046EA9">
      <w:pPr>
        <w:pStyle w:val="ListBullet"/>
        <w:spacing w:before="0" w:after="0"/>
        <w:rPr>
          <w:sz w:val="22"/>
          <w:szCs w:val="22"/>
        </w:rPr>
      </w:pPr>
      <w:r w:rsidRPr="000C5C4D">
        <w:rPr>
          <w:sz w:val="22"/>
          <w:szCs w:val="22"/>
        </w:rPr>
        <w:t>командировки в страната и чужбина;</w:t>
      </w:r>
    </w:p>
    <w:p w14:paraId="098E4F3D" w14:textId="77777777" w:rsidR="00E8746C" w:rsidRPr="000C5C4D" w:rsidRDefault="00E8746C" w:rsidP="00046EA9">
      <w:pPr>
        <w:pStyle w:val="ListBullet"/>
        <w:spacing w:before="0" w:after="0"/>
        <w:rPr>
          <w:strike/>
          <w:color w:val="FF0000"/>
          <w:sz w:val="22"/>
          <w:szCs w:val="22"/>
        </w:rPr>
      </w:pPr>
      <w:r w:rsidRPr="000C5C4D">
        <w:rPr>
          <w:strike/>
          <w:color w:val="FF0000"/>
          <w:sz w:val="22"/>
          <w:szCs w:val="22"/>
        </w:rPr>
        <w:t xml:space="preserve">разходи за обезщетения по Кодекс на труда и Заповед </w:t>
      </w:r>
      <w:r w:rsidRPr="000C5C4D">
        <w:rPr>
          <w:strike/>
          <w:color w:val="FF0000"/>
          <w:sz w:val="22"/>
          <w:szCs w:val="22"/>
          <w:lang w:val="en-US"/>
        </w:rPr>
        <w:t>N</w:t>
      </w:r>
      <w:r w:rsidRPr="000C5C4D">
        <w:rPr>
          <w:strike/>
          <w:color w:val="FF0000"/>
          <w:sz w:val="22"/>
          <w:szCs w:val="22"/>
        </w:rPr>
        <w:t xml:space="preserve"> БГ -92 – 04 -03/08.04.2008;</w:t>
      </w:r>
    </w:p>
    <w:p w14:paraId="3382992C" w14:textId="77777777" w:rsidR="00E8746C" w:rsidRPr="000C5C4D" w:rsidRDefault="00E8746C" w:rsidP="00046EA9">
      <w:pPr>
        <w:pStyle w:val="ListBullet"/>
        <w:spacing w:before="0" w:after="0"/>
        <w:rPr>
          <w:strike/>
          <w:color w:val="FF0000"/>
          <w:sz w:val="22"/>
          <w:szCs w:val="22"/>
        </w:rPr>
      </w:pPr>
      <w:r w:rsidRPr="000C5C4D">
        <w:rPr>
          <w:strike/>
          <w:color w:val="FF0000"/>
          <w:sz w:val="22"/>
          <w:szCs w:val="22"/>
        </w:rPr>
        <w:t>предоставяне на безплатна храна или намаление в стойността на предоставяната храна на наетите лица, отдих и почивка на наетите лица;</w:t>
      </w:r>
    </w:p>
    <w:p w14:paraId="343B07CC" w14:textId="77777777" w:rsidR="00053DE4" w:rsidRPr="000C5C4D" w:rsidRDefault="00053DE4" w:rsidP="00046EA9">
      <w:pPr>
        <w:pStyle w:val="ListBullet"/>
        <w:spacing w:before="0" w:after="0"/>
        <w:rPr>
          <w:sz w:val="22"/>
          <w:szCs w:val="22"/>
        </w:rPr>
      </w:pPr>
      <w:r w:rsidRPr="000C5C4D">
        <w:rPr>
          <w:sz w:val="22"/>
          <w:szCs w:val="22"/>
        </w:rPr>
        <w:t>членски внос;</w:t>
      </w:r>
    </w:p>
    <w:p w14:paraId="57A6FCA4" w14:textId="77777777" w:rsidR="00053DE4" w:rsidRPr="000C5C4D" w:rsidRDefault="00053DE4" w:rsidP="00046EA9">
      <w:pPr>
        <w:pStyle w:val="ListBullet"/>
        <w:spacing w:before="0" w:after="0"/>
        <w:rPr>
          <w:sz w:val="22"/>
          <w:szCs w:val="22"/>
        </w:rPr>
      </w:pPr>
      <w:r w:rsidRPr="000C5C4D">
        <w:rPr>
          <w:sz w:val="22"/>
          <w:szCs w:val="22"/>
        </w:rPr>
        <w:t>отписани вземания;</w:t>
      </w:r>
    </w:p>
    <w:p w14:paraId="3C37101F" w14:textId="77777777" w:rsidR="00053DE4" w:rsidRPr="000C5C4D" w:rsidRDefault="00053DE4" w:rsidP="00046EA9">
      <w:pPr>
        <w:pStyle w:val="ListBullet"/>
        <w:spacing w:before="0" w:after="0"/>
        <w:rPr>
          <w:sz w:val="22"/>
          <w:szCs w:val="22"/>
        </w:rPr>
      </w:pPr>
      <w:r w:rsidRPr="000C5C4D">
        <w:rPr>
          <w:sz w:val="22"/>
          <w:szCs w:val="22"/>
        </w:rPr>
        <w:t>обучение и квалификация на наетите лица;</w:t>
      </w:r>
    </w:p>
    <w:p w14:paraId="2772485C" w14:textId="77777777" w:rsidR="00053DE4" w:rsidRPr="000C5C4D" w:rsidRDefault="00053DE4" w:rsidP="00046EA9">
      <w:pPr>
        <w:pStyle w:val="ListBullet"/>
        <w:spacing w:before="0" w:after="0"/>
        <w:rPr>
          <w:sz w:val="22"/>
          <w:szCs w:val="22"/>
        </w:rPr>
      </w:pPr>
      <w:r w:rsidRPr="000C5C4D">
        <w:rPr>
          <w:sz w:val="22"/>
          <w:szCs w:val="22"/>
        </w:rPr>
        <w:t>липси и брак на активи;</w:t>
      </w:r>
    </w:p>
    <w:p w14:paraId="664EB5C1" w14:textId="77777777" w:rsidR="00053DE4" w:rsidRPr="000C5C4D" w:rsidRDefault="00053DE4" w:rsidP="00046EA9">
      <w:pPr>
        <w:pStyle w:val="ListBullet"/>
        <w:spacing w:before="0" w:after="0"/>
        <w:rPr>
          <w:sz w:val="22"/>
          <w:szCs w:val="22"/>
        </w:rPr>
      </w:pPr>
      <w:r w:rsidRPr="000C5C4D">
        <w:rPr>
          <w:sz w:val="22"/>
          <w:szCs w:val="22"/>
        </w:rPr>
        <w:t>санкции, глоби и неустойки по договори.</w:t>
      </w:r>
    </w:p>
    <w:p w14:paraId="749FA020" w14:textId="77777777" w:rsidR="00053DE4" w:rsidRPr="0005491A" w:rsidRDefault="00053DE4" w:rsidP="00677B42">
      <w:pPr>
        <w:pStyle w:val="ListBullet"/>
        <w:numPr>
          <w:ilvl w:val="0"/>
          <w:numId w:val="0"/>
        </w:numPr>
        <w:ind w:left="340"/>
        <w:rPr>
          <w:strike/>
          <w:color w:val="FF0000"/>
        </w:rPr>
      </w:pPr>
    </w:p>
    <w:p w14:paraId="2ACEE4DC" w14:textId="77777777" w:rsidR="00E8746C" w:rsidRDefault="00E8746C" w:rsidP="00677B42">
      <w:pPr>
        <w:pStyle w:val="Heading3"/>
        <w:keepLines w:val="0"/>
        <w:spacing w:before="400" w:line="280" w:lineRule="exact"/>
        <w:jc w:val="both"/>
        <w:rPr>
          <w:rFonts w:ascii="Times New Roman" w:eastAsia="Times New Roman" w:hAnsi="Times New Roman" w:cs="Times New Roman"/>
          <w:b/>
          <w:color w:val="auto"/>
          <w:sz w:val="26"/>
          <w:szCs w:val="20"/>
        </w:rPr>
      </w:pPr>
      <w:r w:rsidRPr="00E8746C">
        <w:rPr>
          <w:rFonts w:ascii="Times New Roman" w:eastAsia="Times New Roman" w:hAnsi="Times New Roman" w:cs="Times New Roman"/>
          <w:b/>
          <w:color w:val="auto"/>
          <w:sz w:val="26"/>
          <w:szCs w:val="20"/>
        </w:rPr>
        <w:t>19.5.4.Разходи за организация и управление (Административни разходи)</w:t>
      </w:r>
    </w:p>
    <w:p w14:paraId="5E2EA1DD" w14:textId="77777777" w:rsidR="00053DE4" w:rsidRDefault="00053DE4" w:rsidP="00677B42">
      <w:pPr>
        <w:pStyle w:val="BodyText"/>
        <w:jc w:val="both"/>
      </w:pPr>
    </w:p>
    <w:p w14:paraId="3E04823D" w14:textId="77777777" w:rsidR="00E8746C" w:rsidRDefault="00E8746C" w:rsidP="00677B42">
      <w:pPr>
        <w:pStyle w:val="BodyText"/>
        <w:jc w:val="both"/>
        <w:rPr>
          <w:color w:val="000000"/>
        </w:rPr>
      </w:pPr>
      <w:r w:rsidRPr="009D4E08">
        <w:t xml:space="preserve">Социални разходи в натура </w:t>
      </w:r>
      <w:r w:rsidRPr="009D4E08">
        <w:rPr>
          <w:color w:val="000000"/>
        </w:rPr>
        <w:t xml:space="preserve"> обхващат разходите</w:t>
      </w:r>
      <w:r>
        <w:rPr>
          <w:color w:val="000000"/>
        </w:rPr>
        <w:t xml:space="preserve"> за</w:t>
      </w:r>
      <w:r w:rsidRPr="009D4E08">
        <w:rPr>
          <w:color w:val="000000"/>
        </w:rPr>
        <w:t xml:space="preserve"> </w:t>
      </w:r>
      <w:r w:rsidRPr="0005491A">
        <w:rPr>
          <w:strike/>
          <w:color w:val="FF0000"/>
        </w:rPr>
        <w:t>свързани със социалната</w:t>
      </w:r>
      <w:r w:rsidRPr="009D4E08">
        <w:rPr>
          <w:color w:val="000000"/>
        </w:rPr>
        <w:t xml:space="preserve"> </w:t>
      </w:r>
      <w:r w:rsidRPr="0005491A">
        <w:rPr>
          <w:strike/>
          <w:color w:val="FF0000"/>
        </w:rPr>
        <w:t>дейност - транспорт, подаръци, празнични,</w:t>
      </w:r>
      <w:r w:rsidRPr="009D4E08">
        <w:rPr>
          <w:color w:val="000000"/>
        </w:rPr>
        <w:t xml:space="preserve"> допълнителн</w:t>
      </w:r>
      <w:r>
        <w:rPr>
          <w:color w:val="000000"/>
        </w:rPr>
        <w:t>о</w:t>
      </w:r>
      <w:r w:rsidRPr="009D4E08">
        <w:rPr>
          <w:color w:val="000000"/>
        </w:rPr>
        <w:t xml:space="preserve"> доброволн</w:t>
      </w:r>
      <w:r>
        <w:rPr>
          <w:color w:val="000000"/>
        </w:rPr>
        <w:t>о</w:t>
      </w:r>
      <w:r w:rsidRPr="009D4E08">
        <w:rPr>
          <w:color w:val="000000"/>
        </w:rPr>
        <w:t xml:space="preserve"> здравн</w:t>
      </w:r>
      <w:r>
        <w:rPr>
          <w:color w:val="000000"/>
        </w:rPr>
        <w:t>о</w:t>
      </w:r>
      <w:r w:rsidRPr="009D4E08">
        <w:rPr>
          <w:color w:val="000000"/>
        </w:rPr>
        <w:t xml:space="preserve"> осигуряв</w:t>
      </w:r>
      <w:r>
        <w:rPr>
          <w:color w:val="000000"/>
        </w:rPr>
        <w:t>ане, доброволно застраховане</w:t>
      </w:r>
      <w:r w:rsidRPr="009D4E08">
        <w:rPr>
          <w:color w:val="000000"/>
        </w:rPr>
        <w:t xml:space="preserve"> и други.</w:t>
      </w:r>
    </w:p>
    <w:p w14:paraId="4E0527AA" w14:textId="77777777" w:rsidR="00E8746C" w:rsidRDefault="00E8746C" w:rsidP="00677B42">
      <w:pPr>
        <w:jc w:val="both"/>
      </w:pPr>
    </w:p>
    <w:p w14:paraId="36CF85DE" w14:textId="77777777" w:rsidR="00E8746C" w:rsidRPr="005220FE" w:rsidRDefault="00E8746C" w:rsidP="00677B42">
      <w:pPr>
        <w:pStyle w:val="Heading2"/>
        <w:jc w:val="both"/>
        <w:rPr>
          <w:color w:val="000000"/>
        </w:rPr>
      </w:pPr>
      <w:bookmarkStart w:id="36" w:name="_Toc320467525"/>
      <w:r w:rsidRPr="005220FE">
        <w:t>Финансовите разходи</w:t>
      </w:r>
      <w:bookmarkEnd w:id="36"/>
    </w:p>
    <w:p w14:paraId="524F58B5" w14:textId="77777777" w:rsidR="00E8746C" w:rsidRDefault="00E8746C" w:rsidP="00677B42">
      <w:pPr>
        <w:jc w:val="both"/>
      </w:pPr>
    </w:p>
    <w:p w14:paraId="490B0766" w14:textId="77777777" w:rsidR="00E8746C" w:rsidRPr="005220FE" w:rsidRDefault="00E8746C" w:rsidP="00677B42">
      <w:pPr>
        <w:pStyle w:val="BodyText"/>
        <w:jc w:val="both"/>
      </w:pPr>
      <w:r w:rsidRPr="005220FE">
        <w:t>Финансовите разходи включват:</w:t>
      </w:r>
    </w:p>
    <w:p w14:paraId="4727A042" w14:textId="77777777" w:rsidR="00E8746C" w:rsidRPr="000C5C4D" w:rsidRDefault="00E8746C" w:rsidP="00677B42">
      <w:pPr>
        <w:pStyle w:val="ListBullet"/>
        <w:rPr>
          <w:color w:val="00B050"/>
          <w:sz w:val="22"/>
          <w:szCs w:val="22"/>
        </w:rPr>
      </w:pPr>
      <w:r w:rsidRPr="000C5C4D">
        <w:rPr>
          <w:sz w:val="22"/>
          <w:szCs w:val="22"/>
        </w:rPr>
        <w:t xml:space="preserve">обезценка на финансови активи, </w:t>
      </w:r>
      <w:r w:rsidRPr="000C5C4D">
        <w:rPr>
          <w:color w:val="00B050"/>
          <w:sz w:val="22"/>
          <w:szCs w:val="22"/>
        </w:rPr>
        <w:t>с изключение на обезценка на материални запаси, търговски, съдебни присъдени вземания, вземания от неустойки;</w:t>
      </w:r>
    </w:p>
    <w:p w14:paraId="5029DE93" w14:textId="77777777" w:rsidR="00E8746C" w:rsidRDefault="00E8746C" w:rsidP="00677B42">
      <w:pPr>
        <w:pStyle w:val="Heading3"/>
        <w:keepLines w:val="0"/>
        <w:spacing w:before="400" w:line="280" w:lineRule="exact"/>
        <w:jc w:val="both"/>
        <w:rPr>
          <w:rFonts w:ascii="Times New Roman" w:eastAsia="Times New Roman" w:hAnsi="Times New Roman" w:cs="Times New Roman"/>
          <w:b/>
          <w:color w:val="auto"/>
          <w:sz w:val="26"/>
          <w:szCs w:val="20"/>
        </w:rPr>
      </w:pPr>
      <w:bookmarkStart w:id="37" w:name="_Toc294187658"/>
      <w:bookmarkStart w:id="38" w:name="_Toc320467549"/>
      <w:r w:rsidRPr="00E8746C">
        <w:rPr>
          <w:rFonts w:ascii="Times New Roman" w:eastAsia="Times New Roman" w:hAnsi="Times New Roman" w:cs="Times New Roman"/>
          <w:b/>
          <w:color w:val="auto"/>
          <w:sz w:val="26"/>
          <w:szCs w:val="20"/>
        </w:rPr>
        <w:t>33 Разделно (регулаторно) счетоводство</w:t>
      </w:r>
      <w:bookmarkEnd w:id="37"/>
      <w:bookmarkEnd w:id="38"/>
      <w:r w:rsidRPr="00E8746C">
        <w:rPr>
          <w:rFonts w:ascii="Times New Roman" w:eastAsia="Times New Roman" w:hAnsi="Times New Roman" w:cs="Times New Roman"/>
          <w:b/>
          <w:color w:val="auto"/>
          <w:sz w:val="26"/>
          <w:szCs w:val="20"/>
        </w:rPr>
        <w:t xml:space="preserve"> </w:t>
      </w:r>
    </w:p>
    <w:p w14:paraId="714C842B" w14:textId="77777777" w:rsidR="00E8746C" w:rsidRDefault="00E8746C" w:rsidP="00677B42">
      <w:pPr>
        <w:jc w:val="both"/>
      </w:pPr>
    </w:p>
    <w:p w14:paraId="1F774C80" w14:textId="77777777" w:rsidR="00E8746C" w:rsidRPr="00425A91" w:rsidRDefault="00E8746C" w:rsidP="00677B42">
      <w:pPr>
        <w:pStyle w:val="BodyText"/>
        <w:jc w:val="both"/>
      </w:pPr>
      <w:r w:rsidRPr="00425A91">
        <w:t xml:space="preserve">Според </w:t>
      </w:r>
      <w:r w:rsidRPr="00565A82">
        <w:t>изискванията на чл. 37 от Закона за Енергетиката</w:t>
      </w:r>
      <w:r w:rsidRPr="00425A91">
        <w:t>, Дружеството</w:t>
      </w:r>
      <w:r>
        <w:t xml:space="preserve"> </w:t>
      </w:r>
      <w:r w:rsidRPr="00425A91">
        <w:t xml:space="preserve"> следва да води отделна счетоводна отчетност </w:t>
      </w:r>
      <w:r>
        <w:t xml:space="preserve"> </w:t>
      </w:r>
      <w:r w:rsidRPr="00425A91">
        <w:t>за:</w:t>
      </w:r>
    </w:p>
    <w:p w14:paraId="3EBE8D1D" w14:textId="77777777" w:rsidR="00E8746C" w:rsidRPr="000C5C4D" w:rsidRDefault="00E8746C" w:rsidP="00046EA9">
      <w:pPr>
        <w:pStyle w:val="ListBullet"/>
        <w:spacing w:before="0" w:after="0"/>
        <w:rPr>
          <w:sz w:val="22"/>
          <w:szCs w:val="22"/>
        </w:rPr>
      </w:pPr>
      <w:r w:rsidRPr="000C5C4D">
        <w:rPr>
          <w:sz w:val="22"/>
          <w:szCs w:val="22"/>
        </w:rPr>
        <w:t xml:space="preserve">всяка дейност, подлежаща на лицензиране по този закон и другите им дейности; </w:t>
      </w:r>
    </w:p>
    <w:p w14:paraId="2F38575F" w14:textId="77777777" w:rsidR="00E8746C" w:rsidRPr="000C5C4D" w:rsidRDefault="00E8746C" w:rsidP="00046EA9">
      <w:pPr>
        <w:pStyle w:val="ListBullet"/>
        <w:spacing w:before="0" w:after="0"/>
        <w:rPr>
          <w:sz w:val="22"/>
          <w:szCs w:val="22"/>
        </w:rPr>
      </w:pPr>
      <w:r w:rsidRPr="000C5C4D">
        <w:rPr>
          <w:sz w:val="22"/>
          <w:szCs w:val="22"/>
        </w:rPr>
        <w:t xml:space="preserve">всеки клон и предприятие; </w:t>
      </w:r>
    </w:p>
    <w:p w14:paraId="1F7C9614" w14:textId="77777777" w:rsidR="00E8746C" w:rsidRPr="000C5C4D" w:rsidRDefault="00E8746C" w:rsidP="00046EA9">
      <w:pPr>
        <w:pStyle w:val="ListBullet"/>
        <w:spacing w:before="0" w:after="0"/>
        <w:rPr>
          <w:sz w:val="22"/>
          <w:szCs w:val="22"/>
        </w:rPr>
      </w:pPr>
      <w:r w:rsidRPr="000C5C4D">
        <w:rPr>
          <w:sz w:val="22"/>
          <w:szCs w:val="22"/>
        </w:rPr>
        <w:t xml:space="preserve">дейности при регулирани и свободно договорени цени. </w:t>
      </w:r>
    </w:p>
    <w:p w14:paraId="09964A72" w14:textId="77777777" w:rsidR="00E8746C" w:rsidRDefault="00E8746C" w:rsidP="00677B42">
      <w:pPr>
        <w:pStyle w:val="BodyText"/>
        <w:jc w:val="both"/>
      </w:pPr>
      <w:r w:rsidRPr="00425A91">
        <w:t xml:space="preserve">Счетоводното отчитане </w:t>
      </w:r>
      <w:r w:rsidRPr="00565A82">
        <w:t>по дейности се осъществява</w:t>
      </w:r>
      <w:r w:rsidRPr="00425A91">
        <w:t xml:space="preserve"> в рамките на установената за Дружеств</w:t>
      </w:r>
      <w:r>
        <w:t xml:space="preserve">ото организационна структура за </w:t>
      </w:r>
      <w:r w:rsidRPr="00425A91">
        <w:t>Централно управление</w:t>
      </w:r>
      <w:r>
        <w:t xml:space="preserve"> и Технологично звено Румъния.</w:t>
      </w:r>
    </w:p>
    <w:p w14:paraId="65B2AE56" w14:textId="77777777" w:rsidR="00E8746C" w:rsidRPr="00565A82" w:rsidRDefault="00E8746C" w:rsidP="00046EA9">
      <w:pPr>
        <w:pStyle w:val="BodyText"/>
        <w:spacing w:after="0"/>
        <w:jc w:val="both"/>
        <w:rPr>
          <w:strike/>
          <w:color w:val="FF0000"/>
        </w:rPr>
      </w:pPr>
      <w:r w:rsidRPr="00565A82">
        <w:rPr>
          <w:strike/>
          <w:color w:val="FF0000"/>
        </w:rPr>
        <w:t>Процесите на счетоводно разделение на дейностите се състои от следните етапи:</w:t>
      </w:r>
    </w:p>
    <w:p w14:paraId="12D6F88E" w14:textId="77777777" w:rsidR="00E8746C" w:rsidRPr="000C5C4D" w:rsidRDefault="00E8746C" w:rsidP="00046EA9">
      <w:pPr>
        <w:pStyle w:val="ListBullet"/>
        <w:spacing w:before="0" w:after="0"/>
        <w:rPr>
          <w:strike/>
          <w:color w:val="FF0000"/>
          <w:sz w:val="22"/>
          <w:szCs w:val="22"/>
        </w:rPr>
      </w:pPr>
      <w:r w:rsidRPr="000C5C4D">
        <w:rPr>
          <w:strike/>
          <w:color w:val="FF0000"/>
          <w:sz w:val="22"/>
          <w:szCs w:val="22"/>
        </w:rPr>
        <w:t>Изготвя се оборотна ведомост по звена;</w:t>
      </w:r>
    </w:p>
    <w:p w14:paraId="5C0A14DC" w14:textId="77777777" w:rsidR="00E8746C" w:rsidRPr="000C5C4D" w:rsidRDefault="00E8746C" w:rsidP="00046EA9">
      <w:pPr>
        <w:pStyle w:val="ListBullet"/>
        <w:spacing w:before="0" w:after="0"/>
        <w:rPr>
          <w:strike/>
          <w:color w:val="FF0000"/>
          <w:sz w:val="22"/>
          <w:szCs w:val="22"/>
        </w:rPr>
      </w:pPr>
      <w:r w:rsidRPr="000C5C4D">
        <w:rPr>
          <w:strike/>
          <w:color w:val="FF0000"/>
          <w:sz w:val="22"/>
          <w:szCs w:val="22"/>
        </w:rPr>
        <w:t>Сводират се оборотните ведомости на звената, като се елиминират вътрешните разчети;</w:t>
      </w:r>
    </w:p>
    <w:p w14:paraId="09CF1B62" w14:textId="44AFBF59" w:rsidR="00E8746C" w:rsidRDefault="00E8746C" w:rsidP="00046EA9">
      <w:pPr>
        <w:pStyle w:val="ListBullet"/>
        <w:spacing w:before="0" w:after="0"/>
        <w:rPr>
          <w:strike/>
          <w:color w:val="FF0000"/>
          <w:sz w:val="22"/>
          <w:szCs w:val="22"/>
        </w:rPr>
      </w:pPr>
      <w:r w:rsidRPr="000C5C4D">
        <w:rPr>
          <w:color w:val="000000" w:themeColor="text1"/>
          <w:sz w:val="22"/>
          <w:szCs w:val="22"/>
        </w:rPr>
        <w:t>Изготвят се Отчет за всеобхватен доход,</w:t>
      </w:r>
      <w:r w:rsidRPr="000C5C4D">
        <w:rPr>
          <w:strike/>
          <w:color w:val="000000" w:themeColor="text1"/>
          <w:sz w:val="22"/>
          <w:szCs w:val="22"/>
        </w:rPr>
        <w:t xml:space="preserve"> </w:t>
      </w:r>
      <w:r w:rsidRPr="000C5C4D">
        <w:rPr>
          <w:strike/>
          <w:color w:val="FF0000"/>
          <w:sz w:val="22"/>
          <w:szCs w:val="22"/>
        </w:rPr>
        <w:t>Отчет за финансово състояние, Отчет за паричен поток по звена и по дейности.</w:t>
      </w:r>
    </w:p>
    <w:p w14:paraId="254C92F3" w14:textId="77777777" w:rsidR="00046EA9" w:rsidRPr="000C5C4D" w:rsidRDefault="00046EA9" w:rsidP="00046EA9">
      <w:pPr>
        <w:pStyle w:val="ListBullet"/>
        <w:numPr>
          <w:ilvl w:val="0"/>
          <w:numId w:val="0"/>
        </w:numPr>
        <w:spacing w:before="0" w:after="0"/>
        <w:ind w:left="482"/>
        <w:rPr>
          <w:strike/>
          <w:color w:val="FF0000"/>
          <w:sz w:val="22"/>
          <w:szCs w:val="22"/>
        </w:rPr>
      </w:pPr>
    </w:p>
    <w:p w14:paraId="695A41CF" w14:textId="77777777" w:rsidR="00E8746C" w:rsidRPr="000C5C4D" w:rsidRDefault="00E8746C" w:rsidP="00677B42">
      <w:pPr>
        <w:pStyle w:val="BodyText"/>
        <w:jc w:val="both"/>
        <w:rPr>
          <w:color w:val="00B050"/>
          <w:szCs w:val="22"/>
        </w:rPr>
      </w:pPr>
      <w:r w:rsidRPr="000C5C4D">
        <w:rPr>
          <w:strike/>
          <w:color w:val="FF0000"/>
          <w:szCs w:val="22"/>
        </w:rPr>
        <w:t xml:space="preserve">Дейностите, за които се изготвят отчети са: Доставка, Пренос, Разпределение (считано от 2010, свързано с промяната в счетоводната политика и признаването на приходите и разходите за Пренос и Разпределение в отчета за всеобхватния доход) и Нерегулирана дейност. </w:t>
      </w:r>
      <w:r w:rsidRPr="000C5C4D">
        <w:rPr>
          <w:color w:val="00B050"/>
          <w:szCs w:val="22"/>
        </w:rPr>
        <w:t xml:space="preserve">Счетоводното </w:t>
      </w:r>
      <w:r w:rsidRPr="000C5C4D">
        <w:rPr>
          <w:color w:val="00B050"/>
          <w:szCs w:val="22"/>
        </w:rPr>
        <w:lastRenderedPageBreak/>
        <w:t>разделение на дейностите , се осъществява на синтетично и аналитично ниво в оборотната ведомост на дружеството, според изискванията на Закона за счетоводството.</w:t>
      </w:r>
    </w:p>
    <w:p w14:paraId="4725A092" w14:textId="77777777" w:rsidR="00E8746C" w:rsidRPr="000C5C4D" w:rsidRDefault="00E8746C" w:rsidP="000C5C4D">
      <w:pPr>
        <w:pStyle w:val="Heading3"/>
        <w:keepLines w:val="0"/>
        <w:spacing w:before="400" w:line="280" w:lineRule="exact"/>
        <w:jc w:val="both"/>
        <w:rPr>
          <w:rFonts w:ascii="Times New Roman" w:eastAsia="Times New Roman" w:hAnsi="Times New Roman" w:cs="Times New Roman"/>
          <w:b/>
          <w:color w:val="auto"/>
          <w:sz w:val="26"/>
          <w:szCs w:val="20"/>
        </w:rPr>
      </w:pPr>
      <w:bookmarkStart w:id="39" w:name="_Toc295492049"/>
      <w:bookmarkStart w:id="40" w:name="_Toc320467563"/>
      <w:r w:rsidRPr="000C5C4D">
        <w:rPr>
          <w:rFonts w:ascii="Times New Roman" w:eastAsia="Times New Roman" w:hAnsi="Times New Roman" w:cs="Times New Roman"/>
          <w:b/>
          <w:color w:val="auto"/>
          <w:sz w:val="26"/>
          <w:szCs w:val="20"/>
        </w:rPr>
        <w:t>Приложение: Система за счетоводно отчитане</w:t>
      </w:r>
      <w:bookmarkEnd w:id="39"/>
      <w:bookmarkEnd w:id="40"/>
    </w:p>
    <w:p w14:paraId="098DE885" w14:textId="77777777" w:rsidR="00CB2C84" w:rsidRPr="00C8465F" w:rsidRDefault="00CB2C84" w:rsidP="00677B42">
      <w:pPr>
        <w:pStyle w:val="BodyText"/>
        <w:jc w:val="both"/>
        <w:rPr>
          <w:lang w:val="en-US"/>
        </w:rPr>
      </w:pPr>
    </w:p>
    <w:tbl>
      <w:tblPr>
        <w:tblpPr w:leftFromText="141" w:rightFromText="141" w:vertAnchor="text" w:tblpX="137" w:tblpY="1"/>
        <w:tblOverlap w:val="neve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3986"/>
      </w:tblGrid>
      <w:tr w:rsidR="00CB2C84" w:rsidRPr="00875187" w14:paraId="1B2DA48D" w14:textId="77777777" w:rsidTr="00046EA9">
        <w:trPr>
          <w:cantSplit/>
        </w:trPr>
        <w:tc>
          <w:tcPr>
            <w:tcW w:w="1838" w:type="dxa"/>
            <w:tcBorders>
              <w:top w:val="single" w:sz="4" w:space="0" w:color="auto"/>
              <w:left w:val="single" w:sz="4" w:space="0" w:color="auto"/>
              <w:bottom w:val="single" w:sz="4" w:space="0" w:color="auto"/>
              <w:right w:val="single" w:sz="4" w:space="0" w:color="auto"/>
            </w:tcBorders>
            <w:shd w:val="clear" w:color="auto" w:fill="DAEEF3"/>
          </w:tcPr>
          <w:p w14:paraId="241DE3E0" w14:textId="77777777" w:rsidR="00CB2C84" w:rsidRPr="00046EA9" w:rsidRDefault="00CB2C84" w:rsidP="00677B42">
            <w:pPr>
              <w:pStyle w:val="BodyText"/>
              <w:tabs>
                <w:tab w:val="left" w:pos="570"/>
              </w:tabs>
              <w:jc w:val="both"/>
              <w:rPr>
                <w:b/>
                <w:color w:val="000000" w:themeColor="text1"/>
                <w:lang w:val="en-US"/>
              </w:rPr>
            </w:pPr>
            <w:r w:rsidRPr="00046EA9">
              <w:rPr>
                <w:b/>
                <w:color w:val="000000" w:themeColor="text1"/>
                <w:lang w:val="en-US"/>
              </w:rPr>
              <w:t>Номер</w:t>
            </w:r>
          </w:p>
        </w:tc>
        <w:tc>
          <w:tcPr>
            <w:tcW w:w="3119" w:type="dxa"/>
            <w:tcBorders>
              <w:top w:val="single" w:sz="4" w:space="0" w:color="auto"/>
              <w:left w:val="single" w:sz="4" w:space="0" w:color="auto"/>
              <w:bottom w:val="single" w:sz="4" w:space="0" w:color="auto"/>
              <w:right w:val="single" w:sz="4" w:space="0" w:color="auto"/>
            </w:tcBorders>
            <w:shd w:val="clear" w:color="auto" w:fill="DAEEF3"/>
          </w:tcPr>
          <w:p w14:paraId="29BBCCA3" w14:textId="77777777" w:rsidR="00CB2C84" w:rsidRPr="00046EA9" w:rsidRDefault="00CB2C84" w:rsidP="00677B42">
            <w:pPr>
              <w:pStyle w:val="BodyText"/>
              <w:jc w:val="both"/>
              <w:rPr>
                <w:b/>
                <w:color w:val="000000" w:themeColor="text1"/>
              </w:rPr>
            </w:pPr>
            <w:r w:rsidRPr="00046EA9">
              <w:rPr>
                <w:b/>
                <w:color w:val="000000" w:themeColor="text1"/>
              </w:rPr>
              <w:t>Наименование</w:t>
            </w:r>
          </w:p>
        </w:tc>
        <w:tc>
          <w:tcPr>
            <w:tcW w:w="3986" w:type="dxa"/>
            <w:tcBorders>
              <w:top w:val="single" w:sz="4" w:space="0" w:color="auto"/>
              <w:left w:val="single" w:sz="4" w:space="0" w:color="auto"/>
              <w:bottom w:val="single" w:sz="4" w:space="0" w:color="auto"/>
              <w:right w:val="single" w:sz="4" w:space="0" w:color="auto"/>
            </w:tcBorders>
            <w:shd w:val="clear" w:color="auto" w:fill="DAEEF3"/>
          </w:tcPr>
          <w:p w14:paraId="24A64EE6" w14:textId="77777777" w:rsidR="00CB2C84" w:rsidRPr="00046EA9" w:rsidRDefault="00CB2C84" w:rsidP="00677B42">
            <w:pPr>
              <w:pStyle w:val="BodyText"/>
              <w:jc w:val="both"/>
              <w:rPr>
                <w:b/>
                <w:color w:val="000000" w:themeColor="text1"/>
              </w:rPr>
            </w:pPr>
            <w:r w:rsidRPr="00046EA9">
              <w:rPr>
                <w:b/>
                <w:color w:val="000000" w:themeColor="text1"/>
              </w:rPr>
              <w:t>Използване</w:t>
            </w:r>
          </w:p>
        </w:tc>
      </w:tr>
      <w:tr w:rsidR="00E8746C" w:rsidRPr="00217AE1" w14:paraId="4A33A322" w14:textId="77777777" w:rsidTr="00046EA9">
        <w:trPr>
          <w:cantSplit/>
        </w:trPr>
        <w:tc>
          <w:tcPr>
            <w:tcW w:w="1838" w:type="dxa"/>
          </w:tcPr>
          <w:p w14:paraId="410E6447" w14:textId="77777777" w:rsidR="00E8746C" w:rsidRPr="00217AE1" w:rsidRDefault="00E8746C" w:rsidP="00677B42">
            <w:pPr>
              <w:pStyle w:val="BodyText"/>
              <w:tabs>
                <w:tab w:val="left" w:pos="570"/>
              </w:tabs>
              <w:jc w:val="both"/>
              <w:rPr>
                <w:color w:val="00B050"/>
                <w:lang w:val="en-US"/>
              </w:rPr>
            </w:pPr>
            <w:r w:rsidRPr="00217AE1">
              <w:rPr>
                <w:color w:val="00B050"/>
                <w:lang w:val="en-US"/>
              </w:rPr>
              <w:t>505</w:t>
            </w:r>
          </w:p>
        </w:tc>
        <w:tc>
          <w:tcPr>
            <w:tcW w:w="3119" w:type="dxa"/>
          </w:tcPr>
          <w:p w14:paraId="6029D454" w14:textId="77777777" w:rsidR="00E8746C" w:rsidRPr="00217AE1" w:rsidRDefault="00E8746C" w:rsidP="00677B42">
            <w:pPr>
              <w:pStyle w:val="BodyText"/>
              <w:jc w:val="both"/>
              <w:rPr>
                <w:color w:val="00B050"/>
              </w:rPr>
            </w:pPr>
            <w:r w:rsidRPr="00217AE1">
              <w:rPr>
                <w:color w:val="00B050"/>
              </w:rPr>
              <w:t>Каса в чуждестранна валута-звено Румъния</w:t>
            </w:r>
          </w:p>
        </w:tc>
        <w:tc>
          <w:tcPr>
            <w:tcW w:w="3986" w:type="dxa"/>
          </w:tcPr>
          <w:p w14:paraId="3FC380DE" w14:textId="77777777" w:rsidR="00E8746C" w:rsidRPr="00217AE1" w:rsidRDefault="00E8746C" w:rsidP="00677B42">
            <w:pPr>
              <w:pStyle w:val="BodyText"/>
              <w:jc w:val="both"/>
              <w:rPr>
                <w:color w:val="00B050"/>
              </w:rPr>
            </w:pPr>
            <w:r w:rsidRPr="00217AE1">
              <w:rPr>
                <w:color w:val="00B050"/>
              </w:rPr>
              <w:t xml:space="preserve">Отчитане на </w:t>
            </w:r>
            <w:r>
              <w:rPr>
                <w:color w:val="00B050"/>
              </w:rPr>
              <w:t>п</w:t>
            </w:r>
            <w:r w:rsidRPr="00217AE1">
              <w:rPr>
                <w:color w:val="00B050"/>
              </w:rPr>
              <w:t xml:space="preserve">арични средства </w:t>
            </w:r>
            <w:r>
              <w:rPr>
                <w:color w:val="00B050"/>
              </w:rPr>
              <w:t xml:space="preserve"> в</w:t>
            </w:r>
            <w:r w:rsidRPr="00217AE1">
              <w:rPr>
                <w:color w:val="00B050"/>
              </w:rPr>
              <w:t xml:space="preserve"> брой </w:t>
            </w:r>
            <w:r>
              <w:rPr>
                <w:color w:val="00B050"/>
              </w:rPr>
              <w:t xml:space="preserve"> , в чуждестранна валута</w:t>
            </w:r>
          </w:p>
        </w:tc>
      </w:tr>
      <w:tr w:rsidR="00E8746C" w:rsidRPr="00217AE1" w14:paraId="5A5126A0" w14:textId="77777777" w:rsidTr="00046EA9">
        <w:trPr>
          <w:cantSplit/>
        </w:trPr>
        <w:tc>
          <w:tcPr>
            <w:tcW w:w="1838" w:type="dxa"/>
          </w:tcPr>
          <w:p w14:paraId="3A062B11" w14:textId="77777777" w:rsidR="00E8746C" w:rsidRPr="00217AE1" w:rsidRDefault="00E8746C" w:rsidP="00677B42">
            <w:pPr>
              <w:pStyle w:val="BodyText"/>
              <w:tabs>
                <w:tab w:val="left" w:pos="570"/>
              </w:tabs>
              <w:jc w:val="both"/>
              <w:rPr>
                <w:color w:val="00B050"/>
                <w:lang w:val="en-US"/>
              </w:rPr>
            </w:pPr>
            <w:r w:rsidRPr="00217AE1">
              <w:rPr>
                <w:color w:val="00B050"/>
                <w:lang w:val="en-US"/>
              </w:rPr>
              <w:t>506</w:t>
            </w:r>
          </w:p>
        </w:tc>
        <w:tc>
          <w:tcPr>
            <w:tcW w:w="3119" w:type="dxa"/>
          </w:tcPr>
          <w:p w14:paraId="19AEEB3E" w14:textId="77777777" w:rsidR="00E8746C" w:rsidRPr="00217AE1" w:rsidRDefault="00E8746C" w:rsidP="00677B42">
            <w:pPr>
              <w:pStyle w:val="BodyText"/>
              <w:jc w:val="both"/>
              <w:rPr>
                <w:color w:val="00B050"/>
              </w:rPr>
            </w:pPr>
            <w:r w:rsidRPr="00217AE1">
              <w:rPr>
                <w:color w:val="00B050"/>
              </w:rPr>
              <w:t>Разплащателна сметка в чуждестранна валута – звено Румъния</w:t>
            </w:r>
          </w:p>
        </w:tc>
        <w:tc>
          <w:tcPr>
            <w:tcW w:w="3986" w:type="dxa"/>
          </w:tcPr>
          <w:p w14:paraId="6683689C" w14:textId="77777777" w:rsidR="00E8746C" w:rsidRPr="00217AE1" w:rsidRDefault="00E8746C" w:rsidP="00677B42">
            <w:pPr>
              <w:pStyle w:val="BodyText"/>
              <w:jc w:val="both"/>
              <w:rPr>
                <w:color w:val="00B050"/>
              </w:rPr>
            </w:pPr>
            <w:r w:rsidRPr="00217AE1">
              <w:rPr>
                <w:color w:val="00B050"/>
              </w:rPr>
              <w:t>Отчитане на парични средства по разплащателни сметки в чуждестранна валута</w:t>
            </w:r>
          </w:p>
        </w:tc>
      </w:tr>
    </w:tbl>
    <w:p w14:paraId="09C4ED87" w14:textId="77777777" w:rsidR="00053DE4" w:rsidRPr="00AD6DE2" w:rsidRDefault="00053DE4" w:rsidP="00677B42">
      <w:pPr>
        <w:pStyle w:val="Heading3"/>
        <w:keepLines w:val="0"/>
        <w:spacing w:before="400" w:line="280" w:lineRule="exact"/>
        <w:jc w:val="both"/>
        <w:rPr>
          <w:rFonts w:ascii="Times New Roman" w:eastAsia="Times New Roman" w:hAnsi="Times New Roman" w:cs="Times New Roman"/>
          <w:b/>
          <w:color w:val="auto"/>
          <w:sz w:val="26"/>
          <w:szCs w:val="20"/>
        </w:rPr>
      </w:pPr>
      <w:bookmarkStart w:id="41" w:name="_Toc295750189"/>
      <w:bookmarkStart w:id="42" w:name="_Toc320467573"/>
      <w:r w:rsidRPr="00AD6DE2">
        <w:rPr>
          <w:rFonts w:ascii="Times New Roman" w:eastAsia="Times New Roman" w:hAnsi="Times New Roman" w:cs="Times New Roman"/>
          <w:b/>
          <w:color w:val="auto"/>
          <w:sz w:val="26"/>
          <w:szCs w:val="20"/>
        </w:rPr>
        <w:t>С. 10   Доходи на наети лица</w:t>
      </w:r>
      <w:bookmarkEnd w:id="41"/>
      <w:bookmarkEnd w:id="42"/>
    </w:p>
    <w:p w14:paraId="62D919E0" w14:textId="77777777" w:rsidR="00053DE4" w:rsidRDefault="00053DE4" w:rsidP="00677B42">
      <w:pPr>
        <w:jc w:val="both"/>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3038"/>
        <w:gridCol w:w="3989"/>
      </w:tblGrid>
      <w:tr w:rsidR="00053DE4" w:rsidRPr="000E18F2" w14:paraId="289812C3" w14:textId="77777777" w:rsidTr="00FB5334">
        <w:trPr>
          <w:cantSplit/>
        </w:trPr>
        <w:tc>
          <w:tcPr>
            <w:tcW w:w="19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C28B4E" w14:textId="77777777" w:rsidR="00053DE4" w:rsidRPr="00875187" w:rsidRDefault="00053DE4" w:rsidP="00677B42">
            <w:pPr>
              <w:pStyle w:val="BodyText"/>
              <w:jc w:val="both"/>
              <w:rPr>
                <w:b/>
              </w:rPr>
            </w:pPr>
            <w:r w:rsidRPr="00875187">
              <w:rPr>
                <w:b/>
              </w:rPr>
              <w:t>Номер</w:t>
            </w:r>
          </w:p>
        </w:tc>
        <w:tc>
          <w:tcPr>
            <w:tcW w:w="30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6FC82" w14:textId="77777777" w:rsidR="00053DE4" w:rsidRPr="00875187" w:rsidRDefault="00053DE4" w:rsidP="00677B42">
            <w:pPr>
              <w:pStyle w:val="BodyText"/>
              <w:jc w:val="both"/>
              <w:rPr>
                <w:b/>
              </w:rPr>
            </w:pPr>
            <w:r w:rsidRPr="00875187">
              <w:rPr>
                <w:b/>
              </w:rPr>
              <w:t>Наименование</w:t>
            </w:r>
          </w:p>
        </w:tc>
        <w:tc>
          <w:tcPr>
            <w:tcW w:w="39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F20AE0" w14:textId="77777777" w:rsidR="00053DE4" w:rsidRPr="00875187" w:rsidRDefault="00053DE4" w:rsidP="00677B42">
            <w:pPr>
              <w:pStyle w:val="BodyText"/>
              <w:jc w:val="both"/>
              <w:rPr>
                <w:b/>
              </w:rPr>
            </w:pPr>
            <w:r w:rsidRPr="00875187">
              <w:rPr>
                <w:b/>
              </w:rPr>
              <w:t>Използване</w:t>
            </w:r>
          </w:p>
        </w:tc>
      </w:tr>
      <w:tr w:rsidR="00053DE4" w:rsidRPr="000E18F2" w14:paraId="57DCA4C1" w14:textId="77777777" w:rsidTr="00FB5334">
        <w:trPr>
          <w:cantSplit/>
        </w:trPr>
        <w:tc>
          <w:tcPr>
            <w:tcW w:w="1909" w:type="dxa"/>
            <w:tcBorders>
              <w:top w:val="single" w:sz="4" w:space="0" w:color="auto"/>
              <w:left w:val="single" w:sz="4" w:space="0" w:color="auto"/>
              <w:bottom w:val="single" w:sz="4" w:space="0" w:color="auto"/>
              <w:right w:val="single" w:sz="4" w:space="0" w:color="auto"/>
            </w:tcBorders>
          </w:tcPr>
          <w:p w14:paraId="6D147F14" w14:textId="77777777" w:rsidR="00053DE4" w:rsidRDefault="00053DE4" w:rsidP="00677B42">
            <w:pPr>
              <w:pStyle w:val="BodyText"/>
              <w:jc w:val="both"/>
              <w:rPr>
                <w:b/>
                <w:u w:val="single"/>
              </w:rPr>
            </w:pPr>
            <w:r>
              <w:rPr>
                <w:b/>
                <w:u w:val="single"/>
              </w:rPr>
              <w:t>Гр.27</w:t>
            </w:r>
          </w:p>
        </w:tc>
        <w:tc>
          <w:tcPr>
            <w:tcW w:w="7027" w:type="dxa"/>
            <w:gridSpan w:val="2"/>
            <w:tcBorders>
              <w:top w:val="single" w:sz="4" w:space="0" w:color="auto"/>
              <w:left w:val="single" w:sz="4" w:space="0" w:color="auto"/>
              <w:bottom w:val="single" w:sz="4" w:space="0" w:color="auto"/>
              <w:right w:val="single" w:sz="4" w:space="0" w:color="auto"/>
            </w:tcBorders>
          </w:tcPr>
          <w:p w14:paraId="465C23F7" w14:textId="77777777" w:rsidR="00053DE4" w:rsidRPr="00E8746C" w:rsidRDefault="00053DE4" w:rsidP="00677B42">
            <w:pPr>
              <w:pStyle w:val="BodyText"/>
              <w:jc w:val="both"/>
              <w:rPr>
                <w:color w:val="00B050"/>
              </w:rPr>
            </w:pPr>
            <w:r>
              <w:rPr>
                <w:b/>
                <w:u w:val="single"/>
              </w:rPr>
              <w:t>Персонал и други лица</w:t>
            </w:r>
          </w:p>
        </w:tc>
      </w:tr>
      <w:tr w:rsidR="00053DE4" w:rsidRPr="000E18F2" w14:paraId="3E260F99" w14:textId="77777777" w:rsidTr="00FB5334">
        <w:trPr>
          <w:cantSplit/>
        </w:trPr>
        <w:tc>
          <w:tcPr>
            <w:tcW w:w="1909" w:type="dxa"/>
            <w:tcBorders>
              <w:top w:val="single" w:sz="4" w:space="0" w:color="auto"/>
              <w:left w:val="single" w:sz="4" w:space="0" w:color="auto"/>
              <w:bottom w:val="single" w:sz="4" w:space="0" w:color="auto"/>
              <w:right w:val="single" w:sz="4" w:space="0" w:color="auto"/>
            </w:tcBorders>
          </w:tcPr>
          <w:p w14:paraId="46A95AC7" w14:textId="77777777" w:rsidR="00053DE4" w:rsidRPr="004F0663" w:rsidRDefault="00053DE4" w:rsidP="00677B42">
            <w:pPr>
              <w:pStyle w:val="BodyText"/>
              <w:jc w:val="both"/>
            </w:pPr>
            <w:r>
              <w:t>273</w:t>
            </w:r>
          </w:p>
        </w:tc>
        <w:tc>
          <w:tcPr>
            <w:tcW w:w="3038" w:type="dxa"/>
            <w:tcBorders>
              <w:top w:val="single" w:sz="4" w:space="0" w:color="auto"/>
              <w:left w:val="single" w:sz="4" w:space="0" w:color="auto"/>
              <w:bottom w:val="single" w:sz="4" w:space="0" w:color="auto"/>
              <w:right w:val="single" w:sz="4" w:space="0" w:color="auto"/>
            </w:tcBorders>
          </w:tcPr>
          <w:p w14:paraId="6A0C55E3" w14:textId="77777777" w:rsidR="00053DE4" w:rsidRPr="004F0663" w:rsidRDefault="00053DE4" w:rsidP="00677B42">
            <w:pPr>
              <w:pStyle w:val="BodyText"/>
              <w:jc w:val="both"/>
            </w:pPr>
            <w:r w:rsidRPr="004F0663">
              <w:t xml:space="preserve">Разчети за </w:t>
            </w:r>
            <w:r w:rsidRPr="00AB2E96">
              <w:t xml:space="preserve">обезщетения </w:t>
            </w:r>
            <w:r w:rsidRPr="004F0663">
              <w:t>при пенсиониране</w:t>
            </w:r>
          </w:p>
        </w:tc>
        <w:tc>
          <w:tcPr>
            <w:tcW w:w="3989" w:type="dxa"/>
            <w:tcBorders>
              <w:top w:val="single" w:sz="4" w:space="0" w:color="auto"/>
              <w:left w:val="single" w:sz="4" w:space="0" w:color="auto"/>
              <w:bottom w:val="single" w:sz="4" w:space="0" w:color="auto"/>
              <w:right w:val="single" w:sz="4" w:space="0" w:color="auto"/>
            </w:tcBorders>
          </w:tcPr>
          <w:p w14:paraId="7647DE3F" w14:textId="77777777" w:rsidR="00053DE4" w:rsidRPr="004F0663" w:rsidRDefault="00053DE4" w:rsidP="00677B42">
            <w:pPr>
              <w:pStyle w:val="BodyText"/>
              <w:jc w:val="both"/>
            </w:pPr>
            <w:r w:rsidRPr="004F0663">
              <w:t xml:space="preserve">Задължения във връзка с доходи при </w:t>
            </w:r>
            <w:r w:rsidRPr="001427BE">
              <w:rPr>
                <w:color w:val="00B050"/>
              </w:rPr>
              <w:t xml:space="preserve">пенсиониране </w:t>
            </w:r>
          </w:p>
        </w:tc>
      </w:tr>
      <w:tr w:rsidR="00053DE4" w:rsidRPr="000E18F2" w14:paraId="0F61BCAB" w14:textId="77777777" w:rsidTr="00AD6DE2">
        <w:trPr>
          <w:cantSplit/>
        </w:trPr>
        <w:tc>
          <w:tcPr>
            <w:tcW w:w="1909" w:type="dxa"/>
            <w:tcBorders>
              <w:top w:val="single" w:sz="4" w:space="0" w:color="auto"/>
              <w:left w:val="single" w:sz="4" w:space="0" w:color="auto"/>
              <w:bottom w:val="single" w:sz="4" w:space="0" w:color="auto"/>
              <w:right w:val="single" w:sz="4" w:space="0" w:color="auto"/>
            </w:tcBorders>
            <w:shd w:val="clear" w:color="auto" w:fill="auto"/>
          </w:tcPr>
          <w:p w14:paraId="55312C09" w14:textId="77777777" w:rsidR="00053DE4" w:rsidRPr="000E18F2" w:rsidRDefault="00053DE4" w:rsidP="00677B42">
            <w:pPr>
              <w:pStyle w:val="BodyText"/>
              <w:keepNext/>
              <w:jc w:val="both"/>
              <w:rPr>
                <w:b/>
                <w:u w:val="single"/>
              </w:rPr>
            </w:pPr>
            <w:r>
              <w:rPr>
                <w:b/>
                <w:u w:val="single"/>
              </w:rPr>
              <w:t>Гр. 45</w:t>
            </w:r>
          </w:p>
        </w:tc>
        <w:tc>
          <w:tcPr>
            <w:tcW w:w="7027" w:type="dxa"/>
            <w:gridSpan w:val="2"/>
            <w:tcBorders>
              <w:top w:val="single" w:sz="4" w:space="0" w:color="auto"/>
              <w:left w:val="single" w:sz="4" w:space="0" w:color="auto"/>
              <w:bottom w:val="single" w:sz="4" w:space="0" w:color="auto"/>
              <w:right w:val="single" w:sz="4" w:space="0" w:color="auto"/>
            </w:tcBorders>
            <w:shd w:val="clear" w:color="auto" w:fill="auto"/>
          </w:tcPr>
          <w:p w14:paraId="5A732BBC" w14:textId="77777777" w:rsidR="00053DE4" w:rsidRPr="000E18F2" w:rsidRDefault="00053DE4" w:rsidP="00677B42">
            <w:pPr>
              <w:pStyle w:val="BodyText"/>
              <w:keepNext/>
              <w:jc w:val="both"/>
              <w:rPr>
                <w:b/>
                <w:u w:val="single"/>
              </w:rPr>
            </w:pPr>
            <w:r>
              <w:rPr>
                <w:b/>
                <w:u w:val="single"/>
              </w:rPr>
              <w:t>Разчети с бюджета и с ведомства</w:t>
            </w:r>
          </w:p>
        </w:tc>
      </w:tr>
      <w:tr w:rsidR="00053DE4" w:rsidRPr="000E18F2" w14:paraId="17A55F24" w14:textId="77777777" w:rsidTr="00FB5334">
        <w:trPr>
          <w:cantSplit/>
        </w:trPr>
        <w:tc>
          <w:tcPr>
            <w:tcW w:w="1909" w:type="dxa"/>
            <w:tcBorders>
              <w:top w:val="single" w:sz="4" w:space="0" w:color="auto"/>
              <w:left w:val="single" w:sz="4" w:space="0" w:color="auto"/>
              <w:bottom w:val="single" w:sz="4" w:space="0" w:color="auto"/>
              <w:right w:val="single" w:sz="4" w:space="0" w:color="auto"/>
            </w:tcBorders>
          </w:tcPr>
          <w:p w14:paraId="338F98C8" w14:textId="77777777" w:rsidR="00053DE4" w:rsidRPr="00E8746C" w:rsidRDefault="00053DE4" w:rsidP="00677B42">
            <w:pPr>
              <w:pStyle w:val="BodyText"/>
              <w:tabs>
                <w:tab w:val="left" w:pos="570"/>
              </w:tabs>
              <w:jc w:val="both"/>
              <w:rPr>
                <w:color w:val="00B050"/>
                <w:lang w:val="en-US"/>
              </w:rPr>
            </w:pPr>
            <w:r w:rsidRPr="00E8746C">
              <w:rPr>
                <w:color w:val="00B050"/>
                <w:lang w:val="en-US"/>
              </w:rPr>
              <w:t>Гр. 43</w:t>
            </w:r>
          </w:p>
        </w:tc>
        <w:tc>
          <w:tcPr>
            <w:tcW w:w="3038" w:type="dxa"/>
            <w:tcBorders>
              <w:top w:val="single" w:sz="4" w:space="0" w:color="auto"/>
              <w:left w:val="single" w:sz="4" w:space="0" w:color="auto"/>
              <w:bottom w:val="single" w:sz="4" w:space="0" w:color="auto"/>
              <w:right w:val="single" w:sz="4" w:space="0" w:color="auto"/>
            </w:tcBorders>
          </w:tcPr>
          <w:p w14:paraId="26E4EE06" w14:textId="77777777" w:rsidR="00053DE4" w:rsidRPr="00E8746C" w:rsidRDefault="00053DE4" w:rsidP="00677B42">
            <w:pPr>
              <w:pStyle w:val="BodyText"/>
              <w:jc w:val="both"/>
              <w:rPr>
                <w:color w:val="00B050"/>
              </w:rPr>
            </w:pPr>
            <w:r w:rsidRPr="00E8746C">
              <w:rPr>
                <w:color w:val="00B050"/>
              </w:rPr>
              <w:t>Разчети с осигурители</w:t>
            </w:r>
          </w:p>
        </w:tc>
        <w:tc>
          <w:tcPr>
            <w:tcW w:w="3989" w:type="dxa"/>
            <w:tcBorders>
              <w:top w:val="single" w:sz="4" w:space="0" w:color="auto"/>
              <w:left w:val="single" w:sz="4" w:space="0" w:color="auto"/>
              <w:bottom w:val="single" w:sz="4" w:space="0" w:color="auto"/>
              <w:right w:val="single" w:sz="4" w:space="0" w:color="auto"/>
            </w:tcBorders>
          </w:tcPr>
          <w:p w14:paraId="378C2CF4" w14:textId="77777777" w:rsidR="00053DE4" w:rsidRPr="00E8746C" w:rsidRDefault="00053DE4" w:rsidP="00677B42">
            <w:pPr>
              <w:pStyle w:val="BodyText"/>
              <w:jc w:val="both"/>
              <w:rPr>
                <w:color w:val="00B050"/>
              </w:rPr>
            </w:pPr>
            <w:r w:rsidRPr="00E8746C">
              <w:rPr>
                <w:color w:val="00B050"/>
              </w:rPr>
              <w:t xml:space="preserve">Задължения във връзка с планове за дефинирани </w:t>
            </w:r>
            <w:r w:rsidRPr="001427BE">
              <w:rPr>
                <w:color w:val="00B050"/>
              </w:rPr>
              <w:t xml:space="preserve">осигурителни вноски </w:t>
            </w:r>
            <w:r>
              <w:rPr>
                <w:color w:val="00B050"/>
              </w:rPr>
              <w:t>върху краткосрочни доходи на наети лица</w:t>
            </w:r>
          </w:p>
        </w:tc>
      </w:tr>
      <w:tr w:rsidR="00053DE4" w14:paraId="7CA2A021" w14:textId="77777777" w:rsidTr="00FB5334">
        <w:tc>
          <w:tcPr>
            <w:tcW w:w="1909" w:type="dxa"/>
          </w:tcPr>
          <w:p w14:paraId="3E3F9B08" w14:textId="77777777" w:rsidR="00053DE4" w:rsidRPr="0035743A" w:rsidRDefault="00053DE4" w:rsidP="00677B42">
            <w:pPr>
              <w:pStyle w:val="BodyText"/>
              <w:keepNext/>
              <w:jc w:val="both"/>
              <w:rPr>
                <w:b/>
                <w:u w:val="single"/>
              </w:rPr>
            </w:pPr>
            <w:r>
              <w:rPr>
                <w:b/>
                <w:u w:val="single"/>
              </w:rPr>
              <w:t>Гр. 60</w:t>
            </w:r>
          </w:p>
        </w:tc>
        <w:tc>
          <w:tcPr>
            <w:tcW w:w="7027" w:type="dxa"/>
            <w:gridSpan w:val="2"/>
          </w:tcPr>
          <w:p w14:paraId="292B492A" w14:textId="77777777" w:rsidR="00053DE4" w:rsidRDefault="00053DE4" w:rsidP="00677B42">
            <w:pPr>
              <w:pStyle w:val="BodyText"/>
              <w:keepNext/>
              <w:jc w:val="both"/>
            </w:pPr>
            <w:r w:rsidRPr="00CE7F67">
              <w:rPr>
                <w:b/>
                <w:u w:val="single"/>
              </w:rPr>
              <w:t>Разходи по икономически елементи</w:t>
            </w:r>
          </w:p>
        </w:tc>
      </w:tr>
      <w:tr w:rsidR="00053DE4" w14:paraId="77E7C1EB" w14:textId="77777777" w:rsidTr="00FB5334">
        <w:tc>
          <w:tcPr>
            <w:tcW w:w="1909" w:type="dxa"/>
          </w:tcPr>
          <w:p w14:paraId="05E603F5" w14:textId="77777777" w:rsidR="00053DE4" w:rsidRDefault="00053DE4" w:rsidP="00677B42">
            <w:pPr>
              <w:pStyle w:val="BodyText"/>
              <w:jc w:val="both"/>
            </w:pPr>
            <w:r>
              <w:t>604</w:t>
            </w:r>
          </w:p>
        </w:tc>
        <w:tc>
          <w:tcPr>
            <w:tcW w:w="3038" w:type="dxa"/>
          </w:tcPr>
          <w:p w14:paraId="64328C1E" w14:textId="77777777" w:rsidR="00053DE4" w:rsidRPr="00CE7F67" w:rsidRDefault="00053DE4" w:rsidP="00677B42">
            <w:pPr>
              <w:pStyle w:val="BodyText"/>
              <w:jc w:val="both"/>
            </w:pPr>
            <w:r w:rsidRPr="00CE7F67">
              <w:t>Разходи за заплати (възнаграждения)</w:t>
            </w:r>
          </w:p>
        </w:tc>
        <w:tc>
          <w:tcPr>
            <w:tcW w:w="3989" w:type="dxa"/>
          </w:tcPr>
          <w:p w14:paraId="02364AFF" w14:textId="77777777" w:rsidR="00053DE4" w:rsidRDefault="00053DE4" w:rsidP="00677B42">
            <w:pPr>
              <w:pStyle w:val="BodyText"/>
              <w:jc w:val="both"/>
            </w:pPr>
            <w:r>
              <w:t>Разходи за доходи на наети лица</w:t>
            </w:r>
          </w:p>
        </w:tc>
      </w:tr>
      <w:tr w:rsidR="00053DE4" w14:paraId="39169984" w14:textId="77777777" w:rsidTr="00FB5334">
        <w:tc>
          <w:tcPr>
            <w:tcW w:w="1909" w:type="dxa"/>
          </w:tcPr>
          <w:p w14:paraId="110757CD" w14:textId="77777777" w:rsidR="00053DE4" w:rsidRDefault="00053DE4" w:rsidP="00677B42">
            <w:pPr>
              <w:pStyle w:val="BodyText"/>
              <w:jc w:val="both"/>
            </w:pPr>
            <w:r>
              <w:t>605</w:t>
            </w:r>
          </w:p>
        </w:tc>
        <w:tc>
          <w:tcPr>
            <w:tcW w:w="3038" w:type="dxa"/>
          </w:tcPr>
          <w:p w14:paraId="61C00E97" w14:textId="77777777" w:rsidR="00053DE4" w:rsidRPr="00CE7F67" w:rsidRDefault="00053DE4" w:rsidP="00677B42">
            <w:pPr>
              <w:pStyle w:val="BodyText"/>
              <w:jc w:val="both"/>
            </w:pPr>
            <w:r w:rsidRPr="00CE7F67">
              <w:t>Разходи за осигуровки</w:t>
            </w:r>
          </w:p>
        </w:tc>
        <w:tc>
          <w:tcPr>
            <w:tcW w:w="3989" w:type="dxa"/>
          </w:tcPr>
          <w:p w14:paraId="1FFC9CC3" w14:textId="77777777" w:rsidR="00053DE4" w:rsidRDefault="00053DE4" w:rsidP="00677B42">
            <w:pPr>
              <w:pStyle w:val="BodyText"/>
              <w:jc w:val="both"/>
            </w:pPr>
            <w:r>
              <w:t xml:space="preserve">Разходи, свързани с </w:t>
            </w:r>
            <w:r w:rsidRPr="00DE3D58">
              <w:rPr>
                <w:strike/>
                <w:color w:val="FF0000"/>
              </w:rPr>
              <w:t>планове с</w:t>
            </w:r>
            <w:r w:rsidRPr="00DE3D58">
              <w:rPr>
                <w:color w:val="FF0000"/>
              </w:rPr>
              <w:t xml:space="preserve"> </w:t>
            </w:r>
            <w:r w:rsidRPr="001427BE">
              <w:rPr>
                <w:color w:val="00B050"/>
              </w:rPr>
              <w:t xml:space="preserve">осигурителни вноски </w:t>
            </w:r>
            <w:r>
              <w:rPr>
                <w:color w:val="00B050"/>
              </w:rPr>
              <w:t>върху краткосрочни доходи на наети лица</w:t>
            </w:r>
            <w:r>
              <w:t xml:space="preserve"> </w:t>
            </w:r>
            <w:r w:rsidRPr="00DE3D58">
              <w:rPr>
                <w:strike/>
                <w:color w:val="FF0000"/>
              </w:rPr>
              <w:t>дефинирани вноски</w:t>
            </w:r>
          </w:p>
        </w:tc>
      </w:tr>
      <w:tr w:rsidR="00053DE4" w:rsidRPr="00DE3D58" w14:paraId="07BCB5BC" w14:textId="77777777" w:rsidTr="00FB5334">
        <w:tc>
          <w:tcPr>
            <w:tcW w:w="1909" w:type="dxa"/>
          </w:tcPr>
          <w:p w14:paraId="330C2B08" w14:textId="77777777" w:rsidR="00053DE4" w:rsidRDefault="00053DE4" w:rsidP="00677B42">
            <w:pPr>
              <w:pStyle w:val="BodyText"/>
              <w:jc w:val="both"/>
              <w:rPr>
                <w:b/>
                <w:u w:val="single"/>
              </w:rPr>
            </w:pPr>
            <w:r>
              <w:t>606</w:t>
            </w:r>
          </w:p>
        </w:tc>
        <w:tc>
          <w:tcPr>
            <w:tcW w:w="3038" w:type="dxa"/>
          </w:tcPr>
          <w:p w14:paraId="74DB8FB8" w14:textId="77777777" w:rsidR="00053DE4" w:rsidRPr="00CE7F67" w:rsidRDefault="00053DE4" w:rsidP="00677B42">
            <w:pPr>
              <w:pStyle w:val="BodyText"/>
              <w:jc w:val="both"/>
            </w:pPr>
            <w:r>
              <w:t>Разходи за провизии</w:t>
            </w:r>
          </w:p>
        </w:tc>
        <w:tc>
          <w:tcPr>
            <w:tcW w:w="3989" w:type="dxa"/>
          </w:tcPr>
          <w:p w14:paraId="2625806E" w14:textId="77777777" w:rsidR="00053DE4" w:rsidRPr="00DE3D58" w:rsidRDefault="00053DE4" w:rsidP="00677B42">
            <w:pPr>
              <w:pStyle w:val="BodyText"/>
              <w:jc w:val="both"/>
            </w:pPr>
            <w:r>
              <w:t xml:space="preserve">Разходи, свързани с  </w:t>
            </w:r>
            <w:r w:rsidRPr="00DE3D58">
              <w:rPr>
                <w:strike/>
                <w:color w:val="FF0000"/>
              </w:rPr>
              <w:t>планове с дефинирани доходи</w:t>
            </w:r>
            <w:r>
              <w:rPr>
                <w:strike/>
                <w:color w:val="FF0000"/>
              </w:rPr>
              <w:t xml:space="preserve">  </w:t>
            </w:r>
            <w:r w:rsidRPr="00DE3D58">
              <w:rPr>
                <w:color w:val="00B050"/>
              </w:rPr>
              <w:t>правни и конструктивни задължения</w:t>
            </w:r>
          </w:p>
        </w:tc>
      </w:tr>
    </w:tbl>
    <w:p w14:paraId="6D94A27E" w14:textId="77777777" w:rsidR="00053DE4" w:rsidRDefault="00053DE4" w:rsidP="00677B42">
      <w:pPr>
        <w:jc w:val="both"/>
      </w:pPr>
    </w:p>
    <w:p w14:paraId="7A2ABAA0" w14:textId="77777777" w:rsidR="00053DE4" w:rsidRDefault="00053DE4" w:rsidP="00677B42">
      <w:pPr>
        <w:jc w:val="both"/>
      </w:pPr>
    </w:p>
    <w:p w14:paraId="544679E5" w14:textId="77777777" w:rsidR="00AD6DE2" w:rsidRDefault="00AD6DE2" w:rsidP="00677B42">
      <w:pPr>
        <w:pStyle w:val="BodyText"/>
        <w:jc w:val="both"/>
      </w:pPr>
      <w:r>
        <w:t xml:space="preserve">Обичайните транзакции, при които сметките от група 43 и сметка 454 се </w:t>
      </w:r>
      <w:r w:rsidRPr="00FB66BB">
        <w:rPr>
          <w:i/>
          <w:u w:val="single"/>
        </w:rPr>
        <w:t>дебитират</w:t>
      </w:r>
      <w:r>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7746"/>
      </w:tblGrid>
      <w:tr w:rsidR="00AD6DE2" w:rsidRPr="00875187" w14:paraId="755CF13F" w14:textId="77777777" w:rsidTr="00FB5334">
        <w:trPr>
          <w:tblHeader/>
        </w:trPr>
        <w:tc>
          <w:tcPr>
            <w:tcW w:w="821" w:type="dxa"/>
            <w:tcBorders>
              <w:bottom w:val="single" w:sz="4" w:space="0" w:color="auto"/>
            </w:tcBorders>
            <w:shd w:val="clear" w:color="auto" w:fill="DAEEF3"/>
          </w:tcPr>
          <w:p w14:paraId="2EBF2414" w14:textId="77777777" w:rsidR="00AD6DE2" w:rsidRPr="00875187" w:rsidRDefault="00AD6DE2" w:rsidP="00677B42">
            <w:pPr>
              <w:pStyle w:val="BodyText"/>
              <w:jc w:val="both"/>
              <w:rPr>
                <w:b/>
              </w:rPr>
            </w:pPr>
            <w:r w:rsidRPr="00875187">
              <w:rPr>
                <w:b/>
              </w:rPr>
              <w:t>#</w:t>
            </w:r>
          </w:p>
        </w:tc>
        <w:tc>
          <w:tcPr>
            <w:tcW w:w="7819" w:type="dxa"/>
            <w:tcBorders>
              <w:bottom w:val="single" w:sz="4" w:space="0" w:color="auto"/>
            </w:tcBorders>
            <w:shd w:val="clear" w:color="auto" w:fill="DAEEF3"/>
          </w:tcPr>
          <w:p w14:paraId="75D7DD97" w14:textId="77777777" w:rsidR="00AD6DE2" w:rsidRPr="00875187" w:rsidRDefault="00AD6DE2" w:rsidP="00677B42">
            <w:pPr>
              <w:pStyle w:val="BodyText"/>
              <w:jc w:val="both"/>
              <w:rPr>
                <w:b/>
              </w:rPr>
            </w:pPr>
            <w:r w:rsidRPr="00875187">
              <w:rPr>
                <w:b/>
              </w:rPr>
              <w:t>Стопанска операция</w:t>
            </w:r>
          </w:p>
        </w:tc>
      </w:tr>
      <w:tr w:rsidR="00AD6DE2" w:rsidRPr="00E30CAB" w14:paraId="011DE320" w14:textId="77777777" w:rsidTr="00FB5334">
        <w:tc>
          <w:tcPr>
            <w:tcW w:w="821" w:type="dxa"/>
          </w:tcPr>
          <w:p w14:paraId="09A006C9" w14:textId="77777777" w:rsidR="00AD6DE2" w:rsidRPr="000B4913" w:rsidRDefault="00AD6DE2" w:rsidP="00677B42">
            <w:pPr>
              <w:pStyle w:val="BodyText"/>
              <w:tabs>
                <w:tab w:val="left" w:pos="1418"/>
                <w:tab w:val="right" w:pos="8505"/>
              </w:tabs>
              <w:ind w:left="1418" w:right="567" w:hanging="1418"/>
              <w:jc w:val="both"/>
              <w:rPr>
                <w:lang w:val="en-US"/>
              </w:rPr>
            </w:pPr>
            <w:r>
              <w:rPr>
                <w:lang w:val="en-US"/>
              </w:rPr>
              <w:t>1</w:t>
            </w:r>
          </w:p>
        </w:tc>
        <w:tc>
          <w:tcPr>
            <w:tcW w:w="7819" w:type="dxa"/>
          </w:tcPr>
          <w:p w14:paraId="5B30FB19" w14:textId="77777777" w:rsidR="00AD6DE2" w:rsidRPr="00DE3D58" w:rsidRDefault="00AD6DE2" w:rsidP="00677B42">
            <w:pPr>
              <w:pStyle w:val="BodyText"/>
              <w:jc w:val="both"/>
            </w:pPr>
            <w:r>
              <w:t xml:space="preserve">Изплащане на задължения, свързани с </w:t>
            </w:r>
            <w:r w:rsidRPr="00DE3D58">
              <w:rPr>
                <w:strike/>
                <w:color w:val="FF0000"/>
              </w:rPr>
              <w:t>планове за дефинирани вноски</w:t>
            </w:r>
            <w:r w:rsidRPr="00DE3D58">
              <w:rPr>
                <w:color w:val="00B050"/>
              </w:rPr>
              <w:t xml:space="preserve"> доходи на наети лица</w:t>
            </w:r>
          </w:p>
        </w:tc>
      </w:tr>
    </w:tbl>
    <w:p w14:paraId="729EEB75" w14:textId="77777777" w:rsidR="00053DE4" w:rsidRDefault="00053DE4" w:rsidP="00677B42">
      <w:pPr>
        <w:jc w:val="both"/>
      </w:pPr>
    </w:p>
    <w:p w14:paraId="55BBE77B" w14:textId="77777777" w:rsidR="00AD6DE2" w:rsidRDefault="00AD6DE2" w:rsidP="00677B42">
      <w:pPr>
        <w:pStyle w:val="BodyText"/>
        <w:keepNext/>
        <w:jc w:val="both"/>
      </w:pPr>
      <w:r>
        <w:t xml:space="preserve">Обичайните транзакции, при които сметките от група 43 и сметка 454 се </w:t>
      </w:r>
      <w:r>
        <w:rPr>
          <w:i/>
          <w:u w:val="single"/>
        </w:rPr>
        <w:t xml:space="preserve">кредитират,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7654"/>
      </w:tblGrid>
      <w:tr w:rsidR="00AD6DE2" w:rsidRPr="00875187" w14:paraId="1283ECB1" w14:textId="77777777" w:rsidTr="00FB5334">
        <w:trPr>
          <w:tblHeader/>
        </w:trPr>
        <w:tc>
          <w:tcPr>
            <w:tcW w:w="986" w:type="dxa"/>
            <w:tcBorders>
              <w:bottom w:val="single" w:sz="4" w:space="0" w:color="auto"/>
            </w:tcBorders>
            <w:shd w:val="clear" w:color="auto" w:fill="DAEEF3"/>
          </w:tcPr>
          <w:p w14:paraId="24AC485B" w14:textId="77777777" w:rsidR="00AD6DE2" w:rsidRPr="00875187" w:rsidRDefault="00AD6DE2" w:rsidP="00677B42">
            <w:pPr>
              <w:pStyle w:val="BodyText"/>
              <w:keepNext/>
              <w:jc w:val="both"/>
              <w:rPr>
                <w:b/>
              </w:rPr>
            </w:pPr>
            <w:r w:rsidRPr="00875187">
              <w:rPr>
                <w:b/>
              </w:rPr>
              <w:t>#</w:t>
            </w:r>
          </w:p>
        </w:tc>
        <w:tc>
          <w:tcPr>
            <w:tcW w:w="7654" w:type="dxa"/>
            <w:tcBorders>
              <w:bottom w:val="single" w:sz="4" w:space="0" w:color="auto"/>
            </w:tcBorders>
            <w:shd w:val="clear" w:color="auto" w:fill="DAEEF3"/>
          </w:tcPr>
          <w:p w14:paraId="00608967" w14:textId="77777777" w:rsidR="00AD6DE2" w:rsidRPr="00875187" w:rsidRDefault="00AD6DE2" w:rsidP="00677B42">
            <w:pPr>
              <w:pStyle w:val="BodyText"/>
              <w:keepNext/>
              <w:jc w:val="both"/>
              <w:rPr>
                <w:b/>
              </w:rPr>
            </w:pPr>
            <w:r w:rsidRPr="00875187">
              <w:rPr>
                <w:b/>
              </w:rPr>
              <w:t>Стопанска операция</w:t>
            </w:r>
          </w:p>
        </w:tc>
      </w:tr>
      <w:tr w:rsidR="00AD6DE2" w:rsidRPr="00E30CAB" w14:paraId="72E5E744" w14:textId="77777777" w:rsidTr="00FB5334">
        <w:tc>
          <w:tcPr>
            <w:tcW w:w="986" w:type="dxa"/>
          </w:tcPr>
          <w:p w14:paraId="6A1C0596" w14:textId="77777777" w:rsidR="00AD6DE2" w:rsidRPr="000B4913" w:rsidRDefault="00AD6DE2" w:rsidP="00677B42">
            <w:pPr>
              <w:pStyle w:val="BodyText"/>
              <w:tabs>
                <w:tab w:val="left" w:pos="1418"/>
                <w:tab w:val="right" w:pos="8505"/>
              </w:tabs>
              <w:ind w:left="1418" w:right="567" w:hanging="1418"/>
              <w:jc w:val="both"/>
              <w:rPr>
                <w:lang w:val="en-US"/>
              </w:rPr>
            </w:pPr>
            <w:r>
              <w:rPr>
                <w:lang w:val="en-US"/>
              </w:rPr>
              <w:t>1</w:t>
            </w:r>
          </w:p>
        </w:tc>
        <w:tc>
          <w:tcPr>
            <w:tcW w:w="7654" w:type="dxa"/>
          </w:tcPr>
          <w:p w14:paraId="500F380B" w14:textId="77777777" w:rsidR="00AD6DE2" w:rsidRPr="00F47F43" w:rsidRDefault="00AD6DE2" w:rsidP="00677B42">
            <w:pPr>
              <w:pStyle w:val="BodyText"/>
              <w:jc w:val="both"/>
            </w:pPr>
            <w:r>
              <w:t>Начисляване на разходи, свързани с</w:t>
            </w:r>
            <w:r w:rsidRPr="00DE3D58">
              <w:rPr>
                <w:color w:val="00B050"/>
              </w:rPr>
              <w:t xml:space="preserve"> доходи на наети лица</w:t>
            </w:r>
            <w:r>
              <w:t xml:space="preserve"> </w:t>
            </w:r>
            <w:r w:rsidRPr="00DE3D58">
              <w:rPr>
                <w:strike/>
                <w:color w:val="FF0000"/>
              </w:rPr>
              <w:t>планове за дефинирани вноски</w:t>
            </w:r>
          </w:p>
        </w:tc>
      </w:tr>
    </w:tbl>
    <w:p w14:paraId="78E623C5" w14:textId="77777777" w:rsidR="00AD6DE2" w:rsidRDefault="00AD6DE2" w:rsidP="00677B42">
      <w:pPr>
        <w:jc w:val="both"/>
      </w:pPr>
    </w:p>
    <w:p w14:paraId="3A142CA0" w14:textId="77777777" w:rsidR="00AD6DE2" w:rsidRPr="00AD6DE2" w:rsidRDefault="00AD6DE2" w:rsidP="00677B42">
      <w:pPr>
        <w:pStyle w:val="Heading3"/>
        <w:keepLines w:val="0"/>
        <w:spacing w:before="400" w:line="280" w:lineRule="exact"/>
        <w:jc w:val="both"/>
        <w:rPr>
          <w:rFonts w:ascii="Times New Roman" w:eastAsia="Times New Roman" w:hAnsi="Times New Roman" w:cs="Times New Roman"/>
          <w:b/>
          <w:color w:val="auto"/>
          <w:sz w:val="26"/>
          <w:szCs w:val="20"/>
        </w:rPr>
      </w:pPr>
      <w:bookmarkStart w:id="43" w:name="_Toc295750191"/>
      <w:bookmarkStart w:id="44" w:name="_Toc320467575"/>
      <w:r w:rsidRPr="00AD6DE2">
        <w:rPr>
          <w:rFonts w:ascii="Times New Roman" w:eastAsia="Times New Roman" w:hAnsi="Times New Roman" w:cs="Times New Roman"/>
          <w:b/>
          <w:color w:val="auto"/>
          <w:sz w:val="26"/>
          <w:szCs w:val="20"/>
        </w:rPr>
        <w:lastRenderedPageBreak/>
        <w:t>С. 12  Безвъзмездни средства, предоставени от държавата</w:t>
      </w:r>
      <w:bookmarkEnd w:id="43"/>
      <w:bookmarkEnd w:id="44"/>
    </w:p>
    <w:p w14:paraId="3300CC4B" w14:textId="77777777" w:rsidR="00AD6DE2" w:rsidRPr="00AD6DE2" w:rsidRDefault="00AD6DE2" w:rsidP="00677B42">
      <w:pPr>
        <w:pStyle w:val="Heading3"/>
        <w:keepLines w:val="0"/>
        <w:spacing w:before="400" w:line="280" w:lineRule="exact"/>
        <w:jc w:val="both"/>
        <w:rPr>
          <w:rFonts w:ascii="Times New Roman" w:eastAsia="Times New Roman" w:hAnsi="Times New Roman" w:cs="Times New Roman"/>
          <w:b/>
          <w:color w:val="auto"/>
          <w:sz w:val="26"/>
          <w:szCs w:val="20"/>
        </w:rPr>
      </w:pPr>
      <w:r w:rsidRPr="00AD6DE2">
        <w:rPr>
          <w:rFonts w:ascii="Times New Roman" w:eastAsia="Times New Roman" w:hAnsi="Times New Roman" w:cs="Times New Roman"/>
          <w:b/>
          <w:color w:val="auto"/>
          <w:sz w:val="26"/>
          <w:szCs w:val="20"/>
        </w:rPr>
        <w:t>Група от счетоводни сметки и използване</w:t>
      </w:r>
    </w:p>
    <w:p w14:paraId="40AA2EBD" w14:textId="77777777" w:rsidR="00AD6DE2" w:rsidRDefault="00AD6DE2" w:rsidP="00677B42">
      <w:pPr>
        <w:pStyle w:val="BodyText"/>
        <w:jc w:val="both"/>
      </w:pPr>
    </w:p>
    <w:p w14:paraId="5BCFEC2A" w14:textId="77777777" w:rsidR="00AD6DE2" w:rsidRPr="00A11126" w:rsidRDefault="00AD6DE2" w:rsidP="00677B42">
      <w:pPr>
        <w:pStyle w:val="BodyText"/>
        <w:jc w:val="both"/>
      </w:pPr>
      <w:r>
        <w:t>Следните счетоводни сметки се използват от Дружеството за отчитане на транзакции, свързани с безвъзмездни средства, предоставени от държавата.</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63"/>
        <w:gridCol w:w="4588"/>
      </w:tblGrid>
      <w:tr w:rsidR="00AD6DE2" w:rsidRPr="00B7677A" w14:paraId="203A3FE0" w14:textId="77777777" w:rsidTr="00046EA9">
        <w:trPr>
          <w:tblHeader/>
        </w:trPr>
        <w:tc>
          <w:tcPr>
            <w:tcW w:w="867" w:type="dxa"/>
            <w:tcBorders>
              <w:bottom w:val="single" w:sz="4" w:space="0" w:color="auto"/>
            </w:tcBorders>
            <w:shd w:val="clear" w:color="auto" w:fill="DAEEF3"/>
          </w:tcPr>
          <w:p w14:paraId="52A3E97D" w14:textId="77777777" w:rsidR="00AD6DE2" w:rsidRPr="00875187" w:rsidRDefault="00AD6DE2" w:rsidP="00677B42">
            <w:pPr>
              <w:pStyle w:val="BodyText"/>
              <w:jc w:val="both"/>
              <w:rPr>
                <w:b/>
              </w:rPr>
            </w:pPr>
            <w:r w:rsidRPr="00875187">
              <w:rPr>
                <w:b/>
              </w:rPr>
              <w:t>Номер</w:t>
            </w:r>
          </w:p>
        </w:tc>
        <w:tc>
          <w:tcPr>
            <w:tcW w:w="3363" w:type="dxa"/>
            <w:tcBorders>
              <w:bottom w:val="single" w:sz="4" w:space="0" w:color="auto"/>
            </w:tcBorders>
            <w:shd w:val="clear" w:color="auto" w:fill="DAEEF3"/>
          </w:tcPr>
          <w:p w14:paraId="75413F44" w14:textId="77777777" w:rsidR="00AD6DE2" w:rsidRPr="00875187" w:rsidRDefault="00AD6DE2" w:rsidP="00677B42">
            <w:pPr>
              <w:pStyle w:val="BodyText"/>
              <w:jc w:val="both"/>
              <w:rPr>
                <w:b/>
              </w:rPr>
            </w:pPr>
            <w:r w:rsidRPr="00875187">
              <w:rPr>
                <w:b/>
              </w:rPr>
              <w:t>Наименование</w:t>
            </w:r>
          </w:p>
        </w:tc>
        <w:tc>
          <w:tcPr>
            <w:tcW w:w="4588" w:type="dxa"/>
            <w:tcBorders>
              <w:bottom w:val="single" w:sz="4" w:space="0" w:color="auto"/>
            </w:tcBorders>
            <w:shd w:val="clear" w:color="auto" w:fill="DAEEF3"/>
          </w:tcPr>
          <w:p w14:paraId="63251241" w14:textId="77777777" w:rsidR="00AD6DE2" w:rsidRPr="00875187" w:rsidRDefault="00AD6DE2" w:rsidP="00677B42">
            <w:pPr>
              <w:pStyle w:val="BodyText"/>
              <w:jc w:val="both"/>
              <w:rPr>
                <w:b/>
              </w:rPr>
            </w:pPr>
            <w:r w:rsidRPr="00875187">
              <w:rPr>
                <w:b/>
              </w:rPr>
              <w:t>Използване</w:t>
            </w:r>
          </w:p>
        </w:tc>
      </w:tr>
      <w:tr w:rsidR="00AD6DE2" w:rsidRPr="00DA6E76" w14:paraId="1F15B544" w14:textId="77777777" w:rsidTr="00046EA9">
        <w:tc>
          <w:tcPr>
            <w:tcW w:w="867" w:type="dxa"/>
          </w:tcPr>
          <w:p w14:paraId="75B13C4E" w14:textId="77777777" w:rsidR="00AD6DE2" w:rsidRPr="009A7DD2" w:rsidRDefault="00AD6DE2" w:rsidP="00677B42">
            <w:pPr>
              <w:pStyle w:val="BodyText"/>
              <w:jc w:val="both"/>
              <w:rPr>
                <w:b/>
                <w:strike/>
                <w:color w:val="FF0000"/>
                <w:u w:val="single"/>
              </w:rPr>
            </w:pPr>
            <w:r w:rsidRPr="009A7DD2">
              <w:rPr>
                <w:b/>
                <w:strike/>
                <w:color w:val="FF0000"/>
                <w:u w:val="single"/>
              </w:rPr>
              <w:t>Гр. 70</w:t>
            </w:r>
          </w:p>
        </w:tc>
        <w:tc>
          <w:tcPr>
            <w:tcW w:w="7951" w:type="dxa"/>
            <w:gridSpan w:val="2"/>
          </w:tcPr>
          <w:p w14:paraId="2B636490" w14:textId="77777777" w:rsidR="00AD6DE2" w:rsidRPr="009A7DD2" w:rsidRDefault="00AD6DE2" w:rsidP="00677B42">
            <w:pPr>
              <w:pStyle w:val="BodyText"/>
              <w:jc w:val="both"/>
              <w:rPr>
                <w:strike/>
                <w:color w:val="FF0000"/>
              </w:rPr>
            </w:pPr>
            <w:r w:rsidRPr="009A7DD2">
              <w:rPr>
                <w:b/>
                <w:strike/>
                <w:color w:val="FF0000"/>
                <w:u w:val="single"/>
              </w:rPr>
              <w:t>Приходи от продажби</w:t>
            </w:r>
          </w:p>
        </w:tc>
      </w:tr>
      <w:tr w:rsidR="00AD6DE2" w:rsidRPr="00DD305C" w14:paraId="4E84CE12" w14:textId="77777777" w:rsidTr="00046EA9">
        <w:tc>
          <w:tcPr>
            <w:tcW w:w="867" w:type="dxa"/>
          </w:tcPr>
          <w:p w14:paraId="1ED7BA16" w14:textId="77777777" w:rsidR="00AD6DE2" w:rsidRPr="009A7DD2" w:rsidRDefault="00AD6DE2" w:rsidP="00677B42">
            <w:pPr>
              <w:pStyle w:val="BodyText"/>
              <w:jc w:val="both"/>
              <w:rPr>
                <w:strike/>
                <w:color w:val="FF0000"/>
              </w:rPr>
            </w:pPr>
            <w:r w:rsidRPr="009A7DD2">
              <w:rPr>
                <w:strike/>
                <w:color w:val="FF0000"/>
              </w:rPr>
              <w:t>705</w:t>
            </w:r>
          </w:p>
        </w:tc>
        <w:tc>
          <w:tcPr>
            <w:tcW w:w="3363" w:type="dxa"/>
          </w:tcPr>
          <w:p w14:paraId="550AA34D" w14:textId="77777777" w:rsidR="00AD6DE2" w:rsidRPr="009A7DD2" w:rsidRDefault="00AD6DE2" w:rsidP="00677B42">
            <w:pPr>
              <w:pStyle w:val="BodyText"/>
              <w:jc w:val="both"/>
              <w:rPr>
                <w:strike/>
                <w:color w:val="FF0000"/>
              </w:rPr>
            </w:pPr>
            <w:r w:rsidRPr="009A7DD2">
              <w:rPr>
                <w:strike/>
                <w:color w:val="FF0000"/>
              </w:rPr>
              <w:t>Приходи от финансирания</w:t>
            </w:r>
          </w:p>
        </w:tc>
        <w:tc>
          <w:tcPr>
            <w:tcW w:w="4588" w:type="dxa"/>
          </w:tcPr>
          <w:p w14:paraId="14279B7D" w14:textId="77777777" w:rsidR="00AD6DE2" w:rsidRPr="009A7DD2" w:rsidRDefault="00AD6DE2" w:rsidP="00677B42">
            <w:pPr>
              <w:pStyle w:val="BodyText"/>
              <w:jc w:val="both"/>
              <w:rPr>
                <w:strike/>
                <w:color w:val="FF0000"/>
              </w:rPr>
            </w:pPr>
            <w:r w:rsidRPr="009A7DD2">
              <w:rPr>
                <w:strike/>
                <w:color w:val="FF0000"/>
              </w:rPr>
              <w:t>Отчитане на приходите от финансирания на дълготрайни активи и за текущата дейност, признати през текущия отчетен период</w:t>
            </w:r>
          </w:p>
        </w:tc>
      </w:tr>
    </w:tbl>
    <w:p w14:paraId="57E26333" w14:textId="77777777" w:rsidR="00AD6DE2" w:rsidRPr="00AD6DE2" w:rsidRDefault="00AD6DE2" w:rsidP="00677B42">
      <w:pPr>
        <w:pStyle w:val="Heading3"/>
        <w:keepLines w:val="0"/>
        <w:spacing w:before="400" w:line="280" w:lineRule="exact"/>
        <w:jc w:val="both"/>
        <w:rPr>
          <w:rFonts w:ascii="Times New Roman" w:eastAsia="Times New Roman" w:hAnsi="Times New Roman" w:cs="Times New Roman"/>
          <w:b/>
          <w:color w:val="auto"/>
          <w:sz w:val="26"/>
          <w:szCs w:val="20"/>
        </w:rPr>
      </w:pPr>
      <w:bookmarkStart w:id="45" w:name="_Toc295750194"/>
      <w:bookmarkStart w:id="46" w:name="_Toc320467578"/>
      <w:r w:rsidRPr="00AD6DE2">
        <w:rPr>
          <w:rFonts w:ascii="Times New Roman" w:eastAsia="Times New Roman" w:hAnsi="Times New Roman" w:cs="Times New Roman"/>
          <w:b/>
          <w:color w:val="auto"/>
          <w:sz w:val="26"/>
          <w:szCs w:val="20"/>
        </w:rPr>
        <w:t>С. 15  Приходи</w:t>
      </w:r>
      <w:bookmarkEnd w:id="45"/>
      <w:bookmarkEnd w:id="46"/>
    </w:p>
    <w:p w14:paraId="2304937D" w14:textId="77777777" w:rsidR="00053DE4" w:rsidRDefault="00053DE4" w:rsidP="00677B42">
      <w:pPr>
        <w:jc w:val="both"/>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428"/>
        <w:gridCol w:w="4463"/>
      </w:tblGrid>
      <w:tr w:rsidR="00AD6DE2" w:rsidRPr="00875187" w14:paraId="15833048" w14:textId="77777777" w:rsidTr="00046EA9">
        <w:trPr>
          <w:tblHeader/>
        </w:trPr>
        <w:tc>
          <w:tcPr>
            <w:tcW w:w="927" w:type="dxa"/>
            <w:tcBorders>
              <w:bottom w:val="single" w:sz="4" w:space="0" w:color="auto"/>
            </w:tcBorders>
            <w:shd w:val="clear" w:color="auto" w:fill="DAEEF3"/>
          </w:tcPr>
          <w:p w14:paraId="019AF4D6" w14:textId="77777777" w:rsidR="00AD6DE2" w:rsidRPr="00875187" w:rsidRDefault="00AD6DE2" w:rsidP="00677B42">
            <w:pPr>
              <w:pStyle w:val="BodyText"/>
              <w:jc w:val="both"/>
              <w:rPr>
                <w:b/>
              </w:rPr>
            </w:pPr>
            <w:r w:rsidRPr="00875187">
              <w:rPr>
                <w:b/>
              </w:rPr>
              <w:t>Номер</w:t>
            </w:r>
          </w:p>
        </w:tc>
        <w:tc>
          <w:tcPr>
            <w:tcW w:w="3428" w:type="dxa"/>
            <w:tcBorders>
              <w:bottom w:val="single" w:sz="4" w:space="0" w:color="auto"/>
            </w:tcBorders>
            <w:shd w:val="clear" w:color="auto" w:fill="DAEEF3"/>
          </w:tcPr>
          <w:p w14:paraId="30AF61BA" w14:textId="77777777" w:rsidR="00AD6DE2" w:rsidRPr="00875187" w:rsidRDefault="00AD6DE2" w:rsidP="00677B42">
            <w:pPr>
              <w:pStyle w:val="BodyText"/>
              <w:jc w:val="both"/>
              <w:rPr>
                <w:b/>
              </w:rPr>
            </w:pPr>
            <w:r w:rsidRPr="00875187">
              <w:rPr>
                <w:b/>
              </w:rPr>
              <w:t>Наименование</w:t>
            </w:r>
          </w:p>
        </w:tc>
        <w:tc>
          <w:tcPr>
            <w:tcW w:w="4463" w:type="dxa"/>
            <w:tcBorders>
              <w:bottom w:val="single" w:sz="4" w:space="0" w:color="auto"/>
            </w:tcBorders>
            <w:shd w:val="clear" w:color="auto" w:fill="DAEEF3"/>
          </w:tcPr>
          <w:p w14:paraId="5344E7F3" w14:textId="77777777" w:rsidR="00AD6DE2" w:rsidRPr="00875187" w:rsidRDefault="00AD6DE2" w:rsidP="00677B42">
            <w:pPr>
              <w:pStyle w:val="BodyText"/>
              <w:jc w:val="both"/>
              <w:rPr>
                <w:b/>
              </w:rPr>
            </w:pPr>
            <w:r w:rsidRPr="00875187">
              <w:rPr>
                <w:b/>
              </w:rPr>
              <w:t>Използване</w:t>
            </w:r>
          </w:p>
        </w:tc>
      </w:tr>
      <w:tr w:rsidR="00AD6DE2" w:rsidRPr="00DD305C" w14:paraId="2688A747" w14:textId="77777777" w:rsidTr="00046EA9">
        <w:tc>
          <w:tcPr>
            <w:tcW w:w="927" w:type="dxa"/>
          </w:tcPr>
          <w:p w14:paraId="64DFF19A" w14:textId="77777777" w:rsidR="00AD6DE2" w:rsidRPr="001D0AB0" w:rsidRDefault="00AD6DE2" w:rsidP="00677B42">
            <w:pPr>
              <w:pStyle w:val="BodyText"/>
              <w:jc w:val="both"/>
              <w:rPr>
                <w:b/>
                <w:u w:val="single"/>
                <w:lang w:val="en-US"/>
              </w:rPr>
            </w:pPr>
            <w:r w:rsidRPr="00DA6E76">
              <w:rPr>
                <w:b/>
                <w:u w:val="single"/>
              </w:rPr>
              <w:t xml:space="preserve">Гр. </w:t>
            </w:r>
            <w:r>
              <w:rPr>
                <w:b/>
                <w:u w:val="single"/>
              </w:rPr>
              <w:t>7</w:t>
            </w:r>
            <w:r>
              <w:rPr>
                <w:b/>
                <w:u w:val="single"/>
                <w:lang w:val="en-US"/>
              </w:rPr>
              <w:t>0</w:t>
            </w:r>
          </w:p>
        </w:tc>
        <w:tc>
          <w:tcPr>
            <w:tcW w:w="7891" w:type="dxa"/>
            <w:gridSpan w:val="2"/>
          </w:tcPr>
          <w:p w14:paraId="7E448AAA" w14:textId="77777777" w:rsidR="00AD6DE2" w:rsidRPr="00DD305C" w:rsidRDefault="00AD6DE2" w:rsidP="00677B42">
            <w:pPr>
              <w:pStyle w:val="BodyText"/>
              <w:jc w:val="both"/>
            </w:pPr>
            <w:r w:rsidRPr="001D0AB0">
              <w:rPr>
                <w:b/>
                <w:u w:val="single"/>
              </w:rPr>
              <w:t>Приходи от продажби</w:t>
            </w:r>
          </w:p>
        </w:tc>
      </w:tr>
      <w:tr w:rsidR="00AD6DE2" w:rsidRPr="00DD305C" w14:paraId="26C989DC" w14:textId="77777777" w:rsidTr="00046EA9">
        <w:trPr>
          <w:cantSplit/>
          <w:trHeight w:val="4133"/>
        </w:trPr>
        <w:tc>
          <w:tcPr>
            <w:tcW w:w="927" w:type="dxa"/>
          </w:tcPr>
          <w:p w14:paraId="63860AA9" w14:textId="77777777" w:rsidR="00AD6DE2" w:rsidRPr="00046EA9" w:rsidRDefault="00AD6DE2" w:rsidP="00677B42">
            <w:pPr>
              <w:pStyle w:val="BodyText"/>
              <w:jc w:val="both"/>
              <w:rPr>
                <w:szCs w:val="22"/>
                <w:lang w:val="en-US"/>
              </w:rPr>
            </w:pPr>
            <w:r w:rsidRPr="00046EA9">
              <w:rPr>
                <w:szCs w:val="22"/>
                <w:lang w:val="en-US"/>
              </w:rPr>
              <w:t>702</w:t>
            </w:r>
          </w:p>
        </w:tc>
        <w:tc>
          <w:tcPr>
            <w:tcW w:w="3428" w:type="dxa"/>
          </w:tcPr>
          <w:p w14:paraId="2853D441" w14:textId="77777777" w:rsidR="00AD6DE2" w:rsidRPr="00046EA9" w:rsidRDefault="00AD6DE2" w:rsidP="00677B42">
            <w:pPr>
              <w:pStyle w:val="BodyText"/>
              <w:jc w:val="both"/>
              <w:rPr>
                <w:szCs w:val="22"/>
              </w:rPr>
            </w:pPr>
            <w:r w:rsidRPr="00046EA9">
              <w:rPr>
                <w:szCs w:val="22"/>
              </w:rPr>
              <w:t>Приходи от продажби на стоки</w:t>
            </w:r>
          </w:p>
        </w:tc>
        <w:tc>
          <w:tcPr>
            <w:tcW w:w="4463" w:type="dxa"/>
          </w:tcPr>
          <w:p w14:paraId="330299CE" w14:textId="77777777" w:rsidR="00AD6DE2" w:rsidRPr="00046EA9" w:rsidRDefault="00AD6DE2" w:rsidP="00677B42">
            <w:pPr>
              <w:pStyle w:val="BodyText"/>
              <w:jc w:val="both"/>
              <w:rPr>
                <w:szCs w:val="22"/>
              </w:rPr>
            </w:pPr>
            <w:r w:rsidRPr="00046EA9">
              <w:rPr>
                <w:szCs w:val="22"/>
              </w:rPr>
              <w:t xml:space="preserve">Отчитане на резултата (приходите спрямо себестойността) от продажби на стоки. </w:t>
            </w:r>
            <w:r w:rsidRPr="00046EA9">
              <w:rPr>
                <w:strike/>
                <w:color w:val="FF0000"/>
                <w:szCs w:val="22"/>
              </w:rPr>
              <w:t>и кухненска продукция:</w:t>
            </w:r>
          </w:p>
          <w:p w14:paraId="05D345A9" w14:textId="77777777" w:rsidR="00AD6DE2" w:rsidRPr="00046EA9" w:rsidRDefault="00AD6DE2" w:rsidP="00677B42">
            <w:pPr>
              <w:pStyle w:val="BodyText"/>
              <w:jc w:val="both"/>
              <w:rPr>
                <w:szCs w:val="22"/>
              </w:rPr>
            </w:pPr>
            <w:r w:rsidRPr="00046EA9">
              <w:rPr>
                <w:szCs w:val="22"/>
              </w:rPr>
              <w:t>702/1 Приходи от продажба на природен газ – преносна мрежа</w:t>
            </w:r>
          </w:p>
          <w:p w14:paraId="1524255C" w14:textId="77777777" w:rsidR="00AD6DE2" w:rsidRPr="00046EA9" w:rsidRDefault="00AD6DE2" w:rsidP="00677B42">
            <w:pPr>
              <w:pStyle w:val="BodyText"/>
              <w:jc w:val="both"/>
              <w:rPr>
                <w:szCs w:val="22"/>
              </w:rPr>
            </w:pPr>
            <w:r w:rsidRPr="00046EA9">
              <w:rPr>
                <w:szCs w:val="22"/>
              </w:rPr>
              <w:t>702/2 Приходи от продажба на природен газ – разпределителна  мрежа</w:t>
            </w:r>
          </w:p>
          <w:p w14:paraId="26BA0068" w14:textId="77777777" w:rsidR="00AD6DE2" w:rsidRPr="00046EA9" w:rsidRDefault="00AD6DE2" w:rsidP="00677B42">
            <w:pPr>
              <w:pStyle w:val="BodyText"/>
              <w:jc w:val="both"/>
              <w:rPr>
                <w:szCs w:val="22"/>
              </w:rPr>
            </w:pPr>
            <w:r w:rsidRPr="00046EA9">
              <w:rPr>
                <w:szCs w:val="22"/>
              </w:rPr>
              <w:t>702/3 Приходи от продажба на природен газ – за технологични разходи на Булгартрансгаз</w:t>
            </w:r>
          </w:p>
          <w:p w14:paraId="48AE6248" w14:textId="77777777" w:rsidR="00AD6DE2" w:rsidRPr="00046EA9" w:rsidRDefault="00AD6DE2" w:rsidP="00677B42">
            <w:pPr>
              <w:pStyle w:val="BodyText"/>
              <w:jc w:val="both"/>
              <w:rPr>
                <w:szCs w:val="22"/>
              </w:rPr>
            </w:pPr>
            <w:r w:rsidRPr="00046EA9">
              <w:rPr>
                <w:szCs w:val="22"/>
              </w:rPr>
              <w:t>702/6 приходи от други продажби на стоки</w:t>
            </w:r>
          </w:p>
          <w:p w14:paraId="64FD4F74" w14:textId="77777777" w:rsidR="00AD6DE2" w:rsidRPr="00046EA9" w:rsidRDefault="00AD6DE2" w:rsidP="00677B42">
            <w:pPr>
              <w:pStyle w:val="BodyText"/>
              <w:jc w:val="both"/>
              <w:rPr>
                <w:color w:val="00B050"/>
                <w:szCs w:val="22"/>
              </w:rPr>
            </w:pPr>
            <w:r w:rsidRPr="00046EA9">
              <w:rPr>
                <w:color w:val="00B050"/>
                <w:szCs w:val="22"/>
              </w:rPr>
              <w:t>702/04 Приходи от продажба на природен газ</w:t>
            </w:r>
          </w:p>
          <w:p w14:paraId="64DDF32C" w14:textId="77777777" w:rsidR="00AD6DE2" w:rsidRPr="00046EA9" w:rsidRDefault="00AD6DE2" w:rsidP="00677B42">
            <w:pPr>
              <w:pStyle w:val="BodyText"/>
              <w:jc w:val="both"/>
              <w:rPr>
                <w:color w:val="00B050"/>
                <w:szCs w:val="22"/>
              </w:rPr>
            </w:pPr>
            <w:r w:rsidRPr="00046EA9">
              <w:rPr>
                <w:color w:val="00B050"/>
                <w:szCs w:val="22"/>
              </w:rPr>
              <w:t>702/05 Приходи такса пренос</w:t>
            </w:r>
          </w:p>
          <w:p w14:paraId="31C6DD9D" w14:textId="77777777" w:rsidR="00AD6DE2" w:rsidRPr="00046EA9" w:rsidRDefault="00AD6DE2" w:rsidP="00677B42">
            <w:pPr>
              <w:pStyle w:val="BodyText"/>
              <w:jc w:val="both"/>
              <w:rPr>
                <w:color w:val="00B050"/>
                <w:szCs w:val="22"/>
              </w:rPr>
            </w:pPr>
            <w:r w:rsidRPr="00046EA9">
              <w:rPr>
                <w:color w:val="00B050"/>
                <w:szCs w:val="22"/>
              </w:rPr>
              <w:t>702/06 Приходи такса разпределение</w:t>
            </w:r>
          </w:p>
          <w:p w14:paraId="3530A8D3" w14:textId="77777777" w:rsidR="00AD6DE2" w:rsidRPr="00046EA9" w:rsidRDefault="00AD6DE2" w:rsidP="00677B42">
            <w:pPr>
              <w:pStyle w:val="BodyText"/>
              <w:jc w:val="both"/>
              <w:rPr>
                <w:szCs w:val="22"/>
              </w:rPr>
            </w:pPr>
          </w:p>
        </w:tc>
      </w:tr>
      <w:tr w:rsidR="00AD6DE2" w:rsidRPr="00AD6DE2" w14:paraId="6DD71CF5" w14:textId="77777777" w:rsidTr="00046EA9">
        <w:trPr>
          <w:cantSplit/>
          <w:trHeight w:val="911"/>
        </w:trPr>
        <w:tc>
          <w:tcPr>
            <w:tcW w:w="927" w:type="dxa"/>
            <w:tcBorders>
              <w:top w:val="single" w:sz="4" w:space="0" w:color="auto"/>
              <w:left w:val="single" w:sz="4" w:space="0" w:color="auto"/>
              <w:bottom w:val="single" w:sz="4" w:space="0" w:color="auto"/>
              <w:right w:val="single" w:sz="4" w:space="0" w:color="auto"/>
            </w:tcBorders>
          </w:tcPr>
          <w:p w14:paraId="1CBA8348" w14:textId="77777777" w:rsidR="00AD6DE2" w:rsidRPr="00046EA9" w:rsidRDefault="00AD6DE2" w:rsidP="00046EA9">
            <w:pPr>
              <w:pStyle w:val="BodyText"/>
              <w:jc w:val="both"/>
              <w:rPr>
                <w:color w:val="00B050"/>
              </w:rPr>
            </w:pPr>
            <w:r w:rsidRPr="00046EA9">
              <w:rPr>
                <w:color w:val="00B050"/>
              </w:rPr>
              <w:t>705</w:t>
            </w:r>
          </w:p>
        </w:tc>
        <w:tc>
          <w:tcPr>
            <w:tcW w:w="3428" w:type="dxa"/>
            <w:tcBorders>
              <w:top w:val="single" w:sz="4" w:space="0" w:color="auto"/>
              <w:left w:val="single" w:sz="4" w:space="0" w:color="auto"/>
              <w:bottom w:val="single" w:sz="4" w:space="0" w:color="auto"/>
              <w:right w:val="single" w:sz="4" w:space="0" w:color="auto"/>
            </w:tcBorders>
          </w:tcPr>
          <w:p w14:paraId="3A4B2A23" w14:textId="77777777" w:rsidR="00AD6DE2" w:rsidRPr="00046EA9" w:rsidRDefault="00AD6DE2" w:rsidP="00046EA9">
            <w:pPr>
              <w:pStyle w:val="BodyText"/>
              <w:jc w:val="both"/>
              <w:rPr>
                <w:color w:val="00B050"/>
              </w:rPr>
            </w:pPr>
            <w:r w:rsidRPr="00046EA9">
              <w:rPr>
                <w:color w:val="00B050"/>
              </w:rPr>
              <w:t xml:space="preserve">Приходи от финансирания осигурен капацитет </w:t>
            </w:r>
          </w:p>
        </w:tc>
        <w:tc>
          <w:tcPr>
            <w:tcW w:w="4463" w:type="dxa"/>
            <w:tcBorders>
              <w:top w:val="single" w:sz="4" w:space="0" w:color="auto"/>
              <w:left w:val="single" w:sz="4" w:space="0" w:color="auto"/>
              <w:bottom w:val="single" w:sz="4" w:space="0" w:color="auto"/>
              <w:right w:val="single" w:sz="4" w:space="0" w:color="auto"/>
            </w:tcBorders>
          </w:tcPr>
          <w:p w14:paraId="709C5767" w14:textId="77777777" w:rsidR="00AD6DE2" w:rsidRPr="00046EA9" w:rsidRDefault="00AD6DE2" w:rsidP="00046EA9">
            <w:pPr>
              <w:pStyle w:val="BodyText"/>
              <w:jc w:val="both"/>
              <w:rPr>
                <w:color w:val="00B050"/>
              </w:rPr>
            </w:pPr>
            <w:r w:rsidRPr="00046EA9">
              <w:rPr>
                <w:color w:val="00B050"/>
              </w:rPr>
              <w:t>Отчитане на приходите от финансирания на дълготрайни активи и за текущата дейност осигурен капацитет .</w:t>
            </w:r>
          </w:p>
          <w:p w14:paraId="38D210B1" w14:textId="77777777" w:rsidR="00AD6DE2" w:rsidRPr="00046EA9" w:rsidRDefault="00AD6DE2" w:rsidP="00046EA9">
            <w:pPr>
              <w:pStyle w:val="BodyText"/>
              <w:jc w:val="both"/>
              <w:rPr>
                <w:color w:val="00B050"/>
              </w:rPr>
            </w:pPr>
          </w:p>
        </w:tc>
      </w:tr>
    </w:tbl>
    <w:p w14:paraId="707EC7DB" w14:textId="2A039E28" w:rsidR="003A1A03" w:rsidRDefault="003A1A03" w:rsidP="00677B42">
      <w:pPr>
        <w:jc w:val="both"/>
      </w:pPr>
      <w:bookmarkStart w:id="47" w:name="_Toc295750195"/>
      <w:bookmarkStart w:id="48" w:name="_Toc320467579"/>
    </w:p>
    <w:p w14:paraId="67D71BD4" w14:textId="68DD0C41" w:rsidR="00645442" w:rsidRDefault="00645442" w:rsidP="00677B42">
      <w:pPr>
        <w:jc w:val="both"/>
      </w:pPr>
    </w:p>
    <w:p w14:paraId="032BFAA6" w14:textId="77777777" w:rsidR="00645442" w:rsidRDefault="00645442" w:rsidP="00677B42">
      <w:pPr>
        <w:jc w:val="both"/>
      </w:pPr>
      <w:bookmarkStart w:id="49" w:name="_GoBack"/>
      <w:bookmarkEnd w:id="49"/>
    </w:p>
    <w:p w14:paraId="4AC60947" w14:textId="77777777" w:rsidR="00AD6DE2" w:rsidRPr="00AD6DE2" w:rsidRDefault="00AD6DE2" w:rsidP="00046EA9">
      <w:pPr>
        <w:pStyle w:val="Heading3"/>
        <w:keepLines w:val="0"/>
        <w:spacing w:before="0"/>
        <w:jc w:val="both"/>
        <w:rPr>
          <w:rFonts w:ascii="Times New Roman" w:eastAsia="Times New Roman" w:hAnsi="Times New Roman" w:cs="Times New Roman"/>
          <w:b/>
          <w:color w:val="auto"/>
          <w:sz w:val="26"/>
          <w:szCs w:val="20"/>
        </w:rPr>
      </w:pPr>
      <w:r w:rsidRPr="00AD6DE2">
        <w:rPr>
          <w:rFonts w:ascii="Times New Roman" w:eastAsia="Times New Roman" w:hAnsi="Times New Roman" w:cs="Times New Roman"/>
          <w:b/>
          <w:color w:val="auto"/>
          <w:sz w:val="26"/>
          <w:szCs w:val="20"/>
        </w:rPr>
        <w:t>С. 16 Приходи за бъдещи периоди</w:t>
      </w:r>
      <w:bookmarkEnd w:id="47"/>
      <w:bookmarkEnd w:id="48"/>
    </w:p>
    <w:p w14:paraId="13996D48" w14:textId="03467484" w:rsidR="00AD6DE2" w:rsidRDefault="00AD6DE2" w:rsidP="00046EA9">
      <w:pPr>
        <w:pStyle w:val="Heading3"/>
        <w:keepLines w:val="0"/>
        <w:spacing w:before="0"/>
        <w:jc w:val="both"/>
        <w:rPr>
          <w:rFonts w:ascii="Times New Roman" w:eastAsia="Times New Roman" w:hAnsi="Times New Roman" w:cs="Times New Roman"/>
          <w:b/>
          <w:color w:val="auto"/>
          <w:sz w:val="26"/>
          <w:szCs w:val="20"/>
        </w:rPr>
      </w:pPr>
      <w:r w:rsidRPr="00AD6DE2">
        <w:rPr>
          <w:rFonts w:ascii="Times New Roman" w:eastAsia="Times New Roman" w:hAnsi="Times New Roman" w:cs="Times New Roman"/>
          <w:b/>
          <w:color w:val="auto"/>
          <w:sz w:val="26"/>
          <w:szCs w:val="20"/>
        </w:rPr>
        <w:t>Група от счетоводни сметки и използване</w:t>
      </w:r>
    </w:p>
    <w:p w14:paraId="40F0AC2B" w14:textId="77777777" w:rsidR="00046EA9" w:rsidRPr="00046EA9" w:rsidRDefault="00046EA9" w:rsidP="00046EA9"/>
    <w:p w14:paraId="00021896" w14:textId="6E934AAF" w:rsidR="00AD6DE2" w:rsidRDefault="00AD6DE2" w:rsidP="00677B42">
      <w:pPr>
        <w:pStyle w:val="BodyText"/>
        <w:jc w:val="both"/>
      </w:pPr>
      <w:r>
        <w:t>Следните счетоводни сметки се използват от Дружеството за отчитане на приходи от бъдещи периоди:</w:t>
      </w:r>
    </w:p>
    <w:p w14:paraId="23A51C74" w14:textId="77777777" w:rsidR="00046EA9" w:rsidRPr="00A11126" w:rsidRDefault="00046EA9" w:rsidP="00677B42">
      <w:pPr>
        <w:pStyle w:val="BodyText"/>
        <w:jc w:val="both"/>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87"/>
        <w:gridCol w:w="4638"/>
      </w:tblGrid>
      <w:tr w:rsidR="00AD6DE2" w:rsidRPr="00B7677A" w14:paraId="7CCD9E9F" w14:textId="77777777" w:rsidTr="00046EA9">
        <w:trPr>
          <w:tblHeader/>
        </w:trPr>
        <w:tc>
          <w:tcPr>
            <w:tcW w:w="993" w:type="dxa"/>
            <w:tcBorders>
              <w:bottom w:val="single" w:sz="4" w:space="0" w:color="auto"/>
            </w:tcBorders>
            <w:shd w:val="clear" w:color="auto" w:fill="DAEEF3"/>
          </w:tcPr>
          <w:p w14:paraId="6B75D329" w14:textId="77777777" w:rsidR="00AD6DE2" w:rsidRPr="00875187" w:rsidRDefault="00AD6DE2" w:rsidP="00677B42">
            <w:pPr>
              <w:pStyle w:val="BodyText"/>
              <w:jc w:val="both"/>
              <w:rPr>
                <w:b/>
              </w:rPr>
            </w:pPr>
            <w:r w:rsidRPr="00875187">
              <w:rPr>
                <w:b/>
              </w:rPr>
              <w:lastRenderedPageBreak/>
              <w:t>Номер</w:t>
            </w:r>
          </w:p>
        </w:tc>
        <w:tc>
          <w:tcPr>
            <w:tcW w:w="3187" w:type="dxa"/>
            <w:tcBorders>
              <w:bottom w:val="single" w:sz="4" w:space="0" w:color="auto"/>
            </w:tcBorders>
            <w:shd w:val="clear" w:color="auto" w:fill="DAEEF3"/>
          </w:tcPr>
          <w:p w14:paraId="2232AD3B" w14:textId="77777777" w:rsidR="00AD6DE2" w:rsidRPr="00875187" w:rsidRDefault="00AD6DE2" w:rsidP="00677B42">
            <w:pPr>
              <w:pStyle w:val="BodyText"/>
              <w:jc w:val="both"/>
              <w:rPr>
                <w:b/>
              </w:rPr>
            </w:pPr>
            <w:r w:rsidRPr="00875187">
              <w:rPr>
                <w:b/>
              </w:rPr>
              <w:t>Наименование</w:t>
            </w:r>
          </w:p>
        </w:tc>
        <w:tc>
          <w:tcPr>
            <w:tcW w:w="4638" w:type="dxa"/>
            <w:tcBorders>
              <w:bottom w:val="single" w:sz="4" w:space="0" w:color="auto"/>
            </w:tcBorders>
            <w:shd w:val="clear" w:color="auto" w:fill="DAEEF3"/>
          </w:tcPr>
          <w:p w14:paraId="0D2C6FE7" w14:textId="77777777" w:rsidR="00AD6DE2" w:rsidRPr="00875187" w:rsidRDefault="00AD6DE2" w:rsidP="00677B42">
            <w:pPr>
              <w:pStyle w:val="BodyText"/>
              <w:jc w:val="both"/>
              <w:rPr>
                <w:b/>
              </w:rPr>
            </w:pPr>
            <w:r w:rsidRPr="00875187">
              <w:rPr>
                <w:b/>
              </w:rPr>
              <w:t>Използване</w:t>
            </w:r>
          </w:p>
        </w:tc>
      </w:tr>
      <w:tr w:rsidR="00AD6DE2" w:rsidRPr="0035743A" w14:paraId="2BEE19E8" w14:textId="77777777" w:rsidTr="00046EA9">
        <w:tc>
          <w:tcPr>
            <w:tcW w:w="993" w:type="dxa"/>
          </w:tcPr>
          <w:p w14:paraId="774B3251" w14:textId="77777777" w:rsidR="00AD6DE2" w:rsidRPr="00DA6E76" w:rsidRDefault="00AD6DE2" w:rsidP="00677B42">
            <w:pPr>
              <w:pStyle w:val="BodyText"/>
              <w:jc w:val="both"/>
              <w:rPr>
                <w:b/>
                <w:u w:val="single"/>
              </w:rPr>
            </w:pPr>
            <w:r w:rsidRPr="00DA6E76">
              <w:rPr>
                <w:b/>
                <w:u w:val="single"/>
              </w:rPr>
              <w:t xml:space="preserve">Гр. </w:t>
            </w:r>
            <w:r>
              <w:rPr>
                <w:b/>
                <w:u w:val="single"/>
              </w:rPr>
              <w:t>75</w:t>
            </w:r>
          </w:p>
        </w:tc>
        <w:tc>
          <w:tcPr>
            <w:tcW w:w="7825" w:type="dxa"/>
            <w:gridSpan w:val="2"/>
          </w:tcPr>
          <w:p w14:paraId="1AD657AC" w14:textId="77777777" w:rsidR="00AD6DE2" w:rsidRPr="00DD305C" w:rsidRDefault="00AD6DE2" w:rsidP="00677B42">
            <w:pPr>
              <w:pStyle w:val="BodyText"/>
              <w:jc w:val="both"/>
            </w:pPr>
            <w:r w:rsidRPr="006C56A6">
              <w:rPr>
                <w:b/>
                <w:u w:val="single"/>
              </w:rPr>
              <w:t>Приходи за бъдещи периоди</w:t>
            </w:r>
          </w:p>
        </w:tc>
      </w:tr>
      <w:tr w:rsidR="00AD6DE2" w:rsidRPr="00E30CAB" w14:paraId="2759EC0A" w14:textId="77777777" w:rsidTr="00046EA9">
        <w:tc>
          <w:tcPr>
            <w:tcW w:w="993" w:type="dxa"/>
          </w:tcPr>
          <w:p w14:paraId="6864AA80" w14:textId="77777777" w:rsidR="00AD6DE2" w:rsidRPr="00B042FA" w:rsidRDefault="00AD6DE2" w:rsidP="00677B42">
            <w:pPr>
              <w:pStyle w:val="BodyText"/>
              <w:jc w:val="both"/>
            </w:pPr>
            <w:r>
              <w:t>752</w:t>
            </w:r>
          </w:p>
        </w:tc>
        <w:tc>
          <w:tcPr>
            <w:tcW w:w="3187" w:type="dxa"/>
          </w:tcPr>
          <w:p w14:paraId="78EDECCE" w14:textId="77777777" w:rsidR="00AD6DE2" w:rsidRPr="00B042FA" w:rsidRDefault="00AD6DE2" w:rsidP="00677B42">
            <w:pPr>
              <w:pStyle w:val="BodyText"/>
              <w:jc w:val="both"/>
            </w:pPr>
            <w:r w:rsidRPr="00FC3BAC">
              <w:t>Приходи за бъдещи периоди</w:t>
            </w:r>
          </w:p>
        </w:tc>
        <w:tc>
          <w:tcPr>
            <w:tcW w:w="4638" w:type="dxa"/>
          </w:tcPr>
          <w:p w14:paraId="5AA281C9" w14:textId="77777777" w:rsidR="00AD6DE2" w:rsidRPr="00A07594" w:rsidRDefault="00AD6DE2" w:rsidP="00677B42">
            <w:pPr>
              <w:pStyle w:val="BodyText"/>
              <w:jc w:val="both"/>
              <w:rPr>
                <w:strike/>
              </w:rPr>
            </w:pPr>
            <w:r w:rsidRPr="00A07594">
              <w:rPr>
                <w:strike/>
                <w:color w:val="FF0000"/>
              </w:rPr>
              <w:t>Отчитане на приходи, срещу които ще се извършат разходи през следващи периоди</w:t>
            </w:r>
            <w:r>
              <w:rPr>
                <w:strike/>
                <w:color w:val="FF0000"/>
              </w:rPr>
              <w:t xml:space="preserve">  .</w:t>
            </w:r>
            <w:r w:rsidRPr="00A07594">
              <w:rPr>
                <w:color w:val="00B050"/>
              </w:rPr>
              <w:t>Отчитане</w:t>
            </w:r>
            <w:r>
              <w:rPr>
                <w:color w:val="00B050"/>
              </w:rPr>
              <w:t xml:space="preserve">  на приходи , при  разминаване на  периодите на  документиране и признаване.</w:t>
            </w:r>
            <w:r w:rsidRPr="00A07594">
              <w:rPr>
                <w:strike/>
                <w:color w:val="00B050"/>
              </w:rPr>
              <w:t xml:space="preserve"> </w:t>
            </w:r>
          </w:p>
        </w:tc>
      </w:tr>
      <w:tr w:rsidR="00AD6DE2" w:rsidRPr="00E30CAB" w14:paraId="59307087" w14:textId="77777777" w:rsidTr="00046EA9">
        <w:trPr>
          <w:cantSplit/>
        </w:trPr>
        <w:tc>
          <w:tcPr>
            <w:tcW w:w="993" w:type="dxa"/>
          </w:tcPr>
          <w:p w14:paraId="3FC10450" w14:textId="77777777" w:rsidR="00AD6DE2" w:rsidRPr="009406EA" w:rsidRDefault="00AD6DE2" w:rsidP="00677B42">
            <w:pPr>
              <w:pStyle w:val="BodyText"/>
              <w:jc w:val="both"/>
              <w:rPr>
                <w:strike/>
                <w:color w:val="FF0000"/>
              </w:rPr>
            </w:pPr>
            <w:r w:rsidRPr="009406EA">
              <w:rPr>
                <w:strike/>
                <w:color w:val="FF0000"/>
              </w:rPr>
              <w:t>754</w:t>
            </w:r>
          </w:p>
        </w:tc>
        <w:tc>
          <w:tcPr>
            <w:tcW w:w="3187" w:type="dxa"/>
          </w:tcPr>
          <w:p w14:paraId="6ACF523E" w14:textId="77777777" w:rsidR="00AD6DE2" w:rsidRPr="009406EA" w:rsidRDefault="00AD6DE2" w:rsidP="00677B42">
            <w:pPr>
              <w:pStyle w:val="BodyText"/>
              <w:jc w:val="both"/>
              <w:rPr>
                <w:strike/>
                <w:color w:val="FF0000"/>
              </w:rPr>
            </w:pPr>
            <w:r w:rsidRPr="009406EA">
              <w:rPr>
                <w:strike/>
                <w:color w:val="FF0000"/>
              </w:rPr>
              <w:t>Финансови приходи за бъдещи периоди</w:t>
            </w:r>
          </w:p>
        </w:tc>
        <w:tc>
          <w:tcPr>
            <w:tcW w:w="4638" w:type="dxa"/>
          </w:tcPr>
          <w:p w14:paraId="2E9304EB" w14:textId="77777777" w:rsidR="00AD6DE2" w:rsidRPr="009406EA" w:rsidRDefault="00AD6DE2" w:rsidP="00677B42">
            <w:pPr>
              <w:pStyle w:val="BodyText"/>
              <w:jc w:val="both"/>
              <w:rPr>
                <w:strike/>
                <w:color w:val="FF0000"/>
              </w:rPr>
            </w:pPr>
            <w:r w:rsidRPr="009406EA">
              <w:rPr>
                <w:strike/>
                <w:color w:val="FF0000"/>
              </w:rPr>
              <w:t>Отчитане на финансовите приходи, които ще се отчитат като текущи финансови приходи през следващи отчетни периоди</w:t>
            </w:r>
          </w:p>
        </w:tc>
      </w:tr>
      <w:tr w:rsidR="00AD6DE2" w:rsidRPr="00E30CAB" w14:paraId="22E197F1" w14:textId="77777777" w:rsidTr="00046EA9">
        <w:trPr>
          <w:cantSplit/>
        </w:trPr>
        <w:tc>
          <w:tcPr>
            <w:tcW w:w="993" w:type="dxa"/>
          </w:tcPr>
          <w:p w14:paraId="3259DDFC" w14:textId="77777777" w:rsidR="00AD6DE2" w:rsidRPr="009406EA" w:rsidRDefault="00AD6DE2" w:rsidP="00677B42">
            <w:pPr>
              <w:pStyle w:val="BodyText"/>
              <w:jc w:val="both"/>
              <w:rPr>
                <w:color w:val="00B050"/>
              </w:rPr>
            </w:pPr>
            <w:r w:rsidRPr="00DA6E76">
              <w:rPr>
                <w:b/>
                <w:u w:val="single"/>
              </w:rPr>
              <w:t xml:space="preserve">Гр. </w:t>
            </w:r>
            <w:r>
              <w:rPr>
                <w:b/>
                <w:u w:val="single"/>
              </w:rPr>
              <w:t>72</w:t>
            </w:r>
          </w:p>
        </w:tc>
        <w:tc>
          <w:tcPr>
            <w:tcW w:w="3187" w:type="dxa"/>
          </w:tcPr>
          <w:p w14:paraId="3CA5D873" w14:textId="77777777" w:rsidR="00AD6DE2" w:rsidRDefault="00AD6DE2" w:rsidP="00677B42">
            <w:pPr>
              <w:pStyle w:val="BodyText"/>
              <w:jc w:val="both"/>
              <w:rPr>
                <w:color w:val="00B050"/>
              </w:rPr>
            </w:pPr>
          </w:p>
        </w:tc>
        <w:tc>
          <w:tcPr>
            <w:tcW w:w="4638" w:type="dxa"/>
          </w:tcPr>
          <w:p w14:paraId="416D8DB1" w14:textId="77777777" w:rsidR="00AD6DE2" w:rsidRPr="00A07594" w:rsidRDefault="00AD6DE2" w:rsidP="00677B42">
            <w:pPr>
              <w:pStyle w:val="BodyText"/>
              <w:jc w:val="both"/>
              <w:rPr>
                <w:color w:val="00B050"/>
              </w:rPr>
            </w:pPr>
          </w:p>
        </w:tc>
      </w:tr>
      <w:tr w:rsidR="00AD6DE2" w:rsidRPr="00E30CAB" w14:paraId="0B925B30" w14:textId="77777777" w:rsidTr="00046EA9">
        <w:trPr>
          <w:cantSplit/>
        </w:trPr>
        <w:tc>
          <w:tcPr>
            <w:tcW w:w="993" w:type="dxa"/>
          </w:tcPr>
          <w:p w14:paraId="438ECDD2" w14:textId="77777777" w:rsidR="00AD6DE2" w:rsidRPr="009406EA" w:rsidRDefault="00AD6DE2" w:rsidP="00677B42">
            <w:pPr>
              <w:pStyle w:val="BodyText"/>
              <w:jc w:val="both"/>
              <w:rPr>
                <w:color w:val="00B050"/>
              </w:rPr>
            </w:pPr>
            <w:r w:rsidRPr="009406EA">
              <w:rPr>
                <w:color w:val="00B050"/>
              </w:rPr>
              <w:t>727</w:t>
            </w:r>
          </w:p>
        </w:tc>
        <w:tc>
          <w:tcPr>
            <w:tcW w:w="3187" w:type="dxa"/>
          </w:tcPr>
          <w:p w14:paraId="587ABFE3" w14:textId="77777777" w:rsidR="00AD6DE2" w:rsidRPr="009406EA" w:rsidRDefault="00AD6DE2" w:rsidP="00677B42">
            <w:pPr>
              <w:pStyle w:val="BodyText"/>
              <w:jc w:val="both"/>
              <w:rPr>
                <w:color w:val="00B050"/>
              </w:rPr>
            </w:pPr>
            <w:r>
              <w:rPr>
                <w:color w:val="00B050"/>
              </w:rPr>
              <w:t>Приходи за бъдещи периоди – санкции по договор за продажба на природен газ</w:t>
            </w:r>
          </w:p>
        </w:tc>
        <w:tc>
          <w:tcPr>
            <w:tcW w:w="4638" w:type="dxa"/>
          </w:tcPr>
          <w:p w14:paraId="7820560E" w14:textId="77777777" w:rsidR="00AD6DE2" w:rsidRPr="009406EA" w:rsidRDefault="00AD6DE2" w:rsidP="00677B42">
            <w:pPr>
              <w:pStyle w:val="BodyText"/>
              <w:jc w:val="both"/>
              <w:rPr>
                <w:color w:val="00B050"/>
              </w:rPr>
            </w:pPr>
            <w:r w:rsidRPr="00A07594">
              <w:rPr>
                <w:color w:val="00B050"/>
              </w:rPr>
              <w:t>Отчитане</w:t>
            </w:r>
            <w:r>
              <w:rPr>
                <w:color w:val="00B050"/>
              </w:rPr>
              <w:t xml:space="preserve">  на приходи , при  разминаване на  периодите на  документиране и признаване.</w:t>
            </w:r>
          </w:p>
        </w:tc>
      </w:tr>
    </w:tbl>
    <w:p w14:paraId="08C0FCE9" w14:textId="77777777" w:rsidR="00AD6DE2" w:rsidRPr="00AD6DE2" w:rsidRDefault="00AD6DE2" w:rsidP="00677B42">
      <w:pPr>
        <w:pStyle w:val="Heading3"/>
        <w:keepLines w:val="0"/>
        <w:spacing w:before="400" w:line="280" w:lineRule="exact"/>
        <w:jc w:val="both"/>
        <w:rPr>
          <w:rFonts w:ascii="Times New Roman" w:eastAsia="Times New Roman" w:hAnsi="Times New Roman" w:cs="Times New Roman"/>
          <w:b/>
          <w:color w:val="auto"/>
          <w:sz w:val="26"/>
          <w:szCs w:val="20"/>
        </w:rPr>
      </w:pPr>
      <w:r w:rsidRPr="00AD6DE2">
        <w:rPr>
          <w:rFonts w:ascii="Times New Roman" w:eastAsia="Times New Roman" w:hAnsi="Times New Roman" w:cs="Times New Roman"/>
          <w:b/>
          <w:color w:val="auto"/>
          <w:sz w:val="26"/>
          <w:szCs w:val="20"/>
        </w:rPr>
        <w:t>С.19     Финансови приходи и разходи</w:t>
      </w:r>
    </w:p>
    <w:p w14:paraId="6EB31A28" w14:textId="77777777" w:rsidR="00053DE4" w:rsidRDefault="00053DE4" w:rsidP="00677B42">
      <w:pPr>
        <w:jc w:val="both"/>
      </w:pPr>
    </w:p>
    <w:p w14:paraId="67FF747A" w14:textId="77777777" w:rsidR="00053DE4" w:rsidRDefault="00053DE4" w:rsidP="00677B42">
      <w:pPr>
        <w:jc w:val="both"/>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42"/>
        <w:gridCol w:w="5083"/>
      </w:tblGrid>
      <w:tr w:rsidR="00AD6DE2" w:rsidRPr="00875187" w14:paraId="32715CD6" w14:textId="77777777" w:rsidTr="00046EA9">
        <w:trPr>
          <w:tblHeader/>
        </w:trPr>
        <w:tc>
          <w:tcPr>
            <w:tcW w:w="993" w:type="dxa"/>
            <w:tcBorders>
              <w:bottom w:val="single" w:sz="4" w:space="0" w:color="auto"/>
            </w:tcBorders>
            <w:shd w:val="clear" w:color="auto" w:fill="DAEEF3"/>
          </w:tcPr>
          <w:p w14:paraId="4E246794" w14:textId="77777777" w:rsidR="00AD6DE2" w:rsidRPr="00875187" w:rsidRDefault="00AD6DE2" w:rsidP="00677B42">
            <w:pPr>
              <w:pStyle w:val="BodyText"/>
              <w:jc w:val="both"/>
              <w:rPr>
                <w:b/>
              </w:rPr>
            </w:pPr>
            <w:r w:rsidRPr="00875187">
              <w:rPr>
                <w:b/>
              </w:rPr>
              <w:t>Номер</w:t>
            </w:r>
          </w:p>
        </w:tc>
        <w:tc>
          <w:tcPr>
            <w:tcW w:w="2742" w:type="dxa"/>
            <w:tcBorders>
              <w:bottom w:val="single" w:sz="4" w:space="0" w:color="auto"/>
            </w:tcBorders>
            <w:shd w:val="clear" w:color="auto" w:fill="DAEEF3"/>
          </w:tcPr>
          <w:p w14:paraId="65A66AE3" w14:textId="77777777" w:rsidR="00AD6DE2" w:rsidRPr="00875187" w:rsidRDefault="00AD6DE2" w:rsidP="00677B42">
            <w:pPr>
              <w:pStyle w:val="BodyText"/>
              <w:jc w:val="both"/>
              <w:rPr>
                <w:b/>
              </w:rPr>
            </w:pPr>
            <w:r w:rsidRPr="00875187">
              <w:rPr>
                <w:b/>
              </w:rPr>
              <w:t>Наименование</w:t>
            </w:r>
          </w:p>
        </w:tc>
        <w:tc>
          <w:tcPr>
            <w:tcW w:w="5083" w:type="dxa"/>
            <w:tcBorders>
              <w:bottom w:val="single" w:sz="4" w:space="0" w:color="auto"/>
            </w:tcBorders>
            <w:shd w:val="clear" w:color="auto" w:fill="DAEEF3"/>
          </w:tcPr>
          <w:p w14:paraId="3C5F634D" w14:textId="77777777" w:rsidR="00AD6DE2" w:rsidRPr="00875187" w:rsidRDefault="00AD6DE2" w:rsidP="00677B42">
            <w:pPr>
              <w:pStyle w:val="BodyText"/>
              <w:jc w:val="both"/>
              <w:rPr>
                <w:b/>
              </w:rPr>
            </w:pPr>
            <w:r w:rsidRPr="00875187">
              <w:rPr>
                <w:b/>
              </w:rPr>
              <w:t>Използване</w:t>
            </w:r>
          </w:p>
        </w:tc>
      </w:tr>
      <w:tr w:rsidR="00AD6DE2" w:rsidRPr="009406EA" w14:paraId="5F5FD979" w14:textId="77777777" w:rsidTr="00046EA9">
        <w:trPr>
          <w:trHeight w:val="170"/>
          <w:tblHead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2034BBE" w14:textId="77777777" w:rsidR="00AD6DE2" w:rsidRPr="00046EA9" w:rsidRDefault="00AD6DE2" w:rsidP="00046EA9">
            <w:pPr>
              <w:pStyle w:val="BodyText"/>
              <w:jc w:val="both"/>
              <w:rPr>
                <w:color w:val="00B050"/>
              </w:rPr>
            </w:pPr>
            <w:r w:rsidRPr="00046EA9">
              <w:rPr>
                <w:color w:val="00B050"/>
              </w:rPr>
              <w:t>726</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37D953D" w14:textId="77777777" w:rsidR="00AD6DE2" w:rsidRPr="00046EA9" w:rsidRDefault="00AD6DE2" w:rsidP="00046EA9">
            <w:pPr>
              <w:pStyle w:val="BodyText"/>
              <w:jc w:val="both"/>
              <w:rPr>
                <w:color w:val="00B050"/>
              </w:rPr>
            </w:pPr>
            <w:r w:rsidRPr="00046EA9">
              <w:rPr>
                <w:color w:val="00B050"/>
              </w:rPr>
              <w:t>Финансови приходи за бъдещи периоди – лихви върху неустойки</w:t>
            </w: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53D2F723" w14:textId="77777777" w:rsidR="00AD6DE2" w:rsidRPr="00046EA9" w:rsidRDefault="00AD6DE2" w:rsidP="00046EA9">
            <w:pPr>
              <w:pStyle w:val="BodyText"/>
              <w:jc w:val="both"/>
              <w:rPr>
                <w:color w:val="00B050"/>
              </w:rPr>
            </w:pPr>
            <w:r w:rsidRPr="00046EA9">
              <w:rPr>
                <w:color w:val="00B050"/>
              </w:rPr>
              <w:t>Отчитане  на разчети за лихви върху вземания за неустойки за неприети количества  по договор за продажба на природен газ</w:t>
            </w:r>
          </w:p>
        </w:tc>
      </w:tr>
    </w:tbl>
    <w:p w14:paraId="7B26D60A" w14:textId="77777777" w:rsidR="00053DE4" w:rsidRDefault="00053DE4" w:rsidP="00677B42">
      <w:pPr>
        <w:jc w:val="both"/>
      </w:pPr>
    </w:p>
    <w:p w14:paraId="1BEE2ABB" w14:textId="77777777" w:rsidR="00E8746C" w:rsidRPr="00E8746C" w:rsidRDefault="00E8746C" w:rsidP="00677B42">
      <w:pPr>
        <w:pStyle w:val="BodyText"/>
        <w:jc w:val="both"/>
      </w:pPr>
    </w:p>
    <w:p w14:paraId="1AEA0D65" w14:textId="77777777" w:rsidR="00E8746C" w:rsidRDefault="00E8746C" w:rsidP="00677B42">
      <w:pPr>
        <w:jc w:val="both"/>
      </w:pPr>
    </w:p>
    <w:sectPr w:rsidR="00E8746C" w:rsidSect="00046EA9">
      <w:headerReference w:type="default" r:id="rId8"/>
      <w:footerReference w:type="default" r:id="rId9"/>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ECBE" w14:textId="77777777" w:rsidR="00E616AE" w:rsidRDefault="00E616AE" w:rsidP="00FA3CDC">
      <w:r>
        <w:separator/>
      </w:r>
    </w:p>
  </w:endnote>
  <w:endnote w:type="continuationSeparator" w:id="0">
    <w:p w14:paraId="60511368" w14:textId="77777777" w:rsidR="00E616AE" w:rsidRDefault="00E616AE" w:rsidP="00FA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98D4" w14:textId="51846574" w:rsidR="00FA3CDC" w:rsidRDefault="00FA3CD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45442">
      <w:rPr>
        <w:caps/>
        <w:noProof/>
        <w:color w:val="5B9BD5" w:themeColor="accent1"/>
      </w:rPr>
      <w:t>2</w:t>
    </w:r>
    <w:r>
      <w:rPr>
        <w:caps/>
        <w:noProof/>
        <w:color w:val="5B9BD5" w:themeColor="accent1"/>
      </w:rPr>
      <w:fldChar w:fldCharType="end"/>
    </w:r>
  </w:p>
  <w:p w14:paraId="342CDDC0" w14:textId="77777777" w:rsidR="00FA3CDC" w:rsidRDefault="00FA3C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FC174" w14:textId="77777777" w:rsidR="00E616AE" w:rsidRDefault="00E616AE" w:rsidP="00FA3CDC">
      <w:r>
        <w:separator/>
      </w:r>
    </w:p>
  </w:footnote>
  <w:footnote w:type="continuationSeparator" w:id="0">
    <w:p w14:paraId="66C5267B" w14:textId="77777777" w:rsidR="00E616AE" w:rsidRDefault="00E616AE" w:rsidP="00FA3C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5BA2" w14:textId="74D7D49E" w:rsidR="00677B42" w:rsidRDefault="00621209" w:rsidP="00E06969">
    <w:pPr>
      <w:pStyle w:val="Header"/>
      <w:pBdr>
        <w:bottom w:val="single" w:sz="4" w:space="1" w:color="auto"/>
      </w:pBdr>
      <w:jc w:val="right"/>
    </w:pPr>
    <w:r w:rsidRPr="00621209">
      <w:t>Приложение 1: Промени в счетоводната политика: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0FAA8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E197F4E"/>
    <w:multiLevelType w:val="hybridMultilevel"/>
    <w:tmpl w:val="DA1E47E2"/>
    <w:lvl w:ilvl="0" w:tplc="577A5716">
      <w:start w:val="1"/>
      <w:numFmt w:val="bullet"/>
      <w:lvlText w:val="-"/>
      <w:lvlJc w:val="left"/>
      <w:pPr>
        <w:tabs>
          <w:tab w:val="num" w:pos="1020"/>
        </w:tabs>
        <w:ind w:left="1020" w:hanging="340"/>
      </w:pPr>
      <w:rPr>
        <w:rFonts w:ascii="9999999" w:hAnsi="9999999" w:cs="Courier New" w:hint="default"/>
      </w:rPr>
    </w:lvl>
    <w:lvl w:ilvl="1" w:tplc="577A5716">
      <w:start w:val="1"/>
      <w:numFmt w:val="bullet"/>
      <w:lvlText w:val="-"/>
      <w:lvlJc w:val="left"/>
      <w:pPr>
        <w:ind w:left="1780" w:hanging="360"/>
      </w:pPr>
      <w:rPr>
        <w:rFonts w:ascii="9999999" w:hAnsi="9999999"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1029352E"/>
    <w:multiLevelType w:val="hybridMultilevel"/>
    <w:tmpl w:val="E58259A8"/>
    <w:lvl w:ilvl="0" w:tplc="AA8C6740">
      <w:start w:val="1"/>
      <w:numFmt w:val="bullet"/>
      <w:pStyle w:val="ListBullet"/>
      <w:lvlText w:val=""/>
      <w:lvlJc w:val="left"/>
      <w:pPr>
        <w:tabs>
          <w:tab w:val="num" w:pos="482"/>
        </w:tabs>
        <w:ind w:left="482" w:hanging="34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277CD"/>
    <w:multiLevelType w:val="hybridMultilevel"/>
    <w:tmpl w:val="786EACE0"/>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D501FA3"/>
    <w:multiLevelType w:val="multilevel"/>
    <w:tmpl w:val="C994C7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180AF1"/>
    <w:multiLevelType w:val="multilevel"/>
    <w:tmpl w:val="8F449DA0"/>
    <w:lvl w:ilvl="0">
      <w:start w:val="1"/>
      <w:numFmt w:val="upperLetter"/>
      <w:pStyle w:val="AppendixHeading"/>
      <w:lvlText w:val="%1"/>
      <w:lvlJc w:val="left"/>
      <w:pPr>
        <w:tabs>
          <w:tab w:val="num" w:pos="-965"/>
        </w:tabs>
        <w:ind w:left="-965" w:hanging="964"/>
      </w:pPr>
    </w:lvl>
    <w:lvl w:ilvl="1">
      <w:start w:val="1"/>
      <w:numFmt w:val="decimal"/>
      <w:lvlText w:val="%1.%2"/>
      <w:lvlJc w:val="left"/>
      <w:pPr>
        <w:tabs>
          <w:tab w:val="num" w:pos="-965"/>
        </w:tabs>
        <w:ind w:left="-965" w:hanging="964"/>
      </w:pPr>
    </w:lvl>
    <w:lvl w:ilvl="2">
      <w:start w:val="1"/>
      <w:numFmt w:val="decimal"/>
      <w:lvlText w:val="%1.%2.%3"/>
      <w:lvlJc w:val="left"/>
      <w:pPr>
        <w:tabs>
          <w:tab w:val="num" w:pos="-965"/>
        </w:tabs>
        <w:ind w:left="-965" w:hanging="964"/>
      </w:pPr>
    </w:lvl>
    <w:lvl w:ilvl="3">
      <w:start w:val="1"/>
      <w:numFmt w:val="decimal"/>
      <w:pStyle w:val="AppendixHeading4"/>
      <w:lvlText w:val="%1.%2.%3.%4"/>
      <w:lvlJc w:val="left"/>
      <w:pPr>
        <w:tabs>
          <w:tab w:val="num" w:pos="-965"/>
        </w:tabs>
        <w:ind w:left="-965" w:hanging="964"/>
      </w:pPr>
    </w:lvl>
    <w:lvl w:ilvl="4">
      <w:start w:val="1"/>
      <w:numFmt w:val="decimal"/>
      <w:lvlText w:val="(%5)"/>
      <w:lvlJc w:val="left"/>
      <w:pPr>
        <w:ind w:left="1915" w:firstLine="0"/>
      </w:pPr>
    </w:lvl>
    <w:lvl w:ilvl="5">
      <w:start w:val="1"/>
      <w:numFmt w:val="lowerLetter"/>
      <w:lvlText w:val="(%6)"/>
      <w:lvlJc w:val="left"/>
      <w:pPr>
        <w:ind w:left="2635" w:firstLine="0"/>
      </w:pPr>
    </w:lvl>
    <w:lvl w:ilvl="6">
      <w:start w:val="1"/>
      <w:numFmt w:val="lowerRoman"/>
      <w:lvlText w:val="(%7)"/>
      <w:lvlJc w:val="left"/>
      <w:pPr>
        <w:ind w:left="3355" w:firstLine="0"/>
      </w:pPr>
    </w:lvl>
    <w:lvl w:ilvl="7">
      <w:start w:val="1"/>
      <w:numFmt w:val="lowerLetter"/>
      <w:lvlText w:val="(%8)"/>
      <w:lvlJc w:val="left"/>
      <w:pPr>
        <w:ind w:left="4075" w:firstLine="0"/>
      </w:pPr>
    </w:lvl>
    <w:lvl w:ilvl="8">
      <w:start w:val="1"/>
      <w:numFmt w:val="lowerRoman"/>
      <w:lvlText w:val="(%9)"/>
      <w:lvlJc w:val="left"/>
      <w:pPr>
        <w:ind w:left="4795" w:firstLine="0"/>
      </w:pPr>
    </w:lvl>
  </w:abstractNum>
  <w:abstractNum w:abstractNumId="6" w15:restartNumberingAfterBreak="0">
    <w:nsid w:val="39F52E19"/>
    <w:multiLevelType w:val="hybridMultilevel"/>
    <w:tmpl w:val="8BC21932"/>
    <w:lvl w:ilvl="0" w:tplc="307081FC">
      <w:start w:val="1"/>
      <w:numFmt w:val="bullet"/>
      <w:lvlText w:val="-"/>
      <w:lvlJc w:val="left"/>
      <w:pPr>
        <w:tabs>
          <w:tab w:val="num" w:pos="1050"/>
        </w:tabs>
        <w:ind w:left="1050" w:hanging="340"/>
      </w:pPr>
      <w:rPr>
        <w:rFonts w:ascii="9999999" w:hAnsi="9999999" w:cs="Courier New" w:hint="default"/>
      </w:rPr>
    </w:lvl>
    <w:lvl w:ilvl="1" w:tplc="059EE0B2" w:tentative="1">
      <w:start w:val="1"/>
      <w:numFmt w:val="bullet"/>
      <w:lvlText w:val="o"/>
      <w:lvlJc w:val="left"/>
      <w:pPr>
        <w:ind w:left="1780" w:hanging="360"/>
      </w:pPr>
      <w:rPr>
        <w:rFonts w:ascii="Courier New" w:hAnsi="Courier New" w:cs="Courier New" w:hint="default"/>
      </w:rPr>
    </w:lvl>
    <w:lvl w:ilvl="2" w:tplc="BDA26458" w:tentative="1">
      <w:start w:val="1"/>
      <w:numFmt w:val="bullet"/>
      <w:lvlText w:val=""/>
      <w:lvlJc w:val="left"/>
      <w:pPr>
        <w:ind w:left="2500" w:hanging="360"/>
      </w:pPr>
      <w:rPr>
        <w:rFonts w:ascii="Wingdings" w:hAnsi="Wingdings" w:hint="default"/>
      </w:rPr>
    </w:lvl>
    <w:lvl w:ilvl="3" w:tplc="F00ED38E" w:tentative="1">
      <w:start w:val="1"/>
      <w:numFmt w:val="bullet"/>
      <w:lvlText w:val=""/>
      <w:lvlJc w:val="left"/>
      <w:pPr>
        <w:ind w:left="3220" w:hanging="360"/>
      </w:pPr>
      <w:rPr>
        <w:rFonts w:ascii="Symbol" w:hAnsi="Symbol" w:hint="default"/>
      </w:rPr>
    </w:lvl>
    <w:lvl w:ilvl="4" w:tplc="81B0AC64" w:tentative="1">
      <w:start w:val="1"/>
      <w:numFmt w:val="bullet"/>
      <w:lvlText w:val="o"/>
      <w:lvlJc w:val="left"/>
      <w:pPr>
        <w:ind w:left="3940" w:hanging="360"/>
      </w:pPr>
      <w:rPr>
        <w:rFonts w:ascii="Courier New" w:hAnsi="Courier New" w:cs="Courier New" w:hint="default"/>
      </w:rPr>
    </w:lvl>
    <w:lvl w:ilvl="5" w:tplc="EDAC64E0" w:tentative="1">
      <w:start w:val="1"/>
      <w:numFmt w:val="bullet"/>
      <w:lvlText w:val=""/>
      <w:lvlJc w:val="left"/>
      <w:pPr>
        <w:ind w:left="4660" w:hanging="360"/>
      </w:pPr>
      <w:rPr>
        <w:rFonts w:ascii="Wingdings" w:hAnsi="Wingdings" w:hint="default"/>
      </w:rPr>
    </w:lvl>
    <w:lvl w:ilvl="6" w:tplc="39F02962" w:tentative="1">
      <w:start w:val="1"/>
      <w:numFmt w:val="bullet"/>
      <w:lvlText w:val=""/>
      <w:lvlJc w:val="left"/>
      <w:pPr>
        <w:ind w:left="5380" w:hanging="360"/>
      </w:pPr>
      <w:rPr>
        <w:rFonts w:ascii="Symbol" w:hAnsi="Symbol" w:hint="default"/>
      </w:rPr>
    </w:lvl>
    <w:lvl w:ilvl="7" w:tplc="E626C774" w:tentative="1">
      <w:start w:val="1"/>
      <w:numFmt w:val="bullet"/>
      <w:lvlText w:val="o"/>
      <w:lvlJc w:val="left"/>
      <w:pPr>
        <w:ind w:left="6100" w:hanging="360"/>
      </w:pPr>
      <w:rPr>
        <w:rFonts w:ascii="Courier New" w:hAnsi="Courier New" w:cs="Courier New" w:hint="default"/>
      </w:rPr>
    </w:lvl>
    <w:lvl w:ilvl="8" w:tplc="38269742" w:tentative="1">
      <w:start w:val="1"/>
      <w:numFmt w:val="bullet"/>
      <w:lvlText w:val=""/>
      <w:lvlJc w:val="left"/>
      <w:pPr>
        <w:ind w:left="6820" w:hanging="360"/>
      </w:pPr>
      <w:rPr>
        <w:rFonts w:ascii="Wingdings" w:hAnsi="Wingdings" w:hint="default"/>
      </w:rPr>
    </w:lvl>
  </w:abstractNum>
  <w:abstractNum w:abstractNumId="7" w15:restartNumberingAfterBreak="0">
    <w:nsid w:val="5A1A4E03"/>
    <w:multiLevelType w:val="multilevel"/>
    <w:tmpl w:val="2BB4E7F0"/>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2"/>
  </w:num>
  <w:num w:numId="2">
    <w:abstractNumId w:val="7"/>
  </w:num>
  <w:num w:numId="3">
    <w:abstractNumId w:val="0"/>
  </w:num>
  <w:num w:numId="4">
    <w:abstractNumId w:val="3"/>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92"/>
    <w:rsid w:val="00046EA9"/>
    <w:rsid w:val="00053DE4"/>
    <w:rsid w:val="000C5C4D"/>
    <w:rsid w:val="00124C92"/>
    <w:rsid w:val="00235D26"/>
    <w:rsid w:val="00245A4C"/>
    <w:rsid w:val="00247D77"/>
    <w:rsid w:val="002B4B7A"/>
    <w:rsid w:val="003A1A03"/>
    <w:rsid w:val="003C6531"/>
    <w:rsid w:val="005077C3"/>
    <w:rsid w:val="00621209"/>
    <w:rsid w:val="00645442"/>
    <w:rsid w:val="00677B42"/>
    <w:rsid w:val="007747CA"/>
    <w:rsid w:val="007F246A"/>
    <w:rsid w:val="007F26FA"/>
    <w:rsid w:val="00835E16"/>
    <w:rsid w:val="008418F0"/>
    <w:rsid w:val="008C178D"/>
    <w:rsid w:val="00941FD2"/>
    <w:rsid w:val="00AD6DE2"/>
    <w:rsid w:val="00C8465F"/>
    <w:rsid w:val="00CB2C84"/>
    <w:rsid w:val="00CF50DB"/>
    <w:rsid w:val="00E06969"/>
    <w:rsid w:val="00E616AE"/>
    <w:rsid w:val="00E72F83"/>
    <w:rsid w:val="00E8746C"/>
    <w:rsid w:val="00EC6844"/>
    <w:rsid w:val="00FA3C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4E1CB"/>
  <w15:chartTrackingRefBased/>
  <w15:docId w15:val="{A32B0F91-F575-4D2C-A70C-0ED6204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6C"/>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874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
    <w:next w:val="BodyText"/>
    <w:link w:val="Heading2Char"/>
    <w:qFormat/>
    <w:rsid w:val="00E8746C"/>
    <w:pPr>
      <w:keepNext/>
      <w:spacing w:before="400" w:after="0" w:line="320" w:lineRule="exact"/>
      <w:outlineLvl w:val="1"/>
    </w:pPr>
    <w:rPr>
      <w:b/>
      <w:sz w:val="28"/>
    </w:rPr>
  </w:style>
  <w:style w:type="paragraph" w:styleId="Heading3">
    <w:name w:val="heading 3"/>
    <w:basedOn w:val="Normal"/>
    <w:next w:val="Normal"/>
    <w:link w:val="Heading3Char"/>
    <w:unhideWhenUsed/>
    <w:qFormat/>
    <w:rsid w:val="00E8746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874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8746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46C"/>
    <w:rPr>
      <w:rFonts w:ascii="Times New Roman" w:eastAsia="Times New Roman" w:hAnsi="Times New Roman" w:cs="Times New Roman"/>
      <w:b/>
      <w:sz w:val="28"/>
      <w:szCs w:val="20"/>
    </w:rPr>
  </w:style>
  <w:style w:type="paragraph" w:styleId="BodyText">
    <w:name w:val="Body Text"/>
    <w:basedOn w:val="Normal"/>
    <w:link w:val="BodyTextChar"/>
    <w:unhideWhenUsed/>
    <w:qFormat/>
    <w:rsid w:val="00E8746C"/>
    <w:pPr>
      <w:spacing w:after="120"/>
    </w:pPr>
  </w:style>
  <w:style w:type="character" w:customStyle="1" w:styleId="BodyTextChar">
    <w:name w:val="Body Text Char"/>
    <w:basedOn w:val="DefaultParagraphFont"/>
    <w:link w:val="BodyText"/>
    <w:rsid w:val="00E8746C"/>
  </w:style>
  <w:style w:type="paragraph" w:styleId="ListBullet">
    <w:name w:val="List Bullet"/>
    <w:basedOn w:val="BodyText"/>
    <w:uiPriority w:val="99"/>
    <w:qFormat/>
    <w:rsid w:val="00E8746C"/>
    <w:pPr>
      <w:numPr>
        <w:numId w:val="1"/>
      </w:numPr>
      <w:spacing w:before="130" w:after="130"/>
      <w:jc w:val="both"/>
    </w:pPr>
    <w:rPr>
      <w:sz w:val="24"/>
    </w:rPr>
  </w:style>
  <w:style w:type="character" w:customStyle="1" w:styleId="Heading1Char">
    <w:name w:val="Heading 1 Char"/>
    <w:basedOn w:val="DefaultParagraphFont"/>
    <w:link w:val="Heading1"/>
    <w:uiPriority w:val="9"/>
    <w:rsid w:val="00E874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74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E8746C"/>
    <w:rPr>
      <w:rFonts w:asciiTheme="majorHAnsi" w:eastAsiaTheme="majorEastAsia" w:hAnsiTheme="majorHAnsi" w:cstheme="majorBidi"/>
      <w:color w:val="2E74B5" w:themeColor="accent1" w:themeShade="BF"/>
      <w:szCs w:val="20"/>
    </w:rPr>
  </w:style>
  <w:style w:type="paragraph" w:styleId="ListBullet2">
    <w:name w:val="List Bullet 2"/>
    <w:basedOn w:val="Normal"/>
    <w:unhideWhenUsed/>
    <w:qFormat/>
    <w:rsid w:val="00E8746C"/>
    <w:pPr>
      <w:numPr>
        <w:numId w:val="3"/>
      </w:numPr>
      <w:contextualSpacing/>
    </w:pPr>
  </w:style>
  <w:style w:type="paragraph" w:customStyle="1" w:styleId="AppendixHeading">
    <w:name w:val="Appendix Heading"/>
    <w:basedOn w:val="Heading1"/>
    <w:next w:val="BodyText"/>
    <w:rsid w:val="00E8746C"/>
    <w:pPr>
      <w:keepLines w:val="0"/>
      <w:pageBreakBefore/>
      <w:numPr>
        <w:numId w:val="6"/>
      </w:numPr>
      <w:tabs>
        <w:tab w:val="left" w:pos="0"/>
      </w:tabs>
      <w:spacing w:before="0" w:line="360" w:lineRule="exact"/>
      <w:ind w:left="0" w:hanging="965"/>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E8746C"/>
    <w:pPr>
      <w:keepLines w:val="0"/>
      <w:numPr>
        <w:ilvl w:val="3"/>
        <w:numId w:val="6"/>
      </w:numPr>
      <w:tabs>
        <w:tab w:val="clear" w:pos="-965"/>
        <w:tab w:val="num" w:pos="360"/>
      </w:tabs>
      <w:spacing w:before="400" w:line="280" w:lineRule="exact"/>
      <w:ind w:left="0" w:firstLine="0"/>
      <w:outlineLvl w:val="9"/>
    </w:pPr>
    <w:rPr>
      <w:rFonts w:ascii="Times New Roman" w:eastAsia="Times New Roman" w:hAnsi="Times New Roman" w:cs="Times New Roman"/>
      <w:b/>
      <w:iCs w:val="0"/>
      <w:color w:val="auto"/>
      <w:sz w:val="24"/>
    </w:rPr>
  </w:style>
  <w:style w:type="character" w:customStyle="1" w:styleId="Heading4Char">
    <w:name w:val="Heading 4 Char"/>
    <w:basedOn w:val="DefaultParagraphFont"/>
    <w:link w:val="Heading4"/>
    <w:uiPriority w:val="9"/>
    <w:semiHidden/>
    <w:rsid w:val="00E8746C"/>
    <w:rPr>
      <w:rFonts w:asciiTheme="majorHAnsi" w:eastAsiaTheme="majorEastAsia" w:hAnsiTheme="majorHAnsi" w:cstheme="majorBidi"/>
      <w:i/>
      <w:iCs/>
      <w:color w:val="2E74B5" w:themeColor="accent1" w:themeShade="BF"/>
      <w:szCs w:val="20"/>
    </w:rPr>
  </w:style>
  <w:style w:type="paragraph" w:styleId="Header">
    <w:name w:val="header"/>
    <w:basedOn w:val="Normal"/>
    <w:link w:val="HeaderChar"/>
    <w:uiPriority w:val="99"/>
    <w:unhideWhenUsed/>
    <w:rsid w:val="00FA3CDC"/>
    <w:pPr>
      <w:tabs>
        <w:tab w:val="center" w:pos="4536"/>
        <w:tab w:val="right" w:pos="9072"/>
      </w:tabs>
    </w:pPr>
  </w:style>
  <w:style w:type="character" w:customStyle="1" w:styleId="HeaderChar">
    <w:name w:val="Header Char"/>
    <w:basedOn w:val="DefaultParagraphFont"/>
    <w:link w:val="Header"/>
    <w:uiPriority w:val="99"/>
    <w:rsid w:val="00FA3CDC"/>
    <w:rPr>
      <w:rFonts w:ascii="Times New Roman" w:eastAsia="Times New Roman" w:hAnsi="Times New Roman" w:cs="Times New Roman"/>
      <w:szCs w:val="20"/>
    </w:rPr>
  </w:style>
  <w:style w:type="paragraph" w:styleId="Footer">
    <w:name w:val="footer"/>
    <w:basedOn w:val="Normal"/>
    <w:link w:val="FooterChar"/>
    <w:uiPriority w:val="99"/>
    <w:unhideWhenUsed/>
    <w:rsid w:val="00FA3CDC"/>
    <w:pPr>
      <w:tabs>
        <w:tab w:val="center" w:pos="4536"/>
        <w:tab w:val="right" w:pos="9072"/>
      </w:tabs>
    </w:pPr>
  </w:style>
  <w:style w:type="character" w:customStyle="1" w:styleId="FooterChar">
    <w:name w:val="Footer Char"/>
    <w:basedOn w:val="DefaultParagraphFont"/>
    <w:link w:val="Footer"/>
    <w:uiPriority w:val="99"/>
    <w:rsid w:val="00FA3CDC"/>
    <w:rPr>
      <w:rFonts w:ascii="Times New Roman" w:eastAsia="Times New Roman" w:hAnsi="Times New Roman" w:cs="Times New Roman"/>
      <w:szCs w:val="20"/>
    </w:rPr>
  </w:style>
  <w:style w:type="paragraph" w:customStyle="1" w:styleId="AppendixHeading2">
    <w:name w:val="Appendix Heading 2"/>
    <w:basedOn w:val="Heading2"/>
    <w:next w:val="BodyText"/>
    <w:rsid w:val="00053DE4"/>
    <w:pPr>
      <w:pageBreakBefore/>
      <w:ind w:hanging="965"/>
    </w:pPr>
  </w:style>
  <w:style w:type="paragraph" w:styleId="BalloonText">
    <w:name w:val="Balloon Text"/>
    <w:basedOn w:val="Normal"/>
    <w:link w:val="BalloonTextChar"/>
    <w:uiPriority w:val="99"/>
    <w:semiHidden/>
    <w:unhideWhenUsed/>
    <w:rsid w:val="008C1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8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45A4C"/>
    <w:rPr>
      <w:sz w:val="16"/>
      <w:szCs w:val="16"/>
    </w:rPr>
  </w:style>
  <w:style w:type="paragraph" w:styleId="CommentText">
    <w:name w:val="annotation text"/>
    <w:basedOn w:val="Normal"/>
    <w:link w:val="CommentTextChar"/>
    <w:uiPriority w:val="99"/>
    <w:semiHidden/>
    <w:unhideWhenUsed/>
    <w:rsid w:val="00245A4C"/>
    <w:rPr>
      <w:sz w:val="20"/>
    </w:rPr>
  </w:style>
  <w:style w:type="character" w:customStyle="1" w:styleId="CommentTextChar">
    <w:name w:val="Comment Text Char"/>
    <w:basedOn w:val="DefaultParagraphFont"/>
    <w:link w:val="CommentText"/>
    <w:uiPriority w:val="99"/>
    <w:semiHidden/>
    <w:rsid w:val="00245A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A4C"/>
    <w:rPr>
      <w:b/>
      <w:bCs/>
    </w:rPr>
  </w:style>
  <w:style w:type="character" w:customStyle="1" w:styleId="CommentSubjectChar">
    <w:name w:val="Comment Subject Char"/>
    <w:basedOn w:val="CommentTextChar"/>
    <w:link w:val="CommentSubject"/>
    <w:uiPriority w:val="99"/>
    <w:semiHidden/>
    <w:rsid w:val="00245A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95F4-3137-41AC-AE51-1E80F7D7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 Yanchev</dc:creator>
  <cp:keywords/>
  <dc:description/>
  <cp:lastModifiedBy>Stoyan Yanchev</cp:lastModifiedBy>
  <cp:revision>18</cp:revision>
  <cp:lastPrinted>2016-04-01T06:23:00Z</cp:lastPrinted>
  <dcterms:created xsi:type="dcterms:W3CDTF">2016-03-31T06:07:00Z</dcterms:created>
  <dcterms:modified xsi:type="dcterms:W3CDTF">2016-04-01T07:17:00Z</dcterms:modified>
</cp:coreProperties>
</file>