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AD" w:rsidRPr="00723BA1" w:rsidRDefault="005535AD" w:rsidP="005535AD">
      <w:pPr>
        <w:pStyle w:val="Heading1"/>
        <w:spacing w:before="120" w:line="260" w:lineRule="atLeast"/>
        <w:jc w:val="left"/>
        <w:rPr>
          <w:rFonts w:ascii="Verdana" w:hAnsi="Verdana" w:cs="Arial"/>
          <w:snapToGrid w:val="0"/>
          <w:color w:val="000000" w:themeColor="text1"/>
          <w:sz w:val="20"/>
          <w:szCs w:val="20"/>
          <w:lang w:val="bg-BG"/>
        </w:rPr>
      </w:pPr>
      <w:bookmarkStart w:id="0" w:name="_Toc247959121"/>
      <w:bookmarkStart w:id="1" w:name="_Toc270424829"/>
      <w:bookmarkStart w:id="2" w:name="_Toc509396152"/>
      <w:bookmarkStart w:id="3" w:name="_Toc510083493"/>
      <w:bookmarkStart w:id="4" w:name="_Toc162865065"/>
      <w:r w:rsidRPr="00723BA1">
        <w:rPr>
          <w:rFonts w:ascii="Verdana" w:hAnsi="Verdana" w:cs="Arial"/>
          <w:snapToGrid w:val="0"/>
          <w:color w:val="000000" w:themeColor="text1"/>
          <w:sz w:val="20"/>
          <w:szCs w:val="20"/>
          <w:lang w:val="bg-BG"/>
        </w:rPr>
        <w:t>ГОДИШЕН ДОКЛАД ЗА ДЕЙНОСТТА</w:t>
      </w:r>
      <w:bookmarkEnd w:id="0"/>
      <w:bookmarkEnd w:id="1"/>
      <w:bookmarkEnd w:id="2"/>
      <w:bookmarkEnd w:id="3"/>
      <w:bookmarkEnd w:id="4"/>
    </w:p>
    <w:p w:rsidR="005535AD" w:rsidRPr="00723BA1" w:rsidRDefault="005535AD" w:rsidP="005535AD">
      <w:pPr>
        <w:rPr>
          <w:color w:val="000000" w:themeColor="text1"/>
        </w:rPr>
      </w:pPr>
    </w:p>
    <w:p w:rsidR="005535AD" w:rsidRPr="00723BA1" w:rsidRDefault="005535AD" w:rsidP="005535AD">
      <w:pPr>
        <w:spacing w:line="260" w:lineRule="atLeast"/>
        <w:rPr>
          <w:rFonts w:ascii="Verdana" w:hAnsi="Verdana" w:cs="Arial"/>
          <w:b/>
          <w:color w:val="000000" w:themeColor="text1"/>
          <w:sz w:val="20"/>
        </w:rPr>
      </w:pPr>
      <w:r w:rsidRPr="00723BA1">
        <w:rPr>
          <w:rFonts w:ascii="Verdana" w:hAnsi="Verdana" w:cs="Arial"/>
          <w:b/>
          <w:color w:val="000000" w:themeColor="text1"/>
          <w:sz w:val="20"/>
        </w:rPr>
        <w:t>За годината, завършваща на 31 декември 2024 г.</w:t>
      </w:r>
    </w:p>
    <w:p w:rsidR="005535AD" w:rsidRPr="00723BA1" w:rsidRDefault="005535AD" w:rsidP="005535AD">
      <w:pPr>
        <w:spacing w:line="260" w:lineRule="atLeast"/>
        <w:rPr>
          <w:rFonts w:ascii="Verdana" w:hAnsi="Verdana" w:cs="Arial"/>
          <w:b/>
          <w:color w:val="000000" w:themeColor="text1"/>
          <w:sz w:val="20"/>
        </w:rPr>
      </w:pPr>
    </w:p>
    <w:p w:rsidR="005535AD" w:rsidRPr="00723BA1" w:rsidRDefault="005535AD" w:rsidP="005535AD">
      <w:pPr>
        <w:pStyle w:val="EndnoteText"/>
        <w:spacing w:after="0"/>
        <w:rPr>
          <w:rFonts w:ascii="Verdana" w:hAnsi="Verdana" w:cs="Vrinda"/>
          <w:color w:val="000000" w:themeColor="text1"/>
          <w:szCs w:val="20"/>
          <w:lang w:val="bg-BG"/>
        </w:rPr>
      </w:pPr>
      <w:r w:rsidRPr="00723BA1">
        <w:rPr>
          <w:rFonts w:ascii="Verdana" w:hAnsi="Verdana" w:cs="Arial"/>
          <w:color w:val="000000" w:themeColor="text1"/>
          <w:szCs w:val="20"/>
          <w:lang w:val="bg-BG"/>
        </w:rPr>
        <w:t xml:space="preserve">Приет с Протокол от </w:t>
      </w:r>
      <w:r w:rsidRPr="00723BA1">
        <w:rPr>
          <w:rFonts w:ascii="Verdana" w:hAnsi="Verdana" w:cs="Vrinda"/>
          <w:color w:val="000000" w:themeColor="text1"/>
          <w:szCs w:val="20"/>
          <w:lang w:val="en-US"/>
        </w:rPr>
        <w:t xml:space="preserve">31.03.2025 </w:t>
      </w:r>
      <w:r w:rsidRPr="00723BA1">
        <w:rPr>
          <w:rFonts w:ascii="Verdana" w:hAnsi="Verdana" w:cs="Vrinda"/>
          <w:color w:val="000000" w:themeColor="text1"/>
          <w:szCs w:val="20"/>
          <w:lang w:val="bg-BG"/>
        </w:rPr>
        <w:t xml:space="preserve"> </w:t>
      </w:r>
      <w:r w:rsidRPr="00723BA1">
        <w:rPr>
          <w:rFonts w:ascii="Verdana" w:hAnsi="Verdana" w:cs="Arial"/>
          <w:color w:val="000000" w:themeColor="text1"/>
          <w:szCs w:val="20"/>
          <w:lang w:val="bg-BG"/>
        </w:rPr>
        <w:t>г</w:t>
      </w:r>
      <w:r w:rsidRPr="00723BA1">
        <w:rPr>
          <w:rFonts w:ascii="Verdana" w:hAnsi="Verdana" w:cs="Vrinda"/>
          <w:color w:val="000000" w:themeColor="text1"/>
          <w:szCs w:val="20"/>
          <w:lang w:val="bg-BG"/>
        </w:rPr>
        <w:t xml:space="preserve">. </w:t>
      </w:r>
      <w:r w:rsidRPr="00723BA1">
        <w:rPr>
          <w:rFonts w:ascii="Verdana" w:hAnsi="Verdana" w:cs="Arial"/>
          <w:color w:val="000000" w:themeColor="text1"/>
          <w:szCs w:val="20"/>
          <w:lang w:val="bg-BG"/>
        </w:rPr>
        <w:t>на Съвета на директорите.</w:t>
      </w:r>
    </w:p>
    <w:p w:rsidR="005535AD" w:rsidRPr="00723BA1" w:rsidRDefault="005535AD" w:rsidP="005535AD">
      <w:pPr>
        <w:spacing w:line="260" w:lineRule="atLeast"/>
        <w:rPr>
          <w:rFonts w:ascii="Verdana" w:hAnsi="Verdana" w:cs="Arial"/>
          <w:b/>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НАСТОЯЩИЯТ ДОКЛАД ЗА ДЕЙНОСТТА НА „ТОПЛОФИКАЦИЯ – РАЗГРАД“ АД Е ИЗГОТВЕН В СЪОТВЕТСТВИЕ С РАЗПОРЕДБИТЕ НА ГЛАВА СЕДМА ОТ ЗАКОНА ЗА СЧЕТОВОДСТВОТО, ИЗИСКВАНИЯТА НА ТЪРГОВСКИЯ ЗАКОН И ИЗИСКВАНИЯТА НА ЗАКОНА ЗА ПУБЛИЧНОТО ПРЕДЛАГАНЕ НА ЦЕННИ КНИЖА.</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Ръководството представя своя Годишен доклад за дейността и Годишен финансов отчет към 31 декември 2024 г., изготвен в съответствие с МСФО счетоводни стандарти, приети от Европейския съюз.</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Финансовият отчет за годината е одитиран от одиторско дружество РСМ БГ ООД.</w:t>
      </w:r>
    </w:p>
    <w:p w:rsidR="005535AD" w:rsidRPr="00723BA1" w:rsidRDefault="005535AD" w:rsidP="005535AD">
      <w:pPr>
        <w:pStyle w:val="EndnoteText"/>
        <w:spacing w:before="120" w:after="0" w:line="260" w:lineRule="atLeast"/>
        <w:rPr>
          <w:rFonts w:ascii="Verdana" w:hAnsi="Verdana" w:cs="Arial"/>
          <w:b/>
          <w:bCs w:val="0"/>
          <w:color w:val="000000" w:themeColor="text1"/>
          <w:szCs w:val="20"/>
          <w:lang w:val="bg-BG"/>
        </w:rPr>
      </w:pPr>
      <w:bookmarkStart w:id="5" w:name="_Toc153350918"/>
      <w:bookmarkStart w:id="6" w:name="_Toc153351499"/>
      <w:bookmarkStart w:id="7" w:name="_Toc154161871"/>
      <w:r w:rsidRPr="00723BA1">
        <w:rPr>
          <w:rFonts w:ascii="Verdana" w:hAnsi="Verdana" w:cs="Arial"/>
          <w:b/>
          <w:bCs w:val="0"/>
          <w:color w:val="000000" w:themeColor="text1"/>
          <w:szCs w:val="20"/>
          <w:lang w:val="bg-BG"/>
        </w:rPr>
        <w:t>Описание на дейността</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„ТОПЛОФИКАЦИЯ – РАЗГРАД“ е акционерно дружество регистрирано в Република България с ЕИК 116019472.</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Дружеството е със седалище, адрес на управление и адрес за кореспонденция: гр. Разград, 7200, Индустриална зона, ул.“Черна“7.</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Основната му дейност е свързана с производство на електрическа и топлинна енергия и пренос на топлинна енергия.</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Дружеството и през 2024 г. е продължило основната си дейност, свързана с производство на електрическа и топлинна енергия и пренос на топлинна енергия.</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Дружеството няма регистрирани клонове в страната и чужбина.</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Дружеството не е публично дружество по смисъла на ЗППЦК.</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Дружеството не е регистрирано като финансова институция.</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before="60" w:line="260" w:lineRule="atLeast"/>
        <w:rPr>
          <w:rFonts w:ascii="Verdana" w:hAnsi="Verdana" w:cs="Arial"/>
          <w:b/>
          <w:color w:val="000000" w:themeColor="text1"/>
          <w:sz w:val="20"/>
        </w:rPr>
      </w:pPr>
      <w:r w:rsidRPr="00723BA1">
        <w:rPr>
          <w:rFonts w:ascii="Verdana" w:hAnsi="Verdana" w:cs="Arial"/>
          <w:b/>
          <w:color w:val="000000" w:themeColor="text1"/>
          <w:sz w:val="20"/>
        </w:rPr>
        <w:t>Капиталова структура</w:t>
      </w:r>
    </w:p>
    <w:p w:rsidR="005535AD" w:rsidRPr="00723BA1" w:rsidRDefault="005535AD" w:rsidP="005535AD">
      <w:pPr>
        <w:spacing w:before="60" w:line="260" w:lineRule="atLeast"/>
        <w:rPr>
          <w:rFonts w:ascii="Verdana" w:hAnsi="Verdana"/>
          <w:color w:val="000000" w:themeColor="text1"/>
          <w:sz w:val="20"/>
        </w:rPr>
      </w:pPr>
      <w:r w:rsidRPr="00723BA1">
        <w:rPr>
          <w:rFonts w:ascii="Verdana" w:hAnsi="Verdana" w:cs="Arial"/>
          <w:color w:val="000000" w:themeColor="text1"/>
          <w:sz w:val="20"/>
        </w:rPr>
        <w:t>През отчетната 2024 г. не са настъпили изменения в основния капитал на дружеството спрямо предходния отчетен период.</w:t>
      </w:r>
      <w:r w:rsidRPr="00723BA1">
        <w:rPr>
          <w:rFonts w:ascii="Verdana" w:hAnsi="Verdana"/>
          <w:color w:val="000000" w:themeColor="text1"/>
          <w:sz w:val="20"/>
        </w:rPr>
        <w:t xml:space="preserve"> </w:t>
      </w:r>
    </w:p>
    <w:p w:rsidR="005535AD" w:rsidRPr="00723BA1" w:rsidRDefault="005535AD" w:rsidP="005535AD">
      <w:pPr>
        <w:spacing w:line="260" w:lineRule="atLeast"/>
        <w:rPr>
          <w:rFonts w:ascii="Verdana" w:hAnsi="Verdana" w:cs="Arial"/>
          <w:color w:val="000000" w:themeColor="text1"/>
          <w:sz w:val="20"/>
        </w:rPr>
      </w:pPr>
    </w:p>
    <w:bookmarkEnd w:id="5"/>
    <w:bookmarkEnd w:id="6"/>
    <w:bookmarkEnd w:id="7"/>
    <w:p w:rsidR="005535AD" w:rsidRPr="00723BA1" w:rsidRDefault="005535AD" w:rsidP="005535AD">
      <w:pPr>
        <w:pStyle w:val="BodyTextIndent"/>
        <w:spacing w:after="40" w:line="260" w:lineRule="atLeast"/>
        <w:ind w:left="0"/>
        <w:rPr>
          <w:rFonts w:ascii="Verdana" w:hAnsi="Verdana" w:cs="Arial"/>
          <w:b/>
          <w:bCs w:val="0"/>
          <w:snapToGrid/>
          <w:color w:val="000000" w:themeColor="text1"/>
          <w:sz w:val="20"/>
          <w:szCs w:val="20"/>
        </w:rPr>
      </w:pPr>
      <w:r w:rsidRPr="00723BA1">
        <w:rPr>
          <w:rFonts w:ascii="Verdana" w:hAnsi="Verdana" w:cs="Arial"/>
          <w:b/>
          <w:bCs w:val="0"/>
          <w:snapToGrid/>
          <w:color w:val="000000" w:themeColor="text1"/>
          <w:sz w:val="20"/>
          <w:szCs w:val="20"/>
        </w:rPr>
        <w:t>Структура на основния капитал</w:t>
      </w:r>
    </w:p>
    <w:tbl>
      <w:tblPr>
        <w:tblW w:w="5000" w:type="pct"/>
        <w:tblCellSpacing w:w="1440" w:type="nil"/>
        <w:tblBorders>
          <w:top w:val="outset" w:sz="6" w:space="0" w:color="auto"/>
          <w:bottom w:val="outset" w:sz="6" w:space="0" w:color="auto"/>
          <w:insideH w:val="outset" w:sz="6" w:space="0" w:color="auto"/>
        </w:tblBorders>
        <w:tblLook w:val="0000" w:firstRow="0" w:lastRow="0" w:firstColumn="0" w:lastColumn="0" w:noHBand="0" w:noVBand="0"/>
      </w:tblPr>
      <w:tblGrid>
        <w:gridCol w:w="5047"/>
        <w:gridCol w:w="1267"/>
        <w:gridCol w:w="1446"/>
        <w:gridCol w:w="1528"/>
      </w:tblGrid>
      <w:tr w:rsidR="005535AD" w:rsidRPr="00723BA1" w:rsidTr="00F33646">
        <w:trPr>
          <w:tblCellSpacing w:w="1440" w:type="nil"/>
        </w:trPr>
        <w:tc>
          <w:tcPr>
            <w:tcW w:w="2674" w:type="pct"/>
          </w:tcPr>
          <w:p w:rsidR="005535AD" w:rsidRPr="00723BA1" w:rsidRDefault="005535AD" w:rsidP="00F33646">
            <w:pPr>
              <w:spacing w:line="260" w:lineRule="atLeast"/>
              <w:rPr>
                <w:rFonts w:ascii="Verdana" w:hAnsi="Verdana" w:cs="Arial"/>
                <w:b/>
                <w:color w:val="000000" w:themeColor="text1"/>
                <w:sz w:val="20"/>
              </w:rPr>
            </w:pPr>
            <w:r w:rsidRPr="00723BA1">
              <w:rPr>
                <w:rFonts w:ascii="Verdana" w:hAnsi="Verdana" w:cs="Arial"/>
                <w:b/>
                <w:color w:val="000000" w:themeColor="text1"/>
                <w:sz w:val="20"/>
              </w:rPr>
              <w:t>Акционери</w:t>
            </w:r>
          </w:p>
        </w:tc>
        <w:tc>
          <w:tcPr>
            <w:tcW w:w="651"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Участие</w:t>
            </w:r>
          </w:p>
        </w:tc>
        <w:tc>
          <w:tcPr>
            <w:tcW w:w="775"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Брой акции</w:t>
            </w:r>
          </w:p>
        </w:tc>
        <w:tc>
          <w:tcPr>
            <w:tcW w:w="798"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Номинална стойност</w:t>
            </w:r>
          </w:p>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Tahoma"/>
                <w:b/>
                <w:color w:val="000000" w:themeColor="text1"/>
                <w:sz w:val="20"/>
              </w:rPr>
              <w:t>BGN</w:t>
            </w:r>
          </w:p>
        </w:tc>
      </w:tr>
      <w:tr w:rsidR="005535AD" w:rsidRPr="00723BA1" w:rsidTr="00F33646">
        <w:trPr>
          <w:tblCellSpacing w:w="1440" w:type="nil"/>
        </w:trPr>
        <w:tc>
          <w:tcPr>
            <w:tcW w:w="2674" w:type="pct"/>
          </w:tcPr>
          <w:p w:rsidR="005535AD" w:rsidRPr="00723BA1" w:rsidRDefault="005535AD" w:rsidP="00F33646">
            <w:pPr>
              <w:spacing w:line="260" w:lineRule="atLeast"/>
              <w:rPr>
                <w:rFonts w:ascii="Verdana" w:hAnsi="Verdana" w:cs="Arial"/>
                <w:color w:val="000000" w:themeColor="text1"/>
                <w:sz w:val="20"/>
              </w:rPr>
            </w:pPr>
            <w:r w:rsidRPr="00723BA1">
              <w:rPr>
                <w:rFonts w:ascii="Verdana" w:hAnsi="Verdana" w:cs="Arial"/>
                <w:color w:val="000000" w:themeColor="text1"/>
                <w:sz w:val="20"/>
              </w:rPr>
              <w:t>Овергаз Холдинг АД</w:t>
            </w:r>
          </w:p>
        </w:tc>
        <w:tc>
          <w:tcPr>
            <w:tcW w:w="651"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99,9999%</w:t>
            </w:r>
          </w:p>
        </w:tc>
        <w:tc>
          <w:tcPr>
            <w:tcW w:w="775"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7 499 999</w:t>
            </w:r>
          </w:p>
        </w:tc>
        <w:tc>
          <w:tcPr>
            <w:tcW w:w="798"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7 499 999</w:t>
            </w:r>
          </w:p>
        </w:tc>
      </w:tr>
      <w:tr w:rsidR="005535AD" w:rsidRPr="00723BA1" w:rsidTr="00F33646">
        <w:trPr>
          <w:tblCellSpacing w:w="1440" w:type="nil"/>
        </w:trPr>
        <w:tc>
          <w:tcPr>
            <w:tcW w:w="2674" w:type="pct"/>
          </w:tcPr>
          <w:p w:rsidR="005535AD" w:rsidRPr="00723BA1" w:rsidRDefault="005535AD" w:rsidP="00F33646">
            <w:pPr>
              <w:spacing w:line="260" w:lineRule="atLeast"/>
              <w:rPr>
                <w:rFonts w:ascii="Verdana" w:hAnsi="Verdana" w:cs="Arial"/>
                <w:color w:val="000000" w:themeColor="text1"/>
                <w:sz w:val="20"/>
              </w:rPr>
            </w:pPr>
            <w:r w:rsidRPr="00723BA1">
              <w:rPr>
                <w:rFonts w:ascii="Verdana" w:hAnsi="Verdana" w:cs="Arial"/>
                <w:color w:val="000000" w:themeColor="text1"/>
                <w:sz w:val="20"/>
              </w:rPr>
              <w:t>Овергаз Директ ООД</w:t>
            </w:r>
          </w:p>
        </w:tc>
        <w:tc>
          <w:tcPr>
            <w:tcW w:w="651"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0,0001%</w:t>
            </w:r>
          </w:p>
        </w:tc>
        <w:tc>
          <w:tcPr>
            <w:tcW w:w="775"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1</w:t>
            </w:r>
          </w:p>
        </w:tc>
        <w:tc>
          <w:tcPr>
            <w:tcW w:w="798" w:type="pct"/>
          </w:tcPr>
          <w:p w:rsidR="005535AD" w:rsidRPr="00723BA1" w:rsidRDefault="005535AD" w:rsidP="00F33646">
            <w:pPr>
              <w:spacing w:line="260" w:lineRule="atLeast"/>
              <w:jc w:val="center"/>
              <w:rPr>
                <w:rFonts w:ascii="Verdana" w:hAnsi="Verdana" w:cs="Arial"/>
                <w:color w:val="000000" w:themeColor="text1"/>
                <w:sz w:val="20"/>
              </w:rPr>
            </w:pPr>
            <w:r w:rsidRPr="00723BA1">
              <w:rPr>
                <w:rFonts w:ascii="Verdana" w:hAnsi="Verdana" w:cs="Arial"/>
                <w:color w:val="000000" w:themeColor="text1"/>
                <w:sz w:val="20"/>
              </w:rPr>
              <w:t>1</w:t>
            </w:r>
          </w:p>
        </w:tc>
      </w:tr>
      <w:tr w:rsidR="005535AD" w:rsidRPr="00723BA1" w:rsidTr="00F33646">
        <w:trPr>
          <w:tblCellSpacing w:w="1440" w:type="nil"/>
        </w:trPr>
        <w:tc>
          <w:tcPr>
            <w:tcW w:w="2674" w:type="pct"/>
          </w:tcPr>
          <w:p w:rsidR="005535AD" w:rsidRPr="00723BA1" w:rsidRDefault="005535AD" w:rsidP="00F33646">
            <w:pPr>
              <w:spacing w:line="260" w:lineRule="atLeast"/>
              <w:rPr>
                <w:rFonts w:ascii="Verdana" w:hAnsi="Verdana" w:cs="Arial"/>
                <w:b/>
                <w:color w:val="000000" w:themeColor="text1"/>
                <w:sz w:val="20"/>
              </w:rPr>
            </w:pPr>
            <w:r w:rsidRPr="00723BA1">
              <w:rPr>
                <w:rFonts w:ascii="Verdana" w:hAnsi="Verdana" w:cs="Arial"/>
                <w:b/>
                <w:color w:val="000000" w:themeColor="text1"/>
                <w:sz w:val="20"/>
              </w:rPr>
              <w:t>Общо</w:t>
            </w:r>
          </w:p>
        </w:tc>
        <w:tc>
          <w:tcPr>
            <w:tcW w:w="651"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100%</w:t>
            </w:r>
          </w:p>
        </w:tc>
        <w:tc>
          <w:tcPr>
            <w:tcW w:w="775"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7 500 000</w:t>
            </w:r>
          </w:p>
        </w:tc>
        <w:tc>
          <w:tcPr>
            <w:tcW w:w="798" w:type="pct"/>
          </w:tcPr>
          <w:p w:rsidR="005535AD" w:rsidRPr="00723BA1" w:rsidRDefault="005535AD" w:rsidP="00F33646">
            <w:pPr>
              <w:spacing w:line="260" w:lineRule="atLeast"/>
              <w:jc w:val="center"/>
              <w:rPr>
                <w:rFonts w:ascii="Verdana" w:hAnsi="Verdana" w:cs="Arial"/>
                <w:b/>
                <w:color w:val="000000" w:themeColor="text1"/>
                <w:sz w:val="20"/>
              </w:rPr>
            </w:pPr>
            <w:r w:rsidRPr="00723BA1">
              <w:rPr>
                <w:rFonts w:ascii="Verdana" w:hAnsi="Verdana" w:cs="Arial"/>
                <w:b/>
                <w:color w:val="000000" w:themeColor="text1"/>
                <w:sz w:val="20"/>
              </w:rPr>
              <w:t>7 500 000</w:t>
            </w:r>
          </w:p>
        </w:tc>
      </w:tr>
    </w:tbl>
    <w:p w:rsidR="005535AD" w:rsidRPr="00723BA1" w:rsidRDefault="005535AD" w:rsidP="005535AD">
      <w:pPr>
        <w:spacing w:before="120" w:after="120" w:line="260" w:lineRule="atLeast"/>
        <w:rPr>
          <w:rFonts w:ascii="Verdana" w:hAnsi="Verdana" w:cs="Arial"/>
          <w:color w:val="000000" w:themeColor="text1"/>
          <w:sz w:val="20"/>
        </w:rPr>
      </w:pPr>
      <w:r w:rsidRPr="00723BA1">
        <w:rPr>
          <w:rFonts w:ascii="Verdana" w:hAnsi="Verdana" w:cs="Arial"/>
          <w:color w:val="000000" w:themeColor="text1"/>
          <w:sz w:val="20"/>
        </w:rPr>
        <w:t>Към 31.12.2024 г. „Топлофикация – Разград“ АД няма дъщерни дружества, както и участия в асоциирани дружества.</w:t>
      </w:r>
    </w:p>
    <w:p w:rsidR="005535AD" w:rsidRPr="00723BA1" w:rsidRDefault="005535AD" w:rsidP="005535AD">
      <w:pPr>
        <w:spacing w:before="120" w:after="120" w:line="260" w:lineRule="atLeast"/>
        <w:rPr>
          <w:rFonts w:ascii="Verdana" w:hAnsi="Verdana" w:cs="Arial"/>
          <w:color w:val="000000" w:themeColor="text1"/>
          <w:sz w:val="20"/>
        </w:rPr>
      </w:pPr>
      <w:r w:rsidRPr="00723BA1">
        <w:rPr>
          <w:rFonts w:ascii="Verdana" w:hAnsi="Verdana" w:cs="Arial"/>
          <w:color w:val="000000" w:themeColor="text1"/>
          <w:sz w:val="20"/>
        </w:rPr>
        <w:t>Към 31.12.2024 г. собственият капитал на Дружеството е в размер на 4 946 хил. лв.</w:t>
      </w:r>
    </w:p>
    <w:p w:rsidR="005535AD" w:rsidRPr="00723BA1" w:rsidRDefault="005535AD" w:rsidP="005535AD">
      <w:pPr>
        <w:pStyle w:val="BodyTextIndent"/>
        <w:spacing w:line="260" w:lineRule="atLeast"/>
        <w:ind w:left="0"/>
        <w:rPr>
          <w:rFonts w:ascii="Verdana" w:hAnsi="Verdana" w:cs="Arial"/>
          <w:bCs w:val="0"/>
          <w:snapToGrid/>
          <w:color w:val="000000" w:themeColor="text1"/>
          <w:sz w:val="20"/>
          <w:szCs w:val="20"/>
        </w:rPr>
      </w:pPr>
      <w:r w:rsidRPr="00723BA1">
        <w:rPr>
          <w:rFonts w:ascii="Verdana" w:hAnsi="Verdana" w:cs="Arial"/>
          <w:bCs w:val="0"/>
          <w:snapToGrid/>
          <w:color w:val="000000" w:themeColor="text1"/>
          <w:sz w:val="20"/>
          <w:szCs w:val="20"/>
        </w:rPr>
        <w:t>Финансовият резултат на Дружеството за 2024 г. след данъци, е загуба в размер на 513 хил. лв. Данъчното облагане на Дружеството се извършва съгласно изискванията на местното законодателство.</w:t>
      </w: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Управление</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lastRenderedPageBreak/>
        <w:t>Съгласно действащия Търговски закон в Република България, към 31.12.2024 г., „Топлофикация – Разград“ АД е акционерно дружество с едностепенна система на управление.</w:t>
      </w:r>
    </w:p>
    <w:p w:rsidR="005535AD" w:rsidRPr="00723BA1" w:rsidRDefault="005535AD" w:rsidP="005535AD">
      <w:pPr>
        <w:spacing w:before="120" w:line="260" w:lineRule="atLeast"/>
        <w:rPr>
          <w:rFonts w:ascii="Verdana" w:hAnsi="Verdana" w:cs="Arial"/>
          <w:color w:val="000000" w:themeColor="text1"/>
          <w:sz w:val="20"/>
        </w:rPr>
      </w:pPr>
      <w:r w:rsidRPr="00723BA1">
        <w:rPr>
          <w:rFonts w:ascii="Verdana" w:hAnsi="Verdana" w:cs="Arial"/>
          <w:color w:val="000000" w:themeColor="text1"/>
          <w:sz w:val="20"/>
        </w:rPr>
        <w:t>Към 31.12.2024 г. Съветът на директорите се състои от следните членове:</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lang w:val="bg-BG"/>
        </w:rPr>
      </w:pPr>
      <w:r w:rsidRPr="00723BA1">
        <w:rPr>
          <w:rFonts w:ascii="Verdana" w:hAnsi="Verdana" w:cs="Arial"/>
          <w:color w:val="000000" w:themeColor="text1"/>
          <w:sz w:val="20"/>
          <w:lang w:val="bg-BG"/>
        </w:rPr>
        <w:t>1. „Овергаз Холдинг” АД</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lang w:val="bg-BG"/>
        </w:rPr>
      </w:pPr>
      <w:r w:rsidRPr="00723BA1">
        <w:rPr>
          <w:rFonts w:ascii="Verdana" w:hAnsi="Verdana" w:cs="Arial"/>
          <w:color w:val="000000" w:themeColor="text1"/>
          <w:sz w:val="20"/>
          <w:lang w:val="bg-BG"/>
        </w:rPr>
        <w:t>2. Стефка Найденова</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lang w:val="bg-BG"/>
        </w:rPr>
      </w:pPr>
      <w:r w:rsidRPr="00723BA1">
        <w:rPr>
          <w:rFonts w:ascii="Verdana" w:hAnsi="Verdana" w:cs="Arial"/>
          <w:color w:val="000000" w:themeColor="text1"/>
          <w:sz w:val="20"/>
          <w:lang w:val="bg-BG"/>
        </w:rPr>
        <w:t>3. Михаил Ковачев</w:t>
      </w:r>
    </w:p>
    <w:p w:rsidR="005535AD" w:rsidRPr="00723BA1" w:rsidRDefault="005535AD" w:rsidP="005535AD">
      <w:pPr>
        <w:spacing w:before="100" w:line="260" w:lineRule="atLeast"/>
        <w:rPr>
          <w:rFonts w:ascii="Verdana" w:hAnsi="Verdana" w:cs="Arial"/>
          <w:color w:val="000000" w:themeColor="text1"/>
          <w:sz w:val="20"/>
        </w:rPr>
      </w:pPr>
      <w:r w:rsidRPr="00723BA1">
        <w:rPr>
          <w:rFonts w:ascii="Verdana" w:hAnsi="Verdana" w:cs="Arial"/>
          <w:color w:val="000000" w:themeColor="text1"/>
          <w:sz w:val="20"/>
        </w:rPr>
        <w:t>Изпълнителен Директор на Дружеството е Михаил Николаев Ковачев.</w:t>
      </w:r>
    </w:p>
    <w:p w:rsidR="005535AD" w:rsidRPr="00723BA1" w:rsidRDefault="005535AD" w:rsidP="005535AD">
      <w:pPr>
        <w:spacing w:before="100" w:line="260" w:lineRule="atLeast"/>
        <w:rPr>
          <w:rFonts w:ascii="Verdana" w:hAnsi="Verdana" w:cs="Arial"/>
          <w:color w:val="000000" w:themeColor="text1"/>
          <w:sz w:val="20"/>
        </w:rPr>
      </w:pPr>
      <w:r w:rsidRPr="00723BA1">
        <w:rPr>
          <w:rFonts w:ascii="Verdana" w:hAnsi="Verdana" w:cs="Arial"/>
          <w:color w:val="000000" w:themeColor="text1"/>
          <w:sz w:val="20"/>
        </w:rPr>
        <w:t>През годината няма промени в състава на съвета на директорите.</w:t>
      </w: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Човешки ресурси</w:t>
      </w:r>
    </w:p>
    <w:p w:rsidR="005535AD" w:rsidRPr="00723BA1" w:rsidRDefault="005535AD" w:rsidP="005535AD">
      <w:pPr>
        <w:spacing w:line="260" w:lineRule="atLeast"/>
        <w:jc w:val="left"/>
        <w:rPr>
          <w:rFonts w:ascii="Arial" w:hAnsi="Arial" w:cs="Arial"/>
          <w:color w:val="000000"/>
          <w:sz w:val="24"/>
          <w:szCs w:val="24"/>
          <w:lang w:val="en-GB" w:eastAsia="en-GB"/>
        </w:rPr>
      </w:pPr>
      <w:proofErr w:type="spellStart"/>
      <w:r w:rsidRPr="00723BA1">
        <w:rPr>
          <w:rFonts w:ascii="Verdana" w:hAnsi="Verdana" w:cs="Arial"/>
          <w:i/>
          <w:iCs/>
          <w:color w:val="000000"/>
          <w:sz w:val="20"/>
          <w:lang w:val="en-GB" w:eastAsia="en-GB"/>
        </w:rPr>
        <w:t>Персонал</w:t>
      </w:r>
      <w:proofErr w:type="spellEnd"/>
    </w:p>
    <w:p w:rsidR="005535AD" w:rsidRPr="00723BA1" w:rsidRDefault="005535AD" w:rsidP="005535AD">
      <w:pPr>
        <w:rPr>
          <w:rFonts w:ascii="Arial" w:hAnsi="Arial" w:cs="Arial"/>
          <w:color w:val="000000"/>
          <w:sz w:val="24"/>
          <w:szCs w:val="24"/>
          <w:lang w:val="en-GB" w:eastAsia="en-GB"/>
        </w:rPr>
      </w:pPr>
      <w:proofErr w:type="spellStart"/>
      <w:r w:rsidRPr="00723BA1">
        <w:rPr>
          <w:rFonts w:ascii="Verdana" w:hAnsi="Verdana" w:cs="Arial"/>
          <w:color w:val="000000"/>
          <w:sz w:val="20"/>
          <w:lang w:val="en-GB" w:eastAsia="en-GB"/>
        </w:rPr>
        <w:t>Персоналът</w:t>
      </w:r>
      <w:proofErr w:type="spellEnd"/>
      <w:r w:rsidRPr="00723BA1">
        <w:rPr>
          <w:rFonts w:ascii="Verdana" w:hAnsi="Verdana" w:cs="Arial"/>
          <w:color w:val="000000"/>
          <w:sz w:val="20"/>
          <w:lang w:val="en-GB" w:eastAsia="en-GB"/>
        </w:rPr>
        <w:t xml:space="preserve">, с </w:t>
      </w:r>
      <w:proofErr w:type="spellStart"/>
      <w:r w:rsidRPr="00723BA1">
        <w:rPr>
          <w:rFonts w:ascii="Verdana" w:hAnsi="Verdana" w:cs="Arial"/>
          <w:color w:val="000000"/>
          <w:sz w:val="20"/>
          <w:lang w:val="en-GB" w:eastAsia="en-GB"/>
        </w:rPr>
        <w:t>който</w:t>
      </w:r>
      <w:proofErr w:type="spellEnd"/>
      <w:r w:rsidRPr="00723BA1">
        <w:rPr>
          <w:rFonts w:ascii="Verdana" w:hAnsi="Verdana" w:cs="Arial"/>
          <w:color w:val="000000"/>
          <w:sz w:val="20"/>
          <w:lang w:val="en-GB" w:eastAsia="en-GB"/>
        </w:rPr>
        <w:t xml:space="preserve"> е </w:t>
      </w:r>
      <w:proofErr w:type="spellStart"/>
      <w:r w:rsidRPr="00723BA1">
        <w:rPr>
          <w:rFonts w:ascii="Verdana" w:hAnsi="Verdana" w:cs="Arial"/>
          <w:color w:val="000000"/>
          <w:sz w:val="20"/>
          <w:lang w:val="en-GB" w:eastAsia="en-GB"/>
        </w:rPr>
        <w:t>реализирана</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производствената</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програма</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през</w:t>
      </w:r>
      <w:proofErr w:type="spellEnd"/>
      <w:r w:rsidRPr="00723BA1">
        <w:rPr>
          <w:rFonts w:ascii="Verdana" w:hAnsi="Verdana" w:cs="Arial"/>
          <w:color w:val="000000"/>
          <w:sz w:val="20"/>
          <w:lang w:val="en-GB" w:eastAsia="en-GB"/>
        </w:rPr>
        <w:t xml:space="preserve"> 2024 г. </w:t>
      </w:r>
      <w:proofErr w:type="spellStart"/>
      <w:r w:rsidRPr="00723BA1">
        <w:rPr>
          <w:rFonts w:ascii="Verdana" w:hAnsi="Verdana" w:cs="Arial"/>
          <w:color w:val="000000"/>
          <w:sz w:val="20"/>
          <w:lang w:val="en-GB" w:eastAsia="en-GB"/>
        </w:rPr>
        <w:t>средно</w:t>
      </w:r>
      <w:proofErr w:type="spellEnd"/>
      <w:r w:rsidRPr="00723BA1">
        <w:rPr>
          <w:rFonts w:ascii="Verdana" w:hAnsi="Verdana" w:cs="Arial"/>
          <w:color w:val="000000"/>
          <w:sz w:val="20"/>
          <w:lang w:val="en-GB" w:eastAsia="en-GB"/>
        </w:rPr>
        <w:t xml:space="preserve"> е 34 </w:t>
      </w:r>
      <w:proofErr w:type="spellStart"/>
      <w:r w:rsidRPr="00723BA1">
        <w:rPr>
          <w:rFonts w:ascii="Verdana" w:hAnsi="Verdana" w:cs="Arial"/>
          <w:color w:val="000000"/>
          <w:sz w:val="20"/>
          <w:lang w:val="en-GB" w:eastAsia="en-GB"/>
        </w:rPr>
        <w:t>човека</w:t>
      </w:r>
      <w:proofErr w:type="spellEnd"/>
      <w:r w:rsidRPr="00723BA1">
        <w:rPr>
          <w:rFonts w:ascii="Verdana" w:hAnsi="Verdana" w:cs="Arial"/>
          <w:color w:val="000000"/>
          <w:sz w:val="20"/>
          <w:lang w:val="en-GB" w:eastAsia="en-GB"/>
        </w:rPr>
        <w:t xml:space="preserve">, от </w:t>
      </w:r>
      <w:proofErr w:type="spellStart"/>
      <w:r w:rsidRPr="00723BA1">
        <w:rPr>
          <w:rFonts w:ascii="Verdana" w:hAnsi="Verdana" w:cs="Arial"/>
          <w:color w:val="000000"/>
          <w:sz w:val="20"/>
          <w:lang w:val="en-GB" w:eastAsia="en-GB"/>
        </w:rPr>
        <w:t>които</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работниците</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заети</w:t>
      </w:r>
      <w:proofErr w:type="spellEnd"/>
      <w:r w:rsidRPr="00723BA1">
        <w:rPr>
          <w:rFonts w:ascii="Verdana" w:hAnsi="Verdana" w:cs="Arial"/>
          <w:color w:val="000000"/>
          <w:sz w:val="20"/>
          <w:lang w:val="en-GB" w:eastAsia="en-GB"/>
        </w:rPr>
        <w:t xml:space="preserve"> в </w:t>
      </w:r>
      <w:proofErr w:type="spellStart"/>
      <w:r w:rsidRPr="00723BA1">
        <w:rPr>
          <w:rFonts w:ascii="Verdana" w:hAnsi="Verdana" w:cs="Arial"/>
          <w:color w:val="000000"/>
          <w:sz w:val="20"/>
          <w:lang w:val="en-GB" w:eastAsia="en-GB"/>
        </w:rPr>
        <w:t>основната</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дейност</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са</w:t>
      </w:r>
      <w:proofErr w:type="spellEnd"/>
      <w:r w:rsidRPr="00723BA1">
        <w:rPr>
          <w:rFonts w:ascii="Verdana" w:hAnsi="Verdana" w:cs="Arial"/>
          <w:color w:val="000000"/>
          <w:sz w:val="20"/>
          <w:lang w:val="en-GB" w:eastAsia="en-GB"/>
        </w:rPr>
        <w:t xml:space="preserve"> 22 </w:t>
      </w:r>
      <w:proofErr w:type="spellStart"/>
      <w:r w:rsidRPr="00723BA1">
        <w:rPr>
          <w:rFonts w:ascii="Verdana" w:hAnsi="Verdana" w:cs="Arial"/>
          <w:color w:val="000000"/>
          <w:sz w:val="20"/>
          <w:lang w:val="en-GB" w:eastAsia="en-GB"/>
        </w:rPr>
        <w:t>души</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представляващи</w:t>
      </w:r>
      <w:proofErr w:type="spellEnd"/>
      <w:r w:rsidRPr="00723BA1">
        <w:rPr>
          <w:rFonts w:ascii="Verdana" w:hAnsi="Verdana" w:cs="Arial"/>
          <w:color w:val="000000"/>
          <w:sz w:val="20"/>
          <w:lang w:val="en-GB" w:eastAsia="en-GB"/>
        </w:rPr>
        <w:t xml:space="preserve"> 65%, а </w:t>
      </w:r>
      <w:proofErr w:type="spellStart"/>
      <w:r w:rsidRPr="00723BA1">
        <w:rPr>
          <w:rFonts w:ascii="Verdana" w:hAnsi="Verdana" w:cs="Arial"/>
          <w:color w:val="000000"/>
          <w:sz w:val="20"/>
          <w:lang w:val="en-GB" w:eastAsia="en-GB"/>
        </w:rPr>
        <w:t>останалите</w:t>
      </w:r>
      <w:proofErr w:type="spellEnd"/>
      <w:r w:rsidRPr="00723BA1">
        <w:rPr>
          <w:rFonts w:ascii="Verdana" w:hAnsi="Verdana" w:cs="Arial"/>
          <w:color w:val="000000"/>
          <w:sz w:val="20"/>
          <w:lang w:val="en-GB" w:eastAsia="en-GB"/>
        </w:rPr>
        <w:t xml:space="preserve"> 35% </w:t>
      </w:r>
      <w:proofErr w:type="spellStart"/>
      <w:r w:rsidRPr="00723BA1">
        <w:rPr>
          <w:rFonts w:ascii="Verdana" w:hAnsi="Verdana" w:cs="Arial"/>
          <w:color w:val="000000"/>
          <w:sz w:val="20"/>
          <w:lang w:val="en-GB" w:eastAsia="en-GB"/>
        </w:rPr>
        <w:t>включват</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спомагателния</w:t>
      </w:r>
      <w:proofErr w:type="spellEnd"/>
      <w:r w:rsidRPr="00723BA1">
        <w:rPr>
          <w:rFonts w:ascii="Verdana" w:hAnsi="Verdana" w:cs="Arial"/>
          <w:color w:val="000000"/>
          <w:sz w:val="20"/>
          <w:lang w:val="en-GB" w:eastAsia="en-GB"/>
        </w:rPr>
        <w:t xml:space="preserve"> и </w:t>
      </w:r>
      <w:proofErr w:type="spellStart"/>
      <w:r w:rsidRPr="00723BA1">
        <w:rPr>
          <w:rFonts w:ascii="Verdana" w:hAnsi="Verdana" w:cs="Arial"/>
          <w:color w:val="000000"/>
          <w:sz w:val="20"/>
          <w:lang w:val="en-GB" w:eastAsia="en-GB"/>
        </w:rPr>
        <w:t>административен</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персонал</w:t>
      </w:r>
      <w:proofErr w:type="spellEnd"/>
      <w:r w:rsidRPr="00723BA1">
        <w:rPr>
          <w:rFonts w:ascii="Verdana" w:hAnsi="Verdana" w:cs="Arial"/>
          <w:color w:val="000000"/>
          <w:sz w:val="20"/>
          <w:lang w:val="en-GB" w:eastAsia="en-GB"/>
        </w:rPr>
        <w:t xml:space="preserve"> – 12 </w:t>
      </w:r>
      <w:proofErr w:type="spellStart"/>
      <w:r w:rsidRPr="00723BA1">
        <w:rPr>
          <w:rFonts w:ascii="Verdana" w:hAnsi="Verdana" w:cs="Arial"/>
          <w:color w:val="000000"/>
          <w:sz w:val="20"/>
          <w:lang w:val="en-GB" w:eastAsia="en-GB"/>
        </w:rPr>
        <w:t>човека</w:t>
      </w:r>
      <w:proofErr w:type="spellEnd"/>
      <w:r w:rsidRPr="00723BA1">
        <w:rPr>
          <w:rFonts w:ascii="Verdana" w:hAnsi="Verdana" w:cs="Arial"/>
          <w:color w:val="000000"/>
          <w:sz w:val="20"/>
          <w:lang w:val="en-GB" w:eastAsia="en-GB"/>
        </w:rPr>
        <w:t xml:space="preserve"> </w:t>
      </w:r>
      <w:proofErr w:type="spellStart"/>
      <w:r w:rsidRPr="00723BA1">
        <w:rPr>
          <w:rFonts w:ascii="Verdana" w:hAnsi="Verdana" w:cs="Arial"/>
          <w:color w:val="000000"/>
          <w:sz w:val="20"/>
          <w:lang w:val="en-GB" w:eastAsia="en-GB"/>
        </w:rPr>
        <w:t>персонал</w:t>
      </w:r>
      <w:proofErr w:type="spellEnd"/>
    </w:p>
    <w:p w:rsidR="005535AD" w:rsidRPr="00723BA1" w:rsidRDefault="005535AD" w:rsidP="005535AD">
      <w:pPr>
        <w:pStyle w:val="NormalWeb"/>
        <w:spacing w:before="0" w:beforeAutospacing="0" w:after="0" w:afterAutospacing="0" w:line="260" w:lineRule="atLeast"/>
        <w:rPr>
          <w:rFonts w:ascii="Verdana" w:hAnsi="Verdana"/>
          <w:color w:val="000000" w:themeColor="text1"/>
        </w:rPr>
      </w:pPr>
    </w:p>
    <w:p w:rsidR="005535AD" w:rsidRPr="00723BA1" w:rsidRDefault="005535AD" w:rsidP="005535AD">
      <w:pPr>
        <w:pStyle w:val="BodyText"/>
        <w:spacing w:after="0" w:line="260" w:lineRule="atLeast"/>
        <w:rPr>
          <w:rFonts w:ascii="Verdana" w:hAnsi="Verdana" w:cs="Arial"/>
          <w:bCs w:val="0"/>
          <w:i/>
          <w:iCs/>
          <w:color w:val="000000" w:themeColor="text1"/>
          <w:sz w:val="20"/>
          <w:szCs w:val="20"/>
          <w:lang w:val="bg-BG"/>
        </w:rPr>
      </w:pPr>
      <w:r w:rsidRPr="00723BA1">
        <w:rPr>
          <w:rFonts w:ascii="Verdana" w:hAnsi="Verdana" w:cs="Arial"/>
          <w:bCs w:val="0"/>
          <w:i/>
          <w:iCs/>
          <w:color w:val="000000" w:themeColor="text1"/>
          <w:sz w:val="20"/>
          <w:szCs w:val="20"/>
          <w:lang w:val="bg-BG"/>
        </w:rPr>
        <w:t>Работна заплата</w:t>
      </w:r>
    </w:p>
    <w:p w:rsidR="005535AD" w:rsidRPr="00723BA1" w:rsidRDefault="005535AD" w:rsidP="005535AD">
      <w:pPr>
        <w:pStyle w:val="BodyText"/>
        <w:spacing w:after="0" w:line="260" w:lineRule="atLeast"/>
        <w:rPr>
          <w:rFonts w:ascii="Verdana" w:hAnsi="Verdana" w:cs="Arial"/>
          <w:bCs w:val="0"/>
          <w:iCs/>
          <w:color w:val="000000" w:themeColor="text1"/>
          <w:sz w:val="20"/>
          <w:szCs w:val="20"/>
          <w:lang w:val="bg-BG"/>
        </w:rPr>
      </w:pPr>
      <w:r w:rsidRPr="00723BA1">
        <w:rPr>
          <w:rFonts w:ascii="Verdana" w:hAnsi="Verdana" w:cs="Arial"/>
          <w:bCs w:val="0"/>
          <w:iCs/>
          <w:color w:val="000000" w:themeColor="text1"/>
          <w:sz w:val="20"/>
          <w:szCs w:val="20"/>
          <w:lang w:val="bg-BG"/>
        </w:rPr>
        <w:t xml:space="preserve">Начислените и изплатени средства за работна заплата за отчетната година са в размер на </w:t>
      </w:r>
      <w:r w:rsidRPr="00723BA1">
        <w:rPr>
          <w:rFonts w:ascii="Verdana" w:hAnsi="Verdana" w:cs="Arial"/>
          <w:bCs w:val="0"/>
          <w:iCs/>
          <w:color w:val="000000" w:themeColor="text1"/>
          <w:sz w:val="20"/>
          <w:szCs w:val="20"/>
          <w:lang w:val="en-GB"/>
        </w:rPr>
        <w:t>801</w:t>
      </w:r>
      <w:r w:rsidRPr="00723BA1">
        <w:rPr>
          <w:rFonts w:ascii="Verdana" w:hAnsi="Verdana" w:cs="Arial"/>
          <w:bCs w:val="0"/>
          <w:iCs/>
          <w:color w:val="000000" w:themeColor="text1"/>
          <w:sz w:val="20"/>
          <w:szCs w:val="20"/>
          <w:lang w:val="bg-BG"/>
        </w:rPr>
        <w:t xml:space="preserve"> хил. лв., от които </w:t>
      </w:r>
      <w:r w:rsidRPr="00723BA1">
        <w:rPr>
          <w:rFonts w:ascii="Verdana" w:hAnsi="Verdana" w:cs="Arial"/>
          <w:bCs w:val="0"/>
          <w:iCs/>
          <w:color w:val="000000" w:themeColor="text1"/>
          <w:sz w:val="20"/>
          <w:szCs w:val="20"/>
          <w:lang w:val="en-GB"/>
        </w:rPr>
        <w:t>509</w:t>
      </w:r>
      <w:r w:rsidRPr="00723BA1">
        <w:rPr>
          <w:rFonts w:ascii="Verdana" w:hAnsi="Verdana" w:cs="Arial"/>
          <w:bCs w:val="0"/>
          <w:iCs/>
          <w:color w:val="000000" w:themeColor="text1"/>
          <w:sz w:val="20"/>
          <w:szCs w:val="20"/>
          <w:lang w:val="bg-BG"/>
        </w:rPr>
        <w:t xml:space="preserve"> хил. лв. на производствения персонал и </w:t>
      </w:r>
      <w:r w:rsidRPr="00723BA1">
        <w:rPr>
          <w:rFonts w:ascii="Verdana" w:hAnsi="Verdana" w:cs="Arial"/>
          <w:bCs w:val="0"/>
          <w:iCs/>
          <w:color w:val="000000" w:themeColor="text1"/>
          <w:sz w:val="20"/>
          <w:szCs w:val="20"/>
          <w:lang w:val="en-GB"/>
        </w:rPr>
        <w:t>292</w:t>
      </w:r>
      <w:r w:rsidRPr="00723BA1">
        <w:rPr>
          <w:rFonts w:ascii="Verdana" w:hAnsi="Verdana" w:cs="Arial"/>
          <w:bCs w:val="0"/>
          <w:iCs/>
          <w:color w:val="000000" w:themeColor="text1"/>
          <w:sz w:val="20"/>
          <w:szCs w:val="20"/>
          <w:lang w:val="bg-BG"/>
        </w:rPr>
        <w:t xml:space="preserve"> хил. лв. на административния. </w:t>
      </w:r>
    </w:p>
    <w:p w:rsidR="005535AD" w:rsidRPr="00723BA1" w:rsidRDefault="005535AD" w:rsidP="005535AD">
      <w:pPr>
        <w:pStyle w:val="BodyText"/>
        <w:spacing w:after="0" w:line="260" w:lineRule="atLeast"/>
        <w:rPr>
          <w:rFonts w:ascii="Verdana" w:hAnsi="Verdana" w:cs="Arial"/>
          <w:bCs w:val="0"/>
          <w:iCs/>
          <w:color w:val="000000" w:themeColor="text1"/>
          <w:sz w:val="20"/>
          <w:szCs w:val="20"/>
          <w:lang w:val="bg-BG"/>
        </w:rPr>
      </w:pPr>
    </w:p>
    <w:p w:rsidR="005535AD" w:rsidRPr="00723BA1" w:rsidRDefault="005535AD" w:rsidP="005535AD">
      <w:pPr>
        <w:pStyle w:val="BodyText"/>
        <w:spacing w:after="0" w:line="260" w:lineRule="atLeast"/>
        <w:rPr>
          <w:rFonts w:ascii="Verdana" w:hAnsi="Verdana" w:cs="Arial"/>
          <w:bCs w:val="0"/>
          <w:i/>
          <w:iCs/>
          <w:color w:val="000000" w:themeColor="text1"/>
          <w:sz w:val="20"/>
          <w:szCs w:val="20"/>
          <w:lang w:val="bg-BG"/>
        </w:rPr>
      </w:pPr>
      <w:r w:rsidRPr="00723BA1">
        <w:rPr>
          <w:rFonts w:ascii="Verdana" w:hAnsi="Verdana" w:cs="Arial"/>
          <w:bCs w:val="0"/>
          <w:i/>
          <w:iCs/>
          <w:color w:val="000000" w:themeColor="text1"/>
          <w:sz w:val="20"/>
          <w:szCs w:val="20"/>
          <w:lang w:val="bg-BG"/>
        </w:rPr>
        <w:t>Социални придобивки</w:t>
      </w:r>
    </w:p>
    <w:p w:rsidR="005535AD" w:rsidRPr="00723BA1" w:rsidRDefault="005535AD" w:rsidP="005535AD">
      <w:pPr>
        <w:pStyle w:val="BodyText"/>
        <w:spacing w:after="0" w:line="260" w:lineRule="atLeast"/>
        <w:rPr>
          <w:rFonts w:ascii="Verdana" w:hAnsi="Verdana" w:cs="Arial"/>
          <w:bCs w:val="0"/>
          <w:iCs/>
          <w:color w:val="000000" w:themeColor="text1"/>
          <w:sz w:val="20"/>
          <w:szCs w:val="20"/>
          <w:lang w:val="bg-BG"/>
        </w:rPr>
      </w:pPr>
      <w:r w:rsidRPr="00723BA1">
        <w:rPr>
          <w:rFonts w:ascii="Verdana" w:hAnsi="Verdana" w:cs="Arial"/>
          <w:bCs w:val="0"/>
          <w:iCs/>
          <w:color w:val="000000" w:themeColor="text1"/>
          <w:sz w:val="20"/>
          <w:szCs w:val="20"/>
          <w:lang w:val="bg-BG"/>
        </w:rPr>
        <w:t>Към предоставените социални придобивки можем да отчетем предоставянето на средства за храна, застраховки „Живот“, допълнителна здравна застраховка.</w:t>
      </w:r>
    </w:p>
    <w:p w:rsidR="005535AD" w:rsidRPr="00723BA1" w:rsidRDefault="005535AD" w:rsidP="005535AD">
      <w:pPr>
        <w:spacing w:before="100" w:line="260" w:lineRule="atLeast"/>
        <w:rPr>
          <w:rFonts w:ascii="Verdana" w:hAnsi="Verdana" w:cs="Arial"/>
          <w:color w:val="000000" w:themeColor="text1"/>
          <w:sz w:val="20"/>
        </w:rPr>
      </w:pP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Нетекущи активи</w:t>
      </w:r>
    </w:p>
    <w:p w:rsidR="005535AD" w:rsidRPr="00723BA1" w:rsidRDefault="005535AD" w:rsidP="005535AD">
      <w:pPr>
        <w:pStyle w:val="List"/>
        <w:spacing w:line="260" w:lineRule="atLeast"/>
        <w:ind w:left="0" w:firstLine="0"/>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Дружеството разполага с:</w:t>
      </w:r>
    </w:p>
    <w:p w:rsidR="005535AD" w:rsidRPr="00723BA1" w:rsidRDefault="005535AD" w:rsidP="005535AD">
      <w:pPr>
        <w:pStyle w:val="List"/>
        <w:numPr>
          <w:ilvl w:val="0"/>
          <w:numId w:val="6"/>
        </w:numPr>
        <w:spacing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дълготрайни материални активи от следните групи (балансова стойност):</w:t>
      </w:r>
    </w:p>
    <w:p w:rsidR="005535AD" w:rsidRPr="00723BA1" w:rsidRDefault="005535AD" w:rsidP="005535AD">
      <w:pPr>
        <w:pStyle w:val="List"/>
        <w:numPr>
          <w:ilvl w:val="0"/>
          <w:numId w:val="3"/>
        </w:numPr>
        <w:spacing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 xml:space="preserve">Земи – 1 </w:t>
      </w:r>
      <w:r w:rsidRPr="00723BA1">
        <w:rPr>
          <w:rFonts w:ascii="Verdana" w:hAnsi="Verdana" w:cs="Arial"/>
          <w:bCs w:val="0"/>
          <w:color w:val="000000" w:themeColor="text1"/>
          <w:szCs w:val="20"/>
          <w:lang w:val="en-GB"/>
        </w:rPr>
        <w:t>760</w:t>
      </w:r>
      <w:r w:rsidRPr="00723BA1">
        <w:rPr>
          <w:rFonts w:ascii="Verdana" w:hAnsi="Verdana" w:cs="Arial"/>
          <w:bCs w:val="0"/>
          <w:color w:val="000000" w:themeColor="text1"/>
          <w:szCs w:val="20"/>
          <w:lang w:val="bg-BG"/>
        </w:rPr>
        <w:t xml:space="preserve"> хил. лв.;</w:t>
      </w:r>
    </w:p>
    <w:p w:rsidR="005535AD" w:rsidRPr="00723BA1" w:rsidRDefault="005535AD" w:rsidP="005535AD">
      <w:pPr>
        <w:pStyle w:val="List"/>
        <w:numPr>
          <w:ilvl w:val="0"/>
          <w:numId w:val="3"/>
        </w:numPr>
        <w:spacing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 xml:space="preserve">Сгради – </w:t>
      </w:r>
      <w:r w:rsidRPr="00723BA1">
        <w:rPr>
          <w:rFonts w:ascii="Verdana" w:hAnsi="Verdana" w:cs="Arial"/>
          <w:bCs w:val="0"/>
          <w:color w:val="000000" w:themeColor="text1"/>
          <w:szCs w:val="20"/>
          <w:lang w:val="en-GB"/>
        </w:rPr>
        <w:t>376</w:t>
      </w:r>
      <w:r w:rsidRPr="00723BA1">
        <w:rPr>
          <w:rFonts w:ascii="Verdana" w:hAnsi="Verdana" w:cs="Arial"/>
          <w:bCs w:val="0"/>
          <w:color w:val="000000" w:themeColor="text1"/>
          <w:szCs w:val="20"/>
          <w:lang w:val="bg-BG"/>
        </w:rPr>
        <w:t xml:space="preserve"> хил. лв.;</w:t>
      </w:r>
    </w:p>
    <w:p w:rsidR="005535AD" w:rsidRPr="00723BA1" w:rsidRDefault="005535AD" w:rsidP="005535AD">
      <w:pPr>
        <w:pStyle w:val="List"/>
        <w:numPr>
          <w:ilvl w:val="0"/>
          <w:numId w:val="3"/>
        </w:numPr>
        <w:spacing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Машини, съоръжения</w:t>
      </w:r>
      <w:r w:rsidRPr="00723BA1">
        <w:rPr>
          <w:rFonts w:ascii="Verdana" w:hAnsi="Verdana" w:cs="Arial"/>
          <w:bCs w:val="0"/>
          <w:color w:val="000000" w:themeColor="text1"/>
          <w:szCs w:val="20"/>
          <w:lang w:val="en-GB"/>
        </w:rPr>
        <w:t xml:space="preserve"> </w:t>
      </w:r>
      <w:r w:rsidRPr="00723BA1">
        <w:rPr>
          <w:rFonts w:ascii="Verdana" w:hAnsi="Verdana" w:cs="Arial"/>
          <w:bCs w:val="0"/>
          <w:color w:val="000000" w:themeColor="text1"/>
          <w:szCs w:val="20"/>
          <w:lang w:val="bg-BG"/>
        </w:rPr>
        <w:t>и оборудване – 4 763 хил. лв.;</w:t>
      </w:r>
    </w:p>
    <w:p w:rsidR="005535AD" w:rsidRPr="00723BA1" w:rsidRDefault="005535AD" w:rsidP="005535AD">
      <w:pPr>
        <w:pStyle w:val="List"/>
        <w:numPr>
          <w:ilvl w:val="0"/>
          <w:numId w:val="3"/>
        </w:numPr>
        <w:spacing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Активи в процес на изграждане, невъведени в експлоатация – 308 хил. лв.</w:t>
      </w:r>
    </w:p>
    <w:p w:rsidR="005535AD" w:rsidRPr="00723BA1" w:rsidRDefault="005535AD" w:rsidP="005535AD">
      <w:pPr>
        <w:pStyle w:val="List"/>
        <w:spacing w:line="260" w:lineRule="atLeast"/>
        <w:ind w:left="720" w:firstLine="0"/>
        <w:jc w:val="both"/>
        <w:rPr>
          <w:rFonts w:ascii="Verdana" w:hAnsi="Verdana" w:cs="Arial"/>
          <w:bCs w:val="0"/>
          <w:color w:val="000000" w:themeColor="text1"/>
          <w:szCs w:val="20"/>
          <w:lang w:val="bg-BG"/>
        </w:rPr>
      </w:pPr>
    </w:p>
    <w:p w:rsidR="005535AD" w:rsidRPr="00723BA1" w:rsidRDefault="005535AD" w:rsidP="005535AD">
      <w:pPr>
        <w:pStyle w:val="List"/>
        <w:numPr>
          <w:ilvl w:val="0"/>
          <w:numId w:val="6"/>
        </w:numPr>
        <w:spacing w:before="60"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дълготрайни нематериални активи (балансова стойност):</w:t>
      </w:r>
    </w:p>
    <w:p w:rsidR="005535AD" w:rsidRPr="00723BA1" w:rsidRDefault="005535AD" w:rsidP="005535AD">
      <w:pPr>
        <w:pStyle w:val="List"/>
        <w:numPr>
          <w:ilvl w:val="0"/>
          <w:numId w:val="3"/>
        </w:numPr>
        <w:spacing w:before="60" w:line="260" w:lineRule="atLeast"/>
        <w:jc w:val="both"/>
        <w:rPr>
          <w:rFonts w:ascii="Verdana" w:hAnsi="Verdana" w:cs="Arial"/>
          <w:bCs w:val="0"/>
          <w:color w:val="000000" w:themeColor="text1"/>
          <w:szCs w:val="20"/>
          <w:lang w:val="bg-BG"/>
        </w:rPr>
      </w:pPr>
      <w:r w:rsidRPr="00723BA1">
        <w:rPr>
          <w:rFonts w:ascii="Verdana" w:hAnsi="Verdana" w:cs="Arial"/>
          <w:bCs w:val="0"/>
          <w:color w:val="000000" w:themeColor="text1"/>
          <w:szCs w:val="20"/>
          <w:lang w:val="bg-BG"/>
        </w:rPr>
        <w:t>софтуер за събиране на вземанията – 171 хил. лв.;</w:t>
      </w:r>
    </w:p>
    <w:p w:rsidR="005535AD" w:rsidRPr="00723BA1" w:rsidRDefault="005535AD" w:rsidP="005535AD">
      <w:pPr>
        <w:pStyle w:val="List"/>
        <w:spacing w:before="60" w:line="260" w:lineRule="atLeast"/>
        <w:ind w:left="0" w:firstLine="0"/>
        <w:jc w:val="both"/>
        <w:rPr>
          <w:rFonts w:ascii="Verdana" w:hAnsi="Verdana" w:cs="Arial"/>
          <w:bCs w:val="0"/>
          <w:color w:val="000000" w:themeColor="text1"/>
          <w:szCs w:val="20"/>
          <w:lang w:val="bg-BG"/>
        </w:rPr>
      </w:pP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Производствен процес</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Производственият процес на Дружеството се характеризира с производство на топлинна и електрическа енергия чрез инсталация за комбинирано производство и производство на топлинна енергия с водогрейни котли.</w:t>
      </w: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Приходи</w:t>
      </w:r>
    </w:p>
    <w:p w:rsidR="005535AD" w:rsidRPr="00723BA1" w:rsidRDefault="005535AD" w:rsidP="005535AD">
      <w:pPr>
        <w:pStyle w:val="BodyTextIndent"/>
        <w:spacing w:before="0" w:line="260" w:lineRule="atLeast"/>
        <w:ind w:left="0"/>
        <w:rPr>
          <w:rFonts w:ascii="Verdana" w:hAnsi="Verdana" w:cs="Arial"/>
          <w:bCs w:val="0"/>
          <w:snapToGrid/>
          <w:color w:val="000000" w:themeColor="text1"/>
          <w:sz w:val="20"/>
          <w:szCs w:val="20"/>
        </w:rPr>
      </w:pPr>
      <w:r w:rsidRPr="00723BA1">
        <w:rPr>
          <w:rFonts w:ascii="Verdana" w:hAnsi="Verdana" w:cs="Arial"/>
          <w:bCs w:val="0"/>
          <w:snapToGrid/>
          <w:color w:val="000000" w:themeColor="text1"/>
          <w:sz w:val="20"/>
          <w:szCs w:val="20"/>
        </w:rPr>
        <w:t>Основният дял от приходите на Дружеството са от продажба на топлинна и електрическа енергия в размер на 6 162 хил. лв. (8 559 хил. лв. за 2023 г.), както следва:</w:t>
      </w:r>
    </w:p>
    <w:p w:rsidR="005535AD" w:rsidRPr="00723BA1" w:rsidRDefault="005535AD" w:rsidP="005535AD">
      <w:pPr>
        <w:pStyle w:val="BodyTextIndent"/>
        <w:numPr>
          <w:ilvl w:val="0"/>
          <w:numId w:val="2"/>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приходи от топлинна енергия – 2 348 хил. лв. (2 674 хил. лв. през 2023 г.);</w:t>
      </w:r>
    </w:p>
    <w:p w:rsidR="005535AD" w:rsidRPr="00723BA1" w:rsidRDefault="005535AD" w:rsidP="005535AD">
      <w:pPr>
        <w:pStyle w:val="BodyTextIndent"/>
        <w:numPr>
          <w:ilvl w:val="0"/>
          <w:numId w:val="2"/>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приходи от електрическа енергия –3 814 хил. лв. (5 885 хил. лв. през 2023 г.).</w:t>
      </w:r>
    </w:p>
    <w:p w:rsidR="005535AD" w:rsidRPr="00723BA1" w:rsidRDefault="005535AD" w:rsidP="005535AD">
      <w:pPr>
        <w:pStyle w:val="BodyTextIndent"/>
        <w:spacing w:after="120" w:line="260" w:lineRule="atLeast"/>
        <w:ind w:left="0"/>
        <w:rPr>
          <w:rFonts w:ascii="Verdana" w:hAnsi="Verdana" w:cs="Arial"/>
          <w:color w:val="000000" w:themeColor="text1"/>
          <w:sz w:val="20"/>
          <w:szCs w:val="20"/>
        </w:rPr>
      </w:pPr>
      <w:r w:rsidRPr="00723BA1">
        <w:rPr>
          <w:rFonts w:ascii="Verdana" w:hAnsi="Verdana" w:cs="Arial"/>
          <w:color w:val="000000" w:themeColor="text1"/>
          <w:sz w:val="20"/>
          <w:szCs w:val="20"/>
        </w:rPr>
        <w:t xml:space="preserve">През 2024 г., Дружеството отчита с приблизително 326 хил. лв. по-малко приходи от топлинна енергия и около 2 071 хил. лв. от електрическа енергия. </w:t>
      </w:r>
    </w:p>
    <w:p w:rsidR="005535AD" w:rsidRPr="00723BA1" w:rsidRDefault="005535AD" w:rsidP="005535AD">
      <w:pPr>
        <w:pStyle w:val="BodyTextIndent"/>
        <w:spacing w:after="120" w:line="260" w:lineRule="atLeast"/>
        <w:ind w:left="0"/>
        <w:rPr>
          <w:rFonts w:ascii="Verdana" w:hAnsi="Verdana" w:cs="Arial"/>
          <w:color w:val="000000" w:themeColor="text1"/>
          <w:sz w:val="20"/>
          <w:szCs w:val="20"/>
        </w:rPr>
      </w:pPr>
      <w:r w:rsidRPr="00723BA1">
        <w:rPr>
          <w:rFonts w:ascii="Verdana" w:hAnsi="Verdana" w:cs="Arial"/>
          <w:color w:val="000000" w:themeColor="text1"/>
          <w:sz w:val="20"/>
          <w:szCs w:val="20"/>
        </w:rPr>
        <w:lastRenderedPageBreak/>
        <w:t>Продажните цени на топлинна и електрическа енергия са регулирани от Комисия за енергийно и водно регулиране (КЕВР), като в зависимост от регулаторния период, се разделят, както следва:</w:t>
      </w:r>
    </w:p>
    <w:p w:rsidR="005535AD" w:rsidRPr="00723BA1" w:rsidRDefault="005535AD" w:rsidP="005535AD">
      <w:pPr>
        <w:pStyle w:val="BodyTextIndent"/>
        <w:numPr>
          <w:ilvl w:val="0"/>
          <w:numId w:val="7"/>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01.01.2024 – 30.06.2024 г. – част от регулаторен период 2023/2024 г.;</w:t>
      </w:r>
    </w:p>
    <w:p w:rsidR="005535AD" w:rsidRPr="00723BA1" w:rsidRDefault="005535AD" w:rsidP="005535AD">
      <w:pPr>
        <w:pStyle w:val="BodyTextIndent"/>
        <w:numPr>
          <w:ilvl w:val="0"/>
          <w:numId w:val="7"/>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01.07.2024 – 31.12.2024 г. – част от регулаторен период 2024/2025 г.</w:t>
      </w:r>
    </w:p>
    <w:p w:rsidR="005535AD" w:rsidRPr="00723BA1" w:rsidRDefault="005535AD" w:rsidP="005535AD">
      <w:pPr>
        <w:pStyle w:val="BodyTextIndent"/>
        <w:spacing w:before="0" w:line="260" w:lineRule="atLeast"/>
        <w:ind w:left="0"/>
        <w:rPr>
          <w:rFonts w:ascii="Verdana" w:hAnsi="Verdana" w:cs="Arial"/>
          <w:color w:val="000000" w:themeColor="text1"/>
          <w:sz w:val="20"/>
          <w:szCs w:val="20"/>
        </w:rPr>
      </w:pPr>
    </w:p>
    <w:p w:rsidR="005535AD" w:rsidRPr="00723BA1" w:rsidRDefault="005535AD" w:rsidP="005535AD">
      <w:pPr>
        <w:pStyle w:val="BodyTextIndent"/>
        <w:spacing w:before="0" w:line="260" w:lineRule="atLeast"/>
        <w:rPr>
          <w:rFonts w:ascii="Verdana" w:hAnsi="Verdana" w:cs="Arial"/>
          <w:b/>
          <w:i/>
          <w:color w:val="000000" w:themeColor="text1"/>
          <w:sz w:val="20"/>
          <w:szCs w:val="20"/>
        </w:rPr>
      </w:pPr>
      <w:r w:rsidRPr="00723BA1">
        <w:rPr>
          <w:rFonts w:ascii="Verdana" w:hAnsi="Verdana" w:cs="Arial"/>
          <w:b/>
          <w:i/>
          <w:color w:val="000000" w:themeColor="text1"/>
          <w:sz w:val="20"/>
          <w:szCs w:val="20"/>
        </w:rPr>
        <w:t xml:space="preserve">Цени и премии по продукти </w:t>
      </w:r>
    </w:p>
    <w:p w:rsidR="005535AD" w:rsidRPr="00723BA1" w:rsidRDefault="005535AD" w:rsidP="005535AD">
      <w:pPr>
        <w:pStyle w:val="BodyTextIndent"/>
        <w:spacing w:before="0" w:line="260" w:lineRule="atLeast"/>
        <w:ind w:left="7081" w:firstLine="707"/>
        <w:rPr>
          <w:rFonts w:ascii="Verdana" w:hAnsi="Verdana" w:cs="Arial"/>
          <w:color w:val="000000" w:themeColor="text1"/>
          <w:sz w:val="20"/>
          <w:szCs w:val="20"/>
        </w:rPr>
      </w:pPr>
      <w:r w:rsidRPr="00723BA1">
        <w:rPr>
          <w:rFonts w:ascii="Verdana" w:hAnsi="Verdana" w:cs="Arial"/>
          <w:b/>
          <w:i/>
          <w:color w:val="000000" w:themeColor="text1"/>
          <w:sz w:val="20"/>
          <w:szCs w:val="20"/>
        </w:rPr>
        <w:t xml:space="preserve">      </w:t>
      </w:r>
      <w:r w:rsidRPr="00723BA1">
        <w:rPr>
          <w:rFonts w:ascii="Verdana" w:hAnsi="Verdana" w:cs="Arial"/>
          <w:color w:val="000000" w:themeColor="text1"/>
          <w:sz w:val="20"/>
          <w:szCs w:val="20"/>
        </w:rPr>
        <w:t>Табл. 1</w:t>
      </w:r>
    </w:p>
    <w:tbl>
      <w:tblPr>
        <w:tblW w:w="9259" w:type="dxa"/>
        <w:tblInd w:w="55" w:type="dxa"/>
        <w:tblCellMar>
          <w:top w:w="15" w:type="dxa"/>
          <w:left w:w="15" w:type="dxa"/>
          <w:bottom w:w="15" w:type="dxa"/>
          <w:right w:w="15" w:type="dxa"/>
        </w:tblCellMar>
        <w:tblLook w:val="04A0" w:firstRow="1" w:lastRow="0" w:firstColumn="1" w:lastColumn="0" w:noHBand="0" w:noVBand="1"/>
      </w:tblPr>
      <w:tblGrid>
        <w:gridCol w:w="3337"/>
        <w:gridCol w:w="1268"/>
        <w:gridCol w:w="2244"/>
        <w:gridCol w:w="2410"/>
      </w:tblGrid>
      <w:tr w:rsidR="005535AD" w:rsidRPr="00723BA1" w:rsidTr="00F33646">
        <w:trPr>
          <w:trHeight w:val="567"/>
        </w:trPr>
        <w:tc>
          <w:tcPr>
            <w:tcW w:w="33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2024 г.</w:t>
            </w:r>
          </w:p>
        </w:tc>
        <w:tc>
          <w:tcPr>
            <w:tcW w:w="1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Мерна единица</w:t>
            </w:r>
          </w:p>
        </w:tc>
        <w:tc>
          <w:tcPr>
            <w:tcW w:w="22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I-во шестмесечие 2024 г.</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II-ро шестмесечие 2024 г.</w:t>
            </w:r>
          </w:p>
        </w:tc>
      </w:tr>
      <w:tr w:rsidR="005535AD" w:rsidRPr="00723BA1" w:rsidTr="00F33646">
        <w:trPr>
          <w:trHeight w:val="454"/>
        </w:trPr>
        <w:tc>
          <w:tcPr>
            <w:tcW w:w="33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left"/>
              <w:rPr>
                <w:color w:val="000000" w:themeColor="text1"/>
                <w:sz w:val="24"/>
                <w:szCs w:val="24"/>
                <w:lang w:eastAsia="en-GB"/>
              </w:rPr>
            </w:pPr>
            <w:r w:rsidRPr="00723BA1">
              <w:rPr>
                <w:rFonts w:ascii="Verdana" w:hAnsi="Verdana"/>
                <w:b/>
                <w:bCs/>
                <w:color w:val="000000" w:themeColor="text1"/>
                <w:sz w:val="20"/>
                <w:lang w:eastAsia="en-GB"/>
              </w:rPr>
              <w:t>Топлинна енергия</w:t>
            </w: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[лв./MWh]</w:t>
            </w:r>
          </w:p>
        </w:tc>
        <w:tc>
          <w:tcPr>
            <w:tcW w:w="22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145.54</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131.08</w:t>
            </w:r>
          </w:p>
        </w:tc>
      </w:tr>
      <w:tr w:rsidR="005535AD" w:rsidRPr="00723BA1" w:rsidTr="00F33646">
        <w:trPr>
          <w:trHeight w:val="454"/>
        </w:trPr>
        <w:tc>
          <w:tcPr>
            <w:tcW w:w="33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left"/>
              <w:rPr>
                <w:color w:val="000000" w:themeColor="text1"/>
                <w:sz w:val="24"/>
                <w:szCs w:val="24"/>
                <w:lang w:eastAsia="en-GB"/>
              </w:rPr>
            </w:pPr>
            <w:r w:rsidRPr="00723BA1">
              <w:rPr>
                <w:rFonts w:ascii="Verdana" w:hAnsi="Verdana"/>
                <w:b/>
                <w:bCs/>
                <w:color w:val="000000" w:themeColor="text1"/>
                <w:sz w:val="20"/>
                <w:lang w:eastAsia="en-GB"/>
              </w:rPr>
              <w:t>Електрическа енергия</w:t>
            </w: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[лв./MWh]</w:t>
            </w:r>
          </w:p>
        </w:tc>
        <w:tc>
          <w:tcPr>
            <w:tcW w:w="22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220.52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371.23</w:t>
            </w:r>
          </w:p>
        </w:tc>
      </w:tr>
      <w:tr w:rsidR="005535AD" w:rsidRPr="00723BA1" w:rsidTr="00F33646">
        <w:trPr>
          <w:trHeight w:val="454"/>
        </w:trPr>
        <w:tc>
          <w:tcPr>
            <w:tcW w:w="333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left"/>
              <w:rPr>
                <w:color w:val="000000" w:themeColor="text1"/>
                <w:sz w:val="24"/>
                <w:szCs w:val="24"/>
                <w:lang w:eastAsia="en-GB"/>
              </w:rPr>
            </w:pPr>
            <w:r w:rsidRPr="00723BA1">
              <w:rPr>
                <w:rFonts w:ascii="Verdana" w:hAnsi="Verdana"/>
                <w:b/>
                <w:bCs/>
                <w:color w:val="000000" w:themeColor="text1"/>
                <w:sz w:val="20"/>
                <w:lang w:eastAsia="en-GB"/>
              </w:rPr>
              <w:t>Електрическа енергия -  премия от ФСЕС</w:t>
            </w:r>
          </w:p>
        </w:tc>
        <w:tc>
          <w:tcPr>
            <w:tcW w:w="1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[лв./MWh]</w:t>
            </w:r>
          </w:p>
        </w:tc>
        <w:tc>
          <w:tcPr>
            <w:tcW w:w="22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256.07</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13.30</w:t>
            </w:r>
          </w:p>
        </w:tc>
      </w:tr>
    </w:tbl>
    <w:p w:rsidR="005535AD" w:rsidRPr="00723BA1" w:rsidRDefault="005535AD" w:rsidP="005535AD">
      <w:pPr>
        <w:pStyle w:val="HTMLPreformatted"/>
        <w:spacing w:before="120" w:after="120"/>
        <w:jc w:val="both"/>
        <w:rPr>
          <w:rFonts w:ascii="Verdana" w:eastAsia="Calibri" w:hAnsi="Verdana" w:cs="Courier New"/>
          <w:color w:val="000000" w:themeColor="text1"/>
          <w:sz w:val="20"/>
          <w:szCs w:val="22"/>
        </w:rPr>
      </w:pPr>
      <w:r w:rsidRPr="00723BA1">
        <w:rPr>
          <w:rFonts w:ascii="Verdana" w:hAnsi="Verdana" w:cs="Arial"/>
          <w:color w:val="000000" w:themeColor="text1"/>
          <w:sz w:val="20"/>
          <w:szCs w:val="20"/>
        </w:rPr>
        <w:t xml:space="preserve">Дружеството отчита приходи от услуги в размер на 130 хил. лв. (113 хил. лв. за 2023 г.). Същите представляват основно приходи </w:t>
      </w:r>
      <w:r w:rsidRPr="00723BA1">
        <w:rPr>
          <w:rFonts w:ascii="Verdana" w:eastAsia="Calibri" w:hAnsi="Verdana" w:cs="Courier New"/>
          <w:color w:val="000000" w:themeColor="text1"/>
          <w:sz w:val="20"/>
          <w:szCs w:val="22"/>
        </w:rPr>
        <w:t>от такси за дялово разпределение, комисиони по договора за дялово разпределение и краткосрочни наеми.</w:t>
      </w:r>
    </w:p>
    <w:p w:rsidR="005535AD" w:rsidRPr="00723BA1" w:rsidRDefault="005535AD" w:rsidP="005535AD">
      <w:pPr>
        <w:pStyle w:val="BodyTextIndent"/>
        <w:spacing w:line="260" w:lineRule="atLeast"/>
        <w:ind w:left="0"/>
        <w:rPr>
          <w:rFonts w:ascii="Verdana" w:hAnsi="Verdana" w:cs="Arial"/>
          <w:color w:val="000000" w:themeColor="text1"/>
          <w:sz w:val="20"/>
          <w:szCs w:val="20"/>
        </w:rPr>
      </w:pPr>
      <w:r w:rsidRPr="00723BA1">
        <w:rPr>
          <w:rFonts w:ascii="Verdana" w:hAnsi="Verdana" w:cs="Arial"/>
          <w:color w:val="000000" w:themeColor="text1"/>
          <w:sz w:val="20"/>
          <w:szCs w:val="20"/>
        </w:rPr>
        <w:t>Другите приходи са в размер на 741 хил. лв. (555 хил. лв. за 2023 г.), както следва:</w:t>
      </w:r>
    </w:p>
    <w:p w:rsidR="005535AD" w:rsidRPr="00723BA1" w:rsidRDefault="005535AD" w:rsidP="005535AD">
      <w:pPr>
        <w:pStyle w:val="BodyTextIndent"/>
        <w:numPr>
          <w:ilvl w:val="0"/>
          <w:numId w:val="2"/>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87 хил. лв. – приходи от неустойки за забавени плащания;</w:t>
      </w:r>
    </w:p>
    <w:p w:rsidR="005535AD" w:rsidRPr="00723BA1" w:rsidRDefault="005535AD" w:rsidP="005535AD">
      <w:pPr>
        <w:pStyle w:val="BodyTextIndent"/>
        <w:numPr>
          <w:ilvl w:val="0"/>
          <w:numId w:val="2"/>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 xml:space="preserve">4 хил. лв. – приходи от финансирания – компенсации за цените на електроенергията </w:t>
      </w:r>
    </w:p>
    <w:p w:rsidR="005535AD" w:rsidRPr="00723BA1" w:rsidRDefault="005535AD" w:rsidP="005535AD">
      <w:pPr>
        <w:pStyle w:val="BodyTextIndent"/>
        <w:numPr>
          <w:ilvl w:val="0"/>
          <w:numId w:val="2"/>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 xml:space="preserve">650 хил. лв. – получено обезщетение от застрахователно събитие /авария ИКПТЕЕ/ </w:t>
      </w:r>
    </w:p>
    <w:p w:rsidR="005535AD" w:rsidRPr="00723BA1" w:rsidRDefault="005535AD" w:rsidP="005535AD">
      <w:pPr>
        <w:pStyle w:val="BodyTextIndent"/>
        <w:spacing w:before="0" w:line="260" w:lineRule="atLeast"/>
        <w:rPr>
          <w:rFonts w:ascii="Verdana" w:hAnsi="Verdana" w:cs="Arial"/>
          <w:color w:val="000000" w:themeColor="text1"/>
          <w:sz w:val="20"/>
          <w:szCs w:val="20"/>
        </w:rPr>
      </w:pPr>
    </w:p>
    <w:p w:rsidR="005535AD" w:rsidRPr="00723BA1" w:rsidRDefault="005535AD" w:rsidP="005535AD">
      <w:pPr>
        <w:pStyle w:val="BodyTextIndent"/>
        <w:spacing w:before="0" w:line="260" w:lineRule="atLeast"/>
        <w:ind w:left="0"/>
        <w:rPr>
          <w:rFonts w:ascii="Verdana" w:hAnsi="Verdana" w:cs="Arial"/>
          <w:b/>
          <w:bCs w:val="0"/>
          <w:snapToGrid/>
          <w:color w:val="000000" w:themeColor="text1"/>
          <w:sz w:val="20"/>
          <w:szCs w:val="20"/>
        </w:rPr>
      </w:pPr>
      <w:r w:rsidRPr="00723BA1">
        <w:rPr>
          <w:rFonts w:ascii="Verdana" w:hAnsi="Verdana" w:cs="Arial"/>
          <w:b/>
          <w:bCs w:val="0"/>
          <w:snapToGrid/>
          <w:color w:val="000000" w:themeColor="text1"/>
          <w:sz w:val="20"/>
          <w:szCs w:val="20"/>
        </w:rPr>
        <w:t>Структура на разходите</w:t>
      </w:r>
    </w:p>
    <w:p w:rsidR="005535AD" w:rsidRPr="00723BA1" w:rsidRDefault="005535AD" w:rsidP="005535AD">
      <w:pPr>
        <w:pStyle w:val="BodyTextIndent"/>
        <w:spacing w:after="120" w:line="260" w:lineRule="atLeast"/>
        <w:ind w:left="0"/>
        <w:contextualSpacing/>
        <w:rPr>
          <w:rFonts w:ascii="Verdana" w:hAnsi="Verdana" w:cs="Arial"/>
          <w:bCs w:val="0"/>
          <w:snapToGrid/>
          <w:color w:val="000000" w:themeColor="text1"/>
          <w:sz w:val="20"/>
          <w:szCs w:val="20"/>
        </w:rPr>
      </w:pPr>
      <w:r w:rsidRPr="00723BA1">
        <w:rPr>
          <w:rFonts w:ascii="Verdana" w:hAnsi="Verdana" w:cs="Arial"/>
          <w:bCs w:val="0"/>
          <w:snapToGrid/>
          <w:color w:val="000000" w:themeColor="text1"/>
          <w:spacing w:val="-2"/>
          <w:sz w:val="20"/>
          <w:szCs w:val="20"/>
        </w:rPr>
        <w:t>Разходите за оперативна дейност са в размер на 7 484 хил. лв. (9 359 хил. лв. за 2023 г.).</w:t>
      </w:r>
      <w:r w:rsidRPr="00723BA1">
        <w:rPr>
          <w:rFonts w:ascii="Verdana" w:hAnsi="Verdana" w:cs="Arial"/>
          <w:bCs w:val="0"/>
          <w:snapToGrid/>
          <w:color w:val="000000" w:themeColor="text1"/>
          <w:sz w:val="20"/>
          <w:szCs w:val="20"/>
        </w:rPr>
        <w:t xml:space="preserve"> С най-голям относителен дял от 58% са разходите за материали в размер на около 4 328 хил. лв. (7 058 хил. лв. за 2023 г.). Следват разходите за персонала – възнаграждения и осигуровки – 946 хил. лв. (905 хил. лв. за 2023г.), разходи за външни услуги – 818 хил. лв. (603 хил. лв. за 2023 г.).</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 xml:space="preserve">Разходи за материали – 4 328 хил. лв.; </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Разходи за външни услуги – 818 хил. лв.;</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Разходи за амортизации – 691 хил. лв.;</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Разходи за възнаграждения – 801 хил. лв.;</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s="Arial"/>
          <w:color w:val="000000" w:themeColor="text1"/>
          <w:sz w:val="20"/>
          <w:szCs w:val="20"/>
        </w:rPr>
        <w:t>Разходи за осигуровки – 145 хил. лв.;</w:t>
      </w:r>
    </w:p>
    <w:p w:rsidR="005535AD" w:rsidRPr="00723BA1" w:rsidRDefault="005535AD" w:rsidP="005535AD">
      <w:pPr>
        <w:pStyle w:val="BodyTextIndent"/>
        <w:numPr>
          <w:ilvl w:val="0"/>
          <w:numId w:val="1"/>
        </w:numPr>
        <w:spacing w:before="0" w:line="260" w:lineRule="atLeast"/>
        <w:rPr>
          <w:rFonts w:ascii="Verdana" w:hAnsi="Verdana" w:cs="Arial"/>
          <w:color w:val="000000" w:themeColor="text1"/>
          <w:sz w:val="20"/>
          <w:szCs w:val="20"/>
        </w:rPr>
      </w:pPr>
      <w:r w:rsidRPr="00723BA1">
        <w:rPr>
          <w:rFonts w:ascii="Verdana" w:hAnsi="Verdana"/>
          <w:color w:val="000000" w:themeColor="text1"/>
          <w:sz w:val="20"/>
          <w:szCs w:val="20"/>
        </w:rPr>
        <w:t>Други разходи – 701 хил. лв. - основна част от които са разходи за фонд „Сигурност на електроенергийната система“, представляващи вноска в размер на 5% от приходите от продажба на електрическа енергия.</w:t>
      </w:r>
    </w:p>
    <w:p w:rsidR="005535AD" w:rsidRPr="00723BA1" w:rsidRDefault="005535AD" w:rsidP="005535AD">
      <w:pPr>
        <w:spacing w:line="260" w:lineRule="atLeast"/>
        <w:jc w:val="left"/>
        <w:rPr>
          <w:color w:val="000000" w:themeColor="text1"/>
          <w:sz w:val="24"/>
          <w:szCs w:val="24"/>
          <w:lang w:eastAsia="en-GB"/>
        </w:rPr>
      </w:pPr>
      <w:r w:rsidRPr="00723BA1">
        <w:rPr>
          <w:rFonts w:ascii="Verdana" w:hAnsi="Verdana"/>
          <w:color w:val="000000" w:themeColor="text1"/>
          <w:sz w:val="20"/>
          <w:lang w:eastAsia="en-GB"/>
        </w:rPr>
        <w:t>През разглеждания период е отчетена промяна на цените на основната производствена суровина – природен газ, както следва:</w:t>
      </w:r>
    </w:p>
    <w:p w:rsidR="005535AD" w:rsidRPr="00723BA1" w:rsidRDefault="005535AD" w:rsidP="005535AD">
      <w:pPr>
        <w:spacing w:line="260" w:lineRule="atLeast"/>
        <w:ind w:firstLine="707"/>
        <w:jc w:val="left"/>
        <w:rPr>
          <w:color w:val="000000" w:themeColor="text1"/>
          <w:sz w:val="24"/>
          <w:szCs w:val="24"/>
          <w:lang w:eastAsia="en-GB"/>
        </w:rPr>
      </w:pP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r>
      <w:r w:rsidRPr="00723BA1">
        <w:rPr>
          <w:rFonts w:ascii="Verdana" w:hAnsi="Verdana"/>
          <w:color w:val="000000" w:themeColor="text1"/>
          <w:sz w:val="20"/>
          <w:lang w:eastAsia="en-GB"/>
        </w:rPr>
        <w:tab/>
        <w:t>Табл. 2</w:t>
      </w:r>
    </w:p>
    <w:tbl>
      <w:tblPr>
        <w:tblW w:w="8520" w:type="dxa"/>
        <w:tblInd w:w="55" w:type="dxa"/>
        <w:tblCellMar>
          <w:top w:w="15" w:type="dxa"/>
          <w:left w:w="15" w:type="dxa"/>
          <w:bottom w:w="15" w:type="dxa"/>
          <w:right w:w="15" w:type="dxa"/>
        </w:tblCellMar>
        <w:tblLook w:val="04A0" w:firstRow="1" w:lastRow="0" w:firstColumn="1" w:lastColumn="0" w:noHBand="0" w:noVBand="1"/>
      </w:tblPr>
      <w:tblGrid>
        <w:gridCol w:w="1372"/>
        <w:gridCol w:w="1255"/>
        <w:gridCol w:w="992"/>
        <w:gridCol w:w="1287"/>
        <w:gridCol w:w="847"/>
        <w:gridCol w:w="993"/>
        <w:gridCol w:w="828"/>
        <w:gridCol w:w="946"/>
      </w:tblGrid>
      <w:tr w:rsidR="005535AD" w:rsidRPr="00723BA1" w:rsidTr="00F33646">
        <w:trPr>
          <w:trHeight w:val="525"/>
        </w:trPr>
        <w:tc>
          <w:tcPr>
            <w:tcW w:w="13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 2024 г.</w:t>
            </w:r>
          </w:p>
        </w:tc>
        <w:tc>
          <w:tcPr>
            <w:tcW w:w="12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Мерна единица</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Януари</w:t>
            </w:r>
          </w:p>
        </w:tc>
        <w:tc>
          <w:tcPr>
            <w:tcW w:w="12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Февруари</w:t>
            </w:r>
          </w:p>
        </w:tc>
        <w:tc>
          <w:tcPr>
            <w:tcW w:w="8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Март</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Април</w:t>
            </w:r>
          </w:p>
        </w:tc>
        <w:tc>
          <w:tcPr>
            <w:tcW w:w="8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left"/>
              <w:rPr>
                <w:color w:val="000000" w:themeColor="text1"/>
                <w:sz w:val="24"/>
                <w:szCs w:val="24"/>
                <w:lang w:eastAsia="en-GB"/>
              </w:rPr>
            </w:pPr>
            <w:r w:rsidRPr="00723BA1">
              <w:rPr>
                <w:rFonts w:ascii="Verdana" w:hAnsi="Verdana"/>
                <w:b/>
                <w:bCs/>
                <w:color w:val="000000" w:themeColor="text1"/>
                <w:sz w:val="20"/>
                <w:lang w:eastAsia="en-GB"/>
              </w:rPr>
              <w:t> Май</w:t>
            </w:r>
          </w:p>
        </w:tc>
        <w:tc>
          <w:tcPr>
            <w:tcW w:w="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Юни</w:t>
            </w:r>
          </w:p>
        </w:tc>
      </w:tr>
      <w:tr w:rsidR="005535AD" w:rsidRPr="00723BA1" w:rsidTr="00F33646">
        <w:trPr>
          <w:trHeight w:val="525"/>
        </w:trPr>
        <w:tc>
          <w:tcPr>
            <w:tcW w:w="13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Природен газ</w:t>
            </w:r>
          </w:p>
        </w:tc>
        <w:tc>
          <w:tcPr>
            <w:tcW w:w="125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[лв./МВтч]</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91.54</w:t>
            </w:r>
          </w:p>
        </w:tc>
        <w:tc>
          <w:tcPr>
            <w:tcW w:w="12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85.02</w:t>
            </w:r>
          </w:p>
        </w:tc>
        <w:tc>
          <w:tcPr>
            <w:tcW w:w="8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71.53</w:t>
            </w:r>
          </w:p>
        </w:tc>
        <w:tc>
          <w:tcPr>
            <w:tcW w:w="9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72.55</w:t>
            </w:r>
          </w:p>
        </w:tc>
        <w:tc>
          <w:tcPr>
            <w:tcW w:w="8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68.14</w:t>
            </w:r>
          </w:p>
        </w:tc>
        <w:tc>
          <w:tcPr>
            <w:tcW w:w="9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73.26</w:t>
            </w:r>
          </w:p>
        </w:tc>
      </w:tr>
    </w:tbl>
    <w:p w:rsidR="005535AD" w:rsidRPr="00723BA1" w:rsidRDefault="005535AD" w:rsidP="005535AD">
      <w:pPr>
        <w:spacing w:line="260" w:lineRule="atLeast"/>
        <w:jc w:val="left"/>
        <w:rPr>
          <w:color w:val="000000" w:themeColor="text1"/>
          <w:sz w:val="24"/>
          <w:szCs w:val="24"/>
          <w:lang w:eastAsia="en-GB"/>
        </w:rPr>
      </w:pPr>
      <w:r w:rsidRPr="00723BA1">
        <w:rPr>
          <w:rFonts w:ascii="Verdana" w:hAnsi="Verdana"/>
          <w:color w:val="000000" w:themeColor="text1"/>
          <w:sz w:val="20"/>
          <w:lang w:eastAsia="en-GB"/>
        </w:rPr>
        <w:t> </w:t>
      </w:r>
    </w:p>
    <w:tbl>
      <w:tblPr>
        <w:tblW w:w="9602" w:type="dxa"/>
        <w:tblInd w:w="55" w:type="dxa"/>
        <w:tblCellMar>
          <w:top w:w="15" w:type="dxa"/>
          <w:left w:w="15" w:type="dxa"/>
          <w:bottom w:w="15" w:type="dxa"/>
          <w:right w:w="15" w:type="dxa"/>
        </w:tblCellMar>
        <w:tblLook w:val="04A0" w:firstRow="1" w:lastRow="0" w:firstColumn="1" w:lastColumn="0" w:noHBand="0" w:noVBand="1"/>
      </w:tblPr>
      <w:tblGrid>
        <w:gridCol w:w="1303"/>
        <w:gridCol w:w="1255"/>
        <w:gridCol w:w="912"/>
        <w:gridCol w:w="1014"/>
        <w:gridCol w:w="1387"/>
        <w:gridCol w:w="1274"/>
        <w:gridCol w:w="1163"/>
        <w:gridCol w:w="1294"/>
      </w:tblGrid>
      <w:tr w:rsidR="005535AD" w:rsidRPr="00723BA1" w:rsidTr="00F33646">
        <w:trPr>
          <w:trHeight w:val="525"/>
        </w:trPr>
        <w:tc>
          <w:tcPr>
            <w:tcW w:w="13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 202</w:t>
            </w:r>
            <w:r w:rsidRPr="00723BA1">
              <w:rPr>
                <w:rFonts w:ascii="Verdana" w:hAnsi="Verdana"/>
                <w:b/>
                <w:bCs/>
                <w:color w:val="000000" w:themeColor="text1"/>
                <w:sz w:val="20"/>
                <w:lang w:val="en-GB" w:eastAsia="en-GB"/>
              </w:rPr>
              <w:t>4</w:t>
            </w:r>
            <w:r w:rsidRPr="00723BA1">
              <w:rPr>
                <w:rFonts w:ascii="Verdana" w:hAnsi="Verdana"/>
                <w:b/>
                <w:bCs/>
                <w:color w:val="000000" w:themeColor="text1"/>
                <w:sz w:val="20"/>
                <w:lang w:eastAsia="en-GB"/>
              </w:rPr>
              <w:t xml:space="preserve"> г.</w:t>
            </w:r>
          </w:p>
        </w:tc>
        <w:tc>
          <w:tcPr>
            <w:tcW w:w="11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Мерна единица</w:t>
            </w:r>
          </w:p>
        </w:tc>
        <w:tc>
          <w:tcPr>
            <w:tcW w:w="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Юли</w:t>
            </w:r>
          </w:p>
        </w:tc>
        <w:tc>
          <w:tcPr>
            <w:tcW w:w="10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Август</w:t>
            </w:r>
          </w:p>
        </w:tc>
        <w:tc>
          <w:tcPr>
            <w:tcW w:w="13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Септември</w:t>
            </w:r>
          </w:p>
        </w:tc>
        <w:tc>
          <w:tcPr>
            <w:tcW w:w="12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Октомври</w:t>
            </w:r>
          </w:p>
        </w:tc>
        <w:tc>
          <w:tcPr>
            <w:tcW w:w="11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Ноември</w:t>
            </w:r>
          </w:p>
        </w:tc>
        <w:tc>
          <w:tcPr>
            <w:tcW w:w="12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Декември</w:t>
            </w:r>
          </w:p>
        </w:tc>
      </w:tr>
      <w:tr w:rsidR="005535AD" w:rsidRPr="00723BA1" w:rsidTr="00F33646">
        <w:trPr>
          <w:trHeight w:val="525"/>
        </w:trPr>
        <w:tc>
          <w:tcPr>
            <w:tcW w:w="13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b/>
                <w:bCs/>
                <w:color w:val="000000" w:themeColor="text1"/>
                <w:sz w:val="20"/>
                <w:lang w:eastAsia="en-GB"/>
              </w:rPr>
              <w:t>Природен газ</w:t>
            </w:r>
          </w:p>
        </w:tc>
        <w:tc>
          <w:tcPr>
            <w:tcW w:w="119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eastAsia="en-GB"/>
              </w:rPr>
            </w:pPr>
            <w:r w:rsidRPr="00723BA1">
              <w:rPr>
                <w:rFonts w:ascii="Verdana" w:hAnsi="Verdana"/>
                <w:color w:val="000000" w:themeColor="text1"/>
                <w:sz w:val="20"/>
                <w:lang w:eastAsia="en-GB"/>
              </w:rPr>
              <w:t>[лв./МВтч]</w:t>
            </w:r>
          </w:p>
        </w:tc>
        <w:tc>
          <w:tcPr>
            <w:tcW w:w="9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71.82</w:t>
            </w:r>
          </w:p>
        </w:tc>
        <w:tc>
          <w:tcPr>
            <w:tcW w:w="10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74.47</w:t>
            </w:r>
          </w:p>
        </w:tc>
        <w:tc>
          <w:tcPr>
            <w:tcW w:w="13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75.03</w:t>
            </w:r>
          </w:p>
        </w:tc>
        <w:tc>
          <w:tcPr>
            <w:tcW w:w="12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78.16</w:t>
            </w:r>
          </w:p>
        </w:tc>
        <w:tc>
          <w:tcPr>
            <w:tcW w:w="11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83.13</w:t>
            </w:r>
          </w:p>
        </w:tc>
        <w:tc>
          <w:tcPr>
            <w:tcW w:w="12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535AD" w:rsidRPr="00723BA1" w:rsidRDefault="005535AD" w:rsidP="00F33646">
            <w:pPr>
              <w:jc w:val="center"/>
              <w:rPr>
                <w:color w:val="000000" w:themeColor="text1"/>
                <w:sz w:val="24"/>
                <w:szCs w:val="24"/>
                <w:lang w:val="en-GB" w:eastAsia="en-GB"/>
              </w:rPr>
            </w:pPr>
            <w:r w:rsidRPr="00723BA1">
              <w:rPr>
                <w:rFonts w:ascii="Verdana" w:hAnsi="Verdana"/>
                <w:color w:val="000000" w:themeColor="text1"/>
                <w:sz w:val="20"/>
                <w:lang w:val="en-GB" w:eastAsia="en-GB"/>
              </w:rPr>
              <w:t>90.33</w:t>
            </w:r>
          </w:p>
        </w:tc>
      </w:tr>
    </w:tbl>
    <w:p w:rsidR="005535AD" w:rsidRPr="00723BA1" w:rsidRDefault="005535AD" w:rsidP="005535AD">
      <w:pPr>
        <w:pStyle w:val="BodyTextIndent"/>
        <w:spacing w:before="0" w:line="260" w:lineRule="atLeast"/>
        <w:ind w:left="0"/>
        <w:rPr>
          <w:rFonts w:ascii="Verdana" w:hAnsi="Verdana" w:cs="Arial"/>
          <w:color w:val="000000" w:themeColor="text1"/>
          <w:sz w:val="20"/>
          <w:szCs w:val="20"/>
        </w:rPr>
      </w:pPr>
    </w:p>
    <w:p w:rsidR="005535AD" w:rsidRPr="00723BA1" w:rsidRDefault="005535AD" w:rsidP="005535AD">
      <w:pPr>
        <w:pStyle w:val="Document1"/>
        <w:keepNext w:val="0"/>
        <w:keepLines w:val="0"/>
        <w:widowControl/>
        <w:tabs>
          <w:tab w:val="clear" w:pos="-720"/>
        </w:tabs>
        <w:suppressAutoHyphens w:val="0"/>
        <w:spacing w:before="120" w:line="276" w:lineRule="auto"/>
        <w:jc w:val="both"/>
        <w:rPr>
          <w:rFonts w:ascii="Verdana" w:hAnsi="Verdana" w:cs="Arial"/>
          <w:b/>
          <w:color w:val="000000" w:themeColor="text1"/>
          <w:sz w:val="20"/>
          <w:lang w:val="bg-BG"/>
        </w:rPr>
      </w:pPr>
      <w:r w:rsidRPr="00723BA1">
        <w:rPr>
          <w:rFonts w:ascii="Verdana" w:hAnsi="Verdana" w:cs="Arial"/>
          <w:b/>
          <w:color w:val="000000" w:themeColor="text1"/>
          <w:sz w:val="20"/>
          <w:lang w:val="bg-BG"/>
        </w:rPr>
        <w:t xml:space="preserve">Кратък преглед на състоянието на пазара </w:t>
      </w:r>
    </w:p>
    <w:p w:rsidR="005535AD" w:rsidRPr="00723BA1" w:rsidRDefault="005535AD" w:rsidP="005535AD">
      <w:pPr>
        <w:pStyle w:val="firstline"/>
        <w:spacing w:before="120" w:beforeAutospacing="0" w:after="0" w:afterAutospacing="0" w:line="260" w:lineRule="atLeast"/>
        <w:jc w:val="both"/>
        <w:rPr>
          <w:rFonts w:ascii="Verdana" w:hAnsi="Verdana" w:cs="Arial"/>
          <w:bCs w:val="0"/>
          <w:i/>
          <w:color w:val="000000" w:themeColor="text1"/>
          <w:sz w:val="20"/>
          <w:szCs w:val="20"/>
          <w:lang w:eastAsia="en-US"/>
        </w:rPr>
      </w:pPr>
      <w:r w:rsidRPr="00723BA1">
        <w:rPr>
          <w:rFonts w:ascii="Verdana" w:hAnsi="Verdana" w:cs="Arial"/>
          <w:bCs w:val="0"/>
          <w:i/>
          <w:color w:val="000000" w:themeColor="text1"/>
          <w:sz w:val="20"/>
          <w:szCs w:val="20"/>
          <w:lang w:eastAsia="en-US"/>
        </w:rPr>
        <w:t xml:space="preserve">Пазарен модел, регулиране и конкурентна среда </w:t>
      </w:r>
    </w:p>
    <w:p w:rsidR="005535AD" w:rsidRPr="00723BA1" w:rsidRDefault="005535AD" w:rsidP="005535AD">
      <w:pPr>
        <w:pStyle w:val="firstline"/>
        <w:spacing w:before="120" w:beforeAutospacing="0" w:after="0" w:afterAutospacing="0" w:line="260" w:lineRule="atLeast"/>
        <w:jc w:val="both"/>
        <w:rPr>
          <w:rFonts w:ascii="Verdana" w:hAnsi="Verdana"/>
          <w:bCs w:val="0"/>
          <w:color w:val="000000" w:themeColor="text1"/>
          <w:sz w:val="20"/>
          <w:szCs w:val="20"/>
        </w:rPr>
      </w:pPr>
      <w:r w:rsidRPr="00723BA1">
        <w:rPr>
          <w:rFonts w:ascii="Verdana" w:hAnsi="Verdana" w:cs="Arial"/>
          <w:bCs w:val="0"/>
          <w:color w:val="000000" w:themeColor="text1"/>
          <w:sz w:val="20"/>
          <w:szCs w:val="20"/>
          <w:lang w:eastAsia="en-US"/>
        </w:rPr>
        <w:t xml:space="preserve">Продажбите на </w:t>
      </w:r>
      <w:r w:rsidRPr="00723BA1">
        <w:rPr>
          <w:rFonts w:ascii="Verdana" w:hAnsi="Verdana"/>
          <w:bCs w:val="0"/>
          <w:color w:val="000000" w:themeColor="text1"/>
          <w:sz w:val="20"/>
          <w:szCs w:val="20"/>
        </w:rPr>
        <w:t xml:space="preserve">„Топлофикация – Разград” АД се реализират изцяло на вътрешния пазар. </w:t>
      </w:r>
    </w:p>
    <w:p w:rsidR="005535AD" w:rsidRPr="00723BA1" w:rsidRDefault="005535AD" w:rsidP="005535AD">
      <w:pPr>
        <w:pStyle w:val="firstline"/>
        <w:spacing w:before="120" w:beforeAutospacing="0" w:after="0" w:afterAutospacing="0" w:line="260" w:lineRule="atLeast"/>
        <w:jc w:val="both"/>
        <w:rPr>
          <w:rFonts w:ascii="Verdana" w:hAnsi="Verdana"/>
          <w:bCs w:val="0"/>
          <w:color w:val="000000" w:themeColor="text1"/>
          <w:sz w:val="20"/>
          <w:szCs w:val="20"/>
        </w:rPr>
      </w:pPr>
      <w:r w:rsidRPr="00723BA1">
        <w:rPr>
          <w:rFonts w:ascii="Verdana" w:hAnsi="Verdana"/>
          <w:bCs w:val="0"/>
          <w:color w:val="000000" w:themeColor="text1"/>
          <w:sz w:val="20"/>
          <w:szCs w:val="20"/>
        </w:rPr>
        <w:t xml:space="preserve">Като основни пазарни клиенти в сектор </w:t>
      </w:r>
      <w:r w:rsidRPr="00723BA1">
        <w:rPr>
          <w:rFonts w:ascii="Verdana" w:hAnsi="Verdana"/>
          <w:bCs w:val="0"/>
          <w:i/>
          <w:color w:val="000000" w:themeColor="text1"/>
          <w:sz w:val="20"/>
          <w:szCs w:val="20"/>
        </w:rPr>
        <w:t>Топлоенергетика</w:t>
      </w:r>
      <w:r w:rsidRPr="00723BA1">
        <w:rPr>
          <w:rFonts w:ascii="Verdana" w:hAnsi="Verdana"/>
          <w:bCs w:val="0"/>
          <w:color w:val="000000" w:themeColor="text1"/>
          <w:sz w:val="20"/>
          <w:szCs w:val="20"/>
        </w:rPr>
        <w:t xml:space="preserve"> могат да бъдат дефинирани следните направления:</w:t>
      </w:r>
    </w:p>
    <w:p w:rsidR="005535AD" w:rsidRPr="00723BA1" w:rsidRDefault="005535AD" w:rsidP="005535AD">
      <w:pPr>
        <w:numPr>
          <w:ilvl w:val="0"/>
          <w:numId w:val="4"/>
        </w:numPr>
        <w:spacing w:line="260" w:lineRule="atLeast"/>
        <w:rPr>
          <w:rFonts w:ascii="Verdana" w:hAnsi="Verdana" w:cs="Arial"/>
          <w:color w:val="000000" w:themeColor="text1"/>
          <w:sz w:val="20"/>
        </w:rPr>
      </w:pPr>
      <w:r w:rsidRPr="00723BA1">
        <w:rPr>
          <w:rFonts w:ascii="Verdana" w:hAnsi="Verdana" w:cs="Arial"/>
          <w:color w:val="000000" w:themeColor="text1"/>
          <w:sz w:val="20"/>
        </w:rPr>
        <w:t>Физически лица</w:t>
      </w:r>
    </w:p>
    <w:p w:rsidR="005535AD" w:rsidRPr="00723BA1" w:rsidRDefault="005535AD" w:rsidP="005535AD">
      <w:pPr>
        <w:numPr>
          <w:ilvl w:val="0"/>
          <w:numId w:val="4"/>
        </w:numPr>
        <w:spacing w:line="260" w:lineRule="atLeast"/>
        <w:rPr>
          <w:rFonts w:ascii="Verdana" w:hAnsi="Verdana" w:cs="Arial"/>
          <w:color w:val="000000" w:themeColor="text1"/>
          <w:sz w:val="20"/>
        </w:rPr>
      </w:pPr>
      <w:r w:rsidRPr="00723BA1">
        <w:rPr>
          <w:rFonts w:ascii="Verdana" w:hAnsi="Verdana" w:cs="Arial"/>
          <w:color w:val="000000" w:themeColor="text1"/>
          <w:sz w:val="20"/>
        </w:rPr>
        <w:t>Бюджетни институции</w:t>
      </w:r>
    </w:p>
    <w:p w:rsidR="005535AD" w:rsidRPr="00723BA1" w:rsidRDefault="005535AD" w:rsidP="005535AD">
      <w:pPr>
        <w:numPr>
          <w:ilvl w:val="0"/>
          <w:numId w:val="4"/>
        </w:numPr>
        <w:spacing w:line="260" w:lineRule="atLeast"/>
        <w:rPr>
          <w:rFonts w:ascii="Verdana" w:hAnsi="Verdana" w:cs="Arial"/>
          <w:color w:val="000000" w:themeColor="text1"/>
          <w:sz w:val="20"/>
        </w:rPr>
      </w:pPr>
      <w:r w:rsidRPr="00723BA1">
        <w:rPr>
          <w:rFonts w:ascii="Verdana" w:hAnsi="Verdana" w:cs="Arial"/>
          <w:color w:val="000000" w:themeColor="text1"/>
          <w:sz w:val="20"/>
        </w:rPr>
        <w:t>Стопански организации</w:t>
      </w:r>
    </w:p>
    <w:p w:rsidR="005535AD" w:rsidRPr="00723BA1" w:rsidRDefault="005535AD" w:rsidP="005535AD">
      <w:pPr>
        <w:numPr>
          <w:ilvl w:val="0"/>
          <w:numId w:val="4"/>
        </w:numPr>
        <w:spacing w:line="260" w:lineRule="atLeast"/>
        <w:rPr>
          <w:rFonts w:ascii="Verdana" w:hAnsi="Verdana" w:cs="Arial"/>
          <w:color w:val="000000" w:themeColor="text1"/>
          <w:sz w:val="20"/>
        </w:rPr>
      </w:pPr>
      <w:r w:rsidRPr="00723BA1">
        <w:rPr>
          <w:rFonts w:ascii="Verdana" w:hAnsi="Verdana" w:cs="Arial"/>
          <w:color w:val="000000" w:themeColor="text1"/>
          <w:sz w:val="20"/>
        </w:rPr>
        <w:t xml:space="preserve">„ЕНЕРГО-ПРО Енергийни Услуги” ЕАД </w:t>
      </w:r>
    </w:p>
    <w:p w:rsidR="005535AD" w:rsidRPr="00723BA1" w:rsidRDefault="005535AD" w:rsidP="005535AD">
      <w:pPr>
        <w:spacing w:before="120" w:line="260" w:lineRule="atLeast"/>
        <w:rPr>
          <w:rFonts w:ascii="Verdana" w:hAnsi="Verdana" w:cs="Arial"/>
          <w:color w:val="000000" w:themeColor="text1"/>
          <w:sz w:val="20"/>
        </w:rPr>
      </w:pPr>
      <w:r w:rsidRPr="00723BA1">
        <w:rPr>
          <w:rFonts w:ascii="Verdana" w:hAnsi="Verdana" w:cs="Arial"/>
          <w:color w:val="000000" w:themeColor="text1"/>
          <w:sz w:val="20"/>
        </w:rPr>
        <w:t>Обект на ценово регулиране са цените на продаваните топлинна и електрическа енергия. Спецификата на дейността на Дружеството предполага реализация на произведената топлоенергия в рамките на град Разград, както се дефинира и лицензираната територия.</w:t>
      </w:r>
    </w:p>
    <w:p w:rsidR="005535AD" w:rsidRPr="00723BA1" w:rsidRDefault="005535AD" w:rsidP="005535AD">
      <w:pPr>
        <w:pStyle w:val="NoSpacing"/>
        <w:rPr>
          <w:rFonts w:ascii="Verdana" w:hAnsi="Verdana"/>
          <w:i/>
          <w:color w:val="000000" w:themeColor="text1"/>
          <w:sz w:val="20"/>
        </w:rPr>
      </w:pPr>
    </w:p>
    <w:p w:rsidR="005535AD" w:rsidRPr="00723BA1" w:rsidRDefault="005535AD" w:rsidP="005535AD">
      <w:pPr>
        <w:pStyle w:val="HTMLPreformatted"/>
        <w:jc w:val="both"/>
        <w:rPr>
          <w:rFonts w:ascii="Verdana" w:eastAsia="Calibri" w:hAnsi="Verdana" w:cs="Courier New"/>
          <w:color w:val="000000" w:themeColor="text1"/>
          <w:sz w:val="20"/>
          <w:szCs w:val="22"/>
        </w:rPr>
      </w:pPr>
      <w:r w:rsidRPr="00723BA1">
        <w:rPr>
          <w:rFonts w:ascii="Verdana" w:eastAsia="Calibri" w:hAnsi="Verdana" w:cs="Courier New"/>
          <w:color w:val="000000" w:themeColor="text1"/>
          <w:sz w:val="20"/>
          <w:szCs w:val="22"/>
        </w:rPr>
        <w:t>Дружеството продава произведената от него електрическа енергия на свободен пазар, като за целта има сключен договор за покупко-продажба на електрическа енергия, съгласно чл.100(6) от ЗЕ – продажба на електрическа енергия чрез координатор на балансираща група, а приходът се разделя, както следва: една част се получава от координатора на балансиращата група, друга – от Фонд „Сигурност на енергийната система“ – под формата на премия.</w:t>
      </w:r>
    </w:p>
    <w:p w:rsidR="005535AD" w:rsidRPr="00723BA1" w:rsidRDefault="005535AD" w:rsidP="005535AD">
      <w:pPr>
        <w:pStyle w:val="HTMLPreformatted"/>
        <w:ind w:firstLine="540"/>
        <w:jc w:val="both"/>
        <w:rPr>
          <w:rFonts w:ascii="Verdana" w:eastAsia="Calibri" w:hAnsi="Verdana" w:cs="Courier New"/>
          <w:color w:val="000000" w:themeColor="text1"/>
          <w:sz w:val="20"/>
          <w:szCs w:val="22"/>
        </w:rPr>
      </w:pPr>
    </w:p>
    <w:p w:rsidR="005535AD" w:rsidRPr="00723BA1" w:rsidRDefault="005535AD" w:rsidP="005535AD">
      <w:pPr>
        <w:pStyle w:val="firstline"/>
        <w:spacing w:before="120" w:beforeAutospacing="0" w:after="0" w:afterAutospacing="0" w:line="260" w:lineRule="atLeast"/>
        <w:jc w:val="both"/>
        <w:rPr>
          <w:rFonts w:ascii="Verdana" w:hAnsi="Verdana" w:cs="Arial"/>
          <w:bCs w:val="0"/>
          <w:i/>
          <w:color w:val="000000" w:themeColor="text1"/>
          <w:sz w:val="20"/>
          <w:szCs w:val="20"/>
          <w:lang w:eastAsia="en-US"/>
        </w:rPr>
      </w:pPr>
      <w:r w:rsidRPr="00723BA1">
        <w:rPr>
          <w:rFonts w:ascii="Verdana" w:hAnsi="Verdana" w:cs="Arial"/>
          <w:bCs w:val="0"/>
          <w:i/>
          <w:color w:val="000000" w:themeColor="text1"/>
          <w:sz w:val="20"/>
          <w:szCs w:val="20"/>
          <w:lang w:eastAsia="en-US"/>
        </w:rPr>
        <w:t xml:space="preserve">Основни клиенти, сключени договори </w:t>
      </w:r>
    </w:p>
    <w:p w:rsidR="005535AD" w:rsidRPr="00723BA1" w:rsidRDefault="005535AD" w:rsidP="005535AD">
      <w:pPr>
        <w:spacing w:before="120" w:line="260" w:lineRule="atLeast"/>
        <w:rPr>
          <w:rFonts w:ascii="Verdana" w:hAnsi="Verdana" w:cs="Arial"/>
          <w:bCs/>
          <w:color w:val="000000" w:themeColor="text1"/>
          <w:sz w:val="20"/>
        </w:rPr>
      </w:pPr>
      <w:r w:rsidRPr="00723BA1">
        <w:rPr>
          <w:rFonts w:ascii="Verdana" w:hAnsi="Verdana" w:cs="Arial"/>
          <w:bCs/>
          <w:color w:val="000000" w:themeColor="text1"/>
          <w:sz w:val="20"/>
        </w:rPr>
        <w:t>Основният клиент на електрическа енергия е „Енерго–ПРО Енергийни Услуги“ ЕАД, в качеството му на координатор на балансираща група.</w:t>
      </w:r>
    </w:p>
    <w:p w:rsidR="005535AD" w:rsidRPr="00723BA1" w:rsidRDefault="005535AD" w:rsidP="005535AD">
      <w:pPr>
        <w:spacing w:before="120" w:line="260" w:lineRule="atLeast"/>
        <w:rPr>
          <w:rFonts w:ascii="Verdana" w:hAnsi="Verdana" w:cs="Arial"/>
          <w:color w:val="000000" w:themeColor="text1"/>
          <w:sz w:val="20"/>
        </w:rPr>
      </w:pPr>
      <w:r w:rsidRPr="00723BA1">
        <w:rPr>
          <w:rFonts w:ascii="Verdana" w:hAnsi="Verdana" w:cs="Arial"/>
          <w:bCs/>
          <w:color w:val="000000" w:themeColor="text1"/>
          <w:sz w:val="20"/>
        </w:rPr>
        <w:t>Основни дългогодишни наши клиенти на топлинна енергия са Община Разград, Областна дирекция на МВР, Агенция Митници, ТП на НОИ и други, с които дружеството е в добри партньорски взаимоотношения. Двустранното сътрудничество е ползотворно, като предвиждаме съвместната ни работа да продължи и в бъдеще.</w:t>
      </w:r>
    </w:p>
    <w:p w:rsidR="005535AD" w:rsidRPr="00723BA1" w:rsidRDefault="005535AD" w:rsidP="005535AD">
      <w:pPr>
        <w:pStyle w:val="firstline"/>
        <w:spacing w:before="120" w:beforeAutospacing="0" w:after="0" w:afterAutospacing="0" w:line="260" w:lineRule="atLeast"/>
        <w:jc w:val="both"/>
        <w:rPr>
          <w:rFonts w:ascii="Verdana" w:hAnsi="Verdana" w:cs="Arial"/>
          <w:bCs w:val="0"/>
          <w:i/>
          <w:color w:val="000000" w:themeColor="text1"/>
          <w:sz w:val="20"/>
          <w:szCs w:val="20"/>
          <w:lang w:eastAsia="en-US"/>
        </w:rPr>
      </w:pPr>
      <w:r w:rsidRPr="00723BA1">
        <w:rPr>
          <w:rFonts w:ascii="Verdana" w:hAnsi="Verdana" w:cs="Arial"/>
          <w:bCs w:val="0"/>
          <w:i/>
          <w:color w:val="000000" w:themeColor="text1"/>
          <w:sz w:val="20"/>
          <w:szCs w:val="20"/>
          <w:lang w:eastAsia="en-US"/>
        </w:rPr>
        <w:t>Основни доставчици</w:t>
      </w:r>
    </w:p>
    <w:p w:rsidR="005535AD" w:rsidRPr="00723BA1" w:rsidRDefault="005535AD" w:rsidP="005535AD">
      <w:pPr>
        <w:pStyle w:val="firstline"/>
        <w:spacing w:before="120" w:beforeAutospacing="0" w:after="0" w:afterAutospacing="0" w:line="260" w:lineRule="atLeast"/>
        <w:jc w:val="both"/>
        <w:rPr>
          <w:rFonts w:ascii="Verdana" w:hAnsi="Verdana" w:cs="Arial"/>
          <w:color w:val="000000" w:themeColor="text1"/>
          <w:sz w:val="20"/>
        </w:rPr>
      </w:pPr>
      <w:r w:rsidRPr="00723BA1">
        <w:rPr>
          <w:rFonts w:ascii="Verdana" w:hAnsi="Verdana" w:cs="Arial"/>
          <w:bCs w:val="0"/>
          <w:color w:val="000000" w:themeColor="text1"/>
          <w:sz w:val="20"/>
          <w:szCs w:val="20"/>
          <w:lang w:eastAsia="en-US"/>
        </w:rPr>
        <w:t xml:space="preserve">Като основни доставчици през 2024 г. могат да се определят „Овергаз Мрежи“ АД, с когото дружеството </w:t>
      </w:r>
      <w:r w:rsidRPr="00723BA1">
        <w:rPr>
          <w:rFonts w:ascii="Verdana" w:hAnsi="Verdana" w:cs="Arial"/>
          <w:color w:val="000000" w:themeColor="text1"/>
          <w:sz w:val="20"/>
        </w:rPr>
        <w:t>има сключени договори за снабдяване и разпределение на природен газ, „Филтър” ЕООД, „Омникар БГ” ЕООД, „Хигиенно-медицинска индустрия“ ЕООД, „Бруната“ ООД и други.</w:t>
      </w:r>
    </w:p>
    <w:p w:rsidR="005535AD" w:rsidRPr="00723BA1" w:rsidRDefault="005535AD" w:rsidP="005535AD">
      <w:pPr>
        <w:pStyle w:val="firstline"/>
        <w:spacing w:before="120" w:line="260" w:lineRule="atLeast"/>
        <w:rPr>
          <w:rFonts w:ascii="Verdana" w:hAnsi="Verdana" w:cs="Arial"/>
          <w:color w:val="000000" w:themeColor="text1"/>
          <w:sz w:val="20"/>
        </w:rPr>
      </w:pPr>
      <w:r w:rsidRPr="00723BA1">
        <w:rPr>
          <w:rFonts w:ascii="Verdana" w:hAnsi="Verdana" w:cs="Arial"/>
          <w:color w:val="000000" w:themeColor="text1"/>
          <w:sz w:val="20"/>
        </w:rPr>
        <w:t>Същевременно във връзка с изискванията на Закона за енергетиката, дружеството води отделна счетоводна отчетност, както следва:</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Производство на топлинна енергия;</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Пренос на топлинна енергия;</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Производство на електрическа енергия;</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Общи разходи, свързани с комбинираното производство на двата продукта;</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Разходи, свързани с реализацията на топлинна енергия;</w:t>
      </w:r>
    </w:p>
    <w:p w:rsidR="005535AD" w:rsidRPr="00723BA1" w:rsidRDefault="005535AD" w:rsidP="005535AD">
      <w:pPr>
        <w:pStyle w:val="firstline"/>
        <w:spacing w:before="0" w:beforeAutospacing="0" w:after="0" w:afterAutospacing="0"/>
        <w:rPr>
          <w:rFonts w:ascii="Verdana" w:hAnsi="Verdana" w:cs="Arial"/>
          <w:color w:val="000000" w:themeColor="text1"/>
          <w:sz w:val="20"/>
        </w:rPr>
      </w:pPr>
      <w:r w:rsidRPr="00723BA1">
        <w:rPr>
          <w:rFonts w:ascii="Verdana" w:hAnsi="Verdana" w:cs="Arial"/>
          <w:color w:val="000000" w:themeColor="text1"/>
          <w:sz w:val="20"/>
        </w:rPr>
        <w:t>-</w:t>
      </w:r>
      <w:r w:rsidRPr="00723BA1">
        <w:rPr>
          <w:rFonts w:ascii="Verdana" w:hAnsi="Verdana" w:cs="Arial"/>
          <w:color w:val="000000" w:themeColor="text1"/>
          <w:sz w:val="20"/>
        </w:rPr>
        <w:tab/>
        <w:t>Административно-управленски разходи;</w:t>
      </w: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p>
    <w:p w:rsidR="005535AD" w:rsidRPr="00723BA1" w:rsidRDefault="005535AD" w:rsidP="005535AD">
      <w:pPr>
        <w:pStyle w:val="ListContinue"/>
        <w:spacing w:after="0" w:line="260" w:lineRule="atLeast"/>
        <w:ind w:left="0"/>
        <w:jc w:val="both"/>
        <w:rPr>
          <w:rFonts w:ascii="Verdana" w:hAnsi="Verdana" w:cs="Arial"/>
          <w:b/>
          <w:color w:val="000000" w:themeColor="text1"/>
          <w:lang w:val="bg-BG"/>
        </w:rPr>
      </w:pPr>
      <w:r w:rsidRPr="00723BA1">
        <w:rPr>
          <w:rFonts w:ascii="Verdana" w:hAnsi="Verdana" w:cs="Arial"/>
          <w:b/>
          <w:color w:val="000000" w:themeColor="text1"/>
          <w:lang w:val="bg-BG"/>
        </w:rPr>
        <w:t>Финансови инструменти</w:t>
      </w:r>
    </w:p>
    <w:p w:rsidR="005535AD" w:rsidRPr="00723BA1" w:rsidRDefault="005535AD" w:rsidP="005535AD">
      <w:pPr>
        <w:spacing w:line="260" w:lineRule="atLeast"/>
        <w:ind w:right="-1"/>
        <w:rPr>
          <w:rFonts w:ascii="Verdana" w:hAnsi="Verdana" w:cs="Arial"/>
          <w:color w:val="000000" w:themeColor="text1"/>
          <w:sz w:val="20"/>
        </w:rPr>
      </w:pPr>
      <w:r w:rsidRPr="00723BA1">
        <w:rPr>
          <w:rFonts w:ascii="Verdana" w:hAnsi="Verdana" w:cs="Arial"/>
          <w:color w:val="000000" w:themeColor="text1"/>
          <w:sz w:val="20"/>
        </w:rPr>
        <w:t>Балансовите стойности на финансовите активи и пасиви (финансовите инструменти) на дружеството могат да бъдат представени в следните категории:</w:t>
      </w:r>
    </w:p>
    <w:p w:rsidR="005535AD" w:rsidRPr="00723BA1" w:rsidRDefault="005535AD" w:rsidP="005535AD">
      <w:pPr>
        <w:pStyle w:val="BodyTextIndent"/>
        <w:spacing w:before="0" w:line="260" w:lineRule="atLeast"/>
        <w:ind w:left="7080" w:firstLine="708"/>
        <w:rPr>
          <w:rFonts w:ascii="Verdana" w:hAnsi="Verdana" w:cs="Arial"/>
          <w:color w:val="000000" w:themeColor="text1"/>
          <w:sz w:val="20"/>
          <w:szCs w:val="20"/>
        </w:rPr>
      </w:pPr>
      <w:r w:rsidRPr="00723BA1">
        <w:rPr>
          <w:rFonts w:ascii="Verdana" w:hAnsi="Verdana" w:cs="Arial"/>
          <w:color w:val="000000" w:themeColor="text1"/>
          <w:sz w:val="20"/>
          <w:szCs w:val="20"/>
        </w:rPr>
        <w:lastRenderedPageBreak/>
        <w:t>Табл. 3</w:t>
      </w:r>
    </w:p>
    <w:p w:rsidR="005535AD" w:rsidRPr="00723BA1" w:rsidRDefault="005535AD" w:rsidP="005535AD">
      <w:pPr>
        <w:spacing w:line="260" w:lineRule="atLeast"/>
        <w:ind w:right="-1"/>
      </w:pP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r>
      <w:r w:rsidRPr="00723BA1">
        <w:rPr>
          <w:rFonts w:ascii="Verdana" w:hAnsi="Verdana" w:cs="Arial"/>
          <w:color w:val="000000" w:themeColor="text1"/>
          <w:sz w:val="20"/>
        </w:rPr>
        <w:tab/>
        <w:t>/хил. лв/</w:t>
      </w:r>
    </w:p>
    <w:tbl>
      <w:tblPr>
        <w:tblW w:w="9070" w:type="dxa"/>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984"/>
        <w:gridCol w:w="1984"/>
      </w:tblGrid>
      <w:tr w:rsidR="005535AD" w:rsidRPr="00723BA1" w:rsidTr="00F33646">
        <w:trPr>
          <w:trHeight w:val="277"/>
          <w:tblCellSpacing w:w="1440" w:type="nil"/>
        </w:trPr>
        <w:tc>
          <w:tcPr>
            <w:tcW w:w="5102" w:type="dxa"/>
            <w:shd w:val="clear" w:color="000000" w:fill="FFFFFF"/>
            <w:noWrap/>
            <w:vAlign w:val="center"/>
          </w:tcPr>
          <w:p w:rsidR="005535AD" w:rsidRPr="00723BA1" w:rsidRDefault="005535AD" w:rsidP="00F33646">
            <w:pPr>
              <w:jc w:val="left"/>
              <w:rPr>
                <w:rFonts w:ascii="Verdana" w:hAnsi="Verdana" w:cs="Arial"/>
                <w:b/>
                <w:bCs/>
                <w:sz w:val="20"/>
              </w:rPr>
            </w:pPr>
            <w:r w:rsidRPr="00723BA1">
              <w:rPr>
                <w:rFonts w:ascii="Verdana" w:hAnsi="Verdana" w:cs="Arial"/>
                <w:b/>
                <w:bCs/>
                <w:sz w:val="20"/>
              </w:rPr>
              <w:t>Финансови активи</w:t>
            </w:r>
          </w:p>
        </w:tc>
        <w:tc>
          <w:tcPr>
            <w:tcW w:w="1984" w:type="dxa"/>
            <w:shd w:val="clear" w:color="000000" w:fill="FFFFFF"/>
            <w:vAlign w:val="center"/>
          </w:tcPr>
          <w:p w:rsidR="005535AD" w:rsidRPr="00723BA1" w:rsidRDefault="005535AD" w:rsidP="00F33646">
            <w:pPr>
              <w:jc w:val="center"/>
              <w:rPr>
                <w:rFonts w:ascii="Verdana" w:hAnsi="Verdana" w:cs="Arial"/>
                <w:b/>
                <w:bCs/>
                <w:sz w:val="20"/>
              </w:rPr>
            </w:pPr>
            <w:r w:rsidRPr="00723BA1">
              <w:rPr>
                <w:rFonts w:ascii="Verdana" w:hAnsi="Verdana" w:cs="Arial"/>
                <w:b/>
                <w:bCs/>
                <w:sz w:val="20"/>
              </w:rPr>
              <w:t>31.12.2024 г.</w:t>
            </w:r>
          </w:p>
        </w:tc>
        <w:tc>
          <w:tcPr>
            <w:tcW w:w="1984" w:type="dxa"/>
            <w:shd w:val="clear" w:color="000000" w:fill="FFFFFF"/>
            <w:vAlign w:val="center"/>
          </w:tcPr>
          <w:p w:rsidR="005535AD" w:rsidRPr="00723BA1" w:rsidRDefault="005535AD" w:rsidP="00F33646">
            <w:pPr>
              <w:jc w:val="center"/>
              <w:rPr>
                <w:rFonts w:ascii="Verdana" w:hAnsi="Verdana" w:cs="Arial"/>
                <w:b/>
                <w:bCs/>
                <w:sz w:val="20"/>
              </w:rPr>
            </w:pPr>
            <w:r w:rsidRPr="00723BA1">
              <w:rPr>
                <w:rFonts w:ascii="Verdana" w:hAnsi="Verdana" w:cs="Arial"/>
                <w:b/>
                <w:bCs/>
                <w:sz w:val="20"/>
              </w:rPr>
              <w:t>31.12.2023 г.</w:t>
            </w:r>
          </w:p>
        </w:tc>
      </w:tr>
      <w:tr w:rsidR="005535AD" w:rsidRPr="00723BA1" w:rsidTr="00F33646">
        <w:trPr>
          <w:trHeight w:val="277"/>
          <w:tblCellSpacing w:w="1440" w:type="nil"/>
        </w:trPr>
        <w:tc>
          <w:tcPr>
            <w:tcW w:w="5102" w:type="dxa"/>
            <w:shd w:val="clear" w:color="000000" w:fill="FFFFFF"/>
            <w:noWrap/>
            <w:vAlign w:val="center"/>
          </w:tcPr>
          <w:p w:rsidR="005535AD" w:rsidRPr="00723BA1" w:rsidRDefault="005535AD" w:rsidP="00F33646">
            <w:pPr>
              <w:jc w:val="left"/>
              <w:rPr>
                <w:rFonts w:ascii="Verdana" w:hAnsi="Verdana" w:cs="Arial"/>
                <w:b/>
                <w:bCs/>
                <w:sz w:val="20"/>
              </w:rPr>
            </w:pPr>
            <w:r w:rsidRPr="00723BA1">
              <w:rPr>
                <w:rFonts w:ascii="Verdana" w:hAnsi="Verdana" w:cs="Arial"/>
                <w:b/>
                <w:bCs/>
                <w:sz w:val="20"/>
              </w:rPr>
              <w:t>Краткосрочни вземания, в т.ч.:</w:t>
            </w:r>
          </w:p>
        </w:tc>
        <w:tc>
          <w:tcPr>
            <w:tcW w:w="1984" w:type="dxa"/>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 xml:space="preserve">1 848 </w:t>
            </w:r>
          </w:p>
        </w:tc>
        <w:tc>
          <w:tcPr>
            <w:tcW w:w="1984" w:type="dxa"/>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2 199</w:t>
            </w:r>
          </w:p>
        </w:tc>
      </w:tr>
      <w:tr w:rsidR="005535AD" w:rsidRPr="00723BA1" w:rsidTr="00F33646">
        <w:trPr>
          <w:trHeight w:val="277"/>
          <w:tblCellSpacing w:w="1440" w:type="nil"/>
        </w:trPr>
        <w:tc>
          <w:tcPr>
            <w:tcW w:w="5102" w:type="dxa"/>
            <w:shd w:val="clear" w:color="000000" w:fill="FFFFFF"/>
            <w:vAlign w:val="center"/>
          </w:tcPr>
          <w:p w:rsidR="005535AD" w:rsidRPr="00723BA1" w:rsidRDefault="005535AD" w:rsidP="00F33646">
            <w:pPr>
              <w:jc w:val="left"/>
              <w:rPr>
                <w:rFonts w:ascii="Verdana" w:hAnsi="Verdana" w:cs="Arial"/>
                <w:sz w:val="20"/>
              </w:rPr>
            </w:pPr>
            <w:r w:rsidRPr="00723BA1">
              <w:rPr>
                <w:rFonts w:ascii="Verdana" w:hAnsi="Verdana" w:cs="Arial"/>
                <w:sz w:val="20"/>
              </w:rPr>
              <w:t>Текущи търговски и други вземания</w:t>
            </w:r>
          </w:p>
        </w:tc>
        <w:tc>
          <w:tcPr>
            <w:tcW w:w="1984" w:type="dxa"/>
            <w:vAlign w:val="center"/>
          </w:tcPr>
          <w:p w:rsidR="005535AD" w:rsidRPr="00723BA1" w:rsidRDefault="005535AD" w:rsidP="00F33646">
            <w:pPr>
              <w:jc w:val="right"/>
              <w:rPr>
                <w:rFonts w:ascii="Verdana" w:hAnsi="Verdana" w:cs="Arial"/>
                <w:sz w:val="20"/>
              </w:rPr>
            </w:pPr>
            <w:r w:rsidRPr="00723BA1">
              <w:rPr>
                <w:rFonts w:ascii="Verdana" w:hAnsi="Verdana" w:cs="Arial"/>
                <w:sz w:val="20"/>
              </w:rPr>
              <w:t>1 848</w:t>
            </w:r>
          </w:p>
        </w:tc>
        <w:tc>
          <w:tcPr>
            <w:tcW w:w="1984" w:type="dxa"/>
            <w:vAlign w:val="center"/>
          </w:tcPr>
          <w:p w:rsidR="005535AD" w:rsidRPr="00723BA1" w:rsidRDefault="005535AD" w:rsidP="00F33646">
            <w:pPr>
              <w:jc w:val="right"/>
              <w:rPr>
                <w:rFonts w:ascii="Verdana" w:hAnsi="Verdana" w:cs="Arial"/>
                <w:sz w:val="20"/>
              </w:rPr>
            </w:pPr>
            <w:r w:rsidRPr="00723BA1">
              <w:rPr>
                <w:rFonts w:ascii="Verdana" w:hAnsi="Verdana" w:cs="Arial"/>
                <w:sz w:val="20"/>
              </w:rPr>
              <w:t>2 199</w:t>
            </w:r>
          </w:p>
        </w:tc>
      </w:tr>
      <w:tr w:rsidR="005535AD" w:rsidRPr="00723BA1" w:rsidTr="00F33646">
        <w:trPr>
          <w:trHeight w:val="277"/>
          <w:tblCellSpacing w:w="1440" w:type="nil"/>
        </w:trPr>
        <w:tc>
          <w:tcPr>
            <w:tcW w:w="5102" w:type="dxa"/>
            <w:shd w:val="clear" w:color="000000" w:fill="FFFFFF"/>
            <w:vAlign w:val="center"/>
          </w:tcPr>
          <w:p w:rsidR="005535AD" w:rsidRPr="00723BA1" w:rsidRDefault="005535AD" w:rsidP="00F33646">
            <w:pPr>
              <w:jc w:val="left"/>
              <w:rPr>
                <w:rFonts w:ascii="Verdana" w:hAnsi="Verdana" w:cs="Arial"/>
                <w:b/>
                <w:bCs/>
                <w:sz w:val="20"/>
              </w:rPr>
            </w:pPr>
            <w:r w:rsidRPr="00723BA1">
              <w:rPr>
                <w:rFonts w:ascii="Verdana" w:hAnsi="Verdana" w:cs="Arial"/>
                <w:b/>
                <w:bCs/>
                <w:sz w:val="20"/>
              </w:rPr>
              <w:t>Парични средства</w:t>
            </w:r>
          </w:p>
        </w:tc>
        <w:tc>
          <w:tcPr>
            <w:tcW w:w="1984" w:type="dxa"/>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28</w:t>
            </w:r>
          </w:p>
        </w:tc>
        <w:tc>
          <w:tcPr>
            <w:tcW w:w="1984" w:type="dxa"/>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6</w:t>
            </w:r>
          </w:p>
        </w:tc>
      </w:tr>
      <w:tr w:rsidR="005535AD" w:rsidRPr="00723BA1" w:rsidTr="00F33646">
        <w:trPr>
          <w:trHeight w:val="277"/>
          <w:tblCellSpacing w:w="1440" w:type="nil"/>
        </w:trPr>
        <w:tc>
          <w:tcPr>
            <w:tcW w:w="5102" w:type="dxa"/>
            <w:shd w:val="clear" w:color="000000" w:fill="F2F2F2"/>
            <w:noWrap/>
            <w:vAlign w:val="center"/>
          </w:tcPr>
          <w:p w:rsidR="005535AD" w:rsidRPr="00723BA1" w:rsidRDefault="005535AD" w:rsidP="00F33646">
            <w:pPr>
              <w:jc w:val="left"/>
              <w:rPr>
                <w:rFonts w:ascii="Verdana" w:hAnsi="Verdana" w:cs="Arial"/>
                <w:b/>
                <w:bCs/>
                <w:sz w:val="20"/>
              </w:rPr>
            </w:pPr>
            <w:r w:rsidRPr="00723BA1">
              <w:rPr>
                <w:rFonts w:ascii="Verdana" w:hAnsi="Verdana" w:cs="Arial"/>
                <w:b/>
                <w:bCs/>
                <w:sz w:val="20"/>
              </w:rPr>
              <w:t>Общо финансови активи</w:t>
            </w:r>
          </w:p>
        </w:tc>
        <w:tc>
          <w:tcPr>
            <w:tcW w:w="1984" w:type="dxa"/>
            <w:shd w:val="clear" w:color="000000" w:fill="F2F2F2"/>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1 876</w:t>
            </w:r>
          </w:p>
        </w:tc>
        <w:tc>
          <w:tcPr>
            <w:tcW w:w="1984" w:type="dxa"/>
            <w:shd w:val="clear" w:color="000000" w:fill="F2F2F2"/>
            <w:vAlign w:val="center"/>
          </w:tcPr>
          <w:p w:rsidR="005535AD" w:rsidRPr="00723BA1" w:rsidRDefault="005535AD" w:rsidP="00F33646">
            <w:pPr>
              <w:jc w:val="right"/>
              <w:rPr>
                <w:rFonts w:ascii="Verdana" w:hAnsi="Verdana" w:cs="Arial"/>
                <w:b/>
                <w:bCs/>
                <w:sz w:val="20"/>
              </w:rPr>
            </w:pPr>
            <w:r w:rsidRPr="00723BA1">
              <w:rPr>
                <w:rFonts w:ascii="Verdana" w:hAnsi="Verdana" w:cs="Arial"/>
                <w:b/>
                <w:bCs/>
                <w:sz w:val="20"/>
              </w:rPr>
              <w:t xml:space="preserve">2 205 </w:t>
            </w:r>
          </w:p>
        </w:tc>
      </w:tr>
    </w:tbl>
    <w:p w:rsidR="005535AD" w:rsidRPr="00723BA1" w:rsidRDefault="005535AD" w:rsidP="005535AD">
      <w:pPr>
        <w:spacing w:after="160" w:line="259" w:lineRule="auto"/>
        <w:jc w:val="left"/>
        <w:rPr>
          <w:rFonts w:ascii="Verdana" w:hAnsi="Verdana" w:cs="Arial"/>
          <w:sz w:val="20"/>
        </w:rPr>
      </w:pPr>
    </w:p>
    <w:tbl>
      <w:tblPr>
        <w:tblW w:w="9070" w:type="dxa"/>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984"/>
        <w:gridCol w:w="1984"/>
      </w:tblGrid>
      <w:tr w:rsidR="005535AD" w:rsidRPr="00723BA1" w:rsidTr="00F33646">
        <w:trPr>
          <w:trHeight w:val="255"/>
          <w:tblCellSpacing w:w="1440" w:type="nil"/>
        </w:trPr>
        <w:tc>
          <w:tcPr>
            <w:tcW w:w="5102" w:type="dxa"/>
            <w:shd w:val="clear" w:color="000000" w:fill="FFFFFF"/>
            <w:noWrap/>
            <w:vAlign w:val="center"/>
          </w:tcPr>
          <w:p w:rsidR="005535AD" w:rsidRPr="00723BA1" w:rsidRDefault="005535AD" w:rsidP="00F33646">
            <w:pPr>
              <w:jc w:val="left"/>
              <w:rPr>
                <w:rFonts w:ascii="Verdana" w:hAnsi="Verdana" w:cs="Arial"/>
                <w:b/>
                <w:bCs/>
                <w:color w:val="000000" w:themeColor="text1"/>
                <w:sz w:val="20"/>
              </w:rPr>
            </w:pPr>
            <w:r w:rsidRPr="00723BA1">
              <w:rPr>
                <w:rFonts w:ascii="Verdana" w:hAnsi="Verdana" w:cs="Arial"/>
                <w:b/>
                <w:bCs/>
                <w:color w:val="000000" w:themeColor="text1"/>
                <w:sz w:val="20"/>
              </w:rPr>
              <w:t>Финансови пасиви</w:t>
            </w:r>
          </w:p>
        </w:tc>
        <w:tc>
          <w:tcPr>
            <w:tcW w:w="1984" w:type="dxa"/>
            <w:shd w:val="clear" w:color="000000" w:fill="FFFFFF"/>
            <w:vAlign w:val="center"/>
          </w:tcPr>
          <w:p w:rsidR="005535AD" w:rsidRPr="00723BA1" w:rsidRDefault="005535AD" w:rsidP="00F33646">
            <w:pPr>
              <w:jc w:val="center"/>
              <w:rPr>
                <w:rFonts w:ascii="Verdana" w:hAnsi="Verdana" w:cs="Arial"/>
                <w:b/>
                <w:bCs/>
                <w:color w:val="000000" w:themeColor="text1"/>
                <w:sz w:val="20"/>
              </w:rPr>
            </w:pPr>
            <w:r w:rsidRPr="00723BA1">
              <w:rPr>
                <w:rFonts w:ascii="Verdana" w:hAnsi="Verdana" w:cs="Arial"/>
                <w:b/>
                <w:bCs/>
                <w:color w:val="000000" w:themeColor="text1"/>
                <w:sz w:val="20"/>
              </w:rPr>
              <w:t>31.12.2024 г.</w:t>
            </w:r>
          </w:p>
        </w:tc>
        <w:tc>
          <w:tcPr>
            <w:tcW w:w="1984" w:type="dxa"/>
            <w:shd w:val="clear" w:color="000000" w:fill="FFFFFF"/>
            <w:vAlign w:val="center"/>
          </w:tcPr>
          <w:p w:rsidR="005535AD" w:rsidRPr="00723BA1" w:rsidRDefault="005535AD" w:rsidP="00F33646">
            <w:pPr>
              <w:jc w:val="center"/>
              <w:rPr>
                <w:rFonts w:ascii="Verdana" w:hAnsi="Verdana" w:cs="Arial"/>
                <w:b/>
                <w:bCs/>
                <w:color w:val="000000" w:themeColor="text1"/>
                <w:sz w:val="20"/>
              </w:rPr>
            </w:pPr>
            <w:r w:rsidRPr="00723BA1">
              <w:rPr>
                <w:rFonts w:ascii="Verdana" w:hAnsi="Verdana" w:cs="Arial"/>
                <w:b/>
                <w:bCs/>
                <w:color w:val="000000" w:themeColor="text1"/>
                <w:sz w:val="20"/>
              </w:rPr>
              <w:t>31.12.2023 г.</w:t>
            </w:r>
          </w:p>
        </w:tc>
      </w:tr>
      <w:tr w:rsidR="005535AD" w:rsidRPr="00723BA1" w:rsidTr="00F33646">
        <w:trPr>
          <w:trHeight w:val="255"/>
          <w:tblCellSpacing w:w="1440" w:type="nil"/>
        </w:trPr>
        <w:tc>
          <w:tcPr>
            <w:tcW w:w="5102" w:type="dxa"/>
            <w:shd w:val="clear" w:color="000000" w:fill="FFFFFF"/>
            <w:vAlign w:val="center"/>
          </w:tcPr>
          <w:p w:rsidR="005535AD" w:rsidRPr="00723BA1" w:rsidRDefault="005535AD" w:rsidP="00F33646">
            <w:pPr>
              <w:jc w:val="left"/>
              <w:rPr>
                <w:rFonts w:ascii="Verdana" w:hAnsi="Verdana" w:cs="Arial"/>
                <w:b/>
                <w:bCs/>
                <w:color w:val="000000" w:themeColor="text1"/>
                <w:sz w:val="20"/>
              </w:rPr>
            </w:pPr>
            <w:r w:rsidRPr="00723BA1">
              <w:rPr>
                <w:rFonts w:ascii="Verdana" w:hAnsi="Verdana" w:cs="Arial"/>
                <w:b/>
                <w:bCs/>
                <w:color w:val="000000" w:themeColor="text1"/>
                <w:sz w:val="20"/>
              </w:rPr>
              <w:t>Текущи търговски и други задължения</w:t>
            </w:r>
          </w:p>
        </w:tc>
        <w:tc>
          <w:tcPr>
            <w:tcW w:w="1984" w:type="dxa"/>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2 453</w:t>
            </w:r>
          </w:p>
        </w:tc>
        <w:tc>
          <w:tcPr>
            <w:tcW w:w="1984" w:type="dxa"/>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2 774</w:t>
            </w:r>
          </w:p>
        </w:tc>
      </w:tr>
      <w:tr w:rsidR="005535AD" w:rsidRPr="00723BA1" w:rsidTr="00F33646">
        <w:trPr>
          <w:trHeight w:val="255"/>
          <w:tblCellSpacing w:w="1440" w:type="nil"/>
        </w:trPr>
        <w:tc>
          <w:tcPr>
            <w:tcW w:w="5102" w:type="dxa"/>
            <w:shd w:val="clear" w:color="000000" w:fill="FFFFFF"/>
            <w:vAlign w:val="center"/>
          </w:tcPr>
          <w:p w:rsidR="005535AD" w:rsidRPr="00723BA1" w:rsidRDefault="005535AD" w:rsidP="00F33646">
            <w:pPr>
              <w:jc w:val="left"/>
              <w:rPr>
                <w:rFonts w:ascii="Verdana" w:hAnsi="Verdana" w:cs="Arial"/>
                <w:b/>
                <w:bCs/>
                <w:color w:val="000000" w:themeColor="text1"/>
                <w:sz w:val="20"/>
              </w:rPr>
            </w:pPr>
            <w:r w:rsidRPr="00723BA1">
              <w:rPr>
                <w:rFonts w:ascii="Verdana" w:hAnsi="Verdana" w:cs="Arial"/>
                <w:b/>
                <w:bCs/>
                <w:color w:val="000000" w:themeColor="text1"/>
                <w:sz w:val="20"/>
              </w:rPr>
              <w:t>Задължения по заеми и кредити, в т.ч.:</w:t>
            </w:r>
          </w:p>
        </w:tc>
        <w:tc>
          <w:tcPr>
            <w:tcW w:w="1984" w:type="dxa"/>
            <w:shd w:val="clear" w:color="auto" w:fill="auto"/>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1 309</w:t>
            </w:r>
          </w:p>
        </w:tc>
        <w:tc>
          <w:tcPr>
            <w:tcW w:w="1984" w:type="dxa"/>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1 715</w:t>
            </w:r>
          </w:p>
        </w:tc>
      </w:tr>
      <w:tr w:rsidR="005535AD" w:rsidRPr="00723BA1" w:rsidTr="00F33646">
        <w:trPr>
          <w:trHeight w:val="255"/>
          <w:tblCellSpacing w:w="1440" w:type="nil"/>
        </w:trPr>
        <w:tc>
          <w:tcPr>
            <w:tcW w:w="5102" w:type="dxa"/>
            <w:shd w:val="clear" w:color="000000" w:fill="FFFFFF"/>
            <w:vAlign w:val="center"/>
          </w:tcPr>
          <w:p w:rsidR="005535AD" w:rsidRPr="00723BA1" w:rsidRDefault="005535AD" w:rsidP="00F33646">
            <w:pPr>
              <w:jc w:val="left"/>
              <w:rPr>
                <w:rFonts w:ascii="Verdana" w:hAnsi="Verdana" w:cs="Arial"/>
                <w:color w:val="000000" w:themeColor="text1"/>
                <w:sz w:val="20"/>
              </w:rPr>
            </w:pPr>
            <w:r w:rsidRPr="00723BA1">
              <w:rPr>
                <w:rFonts w:ascii="Verdana" w:hAnsi="Verdana" w:cs="Arial"/>
                <w:color w:val="000000" w:themeColor="text1"/>
                <w:sz w:val="20"/>
              </w:rPr>
              <w:t>-       Нетекущи</w:t>
            </w:r>
          </w:p>
        </w:tc>
        <w:tc>
          <w:tcPr>
            <w:tcW w:w="1984" w:type="dxa"/>
            <w:vAlign w:val="center"/>
          </w:tcPr>
          <w:p w:rsidR="005535AD" w:rsidRPr="00723BA1" w:rsidRDefault="005535AD" w:rsidP="00F33646">
            <w:pPr>
              <w:jc w:val="right"/>
              <w:rPr>
                <w:rFonts w:ascii="Verdana" w:hAnsi="Verdana" w:cs="Arial"/>
                <w:color w:val="000000" w:themeColor="text1"/>
                <w:sz w:val="20"/>
              </w:rPr>
            </w:pPr>
            <w:r w:rsidRPr="00723BA1">
              <w:rPr>
                <w:rFonts w:ascii="Verdana" w:hAnsi="Verdana" w:cs="Arial"/>
                <w:color w:val="000000" w:themeColor="text1"/>
                <w:sz w:val="20"/>
              </w:rPr>
              <w:t>873</w:t>
            </w:r>
          </w:p>
        </w:tc>
        <w:tc>
          <w:tcPr>
            <w:tcW w:w="1984" w:type="dxa"/>
            <w:vAlign w:val="center"/>
          </w:tcPr>
          <w:p w:rsidR="005535AD" w:rsidRPr="00723BA1" w:rsidRDefault="005535AD" w:rsidP="00F33646">
            <w:pPr>
              <w:jc w:val="right"/>
              <w:rPr>
                <w:rFonts w:ascii="Verdana" w:hAnsi="Verdana" w:cs="Arial"/>
                <w:color w:val="000000" w:themeColor="text1"/>
                <w:sz w:val="20"/>
              </w:rPr>
            </w:pPr>
            <w:r w:rsidRPr="00723BA1">
              <w:rPr>
                <w:rFonts w:ascii="Verdana" w:hAnsi="Verdana" w:cs="Arial"/>
                <w:color w:val="000000" w:themeColor="text1"/>
                <w:sz w:val="20"/>
              </w:rPr>
              <w:t>1 007</w:t>
            </w:r>
          </w:p>
        </w:tc>
      </w:tr>
      <w:tr w:rsidR="005535AD" w:rsidRPr="00723BA1" w:rsidTr="00F33646">
        <w:trPr>
          <w:trHeight w:val="255"/>
          <w:tblCellSpacing w:w="1440" w:type="nil"/>
        </w:trPr>
        <w:tc>
          <w:tcPr>
            <w:tcW w:w="5102" w:type="dxa"/>
            <w:shd w:val="clear" w:color="000000" w:fill="FFFFFF"/>
            <w:vAlign w:val="center"/>
          </w:tcPr>
          <w:p w:rsidR="005535AD" w:rsidRPr="00723BA1" w:rsidRDefault="005535AD" w:rsidP="00F33646">
            <w:pPr>
              <w:jc w:val="left"/>
              <w:rPr>
                <w:rFonts w:ascii="Verdana" w:hAnsi="Verdana" w:cs="Arial"/>
                <w:color w:val="000000" w:themeColor="text1"/>
                <w:sz w:val="20"/>
              </w:rPr>
            </w:pPr>
            <w:r w:rsidRPr="00723BA1">
              <w:rPr>
                <w:rFonts w:ascii="Verdana" w:hAnsi="Verdana" w:cs="Arial"/>
                <w:color w:val="000000" w:themeColor="text1"/>
                <w:sz w:val="20"/>
              </w:rPr>
              <w:t>-       Текущи</w:t>
            </w:r>
          </w:p>
        </w:tc>
        <w:tc>
          <w:tcPr>
            <w:tcW w:w="1984" w:type="dxa"/>
            <w:vAlign w:val="center"/>
          </w:tcPr>
          <w:p w:rsidR="005535AD" w:rsidRPr="00723BA1" w:rsidRDefault="005535AD" w:rsidP="00F33646">
            <w:pPr>
              <w:jc w:val="right"/>
              <w:rPr>
                <w:rFonts w:ascii="Verdana" w:hAnsi="Verdana" w:cs="Arial"/>
                <w:color w:val="000000" w:themeColor="text1"/>
                <w:sz w:val="20"/>
              </w:rPr>
            </w:pPr>
            <w:r w:rsidRPr="00723BA1">
              <w:rPr>
                <w:rFonts w:ascii="Verdana" w:hAnsi="Verdana" w:cs="Arial"/>
                <w:color w:val="000000" w:themeColor="text1"/>
                <w:sz w:val="20"/>
              </w:rPr>
              <w:t>436</w:t>
            </w:r>
          </w:p>
        </w:tc>
        <w:tc>
          <w:tcPr>
            <w:tcW w:w="1984" w:type="dxa"/>
            <w:vAlign w:val="center"/>
          </w:tcPr>
          <w:p w:rsidR="005535AD" w:rsidRPr="00723BA1" w:rsidRDefault="005535AD" w:rsidP="00F33646">
            <w:pPr>
              <w:jc w:val="right"/>
              <w:rPr>
                <w:rFonts w:ascii="Verdana" w:hAnsi="Verdana" w:cs="Arial"/>
                <w:color w:val="000000" w:themeColor="text1"/>
                <w:sz w:val="20"/>
              </w:rPr>
            </w:pPr>
            <w:r w:rsidRPr="00723BA1">
              <w:rPr>
                <w:rFonts w:ascii="Verdana" w:hAnsi="Verdana" w:cs="Arial"/>
                <w:color w:val="000000" w:themeColor="text1"/>
                <w:sz w:val="20"/>
              </w:rPr>
              <w:t>708</w:t>
            </w:r>
          </w:p>
        </w:tc>
      </w:tr>
      <w:tr w:rsidR="005535AD" w:rsidRPr="00723BA1" w:rsidTr="00F33646">
        <w:trPr>
          <w:trHeight w:val="255"/>
          <w:tblCellSpacing w:w="1440" w:type="nil"/>
        </w:trPr>
        <w:tc>
          <w:tcPr>
            <w:tcW w:w="5102" w:type="dxa"/>
            <w:shd w:val="clear" w:color="000000" w:fill="F2F2F2"/>
            <w:noWrap/>
            <w:vAlign w:val="center"/>
          </w:tcPr>
          <w:p w:rsidR="005535AD" w:rsidRPr="00723BA1" w:rsidRDefault="005535AD" w:rsidP="00F33646">
            <w:pPr>
              <w:jc w:val="left"/>
              <w:rPr>
                <w:rFonts w:ascii="Verdana" w:hAnsi="Verdana" w:cs="Arial"/>
                <w:b/>
                <w:bCs/>
                <w:color w:val="000000" w:themeColor="text1"/>
                <w:sz w:val="20"/>
              </w:rPr>
            </w:pPr>
            <w:r w:rsidRPr="00723BA1">
              <w:rPr>
                <w:rFonts w:ascii="Verdana" w:hAnsi="Verdana" w:cs="Arial"/>
                <w:b/>
                <w:bCs/>
                <w:color w:val="000000" w:themeColor="text1"/>
                <w:sz w:val="20"/>
              </w:rPr>
              <w:t>Общо финансови пасиви</w:t>
            </w:r>
          </w:p>
        </w:tc>
        <w:tc>
          <w:tcPr>
            <w:tcW w:w="1984" w:type="dxa"/>
            <w:shd w:val="clear" w:color="000000" w:fill="F2F2F2"/>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3 762</w:t>
            </w:r>
          </w:p>
        </w:tc>
        <w:tc>
          <w:tcPr>
            <w:tcW w:w="1984" w:type="dxa"/>
            <w:shd w:val="clear" w:color="000000" w:fill="F2F2F2"/>
            <w:vAlign w:val="center"/>
          </w:tcPr>
          <w:p w:rsidR="005535AD" w:rsidRPr="00723BA1" w:rsidRDefault="005535AD" w:rsidP="00F33646">
            <w:pPr>
              <w:jc w:val="right"/>
              <w:rPr>
                <w:rFonts w:ascii="Verdana" w:hAnsi="Verdana" w:cs="Arial"/>
                <w:b/>
                <w:bCs/>
                <w:color w:val="000000" w:themeColor="text1"/>
                <w:sz w:val="20"/>
              </w:rPr>
            </w:pPr>
            <w:r w:rsidRPr="00723BA1">
              <w:rPr>
                <w:rFonts w:ascii="Verdana" w:hAnsi="Verdana" w:cs="Arial"/>
                <w:b/>
                <w:bCs/>
                <w:color w:val="000000" w:themeColor="text1"/>
                <w:sz w:val="20"/>
              </w:rPr>
              <w:t>4 489</w:t>
            </w:r>
          </w:p>
        </w:tc>
      </w:tr>
    </w:tbl>
    <w:p w:rsidR="005535AD" w:rsidRPr="00723BA1" w:rsidRDefault="005535AD" w:rsidP="005535AD">
      <w:pPr>
        <w:spacing w:after="160" w:line="259" w:lineRule="auto"/>
        <w:jc w:val="left"/>
        <w:rPr>
          <w:rFonts w:ascii="Verdana" w:hAnsi="Verdana" w:cs="Arial"/>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В приложенията към Годишния финансов отчет на Дружеството към 31.12.2024 г. е представена допълнителна информация, относно оценяването и представянето на финансовите инструменти.</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spacing w:line="260" w:lineRule="atLeast"/>
        <w:rPr>
          <w:rFonts w:ascii="Verdana" w:hAnsi="Verdana" w:cs="Arial"/>
          <w:b/>
          <w:color w:val="000000" w:themeColor="text1"/>
          <w:sz w:val="20"/>
        </w:rPr>
      </w:pPr>
      <w:r w:rsidRPr="00723BA1">
        <w:rPr>
          <w:rFonts w:ascii="Verdana" w:hAnsi="Verdana" w:cs="Arial"/>
          <w:b/>
          <w:color w:val="000000" w:themeColor="text1"/>
          <w:sz w:val="20"/>
        </w:rPr>
        <w:t>Финансов отчет и анализ</w:t>
      </w:r>
    </w:p>
    <w:p w:rsidR="005535AD" w:rsidRPr="00723BA1" w:rsidRDefault="005535AD" w:rsidP="005535AD">
      <w:pPr>
        <w:spacing w:line="260" w:lineRule="atLeast"/>
        <w:rPr>
          <w:rFonts w:ascii="Verdana" w:hAnsi="Verdana" w:cs="Arial"/>
          <w:b/>
          <w:color w:val="000000" w:themeColor="text1"/>
          <w:sz w:val="20"/>
        </w:rPr>
      </w:pP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Основните показатели, характеризиращи дейността на дружеството са:</w:t>
      </w:r>
    </w:p>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numPr>
          <w:ilvl w:val="0"/>
          <w:numId w:val="3"/>
        </w:numPr>
        <w:spacing w:line="260" w:lineRule="atLeast"/>
        <w:ind w:left="426" w:hanging="276"/>
        <w:rPr>
          <w:rFonts w:ascii="Verdana" w:hAnsi="Verdana" w:cs="Arial"/>
          <w:color w:val="000000" w:themeColor="text1"/>
          <w:sz w:val="20"/>
        </w:rPr>
      </w:pPr>
      <w:r w:rsidRPr="00723BA1">
        <w:rPr>
          <w:rFonts w:ascii="Verdana" w:hAnsi="Verdana" w:cs="Arial"/>
          <w:color w:val="000000" w:themeColor="text1"/>
          <w:sz w:val="20"/>
        </w:rPr>
        <w:t>Финансова автономност</w:t>
      </w:r>
    </w:p>
    <w:p w:rsidR="005535AD" w:rsidRPr="00723BA1" w:rsidRDefault="005535AD" w:rsidP="005535AD">
      <w:pPr>
        <w:spacing w:line="260" w:lineRule="atLeast"/>
        <w:ind w:left="7080" w:firstLine="708"/>
        <w:rPr>
          <w:rFonts w:ascii="Verdana" w:hAnsi="Verdana" w:cs="Arial"/>
          <w:color w:val="000000" w:themeColor="text1"/>
          <w:sz w:val="20"/>
        </w:rPr>
      </w:pPr>
      <w:r w:rsidRPr="00723BA1">
        <w:rPr>
          <w:rFonts w:ascii="Verdana" w:hAnsi="Verdana" w:cs="Arial"/>
          <w:color w:val="000000" w:themeColor="text1"/>
          <w:sz w:val="20"/>
        </w:rPr>
        <w:t>Табл. 4</w:t>
      </w:r>
    </w:p>
    <w:tbl>
      <w:tblPr>
        <w:tblW w:w="9437" w:type="dxa"/>
        <w:tblInd w:w="-5" w:type="dxa"/>
        <w:tblLook w:val="04A0" w:firstRow="1" w:lastRow="0" w:firstColumn="1" w:lastColumn="0" w:noHBand="0" w:noVBand="1"/>
      </w:tblPr>
      <w:tblGrid>
        <w:gridCol w:w="3140"/>
        <w:gridCol w:w="1815"/>
        <w:gridCol w:w="1815"/>
        <w:gridCol w:w="1667"/>
        <w:gridCol w:w="1000"/>
      </w:tblGrid>
      <w:tr w:rsidR="005535AD" w:rsidRPr="00723BA1" w:rsidTr="00F33646">
        <w:trPr>
          <w:trHeight w:val="260"/>
        </w:trPr>
        <w:tc>
          <w:tcPr>
            <w:tcW w:w="3140" w:type="dxa"/>
            <w:tcBorders>
              <w:top w:val="single" w:sz="4" w:space="0" w:color="auto"/>
              <w:left w:val="single" w:sz="4" w:space="0" w:color="auto"/>
              <w:bottom w:val="single" w:sz="4" w:space="0" w:color="auto"/>
              <w:right w:val="nil"/>
            </w:tcBorders>
            <w:shd w:val="clear" w:color="auto" w:fill="auto"/>
            <w:noWrap/>
            <w:vAlign w:val="bottom"/>
            <w:hideMark/>
          </w:tcPr>
          <w:p w:rsidR="005535AD" w:rsidRPr="00723BA1" w:rsidRDefault="005535AD" w:rsidP="00F33646">
            <w:pPr>
              <w:jc w:val="left"/>
              <w:rPr>
                <w:rFonts w:ascii="Arial" w:hAnsi="Arial" w:cs="Arial"/>
                <w:b/>
                <w:bCs/>
                <w:color w:val="000000" w:themeColor="text1"/>
                <w:sz w:val="20"/>
                <w:lang w:eastAsia="en-GB"/>
              </w:rPr>
            </w:pPr>
            <w:r w:rsidRPr="00723BA1">
              <w:rPr>
                <w:rFonts w:ascii="Arial" w:hAnsi="Arial" w:cs="Arial"/>
                <w:b/>
                <w:bCs/>
                <w:color w:val="000000" w:themeColor="text1"/>
                <w:sz w:val="20"/>
                <w:lang w:eastAsia="en-GB"/>
              </w:rPr>
              <w:t>Коефициент:</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5AD" w:rsidRPr="00723BA1" w:rsidRDefault="005535AD" w:rsidP="00F33646">
            <w:pPr>
              <w:jc w:val="center"/>
              <w:rPr>
                <w:rFonts w:ascii="Arial" w:hAnsi="Arial" w:cs="Arial"/>
                <w:b/>
                <w:color w:val="000000" w:themeColor="text1"/>
                <w:sz w:val="20"/>
                <w:lang w:eastAsia="en-GB"/>
              </w:rPr>
            </w:pPr>
            <w:r w:rsidRPr="00723BA1">
              <w:rPr>
                <w:rFonts w:ascii="Arial" w:hAnsi="Arial" w:cs="Arial"/>
                <w:b/>
                <w:color w:val="000000" w:themeColor="text1"/>
                <w:sz w:val="20"/>
                <w:lang w:eastAsia="en-GB"/>
              </w:rPr>
              <w:t>2024</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5535AD" w:rsidRPr="00723BA1" w:rsidRDefault="005535AD" w:rsidP="00F33646">
            <w:pPr>
              <w:jc w:val="center"/>
              <w:rPr>
                <w:rFonts w:ascii="Arial" w:hAnsi="Arial" w:cs="Arial"/>
                <w:b/>
                <w:color w:val="000000" w:themeColor="text1"/>
                <w:sz w:val="20"/>
                <w:lang w:eastAsia="en-GB"/>
              </w:rPr>
            </w:pPr>
            <w:r w:rsidRPr="00723BA1">
              <w:rPr>
                <w:rFonts w:ascii="Arial" w:hAnsi="Arial" w:cs="Arial"/>
                <w:b/>
                <w:color w:val="000000" w:themeColor="text1"/>
                <w:sz w:val="20"/>
                <w:lang w:eastAsia="en-GB"/>
              </w:rPr>
              <w:t>2023</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5535AD" w:rsidRPr="00723BA1" w:rsidRDefault="005535AD" w:rsidP="00F33646">
            <w:pPr>
              <w:jc w:val="center"/>
              <w:rPr>
                <w:rFonts w:ascii="Arial" w:hAnsi="Arial" w:cs="Arial"/>
                <w:b/>
                <w:color w:val="000000" w:themeColor="text1"/>
                <w:sz w:val="20"/>
                <w:lang w:eastAsia="en-GB"/>
              </w:rPr>
            </w:pPr>
            <w:r w:rsidRPr="00723BA1">
              <w:rPr>
                <w:rFonts w:ascii="Arial" w:hAnsi="Arial" w:cs="Arial"/>
                <w:b/>
                <w:color w:val="000000" w:themeColor="text1"/>
                <w:sz w:val="20"/>
                <w:lang w:eastAsia="en-GB"/>
              </w:rPr>
              <w:t>изменение</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535AD" w:rsidRPr="00723BA1" w:rsidRDefault="005535AD" w:rsidP="00F33646">
            <w:pPr>
              <w:jc w:val="center"/>
              <w:rPr>
                <w:rFonts w:ascii="Arial" w:hAnsi="Arial" w:cs="Arial"/>
                <w:b/>
                <w:color w:val="000000" w:themeColor="text1"/>
                <w:sz w:val="20"/>
                <w:lang w:eastAsia="en-GB"/>
              </w:rPr>
            </w:pPr>
            <w:r w:rsidRPr="00723BA1">
              <w:rPr>
                <w:rFonts w:ascii="Arial" w:hAnsi="Arial" w:cs="Arial"/>
                <w:b/>
                <w:color w:val="000000" w:themeColor="text1"/>
                <w:sz w:val="20"/>
                <w:lang w:eastAsia="en-GB"/>
              </w:rPr>
              <w:t>%</w:t>
            </w:r>
          </w:p>
        </w:tc>
      </w:tr>
      <w:tr w:rsidR="005535AD" w:rsidRPr="00723BA1" w:rsidTr="00F33646">
        <w:trPr>
          <w:trHeight w:val="250"/>
        </w:trPr>
        <w:tc>
          <w:tcPr>
            <w:tcW w:w="3140" w:type="dxa"/>
            <w:tcBorders>
              <w:top w:val="nil"/>
              <w:left w:val="single" w:sz="4" w:space="0" w:color="auto"/>
              <w:bottom w:val="single" w:sz="4" w:space="0" w:color="auto"/>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Финансова автономност</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1.100</w:t>
            </w:r>
          </w:p>
        </w:tc>
        <w:tc>
          <w:tcPr>
            <w:tcW w:w="1815"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0.568</w:t>
            </w:r>
          </w:p>
        </w:tc>
        <w:tc>
          <w:tcPr>
            <w:tcW w:w="1667"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0.5301</w:t>
            </w:r>
          </w:p>
        </w:tc>
        <w:tc>
          <w:tcPr>
            <w:tcW w:w="100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93%</w:t>
            </w:r>
          </w:p>
        </w:tc>
      </w:tr>
      <w:tr w:rsidR="005535AD" w:rsidRPr="00723BA1" w:rsidTr="00F33646">
        <w:trPr>
          <w:trHeight w:val="250"/>
        </w:trPr>
        <w:tc>
          <w:tcPr>
            <w:tcW w:w="3140" w:type="dxa"/>
            <w:tcBorders>
              <w:top w:val="nil"/>
              <w:left w:val="single" w:sz="4" w:space="0" w:color="auto"/>
              <w:bottom w:val="single" w:sz="4" w:space="0" w:color="auto"/>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Задлъжнялост</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0.909</w:t>
            </w:r>
          </w:p>
        </w:tc>
        <w:tc>
          <w:tcPr>
            <w:tcW w:w="1815"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1.761</w:t>
            </w:r>
          </w:p>
        </w:tc>
        <w:tc>
          <w:tcPr>
            <w:tcW w:w="1667"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(0.8503)</w:t>
            </w:r>
          </w:p>
        </w:tc>
        <w:tc>
          <w:tcPr>
            <w:tcW w:w="100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(48)%</w:t>
            </w:r>
          </w:p>
        </w:tc>
      </w:tr>
    </w:tbl>
    <w:p w:rsidR="005535AD" w:rsidRPr="00723BA1" w:rsidRDefault="005535AD" w:rsidP="005535AD">
      <w:pPr>
        <w:spacing w:line="260" w:lineRule="atLeast"/>
        <w:ind w:left="6372" w:firstLine="708"/>
        <w:rPr>
          <w:rFonts w:ascii="Verdana" w:hAnsi="Verdana" w:cs="Arial"/>
          <w:color w:val="000000" w:themeColor="text1"/>
          <w:sz w:val="20"/>
        </w:rPr>
      </w:pPr>
    </w:p>
    <w:p w:rsidR="005535AD" w:rsidRPr="00723BA1" w:rsidRDefault="005535AD" w:rsidP="005535AD">
      <w:pPr>
        <w:spacing w:line="260" w:lineRule="atLeast"/>
        <w:ind w:left="6372" w:firstLine="708"/>
        <w:rPr>
          <w:rFonts w:ascii="Verdana" w:hAnsi="Verdana" w:cs="Arial"/>
          <w:color w:val="000000" w:themeColor="text1"/>
          <w:sz w:val="20"/>
        </w:rPr>
      </w:pPr>
    </w:p>
    <w:p w:rsidR="005535AD" w:rsidRPr="00723BA1" w:rsidRDefault="005535AD" w:rsidP="005535AD">
      <w:pPr>
        <w:numPr>
          <w:ilvl w:val="0"/>
          <w:numId w:val="3"/>
        </w:numPr>
        <w:spacing w:line="260" w:lineRule="atLeast"/>
        <w:ind w:left="426" w:hanging="276"/>
        <w:rPr>
          <w:rFonts w:ascii="Verdana" w:hAnsi="Verdana" w:cs="Arial"/>
          <w:color w:val="000000" w:themeColor="text1"/>
          <w:sz w:val="20"/>
        </w:rPr>
      </w:pPr>
      <w:r w:rsidRPr="00723BA1">
        <w:rPr>
          <w:rFonts w:ascii="Verdana" w:hAnsi="Verdana" w:cs="Arial"/>
          <w:color w:val="000000" w:themeColor="text1"/>
          <w:sz w:val="20"/>
        </w:rPr>
        <w:t xml:space="preserve">Ликвидност </w:t>
      </w:r>
    </w:p>
    <w:p w:rsidR="005535AD" w:rsidRPr="00723BA1" w:rsidRDefault="005535AD" w:rsidP="005535AD">
      <w:pPr>
        <w:spacing w:line="260" w:lineRule="atLeast"/>
        <w:ind w:left="4968" w:firstLine="696"/>
        <w:rPr>
          <w:rFonts w:ascii="Verdana" w:hAnsi="Verdana" w:cs="Arial"/>
          <w:color w:val="000000" w:themeColor="text1"/>
          <w:sz w:val="20"/>
        </w:rPr>
      </w:pPr>
      <w:r w:rsidRPr="00723BA1">
        <w:rPr>
          <w:rFonts w:ascii="Verdana" w:hAnsi="Verdana" w:cs="Arial"/>
          <w:color w:val="000000" w:themeColor="text1"/>
          <w:sz w:val="20"/>
        </w:rPr>
        <w:t>Табл. 5</w:t>
      </w:r>
    </w:p>
    <w:tbl>
      <w:tblPr>
        <w:tblW w:w="8656" w:type="dxa"/>
        <w:tblInd w:w="-5" w:type="dxa"/>
        <w:tblLook w:val="04A0" w:firstRow="1" w:lastRow="0" w:firstColumn="1" w:lastColumn="0" w:noHBand="0" w:noVBand="1"/>
      </w:tblPr>
      <w:tblGrid>
        <w:gridCol w:w="4456"/>
        <w:gridCol w:w="1000"/>
        <w:gridCol w:w="1000"/>
        <w:gridCol w:w="1200"/>
        <w:gridCol w:w="1000"/>
      </w:tblGrid>
      <w:tr w:rsidR="005535AD" w:rsidRPr="00723BA1" w:rsidTr="00F33646">
        <w:trPr>
          <w:trHeight w:val="260"/>
        </w:trPr>
        <w:tc>
          <w:tcPr>
            <w:tcW w:w="4456" w:type="dxa"/>
            <w:tcBorders>
              <w:top w:val="single" w:sz="4" w:space="0" w:color="auto"/>
              <w:left w:val="single" w:sz="4" w:space="0" w:color="auto"/>
              <w:bottom w:val="single" w:sz="4" w:space="0" w:color="auto"/>
              <w:right w:val="nil"/>
            </w:tcBorders>
            <w:shd w:val="clear" w:color="000000" w:fill="0066CC"/>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 </w:t>
            </w:r>
          </w:p>
        </w:tc>
        <w:tc>
          <w:tcPr>
            <w:tcW w:w="1000" w:type="dxa"/>
            <w:tcBorders>
              <w:top w:val="single" w:sz="4" w:space="0" w:color="auto"/>
              <w:left w:val="nil"/>
              <w:bottom w:val="single" w:sz="4" w:space="0" w:color="auto"/>
              <w:right w:val="nil"/>
            </w:tcBorders>
            <w:shd w:val="clear" w:color="000000" w:fill="0066CC"/>
            <w:noWrap/>
            <w:vAlign w:val="bottom"/>
            <w:hideMark/>
          </w:tcPr>
          <w:p w:rsidR="005535AD" w:rsidRPr="00723BA1" w:rsidRDefault="005535AD" w:rsidP="00F33646">
            <w:pPr>
              <w:jc w:val="center"/>
              <w:rPr>
                <w:rFonts w:ascii="Arial" w:hAnsi="Arial" w:cs="Arial"/>
                <w:b/>
                <w:bCs/>
                <w:color w:val="000000" w:themeColor="text1"/>
                <w:sz w:val="20"/>
                <w:lang w:eastAsia="en-GB"/>
              </w:rPr>
            </w:pPr>
            <w:r w:rsidRPr="00723BA1">
              <w:rPr>
                <w:rFonts w:ascii="Arial" w:hAnsi="Arial" w:cs="Arial"/>
                <w:b/>
                <w:bCs/>
                <w:color w:val="000000" w:themeColor="text1"/>
                <w:sz w:val="20"/>
                <w:lang w:eastAsia="en-GB"/>
              </w:rPr>
              <w:t>2024 г.</w:t>
            </w:r>
          </w:p>
        </w:tc>
        <w:tc>
          <w:tcPr>
            <w:tcW w:w="1000" w:type="dxa"/>
            <w:tcBorders>
              <w:top w:val="single" w:sz="4" w:space="0" w:color="auto"/>
              <w:left w:val="nil"/>
              <w:bottom w:val="single" w:sz="4" w:space="0" w:color="auto"/>
              <w:right w:val="single" w:sz="4" w:space="0" w:color="auto"/>
            </w:tcBorders>
            <w:shd w:val="clear" w:color="000000" w:fill="0066CC"/>
            <w:noWrap/>
            <w:vAlign w:val="bottom"/>
            <w:hideMark/>
          </w:tcPr>
          <w:p w:rsidR="005535AD" w:rsidRPr="00723BA1" w:rsidRDefault="005535AD" w:rsidP="00F33646">
            <w:pPr>
              <w:jc w:val="center"/>
              <w:rPr>
                <w:rFonts w:ascii="Arial" w:hAnsi="Arial" w:cs="Arial"/>
                <w:b/>
                <w:bCs/>
                <w:color w:val="000000" w:themeColor="text1"/>
                <w:sz w:val="20"/>
                <w:lang w:eastAsia="en-GB"/>
              </w:rPr>
            </w:pPr>
            <w:r w:rsidRPr="00723BA1">
              <w:rPr>
                <w:rFonts w:ascii="Arial" w:hAnsi="Arial" w:cs="Arial"/>
                <w:b/>
                <w:bCs/>
                <w:color w:val="000000" w:themeColor="text1"/>
                <w:sz w:val="20"/>
                <w:lang w:eastAsia="en-GB"/>
              </w:rPr>
              <w:t>2023 г.</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center"/>
              <w:rPr>
                <w:rFonts w:ascii="Arial" w:hAnsi="Arial" w:cs="Arial"/>
                <w:b/>
                <w:bCs/>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center"/>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Коеф. на обща ликвидност</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0.660</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0.739</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center"/>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Коеф. на бърза ликвидност</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0,597</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0.682</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center"/>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Коеф. на незабавна ликвидност</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0,009</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0.002</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center"/>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Коеф. на абсолютна ликвидност</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0,009</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0.002</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bl>
    <w:p w:rsidR="005535AD" w:rsidRPr="00723BA1" w:rsidRDefault="005535AD" w:rsidP="005535AD">
      <w:pPr>
        <w:spacing w:line="260" w:lineRule="atLeast"/>
        <w:rPr>
          <w:rFonts w:ascii="Verdana" w:hAnsi="Verdana" w:cs="Arial"/>
          <w:color w:val="000000" w:themeColor="text1"/>
          <w:sz w:val="20"/>
        </w:rPr>
      </w:pPr>
    </w:p>
    <w:p w:rsidR="005535AD" w:rsidRPr="00723BA1" w:rsidRDefault="005535AD" w:rsidP="005535AD">
      <w:pPr>
        <w:numPr>
          <w:ilvl w:val="0"/>
          <w:numId w:val="3"/>
        </w:numPr>
        <w:spacing w:line="260" w:lineRule="atLeast"/>
        <w:ind w:left="426" w:hanging="276"/>
        <w:rPr>
          <w:rFonts w:ascii="Verdana" w:hAnsi="Verdana" w:cs="Arial"/>
          <w:color w:val="000000" w:themeColor="text1"/>
          <w:sz w:val="20"/>
        </w:rPr>
      </w:pPr>
      <w:r w:rsidRPr="00723BA1">
        <w:rPr>
          <w:rFonts w:ascii="Verdana" w:hAnsi="Verdana" w:cs="Arial"/>
          <w:color w:val="000000" w:themeColor="text1"/>
          <w:sz w:val="20"/>
        </w:rPr>
        <w:t xml:space="preserve">Ефективност </w:t>
      </w:r>
    </w:p>
    <w:p w:rsidR="005535AD" w:rsidRPr="00723BA1" w:rsidRDefault="005535AD" w:rsidP="005535AD">
      <w:pPr>
        <w:spacing w:line="260" w:lineRule="atLeast"/>
        <w:ind w:left="4956" w:firstLine="708"/>
        <w:rPr>
          <w:rFonts w:ascii="Verdana" w:hAnsi="Verdana" w:cs="Arial"/>
          <w:color w:val="000000" w:themeColor="text1"/>
          <w:sz w:val="20"/>
        </w:rPr>
      </w:pPr>
      <w:r w:rsidRPr="00723BA1">
        <w:rPr>
          <w:rFonts w:ascii="Verdana" w:hAnsi="Verdana" w:cs="Arial"/>
          <w:color w:val="000000" w:themeColor="text1"/>
          <w:sz w:val="20"/>
        </w:rPr>
        <w:t>Табл. 6</w:t>
      </w:r>
    </w:p>
    <w:tbl>
      <w:tblPr>
        <w:tblW w:w="8656" w:type="dxa"/>
        <w:tblLook w:val="04A0" w:firstRow="1" w:lastRow="0" w:firstColumn="1" w:lastColumn="0" w:noHBand="0" w:noVBand="1"/>
      </w:tblPr>
      <w:tblGrid>
        <w:gridCol w:w="4456"/>
        <w:gridCol w:w="1000"/>
        <w:gridCol w:w="1000"/>
        <w:gridCol w:w="1200"/>
        <w:gridCol w:w="1000"/>
      </w:tblGrid>
      <w:tr w:rsidR="005535AD" w:rsidRPr="00723BA1" w:rsidTr="00F33646">
        <w:trPr>
          <w:trHeight w:val="260"/>
        </w:trPr>
        <w:tc>
          <w:tcPr>
            <w:tcW w:w="4456" w:type="dxa"/>
            <w:tcBorders>
              <w:top w:val="single" w:sz="4" w:space="0" w:color="auto"/>
              <w:left w:val="single" w:sz="4" w:space="0" w:color="auto"/>
              <w:bottom w:val="single" w:sz="4" w:space="0" w:color="auto"/>
              <w:right w:val="nil"/>
            </w:tcBorders>
            <w:shd w:val="clear" w:color="000000" w:fill="0066CC"/>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 </w:t>
            </w:r>
          </w:p>
        </w:tc>
        <w:tc>
          <w:tcPr>
            <w:tcW w:w="1000" w:type="dxa"/>
            <w:tcBorders>
              <w:top w:val="single" w:sz="4" w:space="0" w:color="auto"/>
              <w:left w:val="nil"/>
              <w:bottom w:val="single" w:sz="4" w:space="0" w:color="auto"/>
              <w:right w:val="nil"/>
            </w:tcBorders>
            <w:shd w:val="clear" w:color="000000" w:fill="0066CC"/>
            <w:noWrap/>
            <w:vAlign w:val="bottom"/>
            <w:hideMark/>
          </w:tcPr>
          <w:p w:rsidR="005535AD" w:rsidRPr="00723BA1" w:rsidRDefault="005535AD" w:rsidP="00F33646">
            <w:pPr>
              <w:jc w:val="center"/>
              <w:rPr>
                <w:rFonts w:ascii="Arial" w:hAnsi="Arial" w:cs="Arial"/>
                <w:b/>
                <w:bCs/>
                <w:color w:val="000000" w:themeColor="text1"/>
                <w:sz w:val="20"/>
                <w:lang w:eastAsia="en-GB"/>
              </w:rPr>
            </w:pPr>
            <w:r w:rsidRPr="00723BA1">
              <w:rPr>
                <w:rFonts w:ascii="Arial" w:hAnsi="Arial" w:cs="Arial"/>
                <w:b/>
                <w:bCs/>
                <w:color w:val="000000" w:themeColor="text1"/>
                <w:sz w:val="20"/>
                <w:lang w:eastAsia="en-GB"/>
              </w:rPr>
              <w:t>2024 г.</w:t>
            </w:r>
          </w:p>
        </w:tc>
        <w:tc>
          <w:tcPr>
            <w:tcW w:w="1000" w:type="dxa"/>
            <w:tcBorders>
              <w:top w:val="single" w:sz="4" w:space="0" w:color="auto"/>
              <w:left w:val="nil"/>
              <w:bottom w:val="single" w:sz="4" w:space="0" w:color="auto"/>
              <w:right w:val="single" w:sz="4" w:space="0" w:color="auto"/>
            </w:tcBorders>
            <w:shd w:val="clear" w:color="000000" w:fill="0066CC"/>
            <w:noWrap/>
            <w:vAlign w:val="bottom"/>
            <w:hideMark/>
          </w:tcPr>
          <w:p w:rsidR="005535AD" w:rsidRPr="00723BA1" w:rsidRDefault="005535AD" w:rsidP="00F33646">
            <w:pPr>
              <w:jc w:val="center"/>
              <w:rPr>
                <w:rFonts w:ascii="Arial" w:hAnsi="Arial" w:cs="Arial"/>
                <w:b/>
                <w:bCs/>
                <w:color w:val="000000" w:themeColor="text1"/>
                <w:sz w:val="20"/>
                <w:lang w:eastAsia="en-GB"/>
              </w:rPr>
            </w:pPr>
            <w:r w:rsidRPr="00723BA1">
              <w:rPr>
                <w:rFonts w:ascii="Arial" w:hAnsi="Arial" w:cs="Arial"/>
                <w:b/>
                <w:bCs/>
                <w:color w:val="000000" w:themeColor="text1"/>
                <w:sz w:val="20"/>
                <w:lang w:eastAsia="en-GB"/>
              </w:rPr>
              <w:t>2023 г.</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center"/>
              <w:rPr>
                <w:rFonts w:ascii="Arial" w:hAnsi="Arial" w:cs="Arial"/>
                <w:b/>
                <w:bCs/>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Ефективност на разходите</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0,94</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Pr>
                <w:rFonts w:ascii="Arial" w:hAnsi="Arial" w:cs="Arial"/>
                <w:color w:val="000000" w:themeColor="text1"/>
                <w:sz w:val="20"/>
                <w:lang w:eastAsia="en-GB"/>
              </w:rPr>
              <w:t>0.98</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r w:rsidR="005535AD" w:rsidRPr="00723BA1" w:rsidTr="00F33646">
        <w:trPr>
          <w:trHeight w:val="250"/>
        </w:trPr>
        <w:tc>
          <w:tcPr>
            <w:tcW w:w="4456" w:type="dxa"/>
            <w:tcBorders>
              <w:top w:val="nil"/>
              <w:left w:val="single" w:sz="4" w:space="0" w:color="auto"/>
              <w:bottom w:val="single" w:sz="4" w:space="0" w:color="auto"/>
              <w:right w:val="single" w:sz="4" w:space="0" w:color="auto"/>
            </w:tcBorders>
            <w:shd w:val="clear" w:color="000000" w:fill="CCCCFF"/>
            <w:noWrap/>
            <w:vAlign w:val="bottom"/>
            <w:hideMark/>
          </w:tcPr>
          <w:p w:rsidR="005535AD" w:rsidRPr="00723BA1" w:rsidRDefault="005535AD" w:rsidP="00F33646">
            <w:pPr>
              <w:jc w:val="left"/>
              <w:rPr>
                <w:rFonts w:ascii="Arial" w:hAnsi="Arial" w:cs="Arial"/>
                <w:color w:val="000000" w:themeColor="text1"/>
                <w:sz w:val="20"/>
                <w:lang w:eastAsia="en-GB"/>
              </w:rPr>
            </w:pPr>
            <w:r w:rsidRPr="00723BA1">
              <w:rPr>
                <w:rFonts w:ascii="Arial" w:hAnsi="Arial" w:cs="Arial"/>
                <w:color w:val="000000" w:themeColor="text1"/>
                <w:sz w:val="20"/>
                <w:lang w:eastAsia="en-GB"/>
              </w:rPr>
              <w:t>Ефективност на приходите</w:t>
            </w:r>
          </w:p>
        </w:tc>
        <w:tc>
          <w:tcPr>
            <w:tcW w:w="1000" w:type="dxa"/>
            <w:tcBorders>
              <w:top w:val="nil"/>
              <w:left w:val="nil"/>
              <w:bottom w:val="single" w:sz="4" w:space="0" w:color="auto"/>
              <w:right w:val="single" w:sz="4" w:space="0" w:color="auto"/>
            </w:tcBorders>
            <w:shd w:val="clear" w:color="000000" w:fill="CCCCFF"/>
            <w:noWrap/>
            <w:vAlign w:val="center"/>
          </w:tcPr>
          <w:p w:rsidR="005535AD" w:rsidRPr="00723BA1" w:rsidRDefault="005535AD" w:rsidP="00F33646">
            <w:pPr>
              <w:jc w:val="right"/>
              <w:rPr>
                <w:rFonts w:ascii="Arial" w:hAnsi="Arial" w:cs="Arial"/>
                <w:color w:val="000000" w:themeColor="text1"/>
                <w:sz w:val="20"/>
                <w:lang w:eastAsia="en-GB"/>
              </w:rPr>
            </w:pPr>
            <w:r w:rsidRPr="00723BA1">
              <w:rPr>
                <w:rFonts w:ascii="Arial" w:hAnsi="Arial" w:cs="Arial"/>
                <w:color w:val="000000" w:themeColor="text1"/>
                <w:sz w:val="20"/>
                <w:lang w:eastAsia="en-GB"/>
              </w:rPr>
              <w:t>1,06</w:t>
            </w:r>
          </w:p>
        </w:tc>
        <w:tc>
          <w:tcPr>
            <w:tcW w:w="1000" w:type="dxa"/>
            <w:tcBorders>
              <w:top w:val="nil"/>
              <w:left w:val="nil"/>
              <w:bottom w:val="single" w:sz="4" w:space="0" w:color="auto"/>
              <w:right w:val="single" w:sz="4" w:space="0" w:color="auto"/>
            </w:tcBorders>
            <w:shd w:val="clear" w:color="000000" w:fill="CCCCFF"/>
            <w:noWrap/>
            <w:vAlign w:val="center"/>
            <w:hideMark/>
          </w:tcPr>
          <w:p w:rsidR="005535AD" w:rsidRPr="00723BA1" w:rsidRDefault="005535AD" w:rsidP="00F33646">
            <w:pPr>
              <w:jc w:val="right"/>
              <w:rPr>
                <w:rFonts w:ascii="Arial" w:hAnsi="Arial" w:cs="Arial"/>
                <w:color w:val="000000" w:themeColor="text1"/>
                <w:sz w:val="20"/>
                <w:lang w:eastAsia="en-GB"/>
              </w:rPr>
            </w:pPr>
            <w:r>
              <w:rPr>
                <w:rFonts w:ascii="Arial" w:hAnsi="Arial" w:cs="Arial"/>
                <w:color w:val="000000" w:themeColor="text1"/>
                <w:sz w:val="20"/>
                <w:lang w:eastAsia="en-GB"/>
              </w:rPr>
              <w:t>1.02</w:t>
            </w:r>
          </w:p>
        </w:tc>
        <w:tc>
          <w:tcPr>
            <w:tcW w:w="1200" w:type="dxa"/>
            <w:tcBorders>
              <w:top w:val="nil"/>
              <w:left w:val="nil"/>
              <w:bottom w:val="nil"/>
              <w:right w:val="nil"/>
            </w:tcBorders>
            <w:shd w:val="clear" w:color="auto" w:fill="auto"/>
            <w:noWrap/>
            <w:vAlign w:val="bottom"/>
            <w:hideMark/>
          </w:tcPr>
          <w:p w:rsidR="005535AD" w:rsidRPr="00723BA1" w:rsidRDefault="005535AD" w:rsidP="00F33646">
            <w:pPr>
              <w:jc w:val="left"/>
              <w:rPr>
                <w:rFonts w:ascii="Arial" w:hAnsi="Arial" w:cs="Arial"/>
                <w:color w:val="000000" w:themeColor="text1"/>
                <w:sz w:val="20"/>
                <w:lang w:eastAsia="en-GB"/>
              </w:rPr>
            </w:pPr>
          </w:p>
        </w:tc>
        <w:tc>
          <w:tcPr>
            <w:tcW w:w="1000" w:type="dxa"/>
            <w:tcBorders>
              <w:top w:val="nil"/>
              <w:left w:val="nil"/>
              <w:bottom w:val="nil"/>
              <w:right w:val="nil"/>
            </w:tcBorders>
            <w:shd w:val="clear" w:color="auto" w:fill="auto"/>
            <w:noWrap/>
            <w:vAlign w:val="bottom"/>
            <w:hideMark/>
          </w:tcPr>
          <w:p w:rsidR="005535AD" w:rsidRPr="00723BA1" w:rsidRDefault="005535AD" w:rsidP="00F33646">
            <w:pPr>
              <w:jc w:val="left"/>
              <w:rPr>
                <w:color w:val="000000" w:themeColor="text1"/>
                <w:sz w:val="20"/>
                <w:lang w:eastAsia="en-GB"/>
              </w:rPr>
            </w:pPr>
          </w:p>
        </w:tc>
      </w:tr>
    </w:tbl>
    <w:p w:rsidR="005535AD" w:rsidRPr="00723BA1" w:rsidRDefault="005535AD" w:rsidP="005535AD">
      <w:pPr>
        <w:spacing w:line="260" w:lineRule="atLeast"/>
        <w:ind w:left="7080"/>
        <w:rPr>
          <w:rFonts w:ascii="Verdana" w:hAnsi="Verdana" w:cs="Arial"/>
          <w:color w:val="000000" w:themeColor="text1"/>
          <w:sz w:val="20"/>
        </w:rPr>
      </w:pPr>
    </w:p>
    <w:p w:rsidR="005535AD" w:rsidRPr="00723BA1" w:rsidRDefault="005535AD" w:rsidP="005535AD">
      <w:pPr>
        <w:pStyle w:val="Document1"/>
        <w:keepNext w:val="0"/>
        <w:keepLines w:val="0"/>
        <w:widowControl/>
        <w:tabs>
          <w:tab w:val="clear" w:pos="-720"/>
        </w:tabs>
        <w:suppressAutoHyphens w:val="0"/>
        <w:spacing w:before="12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Фактори, оказали въздействие върху финансовото състояние на дружеството и основни параметри в дейността през 2024 г.</w:t>
      </w:r>
    </w:p>
    <w:p w:rsidR="005535AD" w:rsidRPr="00723BA1" w:rsidRDefault="005535AD" w:rsidP="005535AD">
      <w:pPr>
        <w:spacing w:beforeLines="60" w:before="144" w:afterLines="60" w:after="144"/>
        <w:rPr>
          <w:rFonts w:ascii="Verdana" w:hAnsi="Verdana"/>
          <w:color w:val="000000" w:themeColor="text1"/>
          <w:sz w:val="20"/>
        </w:rPr>
      </w:pPr>
      <w:r w:rsidRPr="00723BA1">
        <w:rPr>
          <w:rFonts w:ascii="Verdana" w:hAnsi="Verdana"/>
          <w:color w:val="000000" w:themeColor="text1"/>
          <w:sz w:val="20"/>
        </w:rPr>
        <w:t xml:space="preserve">Към 31.12.2024 г. Дружеството има натрупани 7 827 хил. лв. загуби от дейността. Основната причина за лошите финансови резултати е, че регулираните от КЕВР цени, в продължение на години са значително по-ниски от претендираните и </w:t>
      </w:r>
      <w:r w:rsidRPr="00723BA1">
        <w:rPr>
          <w:rFonts w:ascii="Verdana" w:hAnsi="Verdana"/>
          <w:color w:val="000000" w:themeColor="text1"/>
          <w:sz w:val="20"/>
        </w:rPr>
        <w:lastRenderedPageBreak/>
        <w:t>доказвани от „Топлофикация-Разград“ АД, чрез нормативно заложените методи на ценообразуване. Това принуждава Дружеството да работи на загуба.</w:t>
      </w:r>
    </w:p>
    <w:p w:rsidR="005535AD" w:rsidRPr="00723BA1" w:rsidRDefault="005535AD" w:rsidP="005535AD">
      <w:pPr>
        <w:spacing w:beforeLines="60" w:before="144" w:afterLines="60" w:after="144"/>
        <w:rPr>
          <w:rFonts w:ascii="Verdana" w:hAnsi="Verdana"/>
          <w:color w:val="000000" w:themeColor="text1"/>
          <w:sz w:val="20"/>
        </w:rPr>
      </w:pPr>
      <w:r w:rsidRPr="00723BA1">
        <w:rPr>
          <w:rFonts w:ascii="Verdana" w:hAnsi="Verdana"/>
          <w:color w:val="000000" w:themeColor="text1"/>
          <w:sz w:val="20"/>
        </w:rPr>
        <w:t>През февруарии 2024 г аварира трансформатор, което наложи прекъсване на дейността за период за близо  три месеца за подмяната му. Това допълнително лиши Дружеството от приходи от произвежданата енергия за периода.</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През 2024 г. основните фактори, оказали влияние върху финансовото състояние на дружеството са свързани с:</w:t>
      </w:r>
    </w:p>
    <w:p w:rsidR="005535AD" w:rsidRPr="00723BA1" w:rsidRDefault="005535AD" w:rsidP="005535AD">
      <w:pPr>
        <w:pStyle w:val="ListParagraph"/>
        <w:numPr>
          <w:ilvl w:val="0"/>
          <w:numId w:val="5"/>
        </w:numPr>
        <w:spacing w:line="260" w:lineRule="atLeast"/>
        <w:ind w:left="0" w:firstLine="360"/>
        <w:rPr>
          <w:rFonts w:ascii="Verdana" w:hAnsi="Verdana" w:cs="Arial"/>
          <w:color w:val="000000" w:themeColor="text1"/>
          <w:sz w:val="20"/>
        </w:rPr>
      </w:pPr>
      <w:r w:rsidRPr="00723BA1">
        <w:rPr>
          <w:rFonts w:ascii="Verdana" w:hAnsi="Verdana" w:cs="Arial"/>
          <w:color w:val="000000" w:themeColor="text1"/>
          <w:sz w:val="20"/>
        </w:rPr>
        <w:t>невъзможност за навременно обслужване на текущите задължения, водещо до увеличаване на неустойките за забавено плащане към доставчиците.</w:t>
      </w:r>
    </w:p>
    <w:p w:rsidR="005535AD" w:rsidRPr="00723BA1" w:rsidRDefault="005535AD" w:rsidP="005535AD">
      <w:pPr>
        <w:pStyle w:val="ListParagraph"/>
        <w:numPr>
          <w:ilvl w:val="0"/>
          <w:numId w:val="5"/>
        </w:numPr>
        <w:spacing w:line="260" w:lineRule="atLeast"/>
        <w:ind w:left="0" w:firstLine="360"/>
        <w:rPr>
          <w:rFonts w:ascii="Verdana" w:hAnsi="Verdana" w:cs="Arial"/>
          <w:color w:val="000000" w:themeColor="text1"/>
          <w:sz w:val="20"/>
        </w:rPr>
      </w:pPr>
      <w:r w:rsidRPr="00723BA1">
        <w:rPr>
          <w:rFonts w:ascii="Verdana" w:hAnsi="Verdana" w:cs="Arial"/>
          <w:color w:val="000000" w:themeColor="text1"/>
          <w:sz w:val="20"/>
        </w:rPr>
        <w:t>липса на ясен механизъм при утвърждаването на цените на топлинна и електрическа енергия. Забелязва се непризнаване на присъщи за дейността разходи в процеса на ценообразуване. Това води до невъзможност за генериране на паричен ресурс, въз основа на който дружеството да планира извършването на важни ремонтни дейности по ключови съоръжения. През годините се отчита все по-висока аварийност на ключови производствени съоръжения – както на участъци от топлопреносната мрежа. Всичко това поставя под риск възможността за изпълнение на лицензионните задължения на дружеството.</w:t>
      </w:r>
    </w:p>
    <w:p w:rsidR="005535AD" w:rsidRPr="00723BA1" w:rsidRDefault="005535AD" w:rsidP="005535AD">
      <w:pPr>
        <w:numPr>
          <w:ilvl w:val="0"/>
          <w:numId w:val="5"/>
        </w:numPr>
        <w:spacing w:line="260" w:lineRule="atLeast"/>
        <w:ind w:left="0" w:firstLine="360"/>
        <w:rPr>
          <w:rFonts w:ascii="Verdana" w:hAnsi="Verdana" w:cs="Arial"/>
          <w:color w:val="000000" w:themeColor="text1"/>
          <w:sz w:val="20"/>
        </w:rPr>
      </w:pPr>
      <w:r w:rsidRPr="00723BA1">
        <w:rPr>
          <w:rFonts w:ascii="Verdana" w:hAnsi="Verdana" w:cs="Arial"/>
          <w:color w:val="000000" w:themeColor="text1"/>
          <w:sz w:val="20"/>
        </w:rPr>
        <w:t>липса на конкретна и постоянна държавна политика в сектора - непрекъсната промяна в основните нормативни документи.</w:t>
      </w:r>
    </w:p>
    <w:p w:rsidR="005535AD" w:rsidRPr="00723BA1" w:rsidRDefault="005535AD" w:rsidP="005535AD">
      <w:pPr>
        <w:spacing w:beforeLines="60" w:before="144" w:afterLines="60" w:after="144"/>
        <w:rPr>
          <w:rFonts w:ascii="Verdana" w:hAnsi="Verdana"/>
          <w:color w:val="000000" w:themeColor="text1"/>
          <w:sz w:val="20"/>
        </w:rPr>
      </w:pPr>
      <w:r w:rsidRPr="00723BA1">
        <w:rPr>
          <w:rFonts w:ascii="Verdana" w:hAnsi="Verdana"/>
          <w:color w:val="000000" w:themeColor="text1"/>
          <w:sz w:val="20"/>
        </w:rPr>
        <w:t>Към момента Дружеството води следните дела с КЕВР както следва:</w:t>
      </w:r>
    </w:p>
    <w:p w:rsidR="005535AD" w:rsidRPr="00723BA1" w:rsidRDefault="005535AD" w:rsidP="005535AD">
      <w:pPr>
        <w:spacing w:after="120"/>
        <w:rPr>
          <w:rFonts w:ascii="Verdana" w:hAnsi="Verdana"/>
          <w:sz w:val="20"/>
        </w:rPr>
      </w:pPr>
      <w:r w:rsidRPr="00723BA1">
        <w:rPr>
          <w:rFonts w:ascii="Verdana" w:hAnsi="Verdana"/>
          <w:b/>
          <w:sz w:val="20"/>
          <w:lang w:val="ru-RU"/>
        </w:rPr>
        <w:t>1.</w:t>
      </w:r>
      <w:r w:rsidRPr="00723BA1">
        <w:rPr>
          <w:rFonts w:ascii="Verdana" w:hAnsi="Verdana"/>
          <w:sz w:val="20"/>
          <w:lang w:val="ru-RU"/>
        </w:rPr>
        <w:t xml:space="preserve"> </w:t>
      </w:r>
      <w:r w:rsidRPr="00723BA1">
        <w:rPr>
          <w:rFonts w:ascii="Verdana" w:hAnsi="Verdana" w:cs="Verdana"/>
          <w:sz w:val="20"/>
        </w:rPr>
        <w:t xml:space="preserve">На 31.01.2022 г. беше входирана </w:t>
      </w:r>
      <w:r w:rsidRPr="00723BA1">
        <w:rPr>
          <w:rFonts w:ascii="Verdana" w:hAnsi="Verdana"/>
          <w:sz w:val="20"/>
        </w:rPr>
        <w:t>и</w:t>
      </w:r>
      <w:r w:rsidRPr="00723BA1">
        <w:rPr>
          <w:rFonts w:ascii="Verdana" w:hAnsi="Verdana"/>
          <w:sz w:val="20"/>
          <w:lang w:val="ru-RU"/>
        </w:rPr>
        <w:t xml:space="preserve">скова молба </w:t>
      </w:r>
      <w:r w:rsidRPr="00723BA1">
        <w:rPr>
          <w:rFonts w:ascii="Verdana" w:hAnsi="Verdana"/>
          <w:sz w:val="20"/>
        </w:rPr>
        <w:t xml:space="preserve">в АССГ </w:t>
      </w:r>
      <w:r w:rsidRPr="00723BA1">
        <w:rPr>
          <w:rFonts w:ascii="Verdana" w:hAnsi="Verdana"/>
          <w:sz w:val="20"/>
          <w:lang w:val="ru-RU"/>
        </w:rPr>
        <w:t>за предявяване на иск за вреди срещу</w:t>
      </w:r>
      <w:r w:rsidRPr="00723BA1">
        <w:rPr>
          <w:rFonts w:ascii="Verdana" w:hAnsi="Verdana"/>
          <w:sz w:val="20"/>
        </w:rPr>
        <w:t xml:space="preserve"> </w:t>
      </w:r>
      <w:r w:rsidRPr="00723BA1">
        <w:rPr>
          <w:rFonts w:ascii="Verdana" w:hAnsi="Verdana"/>
          <w:sz w:val="20"/>
          <w:lang w:val="ru-RU"/>
        </w:rPr>
        <w:t xml:space="preserve">КЕВР по Закона за отговорността на държавата и общината за вреди (ЗОДОВ) </w:t>
      </w:r>
      <w:r w:rsidRPr="00723BA1">
        <w:rPr>
          <w:rFonts w:ascii="Verdana" w:hAnsi="Verdana"/>
          <w:sz w:val="20"/>
        </w:rPr>
        <w:t xml:space="preserve">за обезщетяване на разликата в цената на топлинна енергия по двете решения на Комисията. Образувано е </w:t>
      </w:r>
      <w:r w:rsidRPr="00723BA1">
        <w:rPr>
          <w:rFonts w:ascii="Verdana" w:hAnsi="Verdana"/>
          <w:b/>
          <w:sz w:val="20"/>
        </w:rPr>
        <w:t>АД № 829/2022 г.</w:t>
      </w:r>
      <w:r w:rsidRPr="00723BA1">
        <w:rPr>
          <w:rFonts w:ascii="Verdana" w:hAnsi="Verdana"/>
          <w:sz w:val="20"/>
        </w:rPr>
        <w:t xml:space="preserve"> </w:t>
      </w:r>
      <w:r w:rsidRPr="00723BA1">
        <w:rPr>
          <w:rFonts w:ascii="Verdana" w:hAnsi="Verdana"/>
          <w:b/>
          <w:sz w:val="20"/>
        </w:rPr>
        <w:t>по описа на Административен съд – София-град</w:t>
      </w:r>
      <w:r w:rsidRPr="00723BA1">
        <w:rPr>
          <w:rFonts w:ascii="Verdana" w:hAnsi="Verdana"/>
          <w:sz w:val="20"/>
        </w:rPr>
        <w:t xml:space="preserve">. Решението на АССГ е в полза на Дружеството. </w:t>
      </w:r>
      <w:r w:rsidRPr="00723BA1">
        <w:rPr>
          <w:rFonts w:ascii="Verdana" w:hAnsi="Verdana"/>
          <w:sz w:val="20"/>
          <w:u w:val="single"/>
        </w:rPr>
        <w:t>По образуваното АД № 5857/2023 г. по описа на ВАС, след подадена касационна жалба от страна на КЕВР, делото е разгледано в съдебно заседание и решението на ВАС е за отмяна на първоинстан.решение и връщане за ново разглеждане на делото. АССГ образува ново АД № 2385/2024 г. Съдът допусна СИЕ и отложи делото за 14.01.2025 г.</w:t>
      </w:r>
      <w:r w:rsidRPr="00723BA1">
        <w:rPr>
          <w:rFonts w:ascii="Verdana" w:hAnsi="Verdana"/>
          <w:sz w:val="20"/>
        </w:rPr>
        <w:t xml:space="preserve"> </w:t>
      </w:r>
    </w:p>
    <w:p w:rsidR="005535AD" w:rsidRPr="00723BA1" w:rsidRDefault="005535AD" w:rsidP="005535AD">
      <w:pPr>
        <w:numPr>
          <w:ilvl w:val="0"/>
          <w:numId w:val="8"/>
        </w:numPr>
        <w:spacing w:after="120"/>
        <w:rPr>
          <w:rFonts w:ascii="Verdana" w:hAnsi="Verdana"/>
          <w:sz w:val="20"/>
        </w:rPr>
      </w:pPr>
      <w:r w:rsidRPr="00723BA1">
        <w:rPr>
          <w:rFonts w:ascii="Verdana" w:hAnsi="Verdana"/>
          <w:sz w:val="20"/>
        </w:rPr>
        <w:t>Размерът на първоначалната претенция:</w:t>
      </w:r>
    </w:p>
    <w:p w:rsidR="005535AD" w:rsidRPr="00723BA1" w:rsidRDefault="005535AD" w:rsidP="005535AD">
      <w:pPr>
        <w:spacing w:after="120"/>
        <w:rPr>
          <w:rFonts w:ascii="Verdana" w:hAnsi="Verdana"/>
          <w:sz w:val="20"/>
        </w:rPr>
      </w:pPr>
      <w:r w:rsidRPr="00723BA1">
        <w:rPr>
          <w:rFonts w:ascii="Verdana" w:hAnsi="Verdana"/>
          <w:sz w:val="20"/>
        </w:rPr>
        <w:t xml:space="preserve">- Компенсация за разликата в цената на топлинна енергия в размер:                </w:t>
      </w:r>
    </w:p>
    <w:p w:rsidR="005535AD" w:rsidRPr="00723BA1" w:rsidRDefault="005535AD" w:rsidP="005535AD">
      <w:pPr>
        <w:spacing w:after="120"/>
        <w:rPr>
          <w:rFonts w:ascii="Verdana" w:hAnsi="Verdana"/>
          <w:sz w:val="20"/>
        </w:rPr>
      </w:pPr>
      <w:r w:rsidRPr="00723BA1">
        <w:rPr>
          <w:rFonts w:ascii="Verdana" w:hAnsi="Verdana"/>
          <w:sz w:val="20"/>
        </w:rPr>
        <w:t xml:space="preserve">  </w:t>
      </w:r>
      <w:r w:rsidRPr="00723BA1">
        <w:rPr>
          <w:rFonts w:ascii="Verdana" w:hAnsi="Verdana"/>
          <w:b/>
          <w:sz w:val="20"/>
        </w:rPr>
        <w:t>283 541,92 лв. главница</w:t>
      </w:r>
      <w:r w:rsidRPr="00723BA1">
        <w:rPr>
          <w:rFonts w:ascii="Verdana" w:hAnsi="Verdana"/>
          <w:sz w:val="20"/>
        </w:rPr>
        <w:t xml:space="preserve">, ведно със законната лихва; </w:t>
      </w:r>
    </w:p>
    <w:p w:rsidR="005535AD" w:rsidRPr="00723BA1" w:rsidRDefault="005535AD" w:rsidP="005535AD">
      <w:pPr>
        <w:spacing w:after="120"/>
        <w:rPr>
          <w:rFonts w:ascii="Verdana" w:hAnsi="Verdana"/>
          <w:sz w:val="20"/>
        </w:rPr>
      </w:pPr>
      <w:r w:rsidRPr="00723BA1">
        <w:rPr>
          <w:rFonts w:ascii="Verdana" w:hAnsi="Verdana"/>
          <w:sz w:val="20"/>
        </w:rPr>
        <w:t xml:space="preserve">- </w:t>
      </w:r>
      <w:r w:rsidRPr="00723BA1">
        <w:rPr>
          <w:rFonts w:ascii="Verdana" w:hAnsi="Verdana"/>
          <w:b/>
          <w:sz w:val="20"/>
        </w:rPr>
        <w:t>30 008,19 лв.</w:t>
      </w:r>
      <w:r w:rsidRPr="00723BA1">
        <w:rPr>
          <w:rFonts w:ascii="Verdana" w:hAnsi="Verdana"/>
          <w:sz w:val="20"/>
        </w:rPr>
        <w:t xml:space="preserve"> обезщетение за забава.</w:t>
      </w:r>
    </w:p>
    <w:p w:rsidR="005535AD" w:rsidRPr="00723BA1" w:rsidRDefault="005535AD" w:rsidP="005535AD">
      <w:pPr>
        <w:numPr>
          <w:ilvl w:val="0"/>
          <w:numId w:val="8"/>
        </w:numPr>
        <w:spacing w:after="120"/>
        <w:rPr>
          <w:rFonts w:ascii="Verdana" w:hAnsi="Verdana"/>
          <w:sz w:val="20"/>
        </w:rPr>
      </w:pPr>
      <w:r w:rsidRPr="00723BA1">
        <w:rPr>
          <w:rFonts w:ascii="Verdana" w:hAnsi="Verdana"/>
          <w:sz w:val="20"/>
        </w:rPr>
        <w:t>Присъден размер на претенцията от АССГ по първоначалното АД № 829/2022г.:</w:t>
      </w:r>
    </w:p>
    <w:p w:rsidR="005535AD" w:rsidRPr="00723BA1" w:rsidRDefault="005535AD" w:rsidP="005535AD">
      <w:pPr>
        <w:spacing w:after="120"/>
        <w:rPr>
          <w:rFonts w:ascii="Verdana" w:hAnsi="Verdana"/>
          <w:b/>
          <w:sz w:val="20"/>
        </w:rPr>
      </w:pPr>
      <w:r w:rsidRPr="00723BA1">
        <w:rPr>
          <w:rFonts w:ascii="Verdana" w:hAnsi="Verdana"/>
          <w:b/>
          <w:sz w:val="20"/>
        </w:rPr>
        <w:t>- 275 582,76 лв. главница;</w:t>
      </w:r>
    </w:p>
    <w:p w:rsidR="005535AD" w:rsidRPr="00723BA1" w:rsidRDefault="005535AD" w:rsidP="005535AD">
      <w:pPr>
        <w:spacing w:after="120"/>
        <w:rPr>
          <w:rFonts w:ascii="Verdana" w:hAnsi="Verdana"/>
          <w:b/>
          <w:color w:val="FF0000"/>
          <w:sz w:val="20"/>
        </w:rPr>
      </w:pPr>
      <w:r w:rsidRPr="00723BA1">
        <w:rPr>
          <w:rFonts w:ascii="Verdana" w:hAnsi="Verdana"/>
          <w:b/>
          <w:sz w:val="20"/>
        </w:rPr>
        <w:t>- 29 165,84 лв. лихва за забава</w:t>
      </w:r>
      <w:r w:rsidRPr="00723BA1">
        <w:rPr>
          <w:rFonts w:ascii="Verdana" w:hAnsi="Verdana"/>
          <w:b/>
          <w:color w:val="FF0000"/>
          <w:sz w:val="20"/>
        </w:rPr>
        <w:t>.</w:t>
      </w:r>
    </w:p>
    <w:p w:rsidR="005535AD" w:rsidRPr="00723BA1" w:rsidRDefault="005535AD" w:rsidP="005535AD">
      <w:pPr>
        <w:spacing w:after="120"/>
        <w:rPr>
          <w:rFonts w:ascii="Verdana" w:hAnsi="Verdana"/>
          <w:b/>
          <w:color w:val="FF0000"/>
          <w:sz w:val="20"/>
        </w:rPr>
      </w:pPr>
    </w:p>
    <w:p w:rsidR="005535AD" w:rsidRPr="00723BA1" w:rsidRDefault="005535AD" w:rsidP="005535AD">
      <w:pPr>
        <w:rPr>
          <w:rFonts w:ascii="Verdana" w:hAnsi="Verdana"/>
          <w:b/>
          <w:sz w:val="20"/>
          <w:u w:val="single"/>
        </w:rPr>
      </w:pPr>
      <w:r w:rsidRPr="00723BA1">
        <w:rPr>
          <w:rFonts w:ascii="Verdana" w:hAnsi="Verdana"/>
          <w:b/>
          <w:sz w:val="20"/>
        </w:rPr>
        <w:t>2</w:t>
      </w:r>
      <w:r w:rsidRPr="00723BA1">
        <w:rPr>
          <w:rFonts w:ascii="Verdana" w:hAnsi="Verdana"/>
          <w:b/>
          <w:sz w:val="20"/>
          <w:lang w:val="ru-RU"/>
        </w:rPr>
        <w:t>.</w:t>
      </w:r>
      <w:r w:rsidRPr="00723BA1">
        <w:rPr>
          <w:rFonts w:ascii="Verdana" w:hAnsi="Verdana"/>
          <w:sz w:val="20"/>
          <w:lang w:val="ru-RU"/>
        </w:rPr>
        <w:t xml:space="preserve"> По жалба на </w:t>
      </w:r>
      <w:r w:rsidRPr="00723BA1">
        <w:rPr>
          <w:rFonts w:ascii="Verdana" w:hAnsi="Verdana"/>
          <w:sz w:val="20"/>
        </w:rPr>
        <w:t>„</w:t>
      </w:r>
      <w:r w:rsidRPr="00723BA1">
        <w:rPr>
          <w:rFonts w:ascii="Verdana" w:hAnsi="Verdana"/>
          <w:sz w:val="20"/>
          <w:lang w:val="ru-RU"/>
        </w:rPr>
        <w:t xml:space="preserve">Топлофикация </w:t>
      </w:r>
      <w:r w:rsidRPr="00723BA1">
        <w:rPr>
          <w:rFonts w:ascii="Verdana" w:hAnsi="Verdana"/>
          <w:sz w:val="20"/>
        </w:rPr>
        <w:t xml:space="preserve">– </w:t>
      </w:r>
      <w:r w:rsidRPr="00723BA1">
        <w:rPr>
          <w:rFonts w:ascii="Verdana" w:hAnsi="Verdana"/>
          <w:sz w:val="20"/>
          <w:lang w:val="ru-RU"/>
        </w:rPr>
        <w:t>Разград</w:t>
      </w:r>
      <w:r w:rsidRPr="00723BA1">
        <w:rPr>
          <w:rFonts w:ascii="Verdana" w:hAnsi="Verdana"/>
          <w:sz w:val="20"/>
        </w:rPr>
        <w:t xml:space="preserve">” </w:t>
      </w:r>
      <w:r w:rsidRPr="00723BA1">
        <w:rPr>
          <w:rFonts w:ascii="Verdana" w:hAnsi="Verdana"/>
          <w:sz w:val="20"/>
          <w:lang w:val="ru-RU"/>
        </w:rPr>
        <w:t xml:space="preserve">АД срещу </w:t>
      </w:r>
      <w:r w:rsidRPr="00723BA1">
        <w:rPr>
          <w:rFonts w:ascii="Verdana" w:hAnsi="Verdana"/>
          <w:b/>
          <w:sz w:val="20"/>
          <w:lang w:val="ru-RU"/>
        </w:rPr>
        <w:t>Решение № Ц-28 от 01.07.2020 г. на КЕВР</w:t>
      </w:r>
      <w:r w:rsidRPr="00723BA1">
        <w:rPr>
          <w:rFonts w:ascii="Verdana" w:hAnsi="Verdana"/>
          <w:sz w:val="20"/>
          <w:lang w:val="ru-RU"/>
        </w:rPr>
        <w:t xml:space="preserve"> за утвърждаване на цени на топлинна енергия за регулаторния период 01.07.2020</w:t>
      </w:r>
      <w:r w:rsidRPr="00723BA1">
        <w:rPr>
          <w:rFonts w:ascii="Verdana" w:hAnsi="Verdana"/>
          <w:sz w:val="20"/>
        </w:rPr>
        <w:t xml:space="preserve"> </w:t>
      </w:r>
      <w:r w:rsidRPr="00723BA1">
        <w:rPr>
          <w:rFonts w:ascii="Verdana" w:hAnsi="Verdana"/>
          <w:sz w:val="20"/>
          <w:lang w:val="ru-RU"/>
        </w:rPr>
        <w:t>г. – 30.06.2021</w:t>
      </w:r>
      <w:r w:rsidRPr="00723BA1">
        <w:rPr>
          <w:rFonts w:ascii="Verdana" w:hAnsi="Verdana"/>
          <w:sz w:val="20"/>
        </w:rPr>
        <w:t xml:space="preserve"> </w:t>
      </w:r>
      <w:r w:rsidRPr="00723BA1">
        <w:rPr>
          <w:rFonts w:ascii="Verdana" w:hAnsi="Verdana"/>
          <w:sz w:val="20"/>
          <w:lang w:val="ru-RU"/>
        </w:rPr>
        <w:t xml:space="preserve">г. е образувано адм. дело № </w:t>
      </w:r>
      <w:r w:rsidRPr="00723BA1">
        <w:rPr>
          <w:rFonts w:ascii="Verdana" w:hAnsi="Verdana"/>
          <w:b/>
          <w:sz w:val="20"/>
          <w:lang w:val="ru-RU"/>
        </w:rPr>
        <w:t>7441/2020</w:t>
      </w:r>
      <w:r w:rsidRPr="00723BA1">
        <w:rPr>
          <w:rFonts w:ascii="Verdana" w:hAnsi="Verdana"/>
          <w:b/>
          <w:sz w:val="20"/>
        </w:rPr>
        <w:t xml:space="preserve"> </w:t>
      </w:r>
      <w:r w:rsidRPr="00723BA1">
        <w:rPr>
          <w:rFonts w:ascii="Verdana" w:hAnsi="Verdana"/>
          <w:b/>
          <w:sz w:val="20"/>
          <w:lang w:val="ru-RU"/>
        </w:rPr>
        <w:t>г.</w:t>
      </w:r>
      <w:r w:rsidRPr="00723BA1">
        <w:rPr>
          <w:rFonts w:ascii="Verdana" w:hAnsi="Verdana"/>
          <w:sz w:val="20"/>
          <w:lang w:val="ru-RU"/>
        </w:rPr>
        <w:t xml:space="preserve"> пред АССГ. </w:t>
      </w:r>
      <w:r w:rsidRPr="00723BA1">
        <w:rPr>
          <w:rFonts w:ascii="Verdana" w:hAnsi="Verdana"/>
          <w:sz w:val="20"/>
        </w:rPr>
        <w:t xml:space="preserve">Съдът се произнесе с решение на 13.10.2021 г. </w:t>
      </w:r>
      <w:r w:rsidRPr="00723BA1">
        <w:rPr>
          <w:rFonts w:ascii="Verdana" w:hAnsi="Verdana"/>
          <w:b/>
          <w:sz w:val="20"/>
          <w:u w:val="single"/>
        </w:rPr>
        <w:t>в полза на „Топлофикация – Разград” АД.</w:t>
      </w:r>
      <w:r w:rsidRPr="00723BA1">
        <w:rPr>
          <w:rFonts w:ascii="Verdana" w:hAnsi="Verdana"/>
          <w:sz w:val="20"/>
        </w:rPr>
        <w:t xml:space="preserve"> В законоустановения срок обаче е входирана касационна жалба от страна на Комисията пред ВАС. След проведеното открито съдебно заседание по образуваното </w:t>
      </w:r>
      <w:r w:rsidRPr="00723BA1">
        <w:rPr>
          <w:rFonts w:ascii="Verdana" w:hAnsi="Verdana"/>
          <w:b/>
          <w:sz w:val="20"/>
        </w:rPr>
        <w:t>АД № 12273/2021 г.</w:t>
      </w:r>
      <w:r w:rsidRPr="00723BA1">
        <w:rPr>
          <w:rFonts w:ascii="Verdana" w:hAnsi="Verdana"/>
          <w:sz w:val="20"/>
        </w:rPr>
        <w:t xml:space="preserve"> на 14.03.2022 г, ВАС постанови окончателно Решение № 6165/22.06.2022 г. </w:t>
      </w:r>
      <w:r w:rsidRPr="00723BA1">
        <w:rPr>
          <w:rFonts w:ascii="Verdana" w:hAnsi="Verdana"/>
          <w:b/>
          <w:sz w:val="20"/>
        </w:rPr>
        <w:t>в полза на Дружеството</w:t>
      </w:r>
      <w:r w:rsidRPr="00723BA1">
        <w:rPr>
          <w:rFonts w:ascii="Verdana" w:hAnsi="Verdana"/>
          <w:sz w:val="20"/>
        </w:rPr>
        <w:t xml:space="preserve">. </w:t>
      </w:r>
      <w:r w:rsidRPr="00723BA1">
        <w:rPr>
          <w:rFonts w:ascii="Verdana" w:hAnsi="Verdana"/>
          <w:sz w:val="20"/>
          <w:u w:val="single"/>
        </w:rPr>
        <w:t xml:space="preserve">Съгласно указанията на ВАС КЕВР излезе с ново Решение № Ц-32 от 28.12.2023 г. за периода. Компенсацията за разликата в утвърдените цени за електрическа енергия с </w:t>
      </w:r>
      <w:r w:rsidRPr="00723BA1">
        <w:rPr>
          <w:rFonts w:ascii="Verdana" w:hAnsi="Verdana"/>
          <w:sz w:val="20"/>
          <w:u w:val="single"/>
        </w:rPr>
        <w:lastRenderedPageBreak/>
        <w:t xml:space="preserve">двете решения </w:t>
      </w:r>
      <w:r w:rsidRPr="00723BA1">
        <w:rPr>
          <w:rFonts w:ascii="Verdana" w:hAnsi="Verdana"/>
          <w:sz w:val="20"/>
          <w:u w:val="single"/>
          <w:lang w:val="ru-RU"/>
        </w:rPr>
        <w:t xml:space="preserve">на Комисията в размер на </w:t>
      </w:r>
      <w:r w:rsidRPr="00723BA1">
        <w:rPr>
          <w:rFonts w:ascii="Verdana" w:hAnsi="Verdana"/>
          <w:b/>
          <w:sz w:val="20"/>
          <w:u w:val="single"/>
          <w:lang w:val="ru-RU"/>
        </w:rPr>
        <w:t>144 874,27 лв.</w:t>
      </w:r>
      <w:r w:rsidRPr="00723BA1">
        <w:rPr>
          <w:rFonts w:ascii="Verdana" w:hAnsi="Verdana"/>
          <w:sz w:val="20"/>
          <w:u w:val="single"/>
          <w:lang w:val="ru-RU"/>
        </w:rPr>
        <w:t xml:space="preserve"> е изплатена от Фонд </w:t>
      </w:r>
      <w:r w:rsidRPr="00723BA1">
        <w:rPr>
          <w:rFonts w:ascii="Verdana" w:hAnsi="Verdana"/>
          <w:sz w:val="20"/>
          <w:u w:val="single"/>
        </w:rPr>
        <w:t xml:space="preserve">„СЕС“, без изплащане на лихвите за периода. </w:t>
      </w:r>
      <w:r w:rsidRPr="00723BA1">
        <w:rPr>
          <w:rFonts w:ascii="Verdana" w:hAnsi="Verdana"/>
          <w:b/>
          <w:sz w:val="20"/>
          <w:u w:val="single"/>
        </w:rPr>
        <w:t>Претендирането на лихвите за забава в размер на 48 510,19 лв. ще се осъществи по съдебен ред, предвид неизплащането им нито от страна на ФСЕС, нито от КЕВР.</w:t>
      </w:r>
    </w:p>
    <w:p w:rsidR="005535AD" w:rsidRPr="00723BA1" w:rsidRDefault="005535AD" w:rsidP="005535AD">
      <w:pPr>
        <w:rPr>
          <w:rFonts w:ascii="Verdana" w:hAnsi="Verdana"/>
          <w:b/>
          <w:sz w:val="20"/>
          <w:u w:val="single"/>
        </w:rPr>
      </w:pPr>
    </w:p>
    <w:p w:rsidR="005535AD" w:rsidRPr="00723BA1" w:rsidRDefault="005535AD" w:rsidP="005535AD">
      <w:pPr>
        <w:rPr>
          <w:rFonts w:ascii="Verdana" w:hAnsi="Verdana"/>
          <w:i/>
          <w:sz w:val="20"/>
          <w:u w:val="single"/>
        </w:rPr>
      </w:pPr>
      <w:r w:rsidRPr="00723BA1">
        <w:rPr>
          <w:rFonts w:ascii="Verdana" w:hAnsi="Verdana"/>
          <w:b/>
          <w:sz w:val="20"/>
        </w:rPr>
        <w:t xml:space="preserve">3. </w:t>
      </w:r>
      <w:r w:rsidRPr="00723BA1">
        <w:rPr>
          <w:rFonts w:ascii="Verdana" w:hAnsi="Verdana"/>
          <w:sz w:val="20"/>
        </w:rPr>
        <w:t xml:space="preserve">„Топлофикация-Разград” АД подаде жалба пред Административен съд – София-град с вх. № Е-14-16-1007/13.07.2022 г. срещу </w:t>
      </w:r>
      <w:r w:rsidRPr="00723BA1">
        <w:rPr>
          <w:rFonts w:ascii="Verdana" w:hAnsi="Verdana"/>
          <w:b/>
          <w:sz w:val="20"/>
          <w:lang w:val="ru-RU"/>
        </w:rPr>
        <w:t>Решение № Ц-18 от 01.07.202</w:t>
      </w:r>
      <w:r w:rsidRPr="00723BA1">
        <w:rPr>
          <w:rFonts w:ascii="Verdana" w:hAnsi="Verdana"/>
          <w:b/>
          <w:sz w:val="20"/>
        </w:rPr>
        <w:t>2</w:t>
      </w:r>
      <w:r w:rsidRPr="00723BA1">
        <w:rPr>
          <w:rFonts w:ascii="Verdana" w:hAnsi="Verdana"/>
          <w:b/>
          <w:sz w:val="20"/>
          <w:lang w:val="ru-RU"/>
        </w:rPr>
        <w:t xml:space="preserve"> г. на КЕВР</w:t>
      </w:r>
      <w:r w:rsidRPr="00723BA1">
        <w:rPr>
          <w:rFonts w:ascii="Verdana" w:hAnsi="Verdana"/>
          <w:sz w:val="20"/>
          <w:lang w:val="ru-RU"/>
        </w:rPr>
        <w:t xml:space="preserve"> </w:t>
      </w:r>
      <w:r w:rsidRPr="00723BA1">
        <w:rPr>
          <w:rFonts w:ascii="Verdana" w:hAnsi="Verdana"/>
          <w:b/>
          <w:sz w:val="20"/>
          <w:lang w:val="ru-RU"/>
        </w:rPr>
        <w:t xml:space="preserve">за утвърждаване на цени на топлинна </w:t>
      </w:r>
      <w:r w:rsidRPr="00723BA1">
        <w:rPr>
          <w:rFonts w:ascii="Verdana" w:hAnsi="Verdana"/>
          <w:b/>
          <w:sz w:val="20"/>
        </w:rPr>
        <w:t xml:space="preserve">и електрическа </w:t>
      </w:r>
      <w:r w:rsidRPr="00723BA1">
        <w:rPr>
          <w:rFonts w:ascii="Verdana" w:hAnsi="Verdana"/>
          <w:b/>
          <w:sz w:val="20"/>
          <w:lang w:val="ru-RU"/>
        </w:rPr>
        <w:t>енергия за регулаторния период 01.07.202</w:t>
      </w:r>
      <w:r w:rsidRPr="00723BA1">
        <w:rPr>
          <w:rFonts w:ascii="Verdana" w:hAnsi="Verdana"/>
          <w:b/>
          <w:sz w:val="20"/>
        </w:rPr>
        <w:t xml:space="preserve">2 </w:t>
      </w:r>
      <w:r w:rsidRPr="00723BA1">
        <w:rPr>
          <w:rFonts w:ascii="Verdana" w:hAnsi="Verdana"/>
          <w:b/>
          <w:sz w:val="20"/>
          <w:lang w:val="ru-RU"/>
        </w:rPr>
        <w:t>г. – 30.06.202</w:t>
      </w:r>
      <w:r w:rsidRPr="00723BA1">
        <w:rPr>
          <w:rFonts w:ascii="Verdana" w:hAnsi="Verdana"/>
          <w:b/>
          <w:sz w:val="20"/>
        </w:rPr>
        <w:t xml:space="preserve">3 </w:t>
      </w:r>
      <w:r w:rsidRPr="00723BA1">
        <w:rPr>
          <w:rFonts w:ascii="Verdana" w:hAnsi="Verdana"/>
          <w:b/>
          <w:sz w:val="20"/>
          <w:lang w:val="ru-RU"/>
        </w:rPr>
        <w:t xml:space="preserve">г. </w:t>
      </w:r>
      <w:r w:rsidRPr="00723BA1">
        <w:rPr>
          <w:rFonts w:ascii="Verdana" w:hAnsi="Verdana"/>
          <w:sz w:val="20"/>
          <w:lang w:val="ru-RU"/>
        </w:rPr>
        <w:t xml:space="preserve">относно начина на </w:t>
      </w:r>
      <w:r w:rsidRPr="00723BA1">
        <w:rPr>
          <w:rFonts w:ascii="Verdana" w:hAnsi="Verdana"/>
          <w:sz w:val="20"/>
        </w:rPr>
        <w:t xml:space="preserve">прилагане на метода на ценово регулиране „норма на възвръщаемост на капитала”; разходите за амортизации и разходите за заплати и възнаграждения. </w:t>
      </w:r>
      <w:r w:rsidRPr="00723BA1">
        <w:rPr>
          <w:rFonts w:ascii="Verdana" w:hAnsi="Verdana"/>
          <w:sz w:val="20"/>
          <w:u w:val="single"/>
        </w:rPr>
        <w:t xml:space="preserve">Решението на АССГ </w:t>
      </w:r>
      <w:r w:rsidRPr="00723BA1">
        <w:rPr>
          <w:rFonts w:ascii="Verdana" w:hAnsi="Verdana"/>
          <w:sz w:val="20"/>
        </w:rPr>
        <w:t xml:space="preserve">по образуваното </w:t>
      </w:r>
      <w:r w:rsidRPr="00723BA1">
        <w:rPr>
          <w:rFonts w:ascii="Verdana" w:hAnsi="Verdana"/>
          <w:b/>
          <w:sz w:val="20"/>
        </w:rPr>
        <w:t>АД № 7416/2022 г.</w:t>
      </w:r>
      <w:r w:rsidRPr="00723BA1">
        <w:rPr>
          <w:rFonts w:ascii="Verdana" w:hAnsi="Verdana"/>
          <w:sz w:val="20"/>
          <w:u w:val="single"/>
        </w:rPr>
        <w:t xml:space="preserve"> не е в полза на Дружеството! Подадена е касационна жалба до ВАС в законоустановения срок (02.02.2024 г.). Обжалвано е от нас Определението на АССГ за изменение на съд.решение в частта за разноските. Образувано е админ.производство пред ВАС № 5162/2024 г. </w:t>
      </w:r>
      <w:r w:rsidRPr="00723BA1">
        <w:rPr>
          <w:rFonts w:ascii="Verdana" w:hAnsi="Verdana"/>
          <w:i/>
          <w:sz w:val="20"/>
          <w:u w:val="single"/>
        </w:rPr>
        <w:t>След съд.заседание на 09.10.2024 г. от 14:00 ч. се очаква съдедбното решение.</w:t>
      </w:r>
    </w:p>
    <w:p w:rsidR="005535AD" w:rsidRPr="00723BA1" w:rsidRDefault="005535AD" w:rsidP="005535AD">
      <w:pPr>
        <w:rPr>
          <w:rFonts w:ascii="Verdana" w:hAnsi="Verdana"/>
          <w:b/>
          <w:i/>
          <w:color w:val="FF0000"/>
          <w:sz w:val="20"/>
          <w:u w:val="single"/>
          <w:lang w:val="ru-RU"/>
        </w:rPr>
      </w:pPr>
    </w:p>
    <w:p w:rsidR="005535AD" w:rsidRPr="00723BA1" w:rsidRDefault="005535AD" w:rsidP="005535AD">
      <w:pPr>
        <w:rPr>
          <w:rFonts w:ascii="Verdana" w:hAnsi="Verdana"/>
          <w:b/>
          <w:sz w:val="20"/>
          <w:lang w:val="ru-RU"/>
        </w:rPr>
      </w:pPr>
      <w:r w:rsidRPr="00723BA1">
        <w:rPr>
          <w:rFonts w:ascii="Verdana" w:hAnsi="Verdana"/>
          <w:b/>
          <w:sz w:val="20"/>
          <w:lang w:val="ru-RU"/>
        </w:rPr>
        <w:t xml:space="preserve">4. </w:t>
      </w:r>
      <w:r w:rsidRPr="00723BA1">
        <w:rPr>
          <w:rFonts w:ascii="Verdana" w:hAnsi="Verdana"/>
          <w:sz w:val="20"/>
        </w:rPr>
        <w:t>„Топлофикация-Разград” АД подаде жалба пред Административен съд – София-град с вх. № Е-14-16-10/13.07.202</w:t>
      </w:r>
      <w:r w:rsidRPr="00723BA1">
        <w:rPr>
          <w:rFonts w:ascii="Verdana" w:hAnsi="Verdana"/>
          <w:sz w:val="20"/>
          <w:lang w:val="ru-RU"/>
        </w:rPr>
        <w:t>3</w:t>
      </w:r>
      <w:r w:rsidRPr="00723BA1">
        <w:rPr>
          <w:rFonts w:ascii="Verdana" w:hAnsi="Verdana"/>
          <w:sz w:val="20"/>
        </w:rPr>
        <w:t xml:space="preserve"> г. </w:t>
      </w:r>
      <w:r w:rsidRPr="00723BA1">
        <w:rPr>
          <w:rFonts w:ascii="Verdana" w:hAnsi="Verdana"/>
          <w:b/>
          <w:sz w:val="20"/>
        </w:rPr>
        <w:t xml:space="preserve">срещу </w:t>
      </w:r>
      <w:r w:rsidRPr="00723BA1">
        <w:rPr>
          <w:rFonts w:ascii="Verdana" w:hAnsi="Verdana"/>
          <w:b/>
          <w:sz w:val="20"/>
          <w:lang w:val="ru-RU"/>
        </w:rPr>
        <w:t xml:space="preserve">Решение № Ц-12 от 30.06.2023 г. на КЕВР за утвърждаване на цени на топлинна </w:t>
      </w:r>
      <w:r w:rsidRPr="00723BA1">
        <w:rPr>
          <w:rFonts w:ascii="Verdana" w:hAnsi="Verdana"/>
          <w:b/>
          <w:sz w:val="20"/>
        </w:rPr>
        <w:t xml:space="preserve">и електрическа </w:t>
      </w:r>
      <w:r w:rsidRPr="00723BA1">
        <w:rPr>
          <w:rFonts w:ascii="Verdana" w:hAnsi="Verdana"/>
          <w:b/>
          <w:sz w:val="20"/>
          <w:lang w:val="ru-RU"/>
        </w:rPr>
        <w:t>енергия за регулаторния период 01.07.202</w:t>
      </w:r>
      <w:r w:rsidRPr="00723BA1">
        <w:rPr>
          <w:rFonts w:ascii="Verdana" w:hAnsi="Verdana"/>
          <w:b/>
          <w:sz w:val="20"/>
        </w:rPr>
        <w:t xml:space="preserve">3 </w:t>
      </w:r>
      <w:r w:rsidRPr="00723BA1">
        <w:rPr>
          <w:rFonts w:ascii="Verdana" w:hAnsi="Verdana"/>
          <w:b/>
          <w:sz w:val="20"/>
          <w:lang w:val="ru-RU"/>
        </w:rPr>
        <w:t>г. – 30.06.202</w:t>
      </w:r>
      <w:r w:rsidRPr="00723BA1">
        <w:rPr>
          <w:rFonts w:ascii="Verdana" w:hAnsi="Verdana"/>
          <w:b/>
          <w:sz w:val="20"/>
        </w:rPr>
        <w:t xml:space="preserve">4 </w:t>
      </w:r>
      <w:r w:rsidRPr="00723BA1">
        <w:rPr>
          <w:rFonts w:ascii="Verdana" w:hAnsi="Verdana"/>
          <w:b/>
          <w:sz w:val="20"/>
          <w:lang w:val="ru-RU"/>
        </w:rPr>
        <w:t xml:space="preserve">г. </w:t>
      </w:r>
      <w:r w:rsidRPr="00723BA1">
        <w:rPr>
          <w:rFonts w:ascii="Verdana" w:hAnsi="Verdana"/>
          <w:sz w:val="20"/>
          <w:lang w:val="ru-RU"/>
        </w:rPr>
        <w:t xml:space="preserve">относно технологичните разходи по преноса на топлинна енергия. </w:t>
      </w:r>
      <w:r w:rsidRPr="00723BA1">
        <w:rPr>
          <w:rFonts w:ascii="Verdana" w:hAnsi="Verdana"/>
          <w:sz w:val="20"/>
          <w:u w:val="single"/>
          <w:lang w:val="ru-RU"/>
        </w:rPr>
        <w:t xml:space="preserve">Образувано е АД № 7118/2023 г. по описа на АССГ, като съдът постанови решение в наша полза. КЕВР обжалва последното пред ВАС, който образува АД № 1358/2024 г. Решението на ВАС е В НАША ПОЛЗА! КЕВР се произнесе с ново Решение № Ц-24 от 26.09.2024 г. за периода. Изпратено писмо на 18.10.2024 г. до тях и до Комисията за защита на потребителите с искане за тълкуване на решението с оглед как и от кого да бъде претендирана разликата в цената на топлинната енергия, възлизаща </w:t>
      </w:r>
      <w:r w:rsidRPr="00723BA1">
        <w:rPr>
          <w:rFonts w:ascii="Verdana" w:hAnsi="Verdana"/>
          <w:b/>
          <w:sz w:val="20"/>
          <w:u w:val="single"/>
          <w:lang w:val="ru-RU"/>
        </w:rPr>
        <w:t>в размер на 148 144.24 лева</w:t>
      </w:r>
      <w:r w:rsidRPr="00723BA1">
        <w:rPr>
          <w:rFonts w:ascii="Verdana" w:hAnsi="Verdana"/>
          <w:sz w:val="20"/>
          <w:lang w:val="ru-RU"/>
        </w:rPr>
        <w:t xml:space="preserve">. Към момента все още няма получен отговор от двете институции. </w:t>
      </w:r>
      <w:r w:rsidRPr="00723BA1">
        <w:rPr>
          <w:rFonts w:ascii="Verdana" w:hAnsi="Verdana"/>
          <w:b/>
          <w:sz w:val="20"/>
          <w:lang w:val="ru-RU"/>
        </w:rPr>
        <w:t>Претърпените загуби от Дружеството в този размер ще бъдат претендирани по съдебен ред.</w:t>
      </w:r>
    </w:p>
    <w:p w:rsidR="005535AD" w:rsidRPr="00723BA1" w:rsidRDefault="005535AD" w:rsidP="005535AD">
      <w:pPr>
        <w:rPr>
          <w:rFonts w:ascii="Verdana" w:hAnsi="Verdana"/>
          <w:i/>
          <w:color w:val="FF0000"/>
          <w:sz w:val="20"/>
          <w:u w:val="single"/>
          <w:lang w:val="ru-RU"/>
        </w:rPr>
      </w:pPr>
    </w:p>
    <w:p w:rsidR="005535AD" w:rsidRPr="00723BA1" w:rsidRDefault="005535AD" w:rsidP="005535AD">
      <w:pPr>
        <w:rPr>
          <w:rFonts w:ascii="Verdana" w:hAnsi="Verdana"/>
          <w:sz w:val="20"/>
          <w:lang w:val="ru-RU"/>
        </w:rPr>
      </w:pPr>
      <w:r w:rsidRPr="00723BA1">
        <w:rPr>
          <w:rFonts w:ascii="Verdana" w:hAnsi="Verdana"/>
          <w:b/>
          <w:sz w:val="20"/>
          <w:lang w:val="ru-RU"/>
        </w:rPr>
        <w:t xml:space="preserve">5. </w:t>
      </w:r>
      <w:r w:rsidRPr="00723BA1">
        <w:rPr>
          <w:rFonts w:ascii="Verdana" w:hAnsi="Verdana"/>
          <w:sz w:val="20"/>
        </w:rPr>
        <w:t>Топлофикация-Разград” АД подаде жалба пред Административен съд – София-град с вх. № Е-14-16-9/15.07.202</w:t>
      </w:r>
      <w:r w:rsidRPr="00723BA1">
        <w:rPr>
          <w:rFonts w:ascii="Verdana" w:hAnsi="Verdana"/>
          <w:sz w:val="20"/>
          <w:lang w:val="ru-RU"/>
        </w:rPr>
        <w:t>4</w:t>
      </w:r>
      <w:r w:rsidRPr="00723BA1">
        <w:rPr>
          <w:rFonts w:ascii="Verdana" w:hAnsi="Verdana"/>
          <w:sz w:val="20"/>
        </w:rPr>
        <w:t xml:space="preserve"> г. срещу </w:t>
      </w:r>
      <w:r w:rsidRPr="00723BA1">
        <w:rPr>
          <w:rFonts w:ascii="Verdana" w:hAnsi="Verdana"/>
          <w:b/>
          <w:sz w:val="20"/>
          <w:lang w:val="ru-RU"/>
        </w:rPr>
        <w:t>Решение № Ц-16 от 30.06.2024 г. на КЕВР</w:t>
      </w:r>
      <w:r w:rsidRPr="00723BA1">
        <w:rPr>
          <w:rFonts w:ascii="Verdana" w:hAnsi="Verdana"/>
          <w:sz w:val="20"/>
          <w:lang w:val="ru-RU"/>
        </w:rPr>
        <w:t xml:space="preserve"> </w:t>
      </w:r>
      <w:r w:rsidRPr="00723BA1">
        <w:rPr>
          <w:rFonts w:ascii="Verdana" w:hAnsi="Verdana"/>
          <w:b/>
          <w:sz w:val="20"/>
          <w:lang w:val="ru-RU"/>
        </w:rPr>
        <w:t xml:space="preserve">за утвърждаване на цени на топлинна </w:t>
      </w:r>
      <w:r w:rsidRPr="00723BA1">
        <w:rPr>
          <w:rFonts w:ascii="Verdana" w:hAnsi="Verdana"/>
          <w:b/>
          <w:sz w:val="20"/>
        </w:rPr>
        <w:t xml:space="preserve">и електрическа </w:t>
      </w:r>
      <w:r w:rsidRPr="00723BA1">
        <w:rPr>
          <w:rFonts w:ascii="Verdana" w:hAnsi="Verdana"/>
          <w:b/>
          <w:sz w:val="20"/>
          <w:lang w:val="ru-RU"/>
        </w:rPr>
        <w:t>енергия за регулаторния период 01.07.202</w:t>
      </w:r>
      <w:r w:rsidRPr="00723BA1">
        <w:rPr>
          <w:rFonts w:ascii="Verdana" w:hAnsi="Verdana"/>
          <w:b/>
          <w:sz w:val="20"/>
        </w:rPr>
        <w:t xml:space="preserve">4 </w:t>
      </w:r>
      <w:r w:rsidRPr="00723BA1">
        <w:rPr>
          <w:rFonts w:ascii="Verdana" w:hAnsi="Verdana"/>
          <w:b/>
          <w:sz w:val="20"/>
          <w:lang w:val="ru-RU"/>
        </w:rPr>
        <w:t>г. – 30.06.202</w:t>
      </w:r>
      <w:r w:rsidRPr="00723BA1">
        <w:rPr>
          <w:rFonts w:ascii="Verdana" w:hAnsi="Verdana"/>
          <w:b/>
          <w:sz w:val="20"/>
        </w:rPr>
        <w:t xml:space="preserve">5 </w:t>
      </w:r>
      <w:r w:rsidRPr="00723BA1">
        <w:rPr>
          <w:rFonts w:ascii="Verdana" w:hAnsi="Verdana"/>
          <w:b/>
          <w:sz w:val="20"/>
          <w:lang w:val="ru-RU"/>
        </w:rPr>
        <w:t xml:space="preserve">г. </w:t>
      </w:r>
      <w:r w:rsidRPr="00723BA1">
        <w:rPr>
          <w:rFonts w:ascii="Verdana" w:hAnsi="Verdana"/>
          <w:sz w:val="20"/>
          <w:lang w:val="ru-RU"/>
        </w:rPr>
        <w:t xml:space="preserve">Образувано АД № 7739/2024г. На съд.заседание, проведено на 28.11.2024 г., е допусната и назначена съдебно-икономическа експертиза с формулираните от нас въпроси и делото е отложено за 06.03.2025 г. от 10:30 ч. </w:t>
      </w:r>
    </w:p>
    <w:p w:rsidR="005535AD" w:rsidRPr="00723BA1" w:rsidRDefault="005535AD" w:rsidP="005535AD">
      <w:pPr>
        <w:pStyle w:val="Document1"/>
        <w:keepNext w:val="0"/>
        <w:keepLines w:val="0"/>
        <w:widowControl/>
        <w:tabs>
          <w:tab w:val="clear" w:pos="-720"/>
        </w:tabs>
        <w:suppressAutoHyphens w:val="0"/>
        <w:spacing w:before="240" w:line="260" w:lineRule="atLeast"/>
        <w:jc w:val="both"/>
        <w:rPr>
          <w:rFonts w:ascii="Verdana" w:hAnsi="Verdana" w:cs="Arial"/>
          <w:b/>
          <w:color w:val="000000" w:themeColor="text1"/>
          <w:sz w:val="20"/>
          <w:lang w:val="bg-BG"/>
        </w:rPr>
      </w:pPr>
      <w:r w:rsidRPr="00723BA1">
        <w:rPr>
          <w:rFonts w:ascii="Verdana" w:hAnsi="Verdana" w:cs="Arial"/>
          <w:b/>
          <w:color w:val="000000" w:themeColor="text1"/>
          <w:sz w:val="20"/>
          <w:lang w:val="bg-BG"/>
        </w:rPr>
        <w:t xml:space="preserve">Стопански цели </w:t>
      </w:r>
    </w:p>
    <w:p w:rsidR="005535AD" w:rsidRPr="00723BA1" w:rsidRDefault="005535AD" w:rsidP="005535AD">
      <w:pPr>
        <w:spacing w:line="260" w:lineRule="atLeast"/>
        <w:rPr>
          <w:rFonts w:ascii="Verdana" w:hAnsi="Verdana" w:cs="Arial"/>
          <w:i/>
          <w:color w:val="000000" w:themeColor="text1"/>
          <w:sz w:val="20"/>
        </w:rPr>
      </w:pPr>
      <w:r w:rsidRPr="00723BA1">
        <w:rPr>
          <w:rFonts w:ascii="Verdana" w:hAnsi="Verdana" w:cs="Arial"/>
          <w:i/>
          <w:color w:val="000000" w:themeColor="text1"/>
          <w:sz w:val="20"/>
        </w:rPr>
        <w:t>Предвиждано развитие на дружеството</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Ръководството не предвижда промени в развитието на основната дейност на дружеството.</w:t>
      </w:r>
    </w:p>
    <w:p w:rsidR="005535AD" w:rsidRPr="00723BA1" w:rsidRDefault="005535AD" w:rsidP="005535AD">
      <w:pPr>
        <w:spacing w:line="260" w:lineRule="atLeast"/>
        <w:rPr>
          <w:rFonts w:ascii="Verdana" w:hAnsi="Verdana" w:cs="Arial"/>
          <w:bCs/>
          <w:color w:val="000000" w:themeColor="text1"/>
          <w:sz w:val="20"/>
        </w:rPr>
      </w:pPr>
    </w:p>
    <w:p w:rsidR="005535AD" w:rsidRPr="00723BA1" w:rsidRDefault="005535AD" w:rsidP="005535AD">
      <w:pPr>
        <w:spacing w:line="260" w:lineRule="atLeast"/>
        <w:rPr>
          <w:rFonts w:ascii="Verdana" w:hAnsi="Verdana" w:cs="Arial"/>
          <w:bCs/>
          <w:i/>
          <w:color w:val="000000" w:themeColor="text1"/>
          <w:sz w:val="20"/>
        </w:rPr>
      </w:pPr>
      <w:r w:rsidRPr="00723BA1">
        <w:rPr>
          <w:rFonts w:ascii="Verdana" w:hAnsi="Verdana" w:cs="Arial"/>
          <w:bCs/>
          <w:i/>
          <w:color w:val="000000" w:themeColor="text1"/>
          <w:sz w:val="20"/>
        </w:rPr>
        <w:t>Развитие на персонала</w:t>
      </w:r>
    </w:p>
    <w:p w:rsidR="005535AD" w:rsidRPr="00723BA1" w:rsidRDefault="005535AD" w:rsidP="005535AD">
      <w:pPr>
        <w:spacing w:line="260" w:lineRule="atLeast"/>
        <w:rPr>
          <w:rFonts w:ascii="Verdana" w:hAnsi="Verdana" w:cs="Arial"/>
          <w:color w:val="000000" w:themeColor="text1"/>
          <w:sz w:val="20"/>
        </w:rPr>
      </w:pPr>
      <w:r w:rsidRPr="00723BA1">
        <w:rPr>
          <w:rFonts w:ascii="Verdana" w:hAnsi="Verdana" w:cs="Arial"/>
          <w:color w:val="000000" w:themeColor="text1"/>
          <w:sz w:val="20"/>
        </w:rPr>
        <w:t>По отношение развитието на персонала не се очаква драстично увеличаване или намаляване на персонала на дружеството, като същевременно се запазва тенденцията по предлагане на различни видове обучения с цел повишаване квалификацията на заетите лица, както и набиране на персонал със съдействието на Агенция по заетостта. Отчита се тенденция, свързана с намаляване на квалифицираната работна сила.</w:t>
      </w:r>
    </w:p>
    <w:p w:rsidR="005535AD" w:rsidRPr="00723BA1" w:rsidRDefault="005535AD" w:rsidP="005535AD">
      <w:pPr>
        <w:spacing w:line="260" w:lineRule="atLeast"/>
        <w:rPr>
          <w:rFonts w:ascii="Verdana" w:hAnsi="Verdana" w:cs="Arial"/>
          <w:bCs/>
          <w:color w:val="000000" w:themeColor="text1"/>
          <w:sz w:val="20"/>
        </w:rPr>
      </w:pPr>
    </w:p>
    <w:p w:rsidR="005535AD" w:rsidRPr="00723BA1" w:rsidRDefault="005535AD" w:rsidP="005535AD">
      <w:pPr>
        <w:spacing w:line="260" w:lineRule="atLeast"/>
        <w:rPr>
          <w:rFonts w:ascii="Verdana" w:hAnsi="Verdana" w:cs="Arial"/>
          <w:bCs/>
          <w:i/>
          <w:color w:val="000000" w:themeColor="text1"/>
          <w:sz w:val="20"/>
        </w:rPr>
      </w:pPr>
      <w:r w:rsidRPr="00723BA1">
        <w:rPr>
          <w:rFonts w:ascii="Verdana" w:hAnsi="Verdana" w:cs="Arial"/>
          <w:bCs/>
          <w:i/>
          <w:color w:val="000000" w:themeColor="text1"/>
          <w:sz w:val="20"/>
        </w:rPr>
        <w:t>Очаквани инвестиции</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lang w:val="bg-BG"/>
        </w:rPr>
      </w:pPr>
      <w:r w:rsidRPr="00723BA1">
        <w:rPr>
          <w:rFonts w:ascii="Verdana" w:hAnsi="Verdana" w:cs="Arial"/>
          <w:color w:val="000000" w:themeColor="text1"/>
          <w:sz w:val="20"/>
          <w:lang w:val="bg-BG"/>
        </w:rPr>
        <w:t xml:space="preserve">Към датата на изготвяне на финансовия отчет Дружеството не планира да реализира инвестиции за 2025 г. </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lang w:val="bg-BG"/>
        </w:rPr>
      </w:pPr>
    </w:p>
    <w:p w:rsidR="005535AD" w:rsidRPr="00723BA1" w:rsidRDefault="005535AD" w:rsidP="005535AD">
      <w:pPr>
        <w:spacing w:before="120" w:line="260" w:lineRule="atLeast"/>
        <w:rPr>
          <w:rFonts w:ascii="Verdana" w:hAnsi="Verdana" w:cs="Arial"/>
          <w:b/>
          <w:color w:val="000000" w:themeColor="text1"/>
          <w:sz w:val="20"/>
        </w:rPr>
      </w:pPr>
      <w:r w:rsidRPr="00723BA1">
        <w:rPr>
          <w:rFonts w:ascii="Verdana" w:hAnsi="Verdana" w:cs="Arial"/>
          <w:b/>
          <w:color w:val="000000" w:themeColor="text1"/>
          <w:sz w:val="20"/>
        </w:rPr>
        <w:lastRenderedPageBreak/>
        <w:t>Ва</w:t>
      </w:r>
      <w:bookmarkStart w:id="8" w:name="_Hlk162440721"/>
      <w:r w:rsidRPr="00723BA1">
        <w:rPr>
          <w:rFonts w:ascii="Verdana" w:hAnsi="Verdana" w:cs="Arial"/>
          <w:b/>
          <w:color w:val="000000" w:themeColor="text1"/>
          <w:sz w:val="20"/>
        </w:rPr>
        <w:t>жни събития, настъпили след датата на изготвяне на финансовия отчет</w:t>
      </w:r>
      <w:bookmarkEnd w:id="8"/>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 xml:space="preserve">След края на 2024 г., е настъпило некоригиращо важно събитие, а именно - с решение на Върховния административен съд от 10.03.2025 г., административно дело № 5162/2024 г., касаещ регулаторен период 01.07.2022-30.06.2023 г., е приключило не в полза на Дружеството. </w:t>
      </w:r>
    </w:p>
    <w:p w:rsidR="005535AD" w:rsidRPr="00723BA1" w:rsidRDefault="005535AD" w:rsidP="005535AD">
      <w:pPr>
        <w:pStyle w:val="Document1"/>
        <w:keepNext w:val="0"/>
        <w:keepLines w:val="0"/>
        <w:widowControl/>
        <w:tabs>
          <w:tab w:val="clear" w:pos="-720"/>
        </w:tabs>
        <w:suppressAutoHyphens w:val="0"/>
        <w:spacing w:before="120" w:after="120"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След края на отчетния период и до датата на изготвянето и приемането му не са възникнали други важни събития, които да изискват допълнително оповестяване, както коригиращи или значителни некоригиращи събития.</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b/>
          <w:bCs/>
          <w:color w:val="000000" w:themeColor="text1"/>
          <w:sz w:val="20"/>
        </w:rPr>
      </w:pPr>
      <w:r w:rsidRPr="00723BA1">
        <w:rPr>
          <w:rFonts w:ascii="Verdana" w:hAnsi="Verdana" w:cs="Arial"/>
          <w:b/>
          <w:bCs/>
          <w:color w:val="000000" w:themeColor="text1"/>
          <w:sz w:val="20"/>
          <w:lang w:val="bg-BG"/>
        </w:rPr>
        <w:t>Информация по чл. 187д от Търговския закон</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През 2024 г. не са придобивани и прехвърляни собствени акции от дружеството. Дружеството не притежава собствени акции от капитала си.</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b/>
          <w:bCs/>
          <w:color w:val="000000" w:themeColor="text1"/>
          <w:sz w:val="20"/>
        </w:rPr>
      </w:pPr>
      <w:r w:rsidRPr="00723BA1">
        <w:rPr>
          <w:rFonts w:ascii="Verdana" w:hAnsi="Verdana" w:cs="Arial"/>
          <w:b/>
          <w:bCs/>
          <w:color w:val="000000" w:themeColor="text1"/>
          <w:sz w:val="20"/>
          <w:lang w:val="bg-BG"/>
        </w:rPr>
        <w:t>Информация по чл. 247, ал. 2, т. 2 и т. 3 от Търговския закон</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Информация за притежаваните от членовете на Съвета на директорите акции на „Топлофикация - Разград“ АД към 31 декември 2024 г.:</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Към 31 декември 2024 г. членовете на Съвета на директорите не притежават акции на „Топлофикация - Разград“ АД, с изключение на „ОВЕРГАЗ Холдинг“ АД, притежаващо пряко 7 499 999 бр. акции, представляващи 99,9999% от капитала на Дружеството.</w:t>
      </w:r>
    </w:p>
    <w:p w:rsidR="005535AD" w:rsidRPr="00723BA1" w:rsidRDefault="005535AD" w:rsidP="005535AD">
      <w:pPr>
        <w:pStyle w:val="Document1"/>
        <w:keepNext w:val="0"/>
        <w:keepLines w:val="0"/>
        <w:widowControl/>
        <w:tabs>
          <w:tab w:val="clear" w:pos="-720"/>
        </w:tabs>
        <w:suppressAutoHyphens w:val="0"/>
        <w:spacing w:before="120" w:after="120"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В Устава на Дружеството не са предвидени специални права, по силата на които членовете на Съвета на директорите да придобиват акции и облигации на Дружеството.</w:t>
      </w:r>
    </w:p>
    <w:p w:rsidR="005535AD" w:rsidRPr="00723BA1" w:rsidRDefault="005535AD" w:rsidP="005535AD">
      <w:pPr>
        <w:pStyle w:val="Document1"/>
        <w:keepNext w:val="0"/>
        <w:keepLines w:val="0"/>
        <w:widowControl/>
        <w:tabs>
          <w:tab w:val="clear" w:pos="-720"/>
        </w:tabs>
        <w:suppressAutoHyphens w:val="0"/>
        <w:spacing w:before="120" w:after="120"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Получените възнаграждения през 2024 г. от членовете на Съвета на директорите в това им качество са в размер на 95 хил. лв.</w:t>
      </w:r>
    </w:p>
    <w:p w:rsidR="005535AD" w:rsidRPr="00723BA1" w:rsidRDefault="005535AD" w:rsidP="005535AD">
      <w:pPr>
        <w:pStyle w:val="Document1"/>
        <w:keepNext w:val="0"/>
        <w:keepLines w:val="0"/>
        <w:widowControl/>
        <w:tabs>
          <w:tab w:val="clear" w:pos="-720"/>
        </w:tabs>
        <w:suppressAutoHyphens w:val="0"/>
        <w:spacing w:before="120" w:after="120"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През изминалата 2024 г. членовете на Съвета на директорите или свързани с тях лица, не са сключвали договори с Дружеството по смисъла на чл. 240б от Търговския закон, които излизат извън обичайната му дейност или съществено се отклоняват от пазарните условия.</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b/>
          <w:bCs/>
          <w:color w:val="000000" w:themeColor="text1"/>
          <w:sz w:val="20"/>
        </w:rPr>
      </w:pPr>
      <w:r w:rsidRPr="00723BA1">
        <w:rPr>
          <w:rFonts w:ascii="Verdana" w:hAnsi="Verdana" w:cs="Arial"/>
          <w:color w:val="000000" w:themeColor="text1"/>
          <w:sz w:val="20"/>
          <w:lang w:val="bg-BG"/>
        </w:rPr>
        <w:t> </w:t>
      </w:r>
    </w:p>
    <w:p w:rsidR="005535AD" w:rsidRPr="00723BA1" w:rsidRDefault="005535AD" w:rsidP="005535AD">
      <w:pPr>
        <w:pStyle w:val="Document1"/>
        <w:keepNext w:val="0"/>
        <w:keepLines w:val="0"/>
        <w:widowControl/>
        <w:tabs>
          <w:tab w:val="clear" w:pos="-720"/>
        </w:tabs>
        <w:suppressAutoHyphens w:val="0"/>
        <w:spacing w:line="260" w:lineRule="atLeast"/>
        <w:jc w:val="both"/>
      </w:pPr>
      <w:proofErr w:type="spellStart"/>
      <w:proofErr w:type="gramStart"/>
      <w:r w:rsidRPr="00723BA1">
        <w:rPr>
          <w:rFonts w:ascii="Verdana" w:hAnsi="Verdana" w:cs="Arial"/>
          <w:b/>
          <w:bCs/>
          <w:color w:val="000000" w:themeColor="text1"/>
          <w:sz w:val="20"/>
        </w:rPr>
        <w:t>Информация</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за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участие</w:t>
      </w:r>
      <w:proofErr w:type="spellEnd"/>
      <w:r w:rsidRPr="00723BA1">
        <w:rPr>
          <w:rFonts w:ascii="Verdana" w:hAnsi="Verdana" w:cs="Arial"/>
          <w:b/>
          <w:bCs/>
          <w:color w:val="000000" w:themeColor="text1"/>
          <w:sz w:val="20"/>
        </w:rPr>
        <w:t xml:space="preserve"> в </w:t>
      </w:r>
      <w:proofErr w:type="spellStart"/>
      <w:r w:rsidRPr="00723BA1">
        <w:rPr>
          <w:rFonts w:ascii="Verdana" w:hAnsi="Verdana" w:cs="Arial"/>
          <w:b/>
          <w:bCs/>
          <w:color w:val="000000" w:themeColor="text1"/>
          <w:sz w:val="20"/>
        </w:rPr>
        <w:t>търговски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дружества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членовете</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Съвета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директорите</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по</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смисъла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чл</w:t>
      </w:r>
      <w:proofErr w:type="spellEnd"/>
      <w:r w:rsidRPr="00723BA1">
        <w:rPr>
          <w:rFonts w:ascii="Verdana" w:hAnsi="Verdana" w:cs="Arial"/>
          <w:b/>
          <w:bCs/>
          <w:color w:val="000000" w:themeColor="text1"/>
          <w:sz w:val="20"/>
        </w:rPr>
        <w:t>.</w:t>
      </w:r>
      <w:proofErr w:type="gramEnd"/>
      <w:r w:rsidRPr="00723BA1">
        <w:rPr>
          <w:rFonts w:ascii="Verdana" w:hAnsi="Verdana" w:cs="Arial"/>
          <w:b/>
          <w:bCs/>
          <w:color w:val="000000" w:themeColor="text1"/>
          <w:sz w:val="20"/>
        </w:rPr>
        <w:t xml:space="preserve"> </w:t>
      </w:r>
      <w:proofErr w:type="gramStart"/>
      <w:r w:rsidRPr="00723BA1">
        <w:rPr>
          <w:rFonts w:ascii="Verdana" w:hAnsi="Verdana" w:cs="Arial"/>
          <w:b/>
          <w:bCs/>
          <w:color w:val="000000" w:themeColor="text1"/>
          <w:sz w:val="20"/>
        </w:rPr>
        <w:t xml:space="preserve">247, </w:t>
      </w:r>
      <w:proofErr w:type="spellStart"/>
      <w:r w:rsidRPr="00723BA1">
        <w:rPr>
          <w:rFonts w:ascii="Verdana" w:hAnsi="Verdana" w:cs="Arial"/>
          <w:b/>
          <w:bCs/>
          <w:color w:val="000000" w:themeColor="text1"/>
          <w:sz w:val="20"/>
        </w:rPr>
        <w:t>ал</w:t>
      </w:r>
      <w:proofErr w:type="spellEnd"/>
      <w:r w:rsidRPr="00723BA1">
        <w:rPr>
          <w:rFonts w:ascii="Verdana" w:hAnsi="Verdana" w:cs="Arial"/>
          <w:b/>
          <w:bCs/>
          <w:color w:val="000000" w:themeColor="text1"/>
          <w:sz w:val="20"/>
        </w:rPr>
        <w:t>.</w:t>
      </w:r>
      <w:proofErr w:type="gramEnd"/>
      <w:r w:rsidRPr="00723BA1">
        <w:rPr>
          <w:rFonts w:ascii="Verdana" w:hAnsi="Verdana" w:cs="Arial"/>
          <w:b/>
          <w:bCs/>
          <w:color w:val="000000" w:themeColor="text1"/>
          <w:sz w:val="20"/>
        </w:rPr>
        <w:t xml:space="preserve"> 2, т. 4 от ТЗ - </w:t>
      </w:r>
      <w:proofErr w:type="spellStart"/>
      <w:r w:rsidRPr="00723BA1">
        <w:rPr>
          <w:rFonts w:ascii="Verdana" w:hAnsi="Verdana" w:cs="Arial"/>
          <w:b/>
          <w:bCs/>
          <w:color w:val="000000" w:themeColor="text1"/>
          <w:sz w:val="20"/>
        </w:rPr>
        <w:t>притежаване</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повече</w:t>
      </w:r>
      <w:proofErr w:type="spellEnd"/>
      <w:r w:rsidRPr="00723BA1">
        <w:rPr>
          <w:rFonts w:ascii="Verdana" w:hAnsi="Verdana" w:cs="Arial"/>
          <w:b/>
          <w:bCs/>
          <w:color w:val="000000" w:themeColor="text1"/>
          <w:sz w:val="20"/>
        </w:rPr>
        <w:t xml:space="preserve"> от 25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сто</w:t>
      </w:r>
      <w:proofErr w:type="spellEnd"/>
      <w:r w:rsidRPr="00723BA1">
        <w:rPr>
          <w:rFonts w:ascii="Verdana" w:hAnsi="Verdana" w:cs="Arial"/>
          <w:b/>
          <w:bCs/>
          <w:color w:val="000000" w:themeColor="text1"/>
          <w:sz w:val="20"/>
        </w:rPr>
        <w:t xml:space="preserve"> от </w:t>
      </w:r>
      <w:proofErr w:type="spellStart"/>
      <w:r w:rsidRPr="00723BA1">
        <w:rPr>
          <w:rFonts w:ascii="Verdana" w:hAnsi="Verdana" w:cs="Arial"/>
          <w:b/>
          <w:bCs/>
          <w:color w:val="000000" w:themeColor="text1"/>
          <w:sz w:val="20"/>
        </w:rPr>
        <w:t>капитала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друго</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дружество</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както</w:t>
      </w:r>
      <w:proofErr w:type="spellEnd"/>
      <w:r w:rsidRPr="00723BA1">
        <w:rPr>
          <w:rFonts w:ascii="Verdana" w:hAnsi="Verdana" w:cs="Arial"/>
          <w:b/>
          <w:bCs/>
          <w:color w:val="000000" w:themeColor="text1"/>
          <w:sz w:val="20"/>
        </w:rPr>
        <w:t xml:space="preserve"> и </w:t>
      </w:r>
      <w:proofErr w:type="spellStart"/>
      <w:r w:rsidRPr="00723BA1">
        <w:rPr>
          <w:rFonts w:ascii="Verdana" w:hAnsi="Verdana" w:cs="Arial"/>
          <w:b/>
          <w:bCs/>
          <w:color w:val="000000" w:themeColor="text1"/>
          <w:sz w:val="20"/>
        </w:rPr>
        <w:t>участие</w:t>
      </w:r>
      <w:proofErr w:type="spellEnd"/>
      <w:r w:rsidRPr="00723BA1">
        <w:rPr>
          <w:rFonts w:ascii="Verdana" w:hAnsi="Verdana" w:cs="Arial"/>
          <w:b/>
          <w:bCs/>
          <w:color w:val="000000" w:themeColor="text1"/>
          <w:sz w:val="20"/>
        </w:rPr>
        <w:t xml:space="preserve"> в </w:t>
      </w:r>
      <w:proofErr w:type="spellStart"/>
      <w:r w:rsidRPr="00723BA1">
        <w:rPr>
          <w:rFonts w:ascii="Verdana" w:hAnsi="Verdana" w:cs="Arial"/>
          <w:b/>
          <w:bCs/>
          <w:color w:val="000000" w:themeColor="text1"/>
          <w:sz w:val="20"/>
        </w:rPr>
        <w:t>управлението</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други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дружества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или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кооперации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като</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прокуристи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управители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или</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членове</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на</w:t>
      </w:r>
      <w:proofErr w:type="spellEnd"/>
      <w:r w:rsidRPr="00723BA1">
        <w:rPr>
          <w:rFonts w:ascii="Verdana" w:hAnsi="Verdana" w:cs="Arial"/>
          <w:b/>
          <w:bCs/>
          <w:color w:val="000000" w:themeColor="text1"/>
          <w:sz w:val="20"/>
        </w:rPr>
        <w:t xml:space="preserve"> </w:t>
      </w:r>
      <w:proofErr w:type="spellStart"/>
      <w:r w:rsidRPr="00723BA1">
        <w:rPr>
          <w:rFonts w:ascii="Verdana" w:hAnsi="Verdana" w:cs="Arial"/>
          <w:b/>
          <w:bCs/>
          <w:color w:val="000000" w:themeColor="text1"/>
          <w:sz w:val="20"/>
        </w:rPr>
        <w:t>съвети</w:t>
      </w:r>
      <w:proofErr w:type="spellEnd"/>
      <w:r w:rsidRPr="00723BA1">
        <w:rPr>
          <w:rFonts w:ascii="Verdana" w:hAnsi="Verdana" w:cs="Arial"/>
          <w:b/>
          <w:bCs/>
          <w:color w:val="000000" w:themeColor="text1"/>
          <w:sz w:val="20"/>
        </w:rPr>
        <w:t>:</w:t>
      </w:r>
    </w:p>
    <w:p w:rsidR="005535AD" w:rsidRPr="00723BA1" w:rsidRDefault="005535AD" w:rsidP="005535AD">
      <w:pPr>
        <w:pStyle w:val="Document1"/>
        <w:keepNext w:val="0"/>
        <w:keepLines w:val="0"/>
        <w:widowControl/>
        <w:numPr>
          <w:ilvl w:val="0"/>
          <w:numId w:val="12"/>
        </w:numPr>
        <w:tabs>
          <w:tab w:val="clear" w:pos="-720"/>
        </w:tabs>
        <w:suppressAutoHyphens w:val="0"/>
        <w:spacing w:before="120" w:after="120" w:line="260" w:lineRule="atLeast"/>
        <w:ind w:left="714" w:hanging="357"/>
        <w:jc w:val="both"/>
        <w:rPr>
          <w:rFonts w:ascii="Verdana" w:hAnsi="Verdana" w:cs="Arial"/>
          <w:b/>
          <w:bCs/>
          <w:color w:val="000000" w:themeColor="text1"/>
          <w:sz w:val="20"/>
        </w:rPr>
      </w:pPr>
      <w:r w:rsidRPr="00723BA1">
        <w:rPr>
          <w:rFonts w:ascii="Verdana" w:hAnsi="Verdana" w:cs="Arial"/>
          <w:b/>
          <w:bCs/>
          <w:color w:val="000000" w:themeColor="text1"/>
          <w:sz w:val="20"/>
          <w:lang w:val="bg-BG"/>
        </w:rPr>
        <w:t>Информация за членовете на Съвета на директорите по чл. 247, ал.2, т.4 от Търговския закон</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Към 31.12.2024 г. Съветът на директорите на „Топлофикация - Разград” АД има следния състав:</w:t>
      </w:r>
    </w:p>
    <w:p w:rsidR="005535AD" w:rsidRPr="00723BA1" w:rsidRDefault="005535AD" w:rsidP="005535AD">
      <w:pPr>
        <w:pStyle w:val="Document1"/>
        <w:keepNext w:val="0"/>
        <w:keepLines w:val="0"/>
        <w:widowControl/>
        <w:numPr>
          <w:ilvl w:val="0"/>
          <w:numId w:val="13"/>
        </w:numPr>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„Овергаз Холдинг” АД, представлявано от Данаил Парашкевов Монов – Председател на Съвета на директорите;</w:t>
      </w:r>
    </w:p>
    <w:p w:rsidR="005535AD" w:rsidRPr="00723BA1" w:rsidRDefault="005535AD" w:rsidP="005535AD">
      <w:pPr>
        <w:pStyle w:val="Document1"/>
        <w:keepNext w:val="0"/>
        <w:keepLines w:val="0"/>
        <w:widowControl/>
        <w:numPr>
          <w:ilvl w:val="0"/>
          <w:numId w:val="13"/>
        </w:numPr>
        <w:tabs>
          <w:tab w:val="clear" w:pos="-720"/>
        </w:tabs>
        <w:suppressAutoHyphens w:val="0"/>
        <w:spacing w:line="260" w:lineRule="atLeast"/>
        <w:jc w:val="both"/>
        <w:rPr>
          <w:rFonts w:ascii="Verdana" w:hAnsi="Verdana" w:cs="Arial"/>
          <w:color w:val="000000" w:themeColor="text1"/>
          <w:sz w:val="20"/>
        </w:rPr>
      </w:pPr>
      <w:r w:rsidRPr="00723BA1">
        <w:rPr>
          <w:rFonts w:ascii="Verdana" w:hAnsi="Verdana" w:cs="Arial"/>
          <w:color w:val="000000" w:themeColor="text1"/>
          <w:sz w:val="20"/>
          <w:lang w:val="bg-BG"/>
        </w:rPr>
        <w:t>Стефка Христова Найденова – Член на Съвета на директорите;</w:t>
      </w:r>
    </w:p>
    <w:p w:rsidR="005535AD" w:rsidRPr="00723BA1" w:rsidRDefault="005535AD" w:rsidP="005535AD">
      <w:pPr>
        <w:pStyle w:val="Document1"/>
        <w:keepNext w:val="0"/>
        <w:keepLines w:val="0"/>
        <w:widowControl/>
        <w:numPr>
          <w:ilvl w:val="0"/>
          <w:numId w:val="13"/>
        </w:numPr>
        <w:tabs>
          <w:tab w:val="clear" w:pos="-720"/>
        </w:tabs>
        <w:suppressAutoHyphens w:val="0"/>
        <w:spacing w:line="260" w:lineRule="atLeast"/>
        <w:jc w:val="both"/>
        <w:rPr>
          <w:rFonts w:ascii="Verdana" w:hAnsi="Verdana"/>
          <w:sz w:val="20"/>
        </w:rPr>
      </w:pPr>
      <w:proofErr w:type="spellStart"/>
      <w:r w:rsidRPr="00723BA1">
        <w:rPr>
          <w:rFonts w:ascii="Verdana" w:hAnsi="Verdana" w:cs="Arial"/>
          <w:color w:val="000000" w:themeColor="text1"/>
          <w:sz w:val="20"/>
        </w:rPr>
        <w:t>Михаил</w:t>
      </w:r>
      <w:proofErr w:type="spellEnd"/>
      <w:r w:rsidRPr="00723BA1">
        <w:rPr>
          <w:rFonts w:ascii="Verdana" w:hAnsi="Verdana" w:cs="Arial"/>
          <w:color w:val="000000" w:themeColor="text1"/>
          <w:sz w:val="20"/>
        </w:rPr>
        <w:t xml:space="preserve"> </w:t>
      </w:r>
      <w:proofErr w:type="spellStart"/>
      <w:r w:rsidRPr="00723BA1">
        <w:rPr>
          <w:rFonts w:ascii="Verdana" w:hAnsi="Verdana" w:cs="Arial"/>
          <w:color w:val="000000" w:themeColor="text1"/>
          <w:sz w:val="20"/>
        </w:rPr>
        <w:t>Николаев</w:t>
      </w:r>
      <w:proofErr w:type="spellEnd"/>
      <w:r w:rsidRPr="00723BA1">
        <w:rPr>
          <w:rFonts w:ascii="Verdana" w:hAnsi="Verdana" w:cs="Arial"/>
          <w:color w:val="000000" w:themeColor="text1"/>
          <w:sz w:val="20"/>
        </w:rPr>
        <w:t xml:space="preserve"> </w:t>
      </w:r>
      <w:proofErr w:type="spellStart"/>
      <w:r w:rsidRPr="00723BA1">
        <w:rPr>
          <w:rFonts w:ascii="Verdana" w:hAnsi="Verdana" w:cs="Arial"/>
          <w:color w:val="000000" w:themeColor="text1"/>
          <w:sz w:val="20"/>
        </w:rPr>
        <w:t>Ковачев</w:t>
      </w:r>
      <w:proofErr w:type="spellEnd"/>
      <w:r w:rsidRPr="00723BA1">
        <w:rPr>
          <w:rFonts w:ascii="Verdana" w:hAnsi="Verdana" w:cs="Arial"/>
          <w:color w:val="000000" w:themeColor="text1"/>
          <w:sz w:val="20"/>
        </w:rPr>
        <w:t xml:space="preserve"> – </w:t>
      </w:r>
      <w:proofErr w:type="spellStart"/>
      <w:r w:rsidRPr="00723BA1">
        <w:rPr>
          <w:rFonts w:ascii="Verdana" w:hAnsi="Verdana" w:cs="Arial"/>
          <w:color w:val="000000" w:themeColor="text1"/>
          <w:sz w:val="20"/>
        </w:rPr>
        <w:t>Изпълнителен</w:t>
      </w:r>
      <w:proofErr w:type="spellEnd"/>
      <w:r w:rsidRPr="00723BA1">
        <w:rPr>
          <w:rFonts w:ascii="Verdana" w:hAnsi="Verdana" w:cs="Arial"/>
          <w:color w:val="000000" w:themeColor="text1"/>
          <w:sz w:val="20"/>
        </w:rPr>
        <w:t xml:space="preserve"> </w:t>
      </w:r>
      <w:proofErr w:type="spellStart"/>
      <w:r w:rsidRPr="00723BA1">
        <w:rPr>
          <w:rFonts w:ascii="Verdana" w:hAnsi="Verdana" w:cs="Arial"/>
          <w:color w:val="000000" w:themeColor="text1"/>
          <w:sz w:val="20"/>
        </w:rPr>
        <w:t>директор</w:t>
      </w:r>
      <w:proofErr w:type="spellEnd"/>
      <w:r w:rsidRPr="00723BA1">
        <w:rPr>
          <w:rFonts w:ascii="Verdana" w:hAnsi="Verdana" w:cs="Arial"/>
          <w:color w:val="000000" w:themeColor="text1"/>
          <w:sz w:val="20"/>
        </w:rPr>
        <w:t>.</w:t>
      </w:r>
    </w:p>
    <w:p w:rsidR="005535AD" w:rsidRPr="00723BA1" w:rsidRDefault="005535AD" w:rsidP="005535AD">
      <w:pPr>
        <w:pStyle w:val="Document1"/>
        <w:keepNext w:val="0"/>
        <w:keepLines w:val="0"/>
        <w:widowControl/>
        <w:numPr>
          <w:ilvl w:val="0"/>
          <w:numId w:val="12"/>
        </w:numPr>
        <w:tabs>
          <w:tab w:val="clear" w:pos="-720"/>
        </w:tabs>
        <w:suppressAutoHyphens w:val="0"/>
        <w:spacing w:before="120" w:after="120" w:line="260" w:lineRule="atLeast"/>
        <w:ind w:left="714" w:hanging="357"/>
        <w:jc w:val="both"/>
        <w:rPr>
          <w:rFonts w:ascii="Verdana" w:hAnsi="Verdana" w:cs="Arial"/>
          <w:b/>
          <w:bCs/>
          <w:color w:val="000000" w:themeColor="text1"/>
          <w:sz w:val="20"/>
        </w:rPr>
      </w:pPr>
      <w:r w:rsidRPr="00723BA1">
        <w:rPr>
          <w:rFonts w:ascii="Verdana" w:hAnsi="Verdana" w:cs="Arial"/>
          <w:b/>
          <w:bCs/>
          <w:color w:val="000000" w:themeColor="text1"/>
          <w:sz w:val="20"/>
          <w:lang w:val="bg-BG"/>
        </w:rPr>
        <w:t>Информация за участие в търговски дружества на членовете на Съвета на директорите - притежаване на повече от 25 на сто от капитала на друго дружество, както и участие в управлението на други дружества като членове на съвети:</w:t>
      </w:r>
    </w:p>
    <w:p w:rsidR="005535AD" w:rsidRPr="00723BA1" w:rsidRDefault="005535AD" w:rsidP="005535AD">
      <w:pPr>
        <w:pStyle w:val="Document1"/>
        <w:keepNext w:val="0"/>
        <w:keepLines w:val="0"/>
        <w:widowControl/>
        <w:tabs>
          <w:tab w:val="clear" w:pos="-720"/>
        </w:tabs>
        <w:suppressAutoHyphens w:val="0"/>
        <w:spacing w:before="120" w:after="120" w:line="260" w:lineRule="atLeast"/>
        <w:ind w:left="357"/>
        <w:jc w:val="both"/>
      </w:pPr>
      <w:r w:rsidRPr="00723BA1">
        <w:rPr>
          <w:rFonts w:ascii="Verdana" w:hAnsi="Verdana" w:cs="Arial"/>
          <w:b/>
          <w:bCs/>
          <w:color w:val="000000" w:themeColor="text1"/>
          <w:sz w:val="20"/>
          <w:lang w:val="bg-BG"/>
        </w:rPr>
        <w:lastRenderedPageBreak/>
        <w:t>1/ „ОВЕРГАЗ ХОЛДИНГ” АД</w:t>
      </w:r>
      <w:r w:rsidRPr="00723BA1">
        <w:rPr>
          <w:rFonts w:ascii="Verdana" w:hAnsi="Verdana" w:cs="Arial"/>
          <w:color w:val="000000" w:themeColor="text1"/>
          <w:sz w:val="20"/>
          <w:lang w:val="bg-BG"/>
        </w:rPr>
        <w:t>, със седалище и адрес на управление: гр. Ямбол, ул. „Цар Симеон” №14А, с адрес за кореспонденция: гр. София, район „Лозенец”, ул. „Филип Кутев” №1 -</w:t>
      </w:r>
      <w:r w:rsidRPr="00723BA1">
        <w:rPr>
          <w:rFonts w:ascii="Verdana" w:hAnsi="Verdana" w:cs="Arial"/>
          <w:b/>
          <w:bCs/>
          <w:color w:val="000000" w:themeColor="text1"/>
          <w:sz w:val="20"/>
          <w:lang w:val="bg-BG"/>
        </w:rPr>
        <w:t xml:space="preserve"> Председател на СД:</w:t>
      </w:r>
    </w:p>
    <w:p w:rsidR="005535AD" w:rsidRPr="00723BA1" w:rsidRDefault="005535AD" w:rsidP="005535AD">
      <w:pPr>
        <w:pStyle w:val="Document1"/>
        <w:keepNext w:val="0"/>
        <w:keepLines w:val="0"/>
        <w:widowControl/>
        <w:numPr>
          <w:ilvl w:val="1"/>
          <w:numId w:val="11"/>
        </w:numPr>
        <w:tabs>
          <w:tab w:val="clear" w:pos="-720"/>
        </w:tabs>
        <w:suppressAutoHyphens w:val="0"/>
        <w:spacing w:line="260" w:lineRule="atLeast"/>
        <w:ind w:left="709" w:hanging="283"/>
        <w:jc w:val="both"/>
        <w:rPr>
          <w:rFonts w:ascii="Verdana" w:hAnsi="Verdana" w:cs="Arial"/>
          <w:b/>
          <w:bCs/>
          <w:color w:val="000000" w:themeColor="text1"/>
          <w:sz w:val="20"/>
        </w:rPr>
      </w:pPr>
      <w:r w:rsidRPr="00723BA1">
        <w:rPr>
          <w:rFonts w:ascii="Verdana" w:hAnsi="Verdana" w:cs="Arial"/>
          <w:b/>
          <w:bCs/>
          <w:color w:val="000000" w:themeColor="text1"/>
          <w:sz w:val="20"/>
          <w:lang w:val="bg-BG"/>
        </w:rPr>
        <w:t>Не участва като неограничено отговорен съдружник в търговски дружества.</w:t>
      </w:r>
    </w:p>
    <w:p w:rsidR="005535AD" w:rsidRPr="00723BA1" w:rsidRDefault="005535AD" w:rsidP="005535AD">
      <w:pPr>
        <w:pStyle w:val="Document1"/>
        <w:keepNext w:val="0"/>
        <w:keepLines w:val="0"/>
        <w:widowControl/>
        <w:numPr>
          <w:ilvl w:val="1"/>
          <w:numId w:val="11"/>
        </w:numPr>
        <w:tabs>
          <w:tab w:val="clear" w:pos="-720"/>
        </w:tabs>
        <w:suppressAutoHyphens w:val="0"/>
        <w:spacing w:before="120" w:line="260" w:lineRule="atLeast"/>
        <w:ind w:left="709" w:hanging="284"/>
        <w:jc w:val="both"/>
        <w:rPr>
          <w:rFonts w:ascii="Verdana" w:hAnsi="Verdana" w:cs="Arial"/>
          <w:b/>
          <w:bCs/>
          <w:color w:val="000000" w:themeColor="text1"/>
          <w:sz w:val="20"/>
        </w:rPr>
      </w:pPr>
      <w:r w:rsidRPr="00723BA1">
        <w:rPr>
          <w:rFonts w:ascii="Verdana" w:hAnsi="Verdana" w:cs="Arial"/>
          <w:b/>
          <w:bCs/>
          <w:color w:val="000000" w:themeColor="text1"/>
          <w:sz w:val="20"/>
          <w:lang w:val="bg-BG"/>
        </w:rPr>
        <w:t>Притежава повече от 25 на сто от капитала на следните дружества:</w:t>
      </w:r>
    </w:p>
    <w:p w:rsidR="005535AD" w:rsidRPr="00723BA1" w:rsidRDefault="005535AD" w:rsidP="005535AD">
      <w:pPr>
        <w:numPr>
          <w:ilvl w:val="0"/>
          <w:numId w:val="9"/>
        </w:numPr>
        <w:spacing w:after="100" w:afterAutospacing="1" w:line="276" w:lineRule="auto"/>
        <w:ind w:left="1287" w:hanging="357"/>
        <w:rPr>
          <w:rFonts w:ascii="Verdana" w:hAnsi="Verdana"/>
          <w:sz w:val="20"/>
        </w:rPr>
      </w:pPr>
      <w:r w:rsidRPr="00723BA1">
        <w:rPr>
          <w:rFonts w:ascii="Verdana" w:hAnsi="Verdana"/>
          <w:b/>
          <w:bCs/>
          <w:sz w:val="20"/>
        </w:rPr>
        <w:t>„Газтек БГ” АД</w:t>
      </w:r>
      <w:r w:rsidRPr="00723BA1">
        <w:rPr>
          <w:rFonts w:ascii="Verdana" w:hAnsi="Verdana"/>
          <w:sz w:val="20"/>
        </w:rPr>
        <w:t xml:space="preserve">, със седалище и адрес на управление: гр. София, район „Лозенец”, ул. „Филип Кутев” № 1, с ЕИК 831923404; </w:t>
      </w:r>
    </w:p>
    <w:p w:rsidR="005535AD" w:rsidRPr="00723BA1" w:rsidRDefault="005535AD" w:rsidP="005535AD">
      <w:pPr>
        <w:numPr>
          <w:ilvl w:val="0"/>
          <w:numId w:val="9"/>
        </w:numPr>
        <w:spacing w:before="100" w:beforeAutospacing="1" w:after="100" w:afterAutospacing="1" w:line="276" w:lineRule="auto"/>
        <w:ind w:left="1287"/>
        <w:rPr>
          <w:rFonts w:ascii="Verdana" w:hAnsi="Verdana"/>
          <w:sz w:val="20"/>
        </w:rPr>
      </w:pPr>
      <w:r w:rsidRPr="00723BA1">
        <w:rPr>
          <w:rFonts w:ascii="Verdana" w:hAnsi="Verdana"/>
          <w:b/>
          <w:bCs/>
          <w:sz w:val="20"/>
        </w:rPr>
        <w:t>„Оу Джи Секюрити“ АД</w:t>
      </w:r>
      <w:r w:rsidRPr="00723BA1">
        <w:rPr>
          <w:rFonts w:ascii="Verdana" w:hAnsi="Verdana"/>
          <w:sz w:val="20"/>
        </w:rPr>
        <w:t xml:space="preserve"> – в ликвидация, със седалище и адрес на управление: гр. София, район „Лозенец”, ул. „Филип Кутев” № 1, с ЕИК 200535777;</w:t>
      </w:r>
    </w:p>
    <w:p w:rsidR="005535AD" w:rsidRPr="00723BA1" w:rsidRDefault="005535AD" w:rsidP="005535AD">
      <w:pPr>
        <w:numPr>
          <w:ilvl w:val="0"/>
          <w:numId w:val="9"/>
        </w:numPr>
        <w:spacing w:before="100" w:beforeAutospacing="1" w:after="100" w:afterAutospacing="1" w:line="276" w:lineRule="auto"/>
        <w:ind w:left="1287"/>
        <w:rPr>
          <w:rFonts w:ascii="Verdana" w:hAnsi="Verdana"/>
          <w:sz w:val="20"/>
        </w:rPr>
      </w:pPr>
      <w:r w:rsidRPr="00723BA1">
        <w:rPr>
          <w:rFonts w:ascii="Verdana" w:hAnsi="Verdana"/>
          <w:b/>
          <w:bCs/>
          <w:sz w:val="20"/>
        </w:rPr>
        <w:t>„Ренесанс” АД</w:t>
      </w:r>
      <w:r w:rsidRPr="00723BA1">
        <w:rPr>
          <w:rFonts w:ascii="Verdana" w:hAnsi="Verdana"/>
          <w:sz w:val="20"/>
        </w:rPr>
        <w:t xml:space="preserve">, със седалище и адрес на управление: гр. Ямбол, </w:t>
      </w:r>
      <w:r w:rsidRPr="00723BA1">
        <w:rPr>
          <w:rFonts w:ascii="Verdana" w:hAnsi="Verdana"/>
          <w:sz w:val="20"/>
        </w:rPr>
        <w:br/>
        <w:t>ул. „Цар Симеон” № 14А, с ЕИК 128566083;</w:t>
      </w:r>
    </w:p>
    <w:p w:rsidR="005535AD" w:rsidRPr="00723BA1" w:rsidRDefault="005535AD" w:rsidP="005535AD">
      <w:pPr>
        <w:numPr>
          <w:ilvl w:val="0"/>
          <w:numId w:val="9"/>
        </w:numPr>
        <w:spacing w:before="100" w:beforeAutospacing="1" w:after="100" w:afterAutospacing="1" w:line="276" w:lineRule="auto"/>
        <w:ind w:left="1287"/>
        <w:rPr>
          <w:rFonts w:ascii="Verdana" w:hAnsi="Verdana"/>
          <w:sz w:val="20"/>
        </w:rPr>
      </w:pPr>
      <w:r w:rsidRPr="00723BA1">
        <w:rPr>
          <w:rFonts w:ascii="Verdana" w:hAnsi="Verdana"/>
          <w:b/>
          <w:bCs/>
          <w:sz w:val="20"/>
        </w:rPr>
        <w:t>„Адвентчър“ АД</w:t>
      </w:r>
      <w:r w:rsidRPr="00723BA1">
        <w:rPr>
          <w:rFonts w:ascii="Verdana" w:hAnsi="Verdana"/>
          <w:sz w:val="20"/>
        </w:rPr>
        <w:t>, със седалище и адрес на управление: гр. София, район „Лозенец“, ул. „Филип Кутев“ № 5, с ЕИК 131266085;</w:t>
      </w:r>
    </w:p>
    <w:p w:rsidR="005535AD" w:rsidRPr="00723BA1" w:rsidRDefault="005535AD" w:rsidP="005535AD">
      <w:pPr>
        <w:numPr>
          <w:ilvl w:val="0"/>
          <w:numId w:val="9"/>
        </w:numPr>
        <w:spacing w:before="100" w:beforeAutospacing="1" w:after="100" w:afterAutospacing="1" w:line="276" w:lineRule="auto"/>
        <w:ind w:left="1287"/>
        <w:rPr>
          <w:rFonts w:ascii="Verdana" w:hAnsi="Verdana"/>
          <w:sz w:val="20"/>
        </w:rPr>
      </w:pPr>
      <w:r w:rsidRPr="00723BA1">
        <w:rPr>
          <w:rFonts w:ascii="Verdana" w:hAnsi="Verdana"/>
          <w:b/>
          <w:bCs/>
          <w:sz w:val="20"/>
        </w:rPr>
        <w:t>„Овергаз Академия“ ЕАД</w:t>
      </w:r>
      <w:r w:rsidRPr="00723BA1">
        <w:rPr>
          <w:rFonts w:ascii="Verdana" w:hAnsi="Verdana"/>
          <w:sz w:val="20"/>
        </w:rPr>
        <w:t>, със седалище и адрес на управление: гр. Ямбол, ул. „Цар Симеон“ № 14А, с ЕИК 206945690;</w:t>
      </w:r>
    </w:p>
    <w:p w:rsidR="005535AD" w:rsidRPr="00723BA1" w:rsidRDefault="005535AD" w:rsidP="005535AD">
      <w:pPr>
        <w:numPr>
          <w:ilvl w:val="0"/>
          <w:numId w:val="9"/>
        </w:numPr>
        <w:spacing w:before="100" w:beforeAutospacing="1" w:after="100" w:afterAutospacing="1" w:line="276" w:lineRule="auto"/>
        <w:ind w:left="1287"/>
        <w:rPr>
          <w:rFonts w:ascii="Verdana" w:hAnsi="Verdana"/>
          <w:sz w:val="20"/>
        </w:rPr>
      </w:pPr>
      <w:r w:rsidRPr="00723BA1">
        <w:rPr>
          <w:rFonts w:ascii="Verdana" w:hAnsi="Verdana"/>
          <w:b/>
          <w:sz w:val="20"/>
        </w:rPr>
        <w:t>"Сега" ЕАД</w:t>
      </w:r>
      <w:r w:rsidRPr="00723BA1">
        <w:rPr>
          <w:rFonts w:ascii="Verdana" w:hAnsi="Verdana"/>
          <w:sz w:val="20"/>
        </w:rPr>
        <w:t>, със седалище и адрес на управление: гр. София, район "Оборище", бул. "Евлоги и Христо Георгиеви" №169, с ЕИК: 831770996.</w:t>
      </w:r>
    </w:p>
    <w:p w:rsidR="005535AD" w:rsidRPr="00723BA1" w:rsidRDefault="005535AD" w:rsidP="005535AD">
      <w:pPr>
        <w:pStyle w:val="Document1"/>
        <w:keepNext w:val="0"/>
        <w:keepLines w:val="0"/>
        <w:widowControl/>
        <w:numPr>
          <w:ilvl w:val="1"/>
          <w:numId w:val="11"/>
        </w:numPr>
        <w:tabs>
          <w:tab w:val="clear" w:pos="-720"/>
        </w:tabs>
        <w:suppressAutoHyphens w:val="0"/>
        <w:spacing w:before="120" w:line="260" w:lineRule="atLeast"/>
        <w:ind w:left="709" w:hanging="284"/>
        <w:jc w:val="both"/>
        <w:rPr>
          <w:rFonts w:ascii="Verdana" w:hAnsi="Verdana" w:cs="Arial"/>
          <w:b/>
          <w:bCs/>
          <w:color w:val="000000" w:themeColor="text1"/>
          <w:sz w:val="20"/>
        </w:rPr>
      </w:pPr>
      <w:r w:rsidRPr="00723BA1">
        <w:rPr>
          <w:rFonts w:ascii="Verdana" w:hAnsi="Verdana" w:cs="Arial"/>
          <w:b/>
          <w:bCs/>
          <w:color w:val="000000" w:themeColor="text1"/>
          <w:sz w:val="20"/>
          <w:lang w:val="bg-BG"/>
        </w:rPr>
        <w:t>Участва в управлението на търговски дружества като член на съвет, а именно:</w:t>
      </w:r>
    </w:p>
    <w:p w:rsidR="005535AD" w:rsidRPr="00723BA1" w:rsidRDefault="005535AD" w:rsidP="005535AD">
      <w:pPr>
        <w:numPr>
          <w:ilvl w:val="0"/>
          <w:numId w:val="9"/>
        </w:numPr>
        <w:spacing w:before="100" w:beforeAutospacing="1" w:after="100" w:afterAutospacing="1" w:line="276" w:lineRule="auto"/>
        <w:ind w:left="1276"/>
        <w:rPr>
          <w:rFonts w:ascii="Verdana" w:hAnsi="Verdana"/>
          <w:bCs/>
          <w:sz w:val="20"/>
        </w:rPr>
      </w:pPr>
      <w:r w:rsidRPr="00723BA1">
        <w:rPr>
          <w:rFonts w:ascii="Verdana" w:hAnsi="Verdana"/>
          <w:b/>
          <w:sz w:val="20"/>
        </w:rPr>
        <w:t>Адвентчър“ АД</w:t>
      </w:r>
      <w:r w:rsidRPr="00723BA1">
        <w:rPr>
          <w:rFonts w:ascii="Verdana" w:hAnsi="Verdana"/>
          <w:bCs/>
          <w:sz w:val="20"/>
        </w:rPr>
        <w:t>,</w:t>
      </w:r>
      <w:r w:rsidRPr="00723BA1">
        <w:rPr>
          <w:rFonts w:ascii="Verdana" w:hAnsi="Verdana"/>
          <w:b/>
          <w:sz w:val="20"/>
        </w:rPr>
        <w:t xml:space="preserve"> </w:t>
      </w:r>
      <w:r w:rsidRPr="00723BA1">
        <w:rPr>
          <w:rFonts w:ascii="Verdana" w:hAnsi="Verdana"/>
          <w:bCs/>
          <w:sz w:val="20"/>
        </w:rPr>
        <w:t>със седалище и адрес на управление: гр. София, район „Лозенец”, ул. „Филип Кутев” № 5, с ЕИК 131266085;</w:t>
      </w:r>
    </w:p>
    <w:p w:rsidR="005535AD" w:rsidRPr="00723BA1" w:rsidRDefault="005535AD" w:rsidP="005535AD">
      <w:pPr>
        <w:numPr>
          <w:ilvl w:val="0"/>
          <w:numId w:val="9"/>
        </w:numPr>
        <w:spacing w:before="100" w:beforeAutospacing="1" w:after="100" w:afterAutospacing="1" w:line="276" w:lineRule="auto"/>
        <w:ind w:left="1276"/>
        <w:contextualSpacing/>
        <w:rPr>
          <w:rFonts w:ascii="Verdana" w:hAnsi="Verdana"/>
          <w:bCs/>
          <w:sz w:val="20"/>
        </w:rPr>
      </w:pPr>
      <w:r w:rsidRPr="00723BA1">
        <w:rPr>
          <w:rFonts w:ascii="Verdana" w:hAnsi="Verdana"/>
          <w:b/>
          <w:sz w:val="20"/>
        </w:rPr>
        <w:t>„Овергаз Инженеринг” АД</w:t>
      </w:r>
      <w:r w:rsidRPr="00723BA1">
        <w:rPr>
          <w:rFonts w:ascii="Verdana" w:hAnsi="Verdana"/>
          <w:bCs/>
          <w:sz w:val="20"/>
        </w:rPr>
        <w:t>, със седалище и адрес на управление: гр. Ямбол, ул. „Цар Симеон” № 14А, с ЕИК 838102661;</w:t>
      </w:r>
    </w:p>
    <w:p w:rsidR="005535AD" w:rsidRPr="00723BA1" w:rsidRDefault="005535AD" w:rsidP="005535AD">
      <w:pPr>
        <w:numPr>
          <w:ilvl w:val="0"/>
          <w:numId w:val="10"/>
        </w:numPr>
        <w:spacing w:before="100" w:beforeAutospacing="1" w:after="100" w:afterAutospacing="1" w:line="276" w:lineRule="auto"/>
        <w:ind w:left="1276"/>
        <w:rPr>
          <w:rFonts w:ascii="Verdana" w:hAnsi="Verdana"/>
          <w:sz w:val="20"/>
        </w:rPr>
      </w:pPr>
      <w:r w:rsidRPr="00723BA1">
        <w:rPr>
          <w:rFonts w:ascii="Verdana" w:hAnsi="Verdana"/>
          <w:b/>
          <w:sz w:val="20"/>
        </w:rPr>
        <w:t>„Овергаз Техника” АД</w:t>
      </w:r>
      <w:r w:rsidRPr="00723BA1">
        <w:rPr>
          <w:rFonts w:ascii="Verdana" w:hAnsi="Verdana"/>
          <w:bCs/>
          <w:sz w:val="20"/>
        </w:rPr>
        <w:t>, със седалище и адрес на управление: гр. София, район „Лозенец”, ул. „Филип Кутев” № 1, с ЕИК 126040166;</w:t>
      </w:r>
      <w:r w:rsidRPr="00723BA1">
        <w:rPr>
          <w:rFonts w:ascii="Verdana" w:hAnsi="Verdana"/>
          <w:sz w:val="20"/>
          <w:shd w:val="clear" w:color="auto" w:fill="FFFF00"/>
        </w:rPr>
        <w:t xml:space="preserve"> </w:t>
      </w:r>
    </w:p>
    <w:p w:rsidR="005535AD" w:rsidRPr="00723BA1" w:rsidRDefault="005535AD" w:rsidP="005535AD">
      <w:pPr>
        <w:numPr>
          <w:ilvl w:val="0"/>
          <w:numId w:val="10"/>
        </w:numPr>
        <w:spacing w:before="100" w:beforeAutospacing="1" w:after="100" w:afterAutospacing="1" w:line="276" w:lineRule="auto"/>
        <w:ind w:left="1276"/>
        <w:rPr>
          <w:rFonts w:ascii="Verdana" w:hAnsi="Verdana"/>
          <w:bCs/>
          <w:sz w:val="20"/>
        </w:rPr>
      </w:pPr>
      <w:r w:rsidRPr="00723BA1">
        <w:rPr>
          <w:rFonts w:ascii="Verdana" w:hAnsi="Verdana"/>
          <w:b/>
          <w:sz w:val="20"/>
        </w:rPr>
        <w:t>„Пчелин” ЕАД</w:t>
      </w:r>
      <w:r w:rsidRPr="00723BA1">
        <w:rPr>
          <w:rFonts w:ascii="Verdana" w:hAnsi="Verdana"/>
          <w:bCs/>
          <w:sz w:val="20"/>
        </w:rPr>
        <w:t>, със седалище и адрес на управление: с. Пчелин, община Костенец, к.к. „Пчелински бани”, хотел „Виталис“, с ЕИК 131461758;, до 14.03.2025 г.</w:t>
      </w:r>
    </w:p>
    <w:p w:rsidR="005535AD" w:rsidRPr="00723BA1" w:rsidRDefault="005535AD" w:rsidP="005535AD">
      <w:pPr>
        <w:numPr>
          <w:ilvl w:val="0"/>
          <w:numId w:val="10"/>
        </w:numPr>
        <w:spacing w:before="100" w:beforeAutospacing="1" w:after="100" w:afterAutospacing="1" w:line="276" w:lineRule="auto"/>
        <w:ind w:left="1276"/>
        <w:rPr>
          <w:rFonts w:ascii="Verdana" w:hAnsi="Verdana"/>
          <w:bCs/>
          <w:sz w:val="20"/>
        </w:rPr>
      </w:pPr>
      <w:r w:rsidRPr="00723BA1">
        <w:rPr>
          <w:rFonts w:ascii="Verdana" w:hAnsi="Verdana"/>
          <w:b/>
          <w:sz w:val="20"/>
        </w:rPr>
        <w:t>„Ренесанс“ АД</w:t>
      </w:r>
      <w:r w:rsidRPr="00723BA1">
        <w:rPr>
          <w:rFonts w:ascii="Verdana" w:hAnsi="Verdana"/>
          <w:bCs/>
          <w:sz w:val="20"/>
        </w:rPr>
        <w:t>, със седалище и адрес на управление: гр. Ямбол, ул. „Цар Симеон” № 14A, с ЕИК 128566083;</w:t>
      </w:r>
    </w:p>
    <w:p w:rsidR="005535AD" w:rsidRPr="00723BA1" w:rsidRDefault="005535AD" w:rsidP="005535AD">
      <w:pPr>
        <w:numPr>
          <w:ilvl w:val="0"/>
          <w:numId w:val="10"/>
        </w:numPr>
        <w:spacing w:before="100" w:beforeAutospacing="1" w:after="100" w:afterAutospacing="1" w:line="276" w:lineRule="auto"/>
        <w:ind w:left="1276"/>
        <w:rPr>
          <w:rFonts w:ascii="Verdana" w:hAnsi="Verdana"/>
          <w:sz w:val="20"/>
        </w:rPr>
      </w:pPr>
      <w:r w:rsidRPr="00723BA1">
        <w:rPr>
          <w:rFonts w:ascii="Verdana" w:hAnsi="Verdana"/>
          <w:b/>
          <w:sz w:val="20"/>
        </w:rPr>
        <w:t>„Овергаз Метрология“ АД</w:t>
      </w:r>
      <w:r w:rsidRPr="00723BA1">
        <w:rPr>
          <w:rFonts w:ascii="Verdana" w:hAnsi="Verdana"/>
          <w:bCs/>
          <w:sz w:val="20"/>
        </w:rPr>
        <w:t>, със седалище и адрес на управление: гр. София, район „Лозенец”, ул. „Филип Кутев” №1, с ЕИК 123068933.</w:t>
      </w:r>
    </w:p>
    <w:p w:rsidR="005535AD" w:rsidRPr="00723BA1" w:rsidRDefault="005535AD" w:rsidP="005535AD">
      <w:pPr>
        <w:pStyle w:val="HTMLPreformatted"/>
        <w:spacing w:before="120" w:after="120"/>
        <w:jc w:val="both"/>
        <w:rPr>
          <w:rFonts w:ascii="Verdana" w:hAnsi="Verdana"/>
          <w:b/>
          <w:color w:val="000000" w:themeColor="text1"/>
          <w:sz w:val="20"/>
        </w:rPr>
      </w:pPr>
      <w:r w:rsidRPr="00723BA1">
        <w:rPr>
          <w:rFonts w:ascii="Verdana" w:hAnsi="Verdana"/>
          <w:b/>
          <w:color w:val="000000" w:themeColor="text1"/>
          <w:sz w:val="20"/>
          <w:szCs w:val="20"/>
        </w:rPr>
        <w:t>2/ СТЕФКА ХРИСТОВА НАЙДЕНОВА – Член на Съвета на директорите:</w:t>
      </w:r>
    </w:p>
    <w:p w:rsidR="005535AD" w:rsidRPr="00723BA1" w:rsidRDefault="005535AD" w:rsidP="005535AD">
      <w:pPr>
        <w:pStyle w:val="Document1"/>
        <w:keepNext w:val="0"/>
        <w:keepLines w:val="0"/>
        <w:widowControl/>
        <w:numPr>
          <w:ilvl w:val="1"/>
          <w:numId w:val="15"/>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Не участва като неограничено отговорен съдружник в търговски дружества.</w:t>
      </w:r>
    </w:p>
    <w:p w:rsidR="005535AD" w:rsidRPr="00723BA1" w:rsidRDefault="005535AD" w:rsidP="005535AD">
      <w:pPr>
        <w:pStyle w:val="Document1"/>
        <w:keepNext w:val="0"/>
        <w:keepLines w:val="0"/>
        <w:widowControl/>
        <w:numPr>
          <w:ilvl w:val="1"/>
          <w:numId w:val="15"/>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Не притежава повече от 25 на сто от капитала на дружества.</w:t>
      </w:r>
    </w:p>
    <w:p w:rsidR="005535AD" w:rsidRPr="00723BA1" w:rsidRDefault="005535AD" w:rsidP="005535AD">
      <w:pPr>
        <w:pStyle w:val="Document1"/>
        <w:keepNext w:val="0"/>
        <w:keepLines w:val="0"/>
        <w:widowControl/>
        <w:numPr>
          <w:ilvl w:val="1"/>
          <w:numId w:val="15"/>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Не участва в управлението на други търговски дружества като управител, изпълнителен директор, прокурист или член на съвет.</w:t>
      </w:r>
    </w:p>
    <w:p w:rsidR="005535AD" w:rsidRPr="00723BA1" w:rsidRDefault="005535AD" w:rsidP="005535AD">
      <w:pPr>
        <w:pStyle w:val="HTMLPreformatted"/>
        <w:spacing w:before="120" w:after="120"/>
        <w:jc w:val="both"/>
        <w:rPr>
          <w:rFonts w:ascii="Verdana" w:hAnsi="Verdana"/>
          <w:sz w:val="20"/>
        </w:rPr>
      </w:pPr>
      <w:r w:rsidRPr="00723BA1">
        <w:rPr>
          <w:rFonts w:ascii="Verdana" w:hAnsi="Verdana"/>
          <w:b/>
          <w:color w:val="000000" w:themeColor="text1"/>
          <w:sz w:val="20"/>
          <w:szCs w:val="20"/>
        </w:rPr>
        <w:t>3/ МИХАИЛ НИКОЛАЕВ КОВАЧЕВ – Изпълнителен директор:</w:t>
      </w:r>
    </w:p>
    <w:p w:rsidR="005535AD" w:rsidRPr="00723BA1" w:rsidRDefault="005535AD" w:rsidP="005535AD">
      <w:pPr>
        <w:pStyle w:val="Document1"/>
        <w:keepNext w:val="0"/>
        <w:keepLines w:val="0"/>
        <w:widowControl/>
        <w:numPr>
          <w:ilvl w:val="1"/>
          <w:numId w:val="14"/>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Не участва като неограничено отговорен съдружник в търговски дружества.</w:t>
      </w:r>
    </w:p>
    <w:p w:rsidR="005535AD" w:rsidRPr="00723BA1" w:rsidRDefault="005535AD" w:rsidP="005535AD">
      <w:pPr>
        <w:pStyle w:val="Document1"/>
        <w:keepNext w:val="0"/>
        <w:keepLines w:val="0"/>
        <w:widowControl/>
        <w:numPr>
          <w:ilvl w:val="1"/>
          <w:numId w:val="14"/>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Притежава повече от 25 на сто от капитала на търговско дружествo „Дунав - К” ЕООД, с ЕИК: 831129175.</w:t>
      </w:r>
    </w:p>
    <w:p w:rsidR="005535AD" w:rsidRPr="00723BA1" w:rsidRDefault="005535AD" w:rsidP="005535AD">
      <w:pPr>
        <w:pStyle w:val="Document1"/>
        <w:keepNext w:val="0"/>
        <w:keepLines w:val="0"/>
        <w:widowControl/>
        <w:numPr>
          <w:ilvl w:val="1"/>
          <w:numId w:val="14"/>
        </w:numPr>
        <w:tabs>
          <w:tab w:val="clear" w:pos="-720"/>
        </w:tabs>
        <w:suppressAutoHyphens w:val="0"/>
        <w:spacing w:line="260" w:lineRule="atLeast"/>
        <w:ind w:left="709" w:hanging="283"/>
        <w:jc w:val="both"/>
        <w:rPr>
          <w:rFonts w:ascii="Verdana" w:hAnsi="Verdana" w:cs="Arial"/>
          <w:color w:val="000000" w:themeColor="text1"/>
          <w:sz w:val="20"/>
        </w:rPr>
      </w:pPr>
      <w:r w:rsidRPr="00723BA1">
        <w:rPr>
          <w:rFonts w:ascii="Verdana" w:hAnsi="Verdana" w:cs="Arial"/>
          <w:color w:val="000000" w:themeColor="text1"/>
          <w:sz w:val="20"/>
          <w:lang w:val="bg-BG"/>
        </w:rPr>
        <w:t xml:space="preserve">Участва в управлението на други дружества като управител на „Дунав - К” ЕООД, с ЕИК: 831129175, и представляващ „ТОПЛОФИКАЦИЯ – РАЗГРАД“ АД, </w:t>
      </w:r>
      <w:r w:rsidRPr="00723BA1">
        <w:rPr>
          <w:rFonts w:ascii="Verdana" w:hAnsi="Verdana" w:cs="Arial"/>
          <w:color w:val="000000" w:themeColor="text1"/>
          <w:sz w:val="20"/>
          <w:lang w:val="bg-BG"/>
        </w:rPr>
        <w:lastRenderedPageBreak/>
        <w:t>като изпълнителен член на Съвета на директорите на „Хармония 2022“ ЕАД, ЕИК 207061132</w:t>
      </w:r>
    </w:p>
    <w:p w:rsidR="005535AD" w:rsidRDefault="005535AD" w:rsidP="005535AD">
      <w:pPr>
        <w:rPr>
          <w:rFonts w:ascii="Verdana" w:hAnsi="Verdana"/>
          <w:color w:val="000000" w:themeColor="text1"/>
          <w:sz w:val="20"/>
        </w:rPr>
      </w:pPr>
    </w:p>
    <w:p w:rsidR="005535AD" w:rsidRPr="00723BA1" w:rsidRDefault="005535AD" w:rsidP="005535AD">
      <w:pPr>
        <w:spacing w:line="260" w:lineRule="atLeast"/>
        <w:rPr>
          <w:rFonts w:ascii="Verdana" w:hAnsi="Verdana" w:cs="Arial"/>
          <w:b/>
          <w:sz w:val="20"/>
        </w:rPr>
      </w:pPr>
      <w:r w:rsidRPr="00723BA1">
        <w:rPr>
          <w:rFonts w:ascii="Verdana" w:hAnsi="Verdana" w:cs="Arial"/>
          <w:b/>
          <w:sz w:val="20"/>
        </w:rPr>
        <w:t>Управление на капиталовия риск</w:t>
      </w:r>
    </w:p>
    <w:p w:rsidR="005535AD" w:rsidRPr="00723BA1" w:rsidRDefault="005535AD" w:rsidP="005535AD">
      <w:pPr>
        <w:spacing w:line="260" w:lineRule="atLeast"/>
        <w:rPr>
          <w:rFonts w:ascii="Verdana" w:hAnsi="Verdana" w:cs="Arial"/>
          <w:b/>
          <w:sz w:val="20"/>
        </w:rPr>
      </w:pPr>
    </w:p>
    <w:p w:rsidR="005535AD" w:rsidRPr="00723BA1" w:rsidRDefault="005535AD" w:rsidP="005535AD">
      <w:pPr>
        <w:spacing w:line="260" w:lineRule="atLeast"/>
        <w:rPr>
          <w:rFonts w:ascii="Verdana" w:hAnsi="Verdana" w:cs="Arial"/>
          <w:sz w:val="20"/>
        </w:rPr>
      </w:pPr>
      <w:r w:rsidRPr="00723BA1">
        <w:rPr>
          <w:rFonts w:ascii="Verdana" w:hAnsi="Verdana" w:cs="Arial"/>
          <w:sz w:val="20"/>
        </w:rPr>
        <w:t>Целите на ръководството при управление на капитала са да защитят правото на дружеството да продължи като действащо дружество, с цел доходност за акционерите и поддържане на оптимална капиталова структура, за да се намали цената на капитала.</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В съответствие с останалите в индустрията, „Топлофикация – Разград“ АД контролира капитала на база на съотношението собствен/привлечен капитал (коефициент на задлъжнялост). Този коефициент се изчислява, като нетните дългове (нетен дългов капитал) се разделят на общия капитал. Нетните дългове се изчисляват, като от общия дългов капитал, който се формира от задълженията към банки и финансови институции, по лизингови договори, търговски кредити и заеми, стокови кредити, без значение дали са към свързани или несвързани лица, се приспаднат парите и парични еквиваленти. Общият капитал се изчислява, като „собствен капитал” (както е показан в Отчета за финансовото състояние), се събере с нетните дългове.</w:t>
      </w:r>
    </w:p>
    <w:p w:rsidR="005535AD" w:rsidRPr="00723BA1" w:rsidRDefault="005535AD" w:rsidP="005535AD">
      <w:pPr>
        <w:pStyle w:val="a0"/>
        <w:shd w:val="clear" w:color="auto" w:fill="auto"/>
        <w:spacing w:before="0" w:after="0" w:line="260" w:lineRule="atLeast"/>
        <w:ind w:right="-31"/>
        <w:rPr>
          <w:rFonts w:ascii="Verdana" w:hAnsi="Verdana" w:cs="Arial"/>
          <w:spacing w:val="0"/>
          <w:sz w:val="20"/>
          <w:szCs w:val="20"/>
        </w:rPr>
      </w:pPr>
      <w:r w:rsidRPr="00723BA1">
        <w:rPr>
          <w:rFonts w:ascii="Verdana" w:hAnsi="Verdana" w:cs="Arial"/>
          <w:spacing w:val="0"/>
          <w:sz w:val="20"/>
          <w:szCs w:val="20"/>
        </w:rPr>
        <w:t>Политиката на ръководството е да се подържа стабилна капиталова база, така че да се съхрани доверието на собствениците, и на пазара като цяло, и за да може да се осигурят условия за развитие на бизнеса в бъдеще.</w:t>
      </w:r>
    </w:p>
    <w:p w:rsidR="005535AD" w:rsidRPr="00723BA1" w:rsidRDefault="005535AD" w:rsidP="005535AD">
      <w:pPr>
        <w:pStyle w:val="a0"/>
        <w:shd w:val="clear" w:color="auto" w:fill="auto"/>
        <w:spacing w:before="0" w:after="0" w:line="260" w:lineRule="atLeast"/>
        <w:ind w:right="-31"/>
        <w:rPr>
          <w:rFonts w:ascii="Verdana" w:hAnsi="Verdana" w:cs="Arial"/>
          <w:spacing w:val="0"/>
          <w:sz w:val="20"/>
          <w:szCs w:val="20"/>
        </w:rPr>
      </w:pPr>
    </w:p>
    <w:p w:rsidR="005535AD" w:rsidRPr="00723BA1" w:rsidRDefault="005535AD" w:rsidP="005535AD">
      <w:pPr>
        <w:pStyle w:val="a0"/>
        <w:shd w:val="clear" w:color="auto" w:fill="auto"/>
        <w:spacing w:before="0" w:after="0" w:line="260" w:lineRule="atLeast"/>
        <w:ind w:right="280"/>
        <w:rPr>
          <w:rFonts w:ascii="Verdana" w:hAnsi="Verdana" w:cs="Arial"/>
          <w:spacing w:val="0"/>
          <w:sz w:val="20"/>
          <w:szCs w:val="20"/>
        </w:rPr>
      </w:pPr>
      <w:r w:rsidRPr="00723BA1">
        <w:rPr>
          <w:rFonts w:ascii="Verdana" w:hAnsi="Verdana" w:cs="Arial"/>
          <w:spacing w:val="0"/>
          <w:sz w:val="20"/>
          <w:szCs w:val="20"/>
        </w:rPr>
        <w:t xml:space="preserve">                         </w:t>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t>Табл. 14 /хил. лв/</w:t>
      </w:r>
    </w:p>
    <w:tbl>
      <w:tblPr>
        <w:tblW w:w="8260" w:type="dxa"/>
        <w:tblInd w:w="65" w:type="dxa"/>
        <w:tblCellMar>
          <w:left w:w="70" w:type="dxa"/>
          <w:right w:w="70" w:type="dxa"/>
        </w:tblCellMar>
        <w:tblLook w:val="04A0" w:firstRow="1" w:lastRow="0" w:firstColumn="1" w:lastColumn="0" w:noHBand="0" w:noVBand="1"/>
      </w:tblPr>
      <w:tblGrid>
        <w:gridCol w:w="5220"/>
        <w:gridCol w:w="1520"/>
        <w:gridCol w:w="1520"/>
      </w:tblGrid>
      <w:tr w:rsidR="005535AD" w:rsidRPr="00723BA1" w:rsidTr="00F33646">
        <w:trPr>
          <w:trHeight w:val="20"/>
        </w:trPr>
        <w:tc>
          <w:tcPr>
            <w:tcW w:w="5220" w:type="dxa"/>
            <w:tcBorders>
              <w:top w:val="single" w:sz="4" w:space="0" w:color="auto"/>
              <w:left w:val="single" w:sz="4" w:space="0" w:color="auto"/>
              <w:bottom w:val="single" w:sz="4" w:space="0" w:color="auto"/>
              <w:right w:val="nil"/>
            </w:tcBorders>
            <w:shd w:val="clear" w:color="auto" w:fill="auto"/>
            <w:noWrap/>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Вид</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5AD" w:rsidRPr="00723BA1" w:rsidRDefault="005535AD" w:rsidP="00F33646">
            <w:pPr>
              <w:jc w:val="center"/>
              <w:rPr>
                <w:rFonts w:ascii="Calibri" w:hAnsi="Calibri" w:cs="Arial"/>
                <w:b/>
                <w:bCs/>
                <w:sz w:val="20"/>
                <w:lang w:eastAsia="bg-BG"/>
              </w:rPr>
            </w:pPr>
            <w:r w:rsidRPr="00723BA1">
              <w:rPr>
                <w:rFonts w:ascii="Calibri" w:hAnsi="Calibri" w:cs="Arial"/>
                <w:b/>
                <w:bCs/>
                <w:sz w:val="20"/>
                <w:lang w:eastAsia="bg-BG"/>
              </w:rPr>
              <w:t>31.12.2024 г.</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5535AD" w:rsidRPr="00723BA1" w:rsidRDefault="005535AD" w:rsidP="00F33646">
            <w:pPr>
              <w:jc w:val="center"/>
              <w:rPr>
                <w:rFonts w:ascii="Calibri" w:hAnsi="Calibri" w:cs="Arial"/>
                <w:b/>
                <w:bCs/>
                <w:sz w:val="20"/>
                <w:lang w:eastAsia="bg-BG"/>
              </w:rPr>
            </w:pPr>
            <w:r w:rsidRPr="00723BA1">
              <w:rPr>
                <w:rFonts w:ascii="Calibri" w:hAnsi="Calibri" w:cs="Arial"/>
                <w:b/>
                <w:bCs/>
                <w:sz w:val="20"/>
                <w:lang w:eastAsia="bg-BG"/>
              </w:rPr>
              <w:t>31.12.2023 г.</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 xml:space="preserve">Общо дългов капитал, т.ч.: </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1 309</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1 715</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 xml:space="preserve">Търговски кредити и заеми от свързани лица </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301</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615</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Банкови кредити и заеми</w:t>
            </w:r>
          </w:p>
        </w:tc>
        <w:tc>
          <w:tcPr>
            <w:tcW w:w="1520" w:type="dxa"/>
            <w:tcBorders>
              <w:top w:val="nil"/>
              <w:left w:val="nil"/>
              <w:bottom w:val="single" w:sz="4" w:space="0" w:color="auto"/>
              <w:right w:val="single" w:sz="4" w:space="0" w:color="auto"/>
            </w:tcBorders>
            <w:shd w:val="clear" w:color="auto" w:fill="auto"/>
            <w:noWrap/>
            <w:vAlign w:val="center"/>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1 008</w:t>
            </w:r>
          </w:p>
        </w:tc>
        <w:tc>
          <w:tcPr>
            <w:tcW w:w="1520" w:type="dxa"/>
            <w:tcBorders>
              <w:top w:val="nil"/>
              <w:left w:val="nil"/>
              <w:bottom w:val="single" w:sz="4" w:space="0" w:color="auto"/>
              <w:right w:val="single" w:sz="4" w:space="0" w:color="auto"/>
            </w:tcBorders>
            <w:shd w:val="clear" w:color="auto" w:fill="auto"/>
            <w:noWrap/>
            <w:vAlign w:val="center"/>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1 100</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Намален с: паричните средства и парични еквиваленти</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(28)</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(6)</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Нетен дългов капитал</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1 281</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1 709</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Общо собствен капитал</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4 946</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2 818</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Общо капитал</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6 235</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4 527</w:t>
            </w:r>
          </w:p>
        </w:tc>
      </w:tr>
      <w:tr w:rsidR="005535AD" w:rsidRPr="00723BA1" w:rsidTr="00F33646">
        <w:trPr>
          <w:trHeight w:val="20"/>
        </w:trPr>
        <w:tc>
          <w:tcPr>
            <w:tcW w:w="5220" w:type="dxa"/>
            <w:tcBorders>
              <w:top w:val="nil"/>
              <w:left w:val="single" w:sz="4" w:space="0" w:color="auto"/>
              <w:bottom w:val="single" w:sz="4" w:space="0" w:color="auto"/>
              <w:right w:val="single" w:sz="4" w:space="0" w:color="auto"/>
            </w:tcBorders>
            <w:shd w:val="clear" w:color="auto" w:fill="00CCFF"/>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Коефициент нетен дълг към общо капитал</w:t>
            </w:r>
          </w:p>
        </w:tc>
        <w:tc>
          <w:tcPr>
            <w:tcW w:w="1520" w:type="dxa"/>
            <w:tcBorders>
              <w:top w:val="nil"/>
              <w:left w:val="nil"/>
              <w:bottom w:val="single" w:sz="4" w:space="0" w:color="auto"/>
              <w:right w:val="single" w:sz="4" w:space="0" w:color="auto"/>
            </w:tcBorders>
            <w:shd w:val="clear" w:color="auto" w:fill="00CCFF"/>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0.21</w:t>
            </w:r>
          </w:p>
        </w:tc>
        <w:tc>
          <w:tcPr>
            <w:tcW w:w="1520" w:type="dxa"/>
            <w:tcBorders>
              <w:top w:val="nil"/>
              <w:left w:val="nil"/>
              <w:bottom w:val="single" w:sz="4" w:space="0" w:color="auto"/>
              <w:right w:val="single" w:sz="4" w:space="0" w:color="auto"/>
            </w:tcBorders>
            <w:shd w:val="clear" w:color="auto" w:fill="00CCFF"/>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0.38</w:t>
            </w:r>
          </w:p>
        </w:tc>
      </w:tr>
    </w:tbl>
    <w:p w:rsidR="005535AD" w:rsidRPr="00723BA1" w:rsidRDefault="005535AD" w:rsidP="005535AD">
      <w:pPr>
        <w:pStyle w:val="a0"/>
        <w:shd w:val="clear" w:color="auto" w:fill="auto"/>
        <w:spacing w:before="0" w:after="0" w:line="260" w:lineRule="atLeast"/>
        <w:ind w:right="280"/>
        <w:rPr>
          <w:rFonts w:ascii="Verdana" w:hAnsi="Verdana" w:cs="Arial"/>
          <w:color w:val="FF0000"/>
          <w:spacing w:val="0"/>
          <w:sz w:val="20"/>
          <w:szCs w:val="20"/>
        </w:rPr>
      </w:pPr>
    </w:p>
    <w:p w:rsidR="005535AD" w:rsidRPr="00723BA1" w:rsidRDefault="005535AD" w:rsidP="005535AD">
      <w:pPr>
        <w:pStyle w:val="a0"/>
        <w:shd w:val="clear" w:color="auto" w:fill="auto"/>
        <w:spacing w:before="0" w:after="0" w:line="260" w:lineRule="atLeast"/>
        <w:ind w:right="280"/>
        <w:rPr>
          <w:rFonts w:ascii="Verdana" w:hAnsi="Verdana" w:cs="Arial"/>
          <w:spacing w:val="0"/>
          <w:sz w:val="20"/>
          <w:szCs w:val="20"/>
        </w:rPr>
      </w:pP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r>
      <w:r w:rsidRPr="00723BA1">
        <w:rPr>
          <w:rFonts w:ascii="Verdana" w:hAnsi="Verdana" w:cs="Arial"/>
          <w:spacing w:val="0"/>
          <w:sz w:val="20"/>
          <w:szCs w:val="20"/>
        </w:rPr>
        <w:tab/>
        <w:t>Табл. 15 /хил. лв/</w:t>
      </w:r>
    </w:p>
    <w:tbl>
      <w:tblPr>
        <w:tblW w:w="8260" w:type="dxa"/>
        <w:tblInd w:w="65" w:type="dxa"/>
        <w:tblCellMar>
          <w:left w:w="70" w:type="dxa"/>
          <w:right w:w="70" w:type="dxa"/>
        </w:tblCellMar>
        <w:tblLook w:val="04A0" w:firstRow="1" w:lastRow="0" w:firstColumn="1" w:lastColumn="0" w:noHBand="0" w:noVBand="1"/>
      </w:tblPr>
      <w:tblGrid>
        <w:gridCol w:w="5220"/>
        <w:gridCol w:w="1520"/>
        <w:gridCol w:w="1520"/>
      </w:tblGrid>
      <w:tr w:rsidR="005535AD" w:rsidRPr="00723BA1" w:rsidTr="00F33646">
        <w:trPr>
          <w:trHeight w:val="255"/>
        </w:trPr>
        <w:tc>
          <w:tcPr>
            <w:tcW w:w="5220" w:type="dxa"/>
            <w:tcBorders>
              <w:top w:val="single" w:sz="4" w:space="0" w:color="auto"/>
              <w:left w:val="single" w:sz="4" w:space="0" w:color="auto"/>
              <w:bottom w:val="single" w:sz="4" w:space="0" w:color="auto"/>
              <w:right w:val="nil"/>
            </w:tcBorders>
            <w:shd w:val="clear" w:color="auto" w:fill="auto"/>
            <w:noWrap/>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Вид</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5AD" w:rsidRPr="00723BA1" w:rsidRDefault="005535AD" w:rsidP="00F33646">
            <w:pPr>
              <w:jc w:val="center"/>
              <w:rPr>
                <w:rFonts w:ascii="Calibri" w:hAnsi="Calibri" w:cs="Arial"/>
                <w:b/>
                <w:bCs/>
                <w:sz w:val="20"/>
                <w:lang w:eastAsia="bg-BG"/>
              </w:rPr>
            </w:pPr>
            <w:r w:rsidRPr="00723BA1">
              <w:rPr>
                <w:rFonts w:ascii="Calibri" w:hAnsi="Calibri" w:cs="Arial"/>
                <w:b/>
                <w:bCs/>
                <w:sz w:val="20"/>
                <w:lang w:eastAsia="bg-BG"/>
              </w:rPr>
              <w:t>31.12.2024 г.</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5535AD" w:rsidRPr="00723BA1" w:rsidRDefault="005535AD" w:rsidP="00F33646">
            <w:pPr>
              <w:jc w:val="center"/>
              <w:rPr>
                <w:rFonts w:ascii="Calibri" w:hAnsi="Calibri" w:cs="Arial"/>
                <w:b/>
                <w:bCs/>
                <w:sz w:val="20"/>
                <w:lang w:eastAsia="bg-BG"/>
              </w:rPr>
            </w:pPr>
            <w:r w:rsidRPr="00723BA1">
              <w:rPr>
                <w:rFonts w:ascii="Calibri" w:hAnsi="Calibri" w:cs="Arial"/>
                <w:b/>
                <w:bCs/>
                <w:sz w:val="20"/>
                <w:lang w:eastAsia="bg-BG"/>
              </w:rPr>
              <w:t>31.12.2023 г.</w:t>
            </w:r>
          </w:p>
        </w:tc>
      </w:tr>
      <w:tr w:rsidR="005535AD" w:rsidRPr="00723BA1" w:rsidTr="00F33646">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 xml:space="preserve">Общо привлечен капитал (пасиви), т.ч.: </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3 760</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4 947</w:t>
            </w:r>
          </w:p>
        </w:tc>
      </w:tr>
      <w:tr w:rsidR="005535AD" w:rsidRPr="00723BA1" w:rsidTr="00F33646">
        <w:trPr>
          <w:trHeight w:val="283"/>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Задължения към банки и финансови институции</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1 008</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1 100</w:t>
            </w:r>
          </w:p>
        </w:tc>
      </w:tr>
      <w:tr w:rsidR="005535AD" w:rsidRPr="00723BA1" w:rsidTr="00F33646">
        <w:trPr>
          <w:trHeight w:val="283"/>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 xml:space="preserve">Търговски кредити и заеми от свързани лица </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301</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615</w:t>
            </w:r>
          </w:p>
        </w:tc>
      </w:tr>
      <w:tr w:rsidR="005535AD" w:rsidRPr="00723BA1" w:rsidTr="00F33646">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Задължения към свързани предприятия</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2 244</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2 606</w:t>
            </w:r>
          </w:p>
        </w:tc>
      </w:tr>
      <w:tr w:rsidR="005535AD" w:rsidRPr="00723BA1" w:rsidTr="00F33646">
        <w:trPr>
          <w:trHeight w:val="283"/>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sz w:val="20"/>
                <w:lang w:eastAsia="bg-BG"/>
              </w:rPr>
            </w:pPr>
            <w:r w:rsidRPr="00723BA1">
              <w:rPr>
                <w:rFonts w:ascii="Calibri" w:hAnsi="Calibri" w:cs="Arial"/>
                <w:sz w:val="20"/>
                <w:lang w:eastAsia="bg-BG"/>
              </w:rPr>
              <w:t>Всички останали пасиви</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209</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sz w:val="20"/>
                <w:lang w:eastAsia="bg-BG"/>
              </w:rPr>
            </w:pPr>
            <w:r w:rsidRPr="00723BA1">
              <w:rPr>
                <w:rFonts w:ascii="Calibri" w:hAnsi="Calibri" w:cs="Arial"/>
                <w:sz w:val="20"/>
                <w:lang w:eastAsia="bg-BG"/>
              </w:rPr>
              <w:t>626</w:t>
            </w:r>
          </w:p>
        </w:tc>
      </w:tr>
      <w:tr w:rsidR="005535AD" w:rsidRPr="00723BA1" w:rsidTr="00F33646">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Общо собствен капитал</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4 946</w:t>
            </w:r>
          </w:p>
        </w:tc>
        <w:tc>
          <w:tcPr>
            <w:tcW w:w="1520" w:type="dxa"/>
            <w:tcBorders>
              <w:top w:val="nil"/>
              <w:left w:val="nil"/>
              <w:bottom w:val="single" w:sz="4" w:space="0" w:color="auto"/>
              <w:right w:val="single" w:sz="4" w:space="0" w:color="auto"/>
            </w:tcBorders>
            <w:shd w:val="clear" w:color="auto" w:fill="auto"/>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2 818</w:t>
            </w:r>
          </w:p>
        </w:tc>
      </w:tr>
      <w:tr w:rsidR="005535AD" w:rsidRPr="00723BA1" w:rsidTr="00F33646">
        <w:trPr>
          <w:trHeight w:val="255"/>
        </w:trPr>
        <w:tc>
          <w:tcPr>
            <w:tcW w:w="5220" w:type="dxa"/>
            <w:tcBorders>
              <w:top w:val="nil"/>
              <w:left w:val="single" w:sz="4" w:space="0" w:color="auto"/>
              <w:bottom w:val="single" w:sz="4" w:space="0" w:color="auto"/>
              <w:right w:val="single" w:sz="4" w:space="0" w:color="auto"/>
            </w:tcBorders>
            <w:shd w:val="clear" w:color="auto" w:fill="00CCFF"/>
            <w:noWrap/>
            <w:vAlign w:val="center"/>
            <w:hideMark/>
          </w:tcPr>
          <w:p w:rsidR="005535AD" w:rsidRPr="00723BA1" w:rsidRDefault="005535AD" w:rsidP="00F33646">
            <w:pPr>
              <w:jc w:val="left"/>
              <w:rPr>
                <w:rFonts w:ascii="Calibri" w:hAnsi="Calibri" w:cs="Arial"/>
                <w:b/>
                <w:bCs/>
                <w:sz w:val="20"/>
                <w:lang w:eastAsia="bg-BG"/>
              </w:rPr>
            </w:pPr>
            <w:r w:rsidRPr="00723BA1">
              <w:rPr>
                <w:rFonts w:ascii="Calibri" w:hAnsi="Calibri" w:cs="Arial"/>
                <w:b/>
                <w:bCs/>
                <w:sz w:val="20"/>
                <w:lang w:eastAsia="bg-BG"/>
              </w:rPr>
              <w:t>Коефициент на задлъжнялост</w:t>
            </w:r>
          </w:p>
        </w:tc>
        <w:tc>
          <w:tcPr>
            <w:tcW w:w="1520" w:type="dxa"/>
            <w:tcBorders>
              <w:top w:val="nil"/>
              <w:left w:val="nil"/>
              <w:bottom w:val="single" w:sz="4" w:space="0" w:color="auto"/>
              <w:right w:val="single" w:sz="4" w:space="0" w:color="auto"/>
            </w:tcBorders>
            <w:shd w:val="clear" w:color="auto" w:fill="00CCFF"/>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0.76</w:t>
            </w:r>
          </w:p>
        </w:tc>
        <w:tc>
          <w:tcPr>
            <w:tcW w:w="1520" w:type="dxa"/>
            <w:tcBorders>
              <w:top w:val="nil"/>
              <w:left w:val="nil"/>
              <w:bottom w:val="single" w:sz="4" w:space="0" w:color="auto"/>
              <w:right w:val="single" w:sz="4" w:space="0" w:color="auto"/>
            </w:tcBorders>
            <w:shd w:val="clear" w:color="auto" w:fill="00CCFF"/>
            <w:noWrap/>
            <w:vAlign w:val="center"/>
            <w:hideMark/>
          </w:tcPr>
          <w:p w:rsidR="005535AD" w:rsidRPr="00723BA1" w:rsidRDefault="005535AD" w:rsidP="00F33646">
            <w:pPr>
              <w:jc w:val="right"/>
              <w:rPr>
                <w:rFonts w:ascii="Calibri" w:hAnsi="Calibri" w:cs="Arial"/>
                <w:b/>
                <w:bCs/>
                <w:sz w:val="20"/>
                <w:lang w:eastAsia="bg-BG"/>
              </w:rPr>
            </w:pPr>
            <w:r w:rsidRPr="00723BA1">
              <w:rPr>
                <w:rFonts w:ascii="Calibri" w:hAnsi="Calibri" w:cs="Arial"/>
                <w:b/>
                <w:bCs/>
                <w:sz w:val="20"/>
                <w:lang w:eastAsia="bg-BG"/>
              </w:rPr>
              <w:t>1</w:t>
            </w:r>
            <w:r>
              <w:rPr>
                <w:rFonts w:ascii="Calibri" w:hAnsi="Calibri" w:cs="Arial"/>
                <w:b/>
                <w:bCs/>
                <w:sz w:val="20"/>
                <w:lang w:eastAsia="bg-BG"/>
              </w:rPr>
              <w:t>.</w:t>
            </w:r>
            <w:r w:rsidRPr="00723BA1">
              <w:rPr>
                <w:rFonts w:ascii="Calibri" w:hAnsi="Calibri" w:cs="Arial"/>
                <w:b/>
                <w:bCs/>
                <w:sz w:val="20"/>
                <w:lang w:eastAsia="bg-BG"/>
              </w:rPr>
              <w:t>75</w:t>
            </w:r>
          </w:p>
        </w:tc>
      </w:tr>
    </w:tbl>
    <w:p w:rsidR="005535AD" w:rsidRPr="00723BA1" w:rsidRDefault="005535AD" w:rsidP="005535AD">
      <w:pPr>
        <w:pStyle w:val="a0"/>
        <w:shd w:val="clear" w:color="auto" w:fill="auto"/>
        <w:spacing w:before="0" w:after="0" w:line="260" w:lineRule="atLeast"/>
        <w:ind w:right="280"/>
        <w:rPr>
          <w:rFonts w:ascii="Verdana" w:hAnsi="Verdana" w:cs="Arial"/>
          <w:color w:val="FF0000"/>
          <w:spacing w:val="0"/>
          <w:sz w:val="20"/>
          <w:szCs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Управление на финансовия риск</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Дружеството има експозиция към следните финансови рискове:</w:t>
      </w:r>
    </w:p>
    <w:p w:rsidR="005535AD" w:rsidRPr="00723BA1" w:rsidRDefault="005535AD" w:rsidP="005535AD">
      <w:pPr>
        <w:numPr>
          <w:ilvl w:val="0"/>
          <w:numId w:val="16"/>
        </w:numPr>
        <w:spacing w:line="260" w:lineRule="atLeast"/>
        <w:rPr>
          <w:rFonts w:ascii="Verdana" w:hAnsi="Verdana" w:cs="Arial"/>
          <w:sz w:val="20"/>
        </w:rPr>
      </w:pPr>
      <w:r w:rsidRPr="00723BA1">
        <w:rPr>
          <w:rFonts w:ascii="Verdana" w:hAnsi="Verdana" w:cs="Arial"/>
          <w:sz w:val="20"/>
        </w:rPr>
        <w:t>кредитен риск;</w:t>
      </w:r>
    </w:p>
    <w:p w:rsidR="005535AD" w:rsidRPr="00723BA1" w:rsidRDefault="005535AD" w:rsidP="005535AD">
      <w:pPr>
        <w:numPr>
          <w:ilvl w:val="0"/>
          <w:numId w:val="16"/>
        </w:numPr>
        <w:spacing w:line="260" w:lineRule="atLeast"/>
        <w:rPr>
          <w:rFonts w:ascii="Verdana" w:hAnsi="Verdana" w:cs="Arial"/>
          <w:sz w:val="20"/>
        </w:rPr>
      </w:pPr>
      <w:r w:rsidRPr="00723BA1">
        <w:rPr>
          <w:rFonts w:ascii="Verdana" w:hAnsi="Verdana" w:cs="Arial"/>
          <w:sz w:val="20"/>
        </w:rPr>
        <w:t>ликвиден риск;</w:t>
      </w:r>
    </w:p>
    <w:p w:rsidR="005535AD" w:rsidRPr="00723BA1" w:rsidRDefault="005535AD" w:rsidP="005535AD">
      <w:pPr>
        <w:numPr>
          <w:ilvl w:val="0"/>
          <w:numId w:val="16"/>
        </w:numPr>
        <w:spacing w:line="260" w:lineRule="atLeast"/>
        <w:rPr>
          <w:rFonts w:ascii="Verdana" w:hAnsi="Verdana" w:cs="Arial"/>
          <w:sz w:val="20"/>
        </w:rPr>
      </w:pPr>
      <w:r w:rsidRPr="00723BA1">
        <w:rPr>
          <w:rFonts w:ascii="Verdana" w:hAnsi="Verdana" w:cs="Arial"/>
          <w:sz w:val="20"/>
        </w:rPr>
        <w:t>пазарен риск;</w:t>
      </w:r>
    </w:p>
    <w:p w:rsidR="005535AD" w:rsidRPr="00723BA1" w:rsidRDefault="005535AD" w:rsidP="005535AD">
      <w:pPr>
        <w:numPr>
          <w:ilvl w:val="0"/>
          <w:numId w:val="16"/>
        </w:numPr>
        <w:spacing w:line="260" w:lineRule="atLeast"/>
        <w:rPr>
          <w:rFonts w:ascii="Verdana" w:hAnsi="Verdana" w:cs="Arial"/>
          <w:sz w:val="20"/>
        </w:rPr>
      </w:pPr>
      <w:r w:rsidRPr="00723BA1">
        <w:rPr>
          <w:rFonts w:ascii="Verdana" w:hAnsi="Verdana" w:cs="Arial"/>
          <w:sz w:val="20"/>
        </w:rPr>
        <w:t>оперативен риск.</w:t>
      </w:r>
    </w:p>
    <w:p w:rsidR="005535AD" w:rsidRPr="00723BA1" w:rsidRDefault="005535AD" w:rsidP="005535AD">
      <w:pPr>
        <w:spacing w:before="120" w:after="120" w:line="260" w:lineRule="atLeast"/>
        <w:rPr>
          <w:rFonts w:ascii="Verdana" w:hAnsi="Verdana" w:cs="Arial"/>
          <w:sz w:val="20"/>
        </w:rPr>
      </w:pPr>
      <w:r w:rsidRPr="00723BA1">
        <w:rPr>
          <w:rFonts w:ascii="Verdana" w:hAnsi="Verdana" w:cs="Arial"/>
          <w:sz w:val="20"/>
        </w:rPr>
        <w:t xml:space="preserve">В настоящия доклад е оповестена информация, относно експозицията на дружеството, спрямо всеки от горепосочените рискове, целите, политиките и </w:t>
      </w:r>
      <w:r w:rsidRPr="00723BA1">
        <w:rPr>
          <w:rFonts w:ascii="Verdana" w:hAnsi="Verdana" w:cs="Arial"/>
          <w:sz w:val="20"/>
        </w:rPr>
        <w:lastRenderedPageBreak/>
        <w:t>процеси в дружеството по оценяване и управление на риска и управлението на капитала. Допълнителни количествени оповестявания са включени в бележките към финансовия отчет.</w:t>
      </w:r>
    </w:p>
    <w:p w:rsidR="005535AD" w:rsidRPr="00723BA1" w:rsidRDefault="005535AD" w:rsidP="005535AD">
      <w:pPr>
        <w:spacing w:before="120" w:line="260" w:lineRule="atLeast"/>
        <w:rPr>
          <w:rFonts w:ascii="Verdana" w:hAnsi="Verdana" w:cs="Arial"/>
          <w:b/>
          <w:sz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Основни положения за управление на риска</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Политиките за управление на риска в Дружеството са установени, с цел да идентифицират и анализират рисковете, влияещи върху дружеството, да установяват граници за поемане на рискове по отделни видове, дефинират правила за контрол върху рисковете и спазване на установените граници. Политиките и системите по управление на рисковете подлежат на регулярна проверка, с цел установяване на настъпили изменения на пазара и дейностите на дружеството. Дружеството чрез обучение и прилагане на установените стандарти и процедури за управление, цели да развие дисциплина и конструктивна контролна среда, където всички служители разбират своята роля и задължения.</w:t>
      </w:r>
    </w:p>
    <w:p w:rsidR="005535AD" w:rsidRPr="00723BA1" w:rsidRDefault="005535AD" w:rsidP="005535AD">
      <w:pPr>
        <w:spacing w:line="260" w:lineRule="atLeast"/>
        <w:rPr>
          <w:rFonts w:ascii="Verdana" w:hAnsi="Verdana" w:cs="Arial"/>
          <w:sz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Кредитен риск</w:t>
      </w:r>
    </w:p>
    <w:p w:rsidR="005535AD" w:rsidRPr="00723BA1" w:rsidRDefault="005535AD" w:rsidP="005535AD">
      <w:pPr>
        <w:rPr>
          <w:rFonts w:ascii="Verdana" w:hAnsi="Verdana" w:cs="Arial"/>
          <w:sz w:val="20"/>
        </w:rPr>
      </w:pPr>
      <w:r w:rsidRPr="00723BA1">
        <w:rPr>
          <w:rFonts w:ascii="Verdana" w:hAnsi="Verdana" w:cs="Arial"/>
          <w:sz w:val="20"/>
        </w:rPr>
        <w:t xml:space="preserve">Кредитният риск е рискът, че контрагентът няма да изпълни задълженията си по даден финансов инструмент или договор, което води до финансова загуба. </w:t>
      </w:r>
    </w:p>
    <w:p w:rsidR="005535AD" w:rsidRPr="00723BA1" w:rsidRDefault="005535AD" w:rsidP="005535AD">
      <w:pPr>
        <w:rPr>
          <w:rFonts w:ascii="Verdana" w:hAnsi="Verdana" w:cs="Vrinda"/>
          <w:sz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Вземания от клиенти</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Експозицията към кредитен риск зависи от индивидуалните характеристики на отделните клиенти. Демографската структура на клиентите и риска от неплащане в индустрията или в страната, в която те оперират, влияят в по-малка степен на кредитния риск.</w:t>
      </w:r>
    </w:p>
    <w:p w:rsidR="005535AD" w:rsidRPr="00723BA1" w:rsidRDefault="005535AD" w:rsidP="005535AD">
      <w:pPr>
        <w:rPr>
          <w:sz w:val="24"/>
          <w:szCs w:val="24"/>
          <w:lang w:eastAsia="bg-BG"/>
        </w:rPr>
      </w:pPr>
      <w:r w:rsidRPr="00723BA1">
        <w:rPr>
          <w:rFonts w:ascii="Verdana" w:hAnsi="Verdana"/>
          <w:sz w:val="20"/>
          <w:lang w:eastAsia="bg-BG"/>
        </w:rPr>
        <w:t>Продажбите на дружеството са зависими генерално от следните географски положения:</w:t>
      </w:r>
    </w:p>
    <w:p w:rsidR="005535AD" w:rsidRPr="00723BA1" w:rsidRDefault="005535AD" w:rsidP="005535AD">
      <w:pPr>
        <w:rPr>
          <w:sz w:val="24"/>
          <w:szCs w:val="24"/>
          <w:lang w:eastAsia="bg-BG"/>
        </w:rPr>
      </w:pPr>
      <w:r w:rsidRPr="00723BA1">
        <w:rPr>
          <w:rFonts w:ascii="Verdana" w:hAnsi="Verdana"/>
          <w:sz w:val="20"/>
          <w:lang w:eastAsia="bg-BG"/>
        </w:rPr>
        <w:t>-  територията на град Разград е лицензионната територия за продажба на топлинна и електрическа енергия.</w:t>
      </w:r>
    </w:p>
    <w:p w:rsidR="005535AD" w:rsidRPr="00723BA1" w:rsidRDefault="005535AD" w:rsidP="005535AD">
      <w:pPr>
        <w:rPr>
          <w:rFonts w:ascii="Verdana" w:hAnsi="Verdana"/>
          <w:sz w:val="20"/>
          <w:lang w:eastAsia="bg-BG"/>
        </w:rPr>
      </w:pPr>
      <w:r w:rsidRPr="00723BA1">
        <w:rPr>
          <w:rFonts w:ascii="Verdana" w:hAnsi="Verdana"/>
          <w:sz w:val="20"/>
          <w:lang w:eastAsia="bg-BG"/>
        </w:rPr>
        <w:t>Дружеството има съществени продажби към няколко клиента:</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„Енерго–Про Енергийни Услуги“ ЕАД;</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Детски градини – „Шестте ястребинчета“, „Зорница“, „Митко Палаузов“, „Васил Левски“; Детска ясла „ Звездици“;</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Община Разград;</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Областна дирекция на МВР;</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Териториално поделение на НОИ;</w:t>
      </w:r>
    </w:p>
    <w:p w:rsidR="005535AD" w:rsidRPr="00723BA1" w:rsidRDefault="005535AD" w:rsidP="005535AD">
      <w:pPr>
        <w:pStyle w:val="ListParagraph"/>
        <w:numPr>
          <w:ilvl w:val="0"/>
          <w:numId w:val="18"/>
        </w:numPr>
        <w:rPr>
          <w:rFonts w:ascii="Verdana" w:hAnsi="Verdana"/>
          <w:sz w:val="20"/>
          <w:lang w:eastAsia="bg-BG"/>
        </w:rPr>
      </w:pPr>
      <w:r w:rsidRPr="00723BA1">
        <w:rPr>
          <w:rFonts w:ascii="Verdana" w:hAnsi="Verdana"/>
          <w:sz w:val="20"/>
          <w:lang w:eastAsia="bg-BG"/>
        </w:rPr>
        <w:t>Български пощи и др.</w:t>
      </w:r>
    </w:p>
    <w:p w:rsidR="005535AD" w:rsidRPr="00723BA1" w:rsidRDefault="005535AD" w:rsidP="005535AD">
      <w:pPr>
        <w:rPr>
          <w:rFonts w:ascii="Verdana" w:hAnsi="Verdana"/>
          <w:sz w:val="20"/>
          <w:lang w:eastAsia="bg-BG"/>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Инвестиции</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Дружеството не прави инвестиции в ликвидни дългови и корпоративни ценни книжа, с оглед на това, да лимитира експозицията си по кредитен риск.</w:t>
      </w:r>
    </w:p>
    <w:p w:rsidR="005535AD" w:rsidRPr="00723BA1" w:rsidRDefault="005535AD" w:rsidP="005535AD">
      <w:pPr>
        <w:spacing w:line="260" w:lineRule="atLeast"/>
        <w:rPr>
          <w:rFonts w:ascii="Verdana" w:hAnsi="Verdana" w:cs="Arial"/>
          <w:sz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Ликвиден риск</w:t>
      </w:r>
    </w:p>
    <w:p w:rsidR="005535AD" w:rsidRPr="00723BA1" w:rsidRDefault="005535AD" w:rsidP="005535AD">
      <w:pPr>
        <w:pStyle w:val="a0"/>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Ликвиден риск възниква при положение, че дружеството не изпълни своите задължения, когато те станат изискуеми. Дружеството прилага подход, който да осигури необходимия ликвиден ресурс, за да се посрещнат настъпилите задължения при нормални или стресови условия, без да се реализират неприемливи загуби или да се увреди репутацията на дружеството.</w:t>
      </w:r>
    </w:p>
    <w:p w:rsidR="005535AD" w:rsidRPr="00723BA1" w:rsidRDefault="005535AD" w:rsidP="005535AD">
      <w:pPr>
        <w:rPr>
          <w:rFonts w:ascii="Verdana" w:hAnsi="Verdana" w:cs="Vrinda"/>
          <w:sz w:val="20"/>
        </w:rPr>
      </w:pPr>
      <w:r w:rsidRPr="00723BA1">
        <w:rPr>
          <w:rFonts w:ascii="Verdana" w:hAnsi="Verdana" w:cs="Arial"/>
          <w:sz w:val="20"/>
        </w:rPr>
        <w:t>Дружеството следи риска от недостиг на средства, с помощта на инструменти за планиране на ликвидността. Целта на дружеството е да поддържа баланс между срочност на привлечения ресурс и гъвкавост, чрез използването на заеми</w:t>
      </w:r>
      <w:r w:rsidRPr="00723BA1">
        <w:rPr>
          <w:rFonts w:ascii="Verdana" w:hAnsi="Verdana" w:cs="Vrinda"/>
          <w:sz w:val="20"/>
        </w:rPr>
        <w:t>.</w:t>
      </w:r>
    </w:p>
    <w:p w:rsidR="005535AD" w:rsidRPr="00723BA1" w:rsidRDefault="005535AD" w:rsidP="005535AD">
      <w:pPr>
        <w:rPr>
          <w:rFonts w:ascii="Verdana" w:hAnsi="Verdana" w:cs="Vrinda"/>
          <w:sz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lastRenderedPageBreak/>
        <w:t>Пазарен риск</w:t>
      </w:r>
      <w:bookmarkStart w:id="9" w:name="_GoBack"/>
      <w:bookmarkEnd w:id="9"/>
    </w:p>
    <w:p w:rsidR="005535AD" w:rsidRPr="00723BA1" w:rsidRDefault="005535AD" w:rsidP="005535AD">
      <w:pPr>
        <w:pStyle w:val="a0"/>
        <w:shd w:val="clear" w:color="auto" w:fill="auto"/>
        <w:spacing w:before="0" w:after="0" w:line="250" w:lineRule="exact"/>
        <w:ind w:right="60"/>
        <w:rPr>
          <w:rFonts w:ascii="Verdana" w:hAnsi="Verdana" w:cs="Arial"/>
          <w:spacing w:val="0"/>
          <w:sz w:val="20"/>
          <w:szCs w:val="20"/>
        </w:rPr>
      </w:pPr>
      <w:r w:rsidRPr="00723BA1">
        <w:rPr>
          <w:rFonts w:ascii="Verdana" w:hAnsi="Verdana" w:cs="Arial"/>
          <w:spacing w:val="0"/>
          <w:sz w:val="20"/>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управлява и контролира експозицията на пазарен риск в приемливи граници, като се оптимизира възвръщаемостта.</w:t>
      </w:r>
    </w:p>
    <w:p w:rsidR="005535AD" w:rsidRPr="00723BA1" w:rsidRDefault="005535AD" w:rsidP="005535AD">
      <w:pPr>
        <w:pStyle w:val="a0"/>
        <w:shd w:val="clear" w:color="auto" w:fill="auto"/>
        <w:spacing w:before="0" w:after="0" w:line="250" w:lineRule="exact"/>
        <w:ind w:right="60"/>
        <w:rPr>
          <w:rFonts w:ascii="Verdana" w:hAnsi="Verdana" w:cs="Arial"/>
          <w:spacing w:val="0"/>
          <w:sz w:val="20"/>
          <w:szCs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Валутен риск</w:t>
      </w:r>
    </w:p>
    <w:p w:rsidR="005535AD" w:rsidRPr="00723BA1" w:rsidRDefault="005535AD" w:rsidP="005535AD">
      <w:pPr>
        <w:pStyle w:val="a0"/>
        <w:shd w:val="clear" w:color="auto" w:fill="auto"/>
        <w:spacing w:before="0" w:after="0" w:line="260" w:lineRule="atLeast"/>
        <w:ind w:right="60"/>
        <w:rPr>
          <w:rFonts w:ascii="Verdana" w:hAnsi="Verdana" w:cs="Arial"/>
          <w:sz w:val="20"/>
          <w:szCs w:val="20"/>
        </w:rPr>
      </w:pPr>
      <w:r w:rsidRPr="00723BA1">
        <w:rPr>
          <w:rFonts w:ascii="Verdana" w:hAnsi="Verdana" w:cs="Arial"/>
          <w:sz w:val="20"/>
          <w:szCs w:val="20"/>
        </w:rPr>
        <w:t>Дружеството не е изложено на валутен риск, тъй като всички активи и пасиви на дружеството са деноминирани в български лева или евро. Валутен риск би настъпил при промяна на съотношението на български лев/евро, за което ръководството няма такава информация и предвиждания.</w:t>
      </w:r>
    </w:p>
    <w:p w:rsidR="005535AD" w:rsidRPr="00723BA1" w:rsidRDefault="005535AD" w:rsidP="005535AD">
      <w:pPr>
        <w:pStyle w:val="a0"/>
        <w:shd w:val="clear" w:color="auto" w:fill="auto"/>
        <w:spacing w:before="0" w:after="0" w:line="260" w:lineRule="atLeast"/>
        <w:ind w:right="60"/>
        <w:rPr>
          <w:rFonts w:ascii="Verdana" w:hAnsi="Verdana" w:cs="Arial"/>
          <w:sz w:val="20"/>
          <w:szCs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Оперативен риск</w:t>
      </w:r>
    </w:p>
    <w:p w:rsidR="005535AD" w:rsidRPr="00723BA1" w:rsidRDefault="005535AD" w:rsidP="005535AD">
      <w:pPr>
        <w:pStyle w:val="a0"/>
        <w:shd w:val="clear" w:color="auto" w:fill="auto"/>
        <w:spacing w:before="120" w:after="120" w:line="260" w:lineRule="atLeast"/>
        <w:ind w:right="62"/>
        <w:rPr>
          <w:rFonts w:ascii="Verdana" w:hAnsi="Verdana" w:cs="Arial"/>
          <w:spacing w:val="0"/>
          <w:sz w:val="20"/>
          <w:szCs w:val="20"/>
        </w:rPr>
      </w:pPr>
      <w:r w:rsidRPr="00723BA1">
        <w:rPr>
          <w:rFonts w:ascii="Verdana" w:hAnsi="Verdana" w:cs="Arial"/>
          <w:spacing w:val="0"/>
          <w:sz w:val="20"/>
          <w:szCs w:val="20"/>
        </w:rPr>
        <w:t>Оперативен риск е рискът от преки или косвени загуби, произтичащи от широк кръг от причини, свързани с процесите, персонала, технологиите и инфраструктурата на дружеството, както и от външни фактори, различни от кредитни, пазарни и ликвидни рискове, като например тези, произтичащи от правни и регулаторни изисквания и общоприети стандарти на корпоративно поведение. Оперативни рискове възникват от всички операции на дружеството.</w:t>
      </w:r>
    </w:p>
    <w:p w:rsidR="005535AD" w:rsidRPr="00723BA1" w:rsidRDefault="005535AD" w:rsidP="005535AD">
      <w:pPr>
        <w:pStyle w:val="a0"/>
        <w:shd w:val="clear" w:color="auto" w:fill="auto"/>
        <w:spacing w:before="120" w:after="120" w:line="260" w:lineRule="atLeast"/>
        <w:ind w:right="62"/>
        <w:rPr>
          <w:rFonts w:ascii="Verdana" w:hAnsi="Verdana" w:cs="Arial"/>
          <w:spacing w:val="0"/>
          <w:sz w:val="20"/>
          <w:szCs w:val="20"/>
        </w:rPr>
      </w:pPr>
      <w:r w:rsidRPr="00723BA1">
        <w:rPr>
          <w:rFonts w:ascii="Verdana" w:hAnsi="Verdana" w:cs="Arial"/>
          <w:spacing w:val="0"/>
          <w:sz w:val="20"/>
          <w:szCs w:val="20"/>
        </w:rPr>
        <w:t>Целта на дружеството е да се управлява оперативния риск, така че да се балансира между избягването на финансови загуби и увреждане на репутацията на дружеството, и цялостната ефективност на разходите и да се избягват процедурите за контрол, които ограничават инициативата и творчеството.</w:t>
      </w:r>
    </w:p>
    <w:p w:rsidR="005535AD" w:rsidRPr="00723BA1" w:rsidRDefault="005535AD" w:rsidP="005535AD">
      <w:pPr>
        <w:pStyle w:val="a0"/>
        <w:shd w:val="clear" w:color="auto" w:fill="auto"/>
        <w:spacing w:before="120" w:after="120" w:line="260" w:lineRule="atLeast"/>
        <w:ind w:right="62"/>
        <w:rPr>
          <w:rFonts w:ascii="Verdana" w:hAnsi="Verdana" w:cs="Arial"/>
          <w:spacing w:val="0"/>
          <w:sz w:val="20"/>
          <w:szCs w:val="20"/>
        </w:rPr>
      </w:pPr>
      <w:r w:rsidRPr="00723BA1">
        <w:rPr>
          <w:rFonts w:ascii="Verdana" w:hAnsi="Verdana" w:cs="Arial"/>
          <w:spacing w:val="0"/>
          <w:sz w:val="20"/>
          <w:szCs w:val="20"/>
        </w:rPr>
        <w:t>Основната отговорност за разработване и прилагане на контроли за оперативния риск се възлага на висшето ръководство. Тази отговорност се подпомага от развитието на общи стандарти за дружеството за управление на оперативния риск в следните области:</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изисквания за подходящо разпределение на задълженията, включително и независимо оторизиране на сделки;</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изисквания за равняване и мониторинг на сделките;</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bookmarkStart w:id="10" w:name="bookmark3"/>
      <w:r w:rsidRPr="00723BA1">
        <w:rPr>
          <w:rFonts w:ascii="Verdana" w:hAnsi="Verdana" w:cs="Arial"/>
          <w:spacing w:val="0"/>
          <w:sz w:val="20"/>
          <w:szCs w:val="20"/>
        </w:rPr>
        <w:t>съответствие с регулаторните и други правни изисквания</w:t>
      </w:r>
      <w:bookmarkEnd w:id="10"/>
      <w:r w:rsidRPr="00723BA1">
        <w:rPr>
          <w:rFonts w:ascii="Verdana" w:hAnsi="Verdana" w:cs="Arial"/>
          <w:spacing w:val="0"/>
          <w:sz w:val="20"/>
          <w:szCs w:val="20"/>
        </w:rPr>
        <w:t>;</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документация за контрол и процедури;</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изисквания за периодична оценка на оперативните рискове и адекватността на контролите и процедурите за справяне с идентифицираните рискове;</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изисквания за докладване на оперативни загуби и предложените коригиращи действия;</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развитие на аварийни планове;</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обучение и професионално развитие;</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етични и бизнес стандарти;</w:t>
      </w:r>
    </w:p>
    <w:p w:rsidR="005535AD" w:rsidRPr="00723BA1" w:rsidRDefault="005535AD" w:rsidP="005535AD">
      <w:pPr>
        <w:pStyle w:val="a0"/>
        <w:numPr>
          <w:ilvl w:val="0"/>
          <w:numId w:val="17"/>
        </w:numPr>
        <w:shd w:val="clear" w:color="auto" w:fill="auto"/>
        <w:spacing w:before="0" w:after="0" w:line="260" w:lineRule="atLeast"/>
        <w:ind w:right="60"/>
        <w:rPr>
          <w:rFonts w:ascii="Verdana" w:hAnsi="Verdana" w:cs="Arial"/>
          <w:spacing w:val="0"/>
          <w:sz w:val="20"/>
          <w:szCs w:val="20"/>
        </w:rPr>
      </w:pPr>
      <w:r w:rsidRPr="00723BA1">
        <w:rPr>
          <w:rFonts w:ascii="Verdana" w:hAnsi="Verdana" w:cs="Arial"/>
          <w:spacing w:val="0"/>
          <w:sz w:val="20"/>
          <w:szCs w:val="20"/>
        </w:rPr>
        <w:t>намаляване на риска, включително застраховка, когато това е ефективно.</w:t>
      </w:r>
    </w:p>
    <w:p w:rsidR="005535AD" w:rsidRPr="00723BA1" w:rsidRDefault="005535AD" w:rsidP="005535AD">
      <w:pPr>
        <w:pStyle w:val="a0"/>
        <w:shd w:val="clear" w:color="auto" w:fill="auto"/>
        <w:spacing w:before="0" w:after="0" w:line="260" w:lineRule="atLeast"/>
        <w:ind w:left="720" w:right="60"/>
        <w:rPr>
          <w:rFonts w:ascii="Verdana" w:hAnsi="Verdana" w:cs="Arial"/>
          <w:spacing w:val="0"/>
          <w:sz w:val="20"/>
          <w:szCs w:val="20"/>
        </w:rPr>
      </w:pP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Отговорности на ръководството</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723BA1">
        <w:rPr>
          <w:rFonts w:ascii="Verdana" w:hAnsi="Verdana" w:cs="Arial"/>
          <w:sz w:val="20"/>
          <w:lang w:val="bg-BG"/>
        </w:rPr>
        <w:t>Според българското законодателство, ръководството следва да изготвя финансов отчет за всяка финансова година, който да дава вярна и честна представа за финансовото състояние на дружеството към края на годината, финансово му представяне и парични му потоци.</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723BA1">
        <w:rPr>
          <w:rFonts w:ascii="Verdana" w:hAnsi="Verdana" w:cs="Arial"/>
          <w:sz w:val="20"/>
          <w:lang w:val="bg-BG"/>
        </w:rPr>
        <w:t xml:space="preserve">Ръководството потвърждава, че е прилагало последователно адекватни счетоводни политики при изготвянето на годишния финансов отчет към 31 декември 2024 г. и е </w:t>
      </w:r>
      <w:r w:rsidRPr="00723BA1">
        <w:rPr>
          <w:rFonts w:ascii="Verdana" w:hAnsi="Verdana" w:cs="Arial"/>
          <w:sz w:val="20"/>
          <w:lang w:val="bg-BG"/>
        </w:rPr>
        <w:lastRenderedPageBreak/>
        <w:t xml:space="preserve">направило разумни и предпазливи преценки, предположения и приблизителни оценки. </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723BA1">
        <w:rPr>
          <w:rFonts w:ascii="Verdana" w:hAnsi="Verdana" w:cs="Arial"/>
          <w:sz w:val="20"/>
          <w:lang w:val="bg-BG"/>
        </w:rPr>
        <w:t>Ръководството също потвърждава, че се е придържало към действащите счетоводни стандарти, като финансовият отчет е изготвен на принципа „действащо предприятие“.</w:t>
      </w:r>
    </w:p>
    <w:p w:rsidR="005535AD" w:rsidRPr="00723BA1" w:rsidRDefault="005535AD" w:rsidP="005535AD">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723BA1">
        <w:rPr>
          <w:rFonts w:ascii="Verdana" w:hAnsi="Verdana" w:cs="Arial"/>
          <w:sz w:val="20"/>
          <w:lang w:val="bg-BG"/>
        </w:rPr>
        <w:t>Ръководството носи отговорност за правилното водене на счетоводните регистри, за целесъобразното управление на активите и за предприемането на необходимите мерки за избягване и разкриване на евентуални злоупотреби и други нередности.</w:t>
      </w:r>
    </w:p>
    <w:p w:rsidR="005535AD" w:rsidRPr="00723BA1" w:rsidRDefault="005535AD" w:rsidP="005535AD">
      <w:pPr>
        <w:spacing w:line="260" w:lineRule="atLeast"/>
        <w:rPr>
          <w:rFonts w:ascii="Verdana" w:hAnsi="Verdana" w:cs="Arial"/>
          <w:sz w:val="20"/>
        </w:rPr>
      </w:pPr>
      <w:r w:rsidRPr="00723BA1">
        <w:rPr>
          <w:rFonts w:ascii="Verdana" w:hAnsi="Verdana" w:cs="Arial"/>
          <w:sz w:val="20"/>
        </w:rPr>
        <w:t>Ръководството също потвърждава, че при изготвянето на настоящия доклад за дейността е представило вярно и честно развитието и резултатите от дейността на дружеството за изминалия период, както и неговото състояние и основните рискове, пред които е изправено.</w:t>
      </w:r>
    </w:p>
    <w:p w:rsidR="005535AD" w:rsidRPr="00723BA1" w:rsidRDefault="005535AD" w:rsidP="005535AD">
      <w:pPr>
        <w:spacing w:line="260" w:lineRule="atLeast"/>
        <w:rPr>
          <w:rFonts w:ascii="Verdana" w:hAnsi="Verdana" w:cs="Arial"/>
          <w:sz w:val="20"/>
        </w:rPr>
      </w:pPr>
    </w:p>
    <w:p w:rsidR="005535AD" w:rsidRPr="00723BA1" w:rsidRDefault="005535AD" w:rsidP="005535AD">
      <w:pPr>
        <w:spacing w:line="260" w:lineRule="atLeast"/>
        <w:rPr>
          <w:rFonts w:ascii="Verdana" w:hAnsi="Verdana" w:cs="Arial"/>
          <w:sz w:val="20"/>
        </w:rPr>
      </w:pPr>
    </w:p>
    <w:p w:rsidR="005535AD" w:rsidRPr="00723BA1" w:rsidRDefault="005535AD" w:rsidP="005535AD">
      <w:pPr>
        <w:spacing w:line="260" w:lineRule="atLeast"/>
        <w:rPr>
          <w:rFonts w:ascii="Verdana" w:hAnsi="Verdana" w:cs="Arial"/>
          <w:sz w:val="20"/>
        </w:rPr>
      </w:pPr>
    </w:p>
    <w:p w:rsidR="005535AD" w:rsidRPr="00723BA1" w:rsidRDefault="005535AD" w:rsidP="005535AD">
      <w:pPr>
        <w:spacing w:line="260" w:lineRule="atLeast"/>
        <w:rPr>
          <w:rFonts w:ascii="Verdana" w:hAnsi="Verdana" w:cs="Arial"/>
          <w:sz w:val="20"/>
        </w:rPr>
      </w:pPr>
      <w:r w:rsidRPr="00723BA1">
        <w:rPr>
          <w:rFonts w:ascii="Verdana" w:hAnsi="Verdana" w:cs="Arial"/>
          <w:sz w:val="20"/>
        </w:rPr>
        <w:t>____________________________</w:t>
      </w:r>
    </w:p>
    <w:p w:rsidR="005535AD" w:rsidRPr="00723BA1" w:rsidRDefault="005535AD" w:rsidP="005535AD">
      <w:pPr>
        <w:spacing w:before="120" w:line="260" w:lineRule="atLeast"/>
        <w:rPr>
          <w:rFonts w:ascii="Verdana" w:hAnsi="Verdana" w:cs="Arial"/>
          <w:b/>
          <w:sz w:val="20"/>
        </w:rPr>
      </w:pPr>
      <w:r w:rsidRPr="00723BA1">
        <w:rPr>
          <w:rFonts w:ascii="Verdana" w:hAnsi="Verdana" w:cs="Arial"/>
          <w:b/>
          <w:sz w:val="20"/>
        </w:rPr>
        <w:t>Михаил Ковачев</w:t>
      </w:r>
    </w:p>
    <w:p w:rsidR="005535AD" w:rsidRPr="00723BA1" w:rsidRDefault="005535AD" w:rsidP="005535AD">
      <w:pPr>
        <w:spacing w:before="120" w:line="260" w:lineRule="atLeast"/>
        <w:contextualSpacing/>
        <w:rPr>
          <w:rFonts w:ascii="Verdana" w:hAnsi="Verdana" w:cs="Arial"/>
          <w:b/>
          <w:sz w:val="20"/>
        </w:rPr>
      </w:pPr>
      <w:r w:rsidRPr="00723BA1">
        <w:rPr>
          <w:rFonts w:ascii="Verdana" w:hAnsi="Verdana" w:cs="Arial"/>
          <w:b/>
          <w:sz w:val="20"/>
        </w:rPr>
        <w:t>Изпълнителен директор</w:t>
      </w:r>
    </w:p>
    <w:p w:rsidR="005535AD" w:rsidRPr="00723BA1" w:rsidRDefault="005535AD" w:rsidP="005535AD">
      <w:pPr>
        <w:spacing w:before="120" w:line="260" w:lineRule="atLeast"/>
        <w:contextualSpacing/>
        <w:rPr>
          <w:rFonts w:ascii="Verdana" w:hAnsi="Verdana" w:cs="Arial"/>
          <w:b/>
          <w:sz w:val="20"/>
        </w:rPr>
      </w:pPr>
      <w:r w:rsidRPr="00723BA1">
        <w:rPr>
          <w:rFonts w:ascii="Verdana" w:hAnsi="Verdana" w:cs="Arial"/>
          <w:b/>
          <w:sz w:val="20"/>
        </w:rPr>
        <w:t>„Топлофикация – Разград” АД</w:t>
      </w:r>
    </w:p>
    <w:p w:rsidR="005535AD" w:rsidRPr="00723BA1" w:rsidRDefault="005535AD" w:rsidP="005535AD">
      <w:pPr>
        <w:spacing w:line="260" w:lineRule="atLeast"/>
        <w:rPr>
          <w:rFonts w:ascii="Verdana" w:hAnsi="Verdana" w:cs="Arial"/>
          <w:b/>
          <w:sz w:val="20"/>
        </w:rPr>
      </w:pPr>
    </w:p>
    <w:p w:rsidR="005535AD" w:rsidRPr="00723BA1" w:rsidRDefault="005535AD" w:rsidP="005535AD">
      <w:pPr>
        <w:spacing w:line="260" w:lineRule="atLeast"/>
        <w:rPr>
          <w:rFonts w:ascii="Verdana" w:hAnsi="Verdana" w:cs="Arial"/>
          <w:b/>
          <w:sz w:val="20"/>
        </w:rPr>
      </w:pPr>
      <w:r w:rsidRPr="00723BA1">
        <w:rPr>
          <w:rFonts w:ascii="Verdana" w:hAnsi="Verdana" w:cs="Arial"/>
          <w:b/>
          <w:sz w:val="20"/>
        </w:rPr>
        <w:t>гр. Разград</w:t>
      </w:r>
    </w:p>
    <w:p w:rsidR="005535AD" w:rsidRPr="00723BA1" w:rsidRDefault="005535AD" w:rsidP="005535AD">
      <w:pPr>
        <w:spacing w:line="260" w:lineRule="atLeast"/>
        <w:rPr>
          <w:rFonts w:ascii="Verdana" w:hAnsi="Verdana" w:cs="Arial"/>
          <w:b/>
          <w:sz w:val="20"/>
        </w:rPr>
      </w:pPr>
      <w:r w:rsidRPr="00723BA1">
        <w:rPr>
          <w:rFonts w:ascii="Verdana" w:hAnsi="Verdana" w:cs="Arial"/>
          <w:b/>
          <w:sz w:val="20"/>
        </w:rPr>
        <w:t>31.0</w:t>
      </w:r>
      <w:r>
        <w:rPr>
          <w:rFonts w:ascii="Verdana" w:hAnsi="Verdana" w:cs="Arial"/>
          <w:b/>
          <w:sz w:val="20"/>
        </w:rPr>
        <w:t>3</w:t>
      </w:r>
      <w:r w:rsidRPr="00723BA1">
        <w:rPr>
          <w:rFonts w:ascii="Verdana" w:hAnsi="Verdana" w:cs="Arial"/>
          <w:b/>
          <w:sz w:val="20"/>
        </w:rPr>
        <w:t>.2025 г.</w:t>
      </w:r>
    </w:p>
    <w:p w:rsidR="00CD4E1D" w:rsidRDefault="00CD4E1D"/>
    <w:sectPr w:rsidR="00CD4E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D0" w:rsidRDefault="009474D0" w:rsidP="005535AD">
      <w:r>
        <w:separator/>
      </w:r>
    </w:p>
  </w:endnote>
  <w:endnote w:type="continuationSeparator" w:id="0">
    <w:p w:rsidR="009474D0" w:rsidRDefault="009474D0" w:rsidP="0055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doni Book 12pt">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D0" w:rsidRDefault="009474D0" w:rsidP="005535AD">
      <w:r>
        <w:separator/>
      </w:r>
    </w:p>
  </w:footnote>
  <w:footnote w:type="continuationSeparator" w:id="0">
    <w:p w:rsidR="009474D0" w:rsidRDefault="009474D0" w:rsidP="00553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5AD" w:rsidRPr="00B73916" w:rsidRDefault="005535AD" w:rsidP="005535AD">
    <w:pPr>
      <w:pStyle w:val="Header"/>
      <w:jc w:val="center"/>
      <w:rPr>
        <w:rFonts w:ascii="Verdana" w:hAnsi="Verdana" w:cs="Arial"/>
        <w:b/>
        <w:sz w:val="20"/>
      </w:rPr>
    </w:pPr>
    <w:r>
      <w:rPr>
        <w:rFonts w:ascii="Verdana" w:hAnsi="Verdana" w:cs="Arial"/>
        <w:b/>
        <w:sz w:val="20"/>
      </w:rPr>
      <w:t xml:space="preserve">„ТОПЛОФИКАЦИЯ РАЗГРАД” </w:t>
    </w:r>
    <w:r w:rsidRPr="00B73916">
      <w:rPr>
        <w:rFonts w:ascii="Verdana" w:hAnsi="Verdana" w:cs="Arial"/>
        <w:b/>
        <w:sz w:val="20"/>
      </w:rPr>
      <w:t>АД</w:t>
    </w:r>
  </w:p>
  <w:p w:rsidR="005535AD" w:rsidRPr="005535AD" w:rsidRDefault="005535AD" w:rsidP="005535AD">
    <w:pPr>
      <w:pStyle w:val="Header"/>
      <w:rPr>
        <w:sz w:val="18"/>
        <w:szCs w:val="18"/>
      </w:rPr>
    </w:pPr>
    <w:r w:rsidRPr="005535AD">
      <w:rPr>
        <w:rFonts w:ascii="Verdana" w:hAnsi="Verdana" w:cs="Arial"/>
        <w:b/>
        <w:sz w:val="18"/>
        <w:szCs w:val="18"/>
      </w:rPr>
      <w:t>Доклад за дейността и Финансов отчет за годината, завършваща на 31.12.20</w:t>
    </w:r>
    <w:r w:rsidRPr="005535AD">
      <w:rPr>
        <w:rFonts w:ascii="Verdana" w:hAnsi="Verdana" w:cs="Arial"/>
        <w:b/>
        <w:sz w:val="18"/>
        <w:szCs w:val="18"/>
        <w:lang w:val="en-US"/>
      </w:rPr>
      <w:t>2</w:t>
    </w:r>
    <w:r w:rsidRPr="005535AD">
      <w:rPr>
        <w:rFonts w:ascii="Verdana" w:hAnsi="Verdana" w:cs="Arial"/>
        <w:b/>
        <w:sz w:val="18"/>
        <w:szCs w:val="18"/>
      </w:rPr>
      <w:t>4г.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85C"/>
    <w:multiLevelType w:val="hybridMultilevel"/>
    <w:tmpl w:val="AB8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61403E0"/>
    <w:multiLevelType w:val="multilevel"/>
    <w:tmpl w:val="017A22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3032F"/>
    <w:multiLevelType w:val="hybridMultilevel"/>
    <w:tmpl w:val="C91CD472"/>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nsid w:val="350E2414"/>
    <w:multiLevelType w:val="hybridMultilevel"/>
    <w:tmpl w:val="C2B671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FCD52E8"/>
    <w:multiLevelType w:val="hybridMultilevel"/>
    <w:tmpl w:val="C2B671C6"/>
    <w:lvl w:ilvl="0" w:tplc="DDD02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9A2877"/>
    <w:multiLevelType w:val="hybridMultilevel"/>
    <w:tmpl w:val="23FE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C44ED"/>
    <w:multiLevelType w:val="multilevel"/>
    <w:tmpl w:val="017A22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1D0A63"/>
    <w:multiLevelType w:val="multilevel"/>
    <w:tmpl w:val="017A22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5F632AD3"/>
    <w:multiLevelType w:val="hybridMultilevel"/>
    <w:tmpl w:val="E6804D4C"/>
    <w:lvl w:ilvl="0" w:tplc="D3166AF0">
      <w:start w:val="1"/>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B5F795B"/>
    <w:multiLevelType w:val="hybridMultilevel"/>
    <w:tmpl w:val="D164868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4">
    <w:nsid w:val="6DB51AEE"/>
    <w:multiLevelType w:val="hybridMultilevel"/>
    <w:tmpl w:val="85CC7D26"/>
    <w:lvl w:ilvl="0" w:tplc="0809000D">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nsid w:val="6FA96977"/>
    <w:multiLevelType w:val="multilevel"/>
    <w:tmpl w:val="B1C45E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7B425400"/>
    <w:multiLevelType w:val="multilevel"/>
    <w:tmpl w:val="B9C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3"/>
  </w:num>
  <w:num w:numId="5">
    <w:abstractNumId w:val="11"/>
  </w:num>
  <w:num w:numId="6">
    <w:abstractNumId w:val="4"/>
  </w:num>
  <w:num w:numId="7">
    <w:abstractNumId w:val="14"/>
  </w:num>
  <w:num w:numId="8">
    <w:abstractNumId w:val="0"/>
  </w:num>
  <w:num w:numId="9">
    <w:abstractNumId w:val="16"/>
  </w:num>
  <w:num w:numId="10">
    <w:abstractNumId w:val="15"/>
  </w:num>
  <w:num w:numId="11">
    <w:abstractNumId w:val="9"/>
  </w:num>
  <w:num w:numId="12">
    <w:abstractNumId w:val="8"/>
  </w:num>
  <w:num w:numId="13">
    <w:abstractNumId w:val="7"/>
  </w:num>
  <w:num w:numId="14">
    <w:abstractNumId w:val="3"/>
  </w:num>
  <w:num w:numId="15">
    <w:abstractNumId w:val="10"/>
  </w:num>
  <w:num w:numId="16">
    <w:abstractNumId w:val="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AC"/>
    <w:rsid w:val="000D3EAC"/>
    <w:rsid w:val="004847B7"/>
    <w:rsid w:val="005535AD"/>
    <w:rsid w:val="007C1A76"/>
    <w:rsid w:val="00866047"/>
    <w:rsid w:val="009474D0"/>
    <w:rsid w:val="00CD4E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AD"/>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5535AD"/>
    <w:pPr>
      <w:keepNext/>
      <w:keepLines/>
      <w:spacing w:before="480"/>
      <w:outlineLvl w:val="0"/>
    </w:pPr>
    <w:rPr>
      <w:rFonts w:ascii="Cambria"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5AD"/>
    <w:rPr>
      <w:rFonts w:ascii="Cambria" w:eastAsia="Times New Roman" w:hAnsi="Cambria" w:cs="Times New Roman"/>
      <w:b/>
      <w:bCs/>
      <w:color w:val="365F91"/>
      <w:sz w:val="28"/>
      <w:szCs w:val="28"/>
      <w:lang w:val="en-US"/>
    </w:rPr>
  </w:style>
  <w:style w:type="paragraph" w:styleId="BodyTextIndent">
    <w:name w:val="Body Text Indent"/>
    <w:basedOn w:val="Normal"/>
    <w:link w:val="BodyTextIndentChar"/>
    <w:rsid w:val="005535AD"/>
    <w:pPr>
      <w:spacing w:before="120"/>
      <w:ind w:left="709"/>
    </w:pPr>
    <w:rPr>
      <w:bCs/>
      <w:snapToGrid w:val="0"/>
      <w:sz w:val="24"/>
      <w:szCs w:val="24"/>
    </w:rPr>
  </w:style>
  <w:style w:type="character" w:customStyle="1" w:styleId="BodyTextIndentChar">
    <w:name w:val="Body Text Indent Char"/>
    <w:basedOn w:val="DefaultParagraphFont"/>
    <w:link w:val="BodyTextIndent"/>
    <w:rsid w:val="005535AD"/>
    <w:rPr>
      <w:rFonts w:ascii="Times New Roman" w:eastAsia="Times New Roman" w:hAnsi="Times New Roman" w:cs="Times New Roman"/>
      <w:bCs/>
      <w:snapToGrid w:val="0"/>
      <w:sz w:val="24"/>
      <w:szCs w:val="24"/>
    </w:rPr>
  </w:style>
  <w:style w:type="paragraph" w:styleId="BodyText">
    <w:name w:val="Body Text"/>
    <w:basedOn w:val="Normal"/>
    <w:link w:val="BodyTextChar"/>
    <w:rsid w:val="005535AD"/>
    <w:pPr>
      <w:spacing w:after="120"/>
    </w:pPr>
    <w:rPr>
      <w:bCs/>
      <w:sz w:val="24"/>
      <w:szCs w:val="24"/>
      <w:lang w:val="en-US"/>
    </w:rPr>
  </w:style>
  <w:style w:type="character" w:customStyle="1" w:styleId="BodyTextChar">
    <w:name w:val="Body Text Char"/>
    <w:basedOn w:val="DefaultParagraphFont"/>
    <w:link w:val="BodyText"/>
    <w:rsid w:val="005535AD"/>
    <w:rPr>
      <w:rFonts w:ascii="Times New Roman" w:eastAsia="Times New Roman" w:hAnsi="Times New Roman" w:cs="Times New Roman"/>
      <w:bCs/>
      <w:sz w:val="24"/>
      <w:szCs w:val="24"/>
      <w:lang w:val="en-US"/>
    </w:rPr>
  </w:style>
  <w:style w:type="paragraph" w:customStyle="1" w:styleId="Document1">
    <w:name w:val="Document 1"/>
    <w:link w:val="Document1Char"/>
    <w:rsid w:val="005535AD"/>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5535AD"/>
    <w:rPr>
      <w:rFonts w:ascii="Bodoni Book 12pt" w:eastAsia="Times New Roman" w:hAnsi="Bodoni Book 12pt" w:cs="Times New Roman"/>
      <w:sz w:val="24"/>
      <w:szCs w:val="20"/>
      <w:lang w:val="en-US"/>
    </w:rPr>
  </w:style>
  <w:style w:type="paragraph" w:styleId="List">
    <w:name w:val="List"/>
    <w:basedOn w:val="Normal"/>
    <w:rsid w:val="005535AD"/>
    <w:pPr>
      <w:ind w:left="283" w:hanging="283"/>
      <w:jc w:val="left"/>
    </w:pPr>
    <w:rPr>
      <w:bCs/>
      <w:sz w:val="20"/>
      <w:szCs w:val="24"/>
      <w:lang w:val="en-AU"/>
    </w:rPr>
  </w:style>
  <w:style w:type="paragraph" w:styleId="ListContinue">
    <w:name w:val="List Continue"/>
    <w:basedOn w:val="Normal"/>
    <w:rsid w:val="005535AD"/>
    <w:pPr>
      <w:spacing w:after="120"/>
      <w:ind w:left="283"/>
      <w:jc w:val="left"/>
    </w:pPr>
    <w:rPr>
      <w:bCs/>
      <w:sz w:val="20"/>
      <w:szCs w:val="24"/>
      <w:lang w:val="en-AU"/>
    </w:rPr>
  </w:style>
  <w:style w:type="paragraph" w:styleId="EndnoteText">
    <w:name w:val="endnote text"/>
    <w:basedOn w:val="Normal"/>
    <w:link w:val="EndnoteTextChar"/>
    <w:rsid w:val="005535AD"/>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5535AD"/>
    <w:rPr>
      <w:rFonts w:ascii="Arial" w:eastAsia="Times New Roman" w:hAnsi="Arial" w:cs="Times New Roman"/>
      <w:bCs/>
      <w:sz w:val="20"/>
      <w:szCs w:val="24"/>
      <w:lang w:val="en-GB"/>
    </w:rPr>
  </w:style>
  <w:style w:type="paragraph" w:customStyle="1" w:styleId="firstline">
    <w:name w:val="firstline"/>
    <w:basedOn w:val="Normal"/>
    <w:rsid w:val="005535AD"/>
    <w:pPr>
      <w:spacing w:before="100" w:beforeAutospacing="1" w:after="100" w:afterAutospacing="1"/>
      <w:jc w:val="left"/>
    </w:pPr>
    <w:rPr>
      <w:bCs/>
      <w:sz w:val="24"/>
      <w:szCs w:val="24"/>
      <w:lang w:eastAsia="bg-BG"/>
    </w:rPr>
  </w:style>
  <w:style w:type="paragraph" w:styleId="ListParagraph">
    <w:name w:val="List Paragraph"/>
    <w:basedOn w:val="Normal"/>
    <w:uiPriority w:val="34"/>
    <w:qFormat/>
    <w:rsid w:val="005535AD"/>
    <w:pPr>
      <w:ind w:left="720"/>
      <w:contextualSpacing/>
    </w:pPr>
  </w:style>
  <w:style w:type="paragraph" w:styleId="HTMLPreformatted">
    <w:name w:val="HTML Preformatted"/>
    <w:basedOn w:val="Normal"/>
    <w:link w:val="HTMLPreformattedChar"/>
    <w:uiPriority w:val="99"/>
    <w:unhideWhenUsed/>
    <w:rsid w:val="0055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uiPriority w:val="99"/>
    <w:rsid w:val="005535AD"/>
    <w:rPr>
      <w:rFonts w:ascii="Courier" w:eastAsia="Times New Roman" w:hAnsi="Courier" w:cs="Times New Roman"/>
      <w:sz w:val="13"/>
      <w:szCs w:val="13"/>
    </w:rPr>
  </w:style>
  <w:style w:type="paragraph" w:styleId="NormalWeb">
    <w:name w:val="Normal (Web)"/>
    <w:basedOn w:val="Normal"/>
    <w:uiPriority w:val="99"/>
    <w:rsid w:val="005535AD"/>
    <w:pPr>
      <w:spacing w:before="100" w:beforeAutospacing="1" w:after="100" w:afterAutospacing="1"/>
      <w:jc w:val="left"/>
    </w:pPr>
    <w:rPr>
      <w:sz w:val="24"/>
      <w:szCs w:val="24"/>
      <w:lang w:eastAsia="bg-BG"/>
    </w:rPr>
  </w:style>
  <w:style w:type="paragraph" w:styleId="NoSpacing">
    <w:name w:val="No Spacing"/>
    <w:qFormat/>
    <w:rsid w:val="005535AD"/>
    <w:pPr>
      <w:spacing w:after="0" w:line="240" w:lineRule="auto"/>
      <w:jc w:val="both"/>
    </w:pPr>
    <w:rPr>
      <w:rFonts w:ascii="Times New Roman" w:eastAsia="Times New Roman" w:hAnsi="Times New Roman" w:cs="Times New Roman"/>
      <w:szCs w:val="20"/>
    </w:rPr>
  </w:style>
  <w:style w:type="character" w:customStyle="1" w:styleId="a">
    <w:name w:val="Основен текст_"/>
    <w:link w:val="a0"/>
    <w:rsid w:val="005535AD"/>
    <w:rPr>
      <w:rFonts w:ascii="Times New Roman" w:eastAsia="Times New Roman" w:hAnsi="Times New Roman"/>
      <w:spacing w:val="2"/>
      <w:sz w:val="16"/>
      <w:szCs w:val="16"/>
      <w:shd w:val="clear" w:color="auto" w:fill="FFFFFF"/>
    </w:rPr>
  </w:style>
  <w:style w:type="paragraph" w:customStyle="1" w:styleId="a0">
    <w:name w:val="Основен текст"/>
    <w:basedOn w:val="Normal"/>
    <w:link w:val="a"/>
    <w:rsid w:val="005535AD"/>
    <w:pPr>
      <w:widowControl w:val="0"/>
      <w:shd w:val="clear" w:color="auto" w:fill="FFFFFF"/>
      <w:spacing w:before="60" w:after="180" w:line="262" w:lineRule="exact"/>
    </w:pPr>
    <w:rPr>
      <w:rFonts w:cstheme="minorBidi"/>
      <w:spacing w:val="2"/>
      <w:sz w:val="16"/>
      <w:szCs w:val="16"/>
    </w:rPr>
  </w:style>
  <w:style w:type="paragraph" w:styleId="Header">
    <w:name w:val="header"/>
    <w:basedOn w:val="Normal"/>
    <w:link w:val="HeaderChar"/>
    <w:unhideWhenUsed/>
    <w:rsid w:val="005535AD"/>
    <w:pPr>
      <w:tabs>
        <w:tab w:val="center" w:pos="4536"/>
        <w:tab w:val="right" w:pos="9072"/>
      </w:tabs>
    </w:pPr>
  </w:style>
  <w:style w:type="character" w:customStyle="1" w:styleId="HeaderChar">
    <w:name w:val="Header Char"/>
    <w:basedOn w:val="DefaultParagraphFont"/>
    <w:link w:val="Header"/>
    <w:rsid w:val="005535AD"/>
    <w:rPr>
      <w:rFonts w:ascii="Times New Roman" w:eastAsia="Times New Roman" w:hAnsi="Times New Roman" w:cs="Times New Roman"/>
      <w:szCs w:val="20"/>
    </w:rPr>
  </w:style>
  <w:style w:type="paragraph" w:styleId="Footer">
    <w:name w:val="footer"/>
    <w:basedOn w:val="Normal"/>
    <w:link w:val="FooterChar"/>
    <w:uiPriority w:val="99"/>
    <w:unhideWhenUsed/>
    <w:rsid w:val="005535AD"/>
    <w:pPr>
      <w:tabs>
        <w:tab w:val="center" w:pos="4536"/>
        <w:tab w:val="right" w:pos="9072"/>
      </w:tabs>
    </w:pPr>
  </w:style>
  <w:style w:type="character" w:customStyle="1" w:styleId="FooterChar">
    <w:name w:val="Footer Char"/>
    <w:basedOn w:val="DefaultParagraphFont"/>
    <w:link w:val="Footer"/>
    <w:uiPriority w:val="99"/>
    <w:rsid w:val="005535AD"/>
    <w:rPr>
      <w:rFonts w:ascii="Times New Roman" w:eastAsia="Times New Roman" w:hAnsi="Times New Roman" w:cs="Times New Roman"/>
      <w:szCs w:val="20"/>
    </w:rPr>
  </w:style>
  <w:style w:type="paragraph" w:styleId="TOC1">
    <w:name w:val="toc 1"/>
    <w:basedOn w:val="Normal"/>
    <w:next w:val="Normal"/>
    <w:autoRedefine/>
    <w:uiPriority w:val="39"/>
    <w:rsid w:val="005535AD"/>
    <w:pPr>
      <w:tabs>
        <w:tab w:val="right" w:leader="dot" w:pos="9457"/>
      </w:tabs>
      <w:spacing w:before="120"/>
      <w:jc w:val="left"/>
    </w:pPr>
    <w:rPr>
      <w:rFonts w:ascii="Verdana" w:hAnsi="Verdana" w:cs="Vrinda"/>
      <w:b/>
      <w:noProof/>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AD"/>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5535AD"/>
    <w:pPr>
      <w:keepNext/>
      <w:keepLines/>
      <w:spacing w:before="480"/>
      <w:outlineLvl w:val="0"/>
    </w:pPr>
    <w:rPr>
      <w:rFonts w:ascii="Cambria"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5AD"/>
    <w:rPr>
      <w:rFonts w:ascii="Cambria" w:eastAsia="Times New Roman" w:hAnsi="Cambria" w:cs="Times New Roman"/>
      <w:b/>
      <w:bCs/>
      <w:color w:val="365F91"/>
      <w:sz w:val="28"/>
      <w:szCs w:val="28"/>
      <w:lang w:val="en-US"/>
    </w:rPr>
  </w:style>
  <w:style w:type="paragraph" w:styleId="BodyTextIndent">
    <w:name w:val="Body Text Indent"/>
    <w:basedOn w:val="Normal"/>
    <w:link w:val="BodyTextIndentChar"/>
    <w:rsid w:val="005535AD"/>
    <w:pPr>
      <w:spacing w:before="120"/>
      <w:ind w:left="709"/>
    </w:pPr>
    <w:rPr>
      <w:bCs/>
      <w:snapToGrid w:val="0"/>
      <w:sz w:val="24"/>
      <w:szCs w:val="24"/>
    </w:rPr>
  </w:style>
  <w:style w:type="character" w:customStyle="1" w:styleId="BodyTextIndentChar">
    <w:name w:val="Body Text Indent Char"/>
    <w:basedOn w:val="DefaultParagraphFont"/>
    <w:link w:val="BodyTextIndent"/>
    <w:rsid w:val="005535AD"/>
    <w:rPr>
      <w:rFonts w:ascii="Times New Roman" w:eastAsia="Times New Roman" w:hAnsi="Times New Roman" w:cs="Times New Roman"/>
      <w:bCs/>
      <w:snapToGrid w:val="0"/>
      <w:sz w:val="24"/>
      <w:szCs w:val="24"/>
    </w:rPr>
  </w:style>
  <w:style w:type="paragraph" w:styleId="BodyText">
    <w:name w:val="Body Text"/>
    <w:basedOn w:val="Normal"/>
    <w:link w:val="BodyTextChar"/>
    <w:rsid w:val="005535AD"/>
    <w:pPr>
      <w:spacing w:after="120"/>
    </w:pPr>
    <w:rPr>
      <w:bCs/>
      <w:sz w:val="24"/>
      <w:szCs w:val="24"/>
      <w:lang w:val="en-US"/>
    </w:rPr>
  </w:style>
  <w:style w:type="character" w:customStyle="1" w:styleId="BodyTextChar">
    <w:name w:val="Body Text Char"/>
    <w:basedOn w:val="DefaultParagraphFont"/>
    <w:link w:val="BodyText"/>
    <w:rsid w:val="005535AD"/>
    <w:rPr>
      <w:rFonts w:ascii="Times New Roman" w:eastAsia="Times New Roman" w:hAnsi="Times New Roman" w:cs="Times New Roman"/>
      <w:bCs/>
      <w:sz w:val="24"/>
      <w:szCs w:val="24"/>
      <w:lang w:val="en-US"/>
    </w:rPr>
  </w:style>
  <w:style w:type="paragraph" w:customStyle="1" w:styleId="Document1">
    <w:name w:val="Document 1"/>
    <w:link w:val="Document1Char"/>
    <w:rsid w:val="005535AD"/>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5535AD"/>
    <w:rPr>
      <w:rFonts w:ascii="Bodoni Book 12pt" w:eastAsia="Times New Roman" w:hAnsi="Bodoni Book 12pt" w:cs="Times New Roman"/>
      <w:sz w:val="24"/>
      <w:szCs w:val="20"/>
      <w:lang w:val="en-US"/>
    </w:rPr>
  </w:style>
  <w:style w:type="paragraph" w:styleId="List">
    <w:name w:val="List"/>
    <w:basedOn w:val="Normal"/>
    <w:rsid w:val="005535AD"/>
    <w:pPr>
      <w:ind w:left="283" w:hanging="283"/>
      <w:jc w:val="left"/>
    </w:pPr>
    <w:rPr>
      <w:bCs/>
      <w:sz w:val="20"/>
      <w:szCs w:val="24"/>
      <w:lang w:val="en-AU"/>
    </w:rPr>
  </w:style>
  <w:style w:type="paragraph" w:styleId="ListContinue">
    <w:name w:val="List Continue"/>
    <w:basedOn w:val="Normal"/>
    <w:rsid w:val="005535AD"/>
    <w:pPr>
      <w:spacing w:after="120"/>
      <w:ind w:left="283"/>
      <w:jc w:val="left"/>
    </w:pPr>
    <w:rPr>
      <w:bCs/>
      <w:sz w:val="20"/>
      <w:szCs w:val="24"/>
      <w:lang w:val="en-AU"/>
    </w:rPr>
  </w:style>
  <w:style w:type="paragraph" w:styleId="EndnoteText">
    <w:name w:val="endnote text"/>
    <w:basedOn w:val="Normal"/>
    <w:link w:val="EndnoteTextChar"/>
    <w:rsid w:val="005535AD"/>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5535AD"/>
    <w:rPr>
      <w:rFonts w:ascii="Arial" w:eastAsia="Times New Roman" w:hAnsi="Arial" w:cs="Times New Roman"/>
      <w:bCs/>
      <w:sz w:val="20"/>
      <w:szCs w:val="24"/>
      <w:lang w:val="en-GB"/>
    </w:rPr>
  </w:style>
  <w:style w:type="paragraph" w:customStyle="1" w:styleId="firstline">
    <w:name w:val="firstline"/>
    <w:basedOn w:val="Normal"/>
    <w:rsid w:val="005535AD"/>
    <w:pPr>
      <w:spacing w:before="100" w:beforeAutospacing="1" w:after="100" w:afterAutospacing="1"/>
      <w:jc w:val="left"/>
    </w:pPr>
    <w:rPr>
      <w:bCs/>
      <w:sz w:val="24"/>
      <w:szCs w:val="24"/>
      <w:lang w:eastAsia="bg-BG"/>
    </w:rPr>
  </w:style>
  <w:style w:type="paragraph" w:styleId="ListParagraph">
    <w:name w:val="List Paragraph"/>
    <w:basedOn w:val="Normal"/>
    <w:uiPriority w:val="34"/>
    <w:qFormat/>
    <w:rsid w:val="005535AD"/>
    <w:pPr>
      <w:ind w:left="720"/>
      <w:contextualSpacing/>
    </w:pPr>
  </w:style>
  <w:style w:type="paragraph" w:styleId="HTMLPreformatted">
    <w:name w:val="HTML Preformatted"/>
    <w:basedOn w:val="Normal"/>
    <w:link w:val="HTMLPreformattedChar"/>
    <w:uiPriority w:val="99"/>
    <w:unhideWhenUsed/>
    <w:rsid w:val="0055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uiPriority w:val="99"/>
    <w:rsid w:val="005535AD"/>
    <w:rPr>
      <w:rFonts w:ascii="Courier" w:eastAsia="Times New Roman" w:hAnsi="Courier" w:cs="Times New Roman"/>
      <w:sz w:val="13"/>
      <w:szCs w:val="13"/>
    </w:rPr>
  </w:style>
  <w:style w:type="paragraph" w:styleId="NormalWeb">
    <w:name w:val="Normal (Web)"/>
    <w:basedOn w:val="Normal"/>
    <w:uiPriority w:val="99"/>
    <w:rsid w:val="005535AD"/>
    <w:pPr>
      <w:spacing w:before="100" w:beforeAutospacing="1" w:after="100" w:afterAutospacing="1"/>
      <w:jc w:val="left"/>
    </w:pPr>
    <w:rPr>
      <w:sz w:val="24"/>
      <w:szCs w:val="24"/>
      <w:lang w:eastAsia="bg-BG"/>
    </w:rPr>
  </w:style>
  <w:style w:type="paragraph" w:styleId="NoSpacing">
    <w:name w:val="No Spacing"/>
    <w:qFormat/>
    <w:rsid w:val="005535AD"/>
    <w:pPr>
      <w:spacing w:after="0" w:line="240" w:lineRule="auto"/>
      <w:jc w:val="both"/>
    </w:pPr>
    <w:rPr>
      <w:rFonts w:ascii="Times New Roman" w:eastAsia="Times New Roman" w:hAnsi="Times New Roman" w:cs="Times New Roman"/>
      <w:szCs w:val="20"/>
    </w:rPr>
  </w:style>
  <w:style w:type="character" w:customStyle="1" w:styleId="a">
    <w:name w:val="Основен текст_"/>
    <w:link w:val="a0"/>
    <w:rsid w:val="005535AD"/>
    <w:rPr>
      <w:rFonts w:ascii="Times New Roman" w:eastAsia="Times New Roman" w:hAnsi="Times New Roman"/>
      <w:spacing w:val="2"/>
      <w:sz w:val="16"/>
      <w:szCs w:val="16"/>
      <w:shd w:val="clear" w:color="auto" w:fill="FFFFFF"/>
    </w:rPr>
  </w:style>
  <w:style w:type="paragraph" w:customStyle="1" w:styleId="a0">
    <w:name w:val="Основен текст"/>
    <w:basedOn w:val="Normal"/>
    <w:link w:val="a"/>
    <w:rsid w:val="005535AD"/>
    <w:pPr>
      <w:widowControl w:val="0"/>
      <w:shd w:val="clear" w:color="auto" w:fill="FFFFFF"/>
      <w:spacing w:before="60" w:after="180" w:line="262" w:lineRule="exact"/>
    </w:pPr>
    <w:rPr>
      <w:rFonts w:cstheme="minorBidi"/>
      <w:spacing w:val="2"/>
      <w:sz w:val="16"/>
      <w:szCs w:val="16"/>
    </w:rPr>
  </w:style>
  <w:style w:type="paragraph" w:styleId="Header">
    <w:name w:val="header"/>
    <w:basedOn w:val="Normal"/>
    <w:link w:val="HeaderChar"/>
    <w:unhideWhenUsed/>
    <w:rsid w:val="005535AD"/>
    <w:pPr>
      <w:tabs>
        <w:tab w:val="center" w:pos="4536"/>
        <w:tab w:val="right" w:pos="9072"/>
      </w:tabs>
    </w:pPr>
  </w:style>
  <w:style w:type="character" w:customStyle="1" w:styleId="HeaderChar">
    <w:name w:val="Header Char"/>
    <w:basedOn w:val="DefaultParagraphFont"/>
    <w:link w:val="Header"/>
    <w:rsid w:val="005535AD"/>
    <w:rPr>
      <w:rFonts w:ascii="Times New Roman" w:eastAsia="Times New Roman" w:hAnsi="Times New Roman" w:cs="Times New Roman"/>
      <w:szCs w:val="20"/>
    </w:rPr>
  </w:style>
  <w:style w:type="paragraph" w:styleId="Footer">
    <w:name w:val="footer"/>
    <w:basedOn w:val="Normal"/>
    <w:link w:val="FooterChar"/>
    <w:uiPriority w:val="99"/>
    <w:unhideWhenUsed/>
    <w:rsid w:val="005535AD"/>
    <w:pPr>
      <w:tabs>
        <w:tab w:val="center" w:pos="4536"/>
        <w:tab w:val="right" w:pos="9072"/>
      </w:tabs>
    </w:pPr>
  </w:style>
  <w:style w:type="character" w:customStyle="1" w:styleId="FooterChar">
    <w:name w:val="Footer Char"/>
    <w:basedOn w:val="DefaultParagraphFont"/>
    <w:link w:val="Footer"/>
    <w:uiPriority w:val="99"/>
    <w:rsid w:val="005535AD"/>
    <w:rPr>
      <w:rFonts w:ascii="Times New Roman" w:eastAsia="Times New Roman" w:hAnsi="Times New Roman" w:cs="Times New Roman"/>
      <w:szCs w:val="20"/>
    </w:rPr>
  </w:style>
  <w:style w:type="paragraph" w:styleId="TOC1">
    <w:name w:val="toc 1"/>
    <w:basedOn w:val="Normal"/>
    <w:next w:val="Normal"/>
    <w:autoRedefine/>
    <w:uiPriority w:val="39"/>
    <w:rsid w:val="005535AD"/>
    <w:pPr>
      <w:tabs>
        <w:tab w:val="right" w:leader="dot" w:pos="9457"/>
      </w:tabs>
      <w:spacing w:before="120"/>
      <w:jc w:val="left"/>
    </w:pPr>
    <w:rPr>
      <w:rFonts w:ascii="Verdana" w:hAnsi="Verdana" w:cs="Vrinda"/>
      <w:b/>
      <w:noProof/>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4563</Words>
  <Characters>26011</Characters>
  <Application>Microsoft Office Word</Application>
  <DocSecurity>0</DocSecurity>
  <Lines>216</Lines>
  <Paragraphs>61</Paragraphs>
  <ScaleCrop>false</ScaleCrop>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marinka_nikolaeva</dc:creator>
  <cp:keywords/>
  <dc:description/>
  <cp:lastModifiedBy>marinka_nikolaeva</cp:lastModifiedBy>
  <cp:revision>2</cp:revision>
  <dcterms:created xsi:type="dcterms:W3CDTF">2025-03-31T14:27:00Z</dcterms:created>
  <dcterms:modified xsi:type="dcterms:W3CDTF">2025-03-31T14:28:00Z</dcterms:modified>
</cp:coreProperties>
</file>