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68" w:rsidRDefault="00954168" w:rsidP="00954168">
      <w:pPr>
        <w:pStyle w:val="Heading1"/>
        <w:spacing w:before="120" w:line="260" w:lineRule="atLeast"/>
        <w:jc w:val="center"/>
        <w:rPr>
          <w:rFonts w:ascii="Verdana" w:hAnsi="Verdana" w:cs="Arial"/>
          <w:snapToGrid w:val="0"/>
          <w:sz w:val="20"/>
          <w:szCs w:val="20"/>
        </w:rPr>
      </w:pPr>
      <w:bookmarkStart w:id="0" w:name="_Toc247959121"/>
      <w:bookmarkStart w:id="1" w:name="_Toc270424829"/>
      <w:bookmarkStart w:id="2" w:name="_Toc509396152"/>
      <w:bookmarkStart w:id="3" w:name="_Toc510083493"/>
      <w:r>
        <w:rPr>
          <w:rFonts w:ascii="Verdana" w:hAnsi="Verdana" w:cs="Arial"/>
          <w:snapToGrid w:val="0"/>
          <w:sz w:val="20"/>
          <w:szCs w:val="20"/>
          <w:lang w:val="bg-BG"/>
        </w:rPr>
        <w:t xml:space="preserve">МЕЖДИНЕН </w:t>
      </w:r>
      <w:r w:rsidRPr="00C2255D">
        <w:rPr>
          <w:rFonts w:ascii="Verdana" w:hAnsi="Verdana" w:cs="Arial"/>
          <w:snapToGrid w:val="0"/>
          <w:sz w:val="20"/>
          <w:szCs w:val="20"/>
          <w:lang w:val="ru-RU"/>
        </w:rPr>
        <w:t>ДОКЛАД ЗА ДЕЙНОСТТА</w:t>
      </w:r>
    </w:p>
    <w:p w:rsidR="00954168" w:rsidRPr="007168D4" w:rsidRDefault="00954168" w:rsidP="00954168">
      <w:pPr>
        <w:pStyle w:val="Heading1"/>
        <w:spacing w:before="120" w:line="260" w:lineRule="atLeast"/>
        <w:jc w:val="center"/>
        <w:rPr>
          <w:rFonts w:ascii="Verdana" w:hAnsi="Verdana" w:cs="Arial"/>
          <w:snapToGrid w:val="0"/>
          <w:sz w:val="20"/>
          <w:szCs w:val="20"/>
          <w:lang w:val="bg-BG"/>
        </w:rPr>
      </w:pPr>
      <w:r>
        <w:rPr>
          <w:rFonts w:ascii="Verdana" w:hAnsi="Verdana" w:cs="Arial"/>
          <w:snapToGrid w:val="0"/>
          <w:sz w:val="20"/>
          <w:szCs w:val="20"/>
          <w:lang w:val="ru-RU"/>
        </w:rPr>
        <w:t xml:space="preserve">КЪМ </w:t>
      </w:r>
      <w:r>
        <w:rPr>
          <w:rFonts w:ascii="Verdana" w:hAnsi="Verdana" w:cs="Arial"/>
          <w:snapToGrid w:val="0"/>
          <w:sz w:val="20"/>
          <w:szCs w:val="20"/>
        </w:rPr>
        <w:t>3</w:t>
      </w:r>
      <w:r>
        <w:rPr>
          <w:rFonts w:ascii="Verdana" w:hAnsi="Verdana" w:cs="Arial"/>
          <w:snapToGrid w:val="0"/>
          <w:sz w:val="20"/>
          <w:szCs w:val="20"/>
          <w:lang w:val="bg-BG"/>
        </w:rPr>
        <w:t>0</w:t>
      </w:r>
      <w:r>
        <w:rPr>
          <w:rFonts w:ascii="Verdana" w:hAnsi="Verdana" w:cs="Arial"/>
          <w:snapToGrid w:val="0"/>
          <w:sz w:val="20"/>
          <w:szCs w:val="20"/>
        </w:rPr>
        <w:t>.</w:t>
      </w:r>
      <w:r>
        <w:rPr>
          <w:rFonts w:ascii="Verdana" w:hAnsi="Verdana" w:cs="Arial"/>
          <w:snapToGrid w:val="0"/>
          <w:sz w:val="20"/>
          <w:szCs w:val="20"/>
          <w:lang w:val="bg-BG"/>
        </w:rPr>
        <w:t>06</w:t>
      </w:r>
      <w:r>
        <w:rPr>
          <w:rFonts w:ascii="Verdana" w:hAnsi="Verdana" w:cs="Arial"/>
          <w:snapToGrid w:val="0"/>
          <w:sz w:val="20"/>
          <w:szCs w:val="20"/>
        </w:rPr>
        <w:t>.20</w:t>
      </w:r>
      <w:r w:rsidR="00561901">
        <w:rPr>
          <w:rFonts w:ascii="Verdana" w:hAnsi="Verdana" w:cs="Arial"/>
          <w:snapToGrid w:val="0"/>
          <w:sz w:val="20"/>
          <w:szCs w:val="20"/>
          <w:lang w:val="bg-BG"/>
        </w:rPr>
        <w:t>2</w:t>
      </w:r>
      <w:r w:rsidR="00AD7B53">
        <w:rPr>
          <w:rFonts w:ascii="Verdana" w:hAnsi="Verdana" w:cs="Arial"/>
          <w:snapToGrid w:val="0"/>
          <w:sz w:val="20"/>
          <w:szCs w:val="20"/>
        </w:rPr>
        <w:t>5</w:t>
      </w:r>
      <w:r w:rsidR="00B13018">
        <w:rPr>
          <w:rFonts w:ascii="Verdana" w:hAnsi="Verdana" w:cs="Arial"/>
          <w:snapToGrid w:val="0"/>
          <w:sz w:val="20"/>
          <w:szCs w:val="20"/>
          <w:lang w:val="bg-BG"/>
        </w:rPr>
        <w:t xml:space="preserve"> </w:t>
      </w:r>
      <w:r>
        <w:rPr>
          <w:rFonts w:ascii="Verdana" w:hAnsi="Verdana" w:cs="Arial"/>
          <w:snapToGrid w:val="0"/>
          <w:sz w:val="20"/>
          <w:szCs w:val="20"/>
          <w:lang w:val="bg-BG"/>
        </w:rPr>
        <w:t>г</w:t>
      </w:r>
      <w:r>
        <w:rPr>
          <w:rFonts w:ascii="Verdana" w:hAnsi="Verdana" w:cs="Arial"/>
          <w:snapToGrid w:val="0"/>
          <w:sz w:val="20"/>
          <w:szCs w:val="20"/>
          <w:lang w:val="ru-RU"/>
        </w:rPr>
        <w:t>.</w:t>
      </w:r>
    </w:p>
    <w:p w:rsidR="00954168" w:rsidRPr="007168D4" w:rsidRDefault="00954168" w:rsidP="00954168">
      <w:pPr>
        <w:rPr>
          <w:lang w:val="en-US" w:eastAsia="x-none"/>
        </w:rPr>
      </w:pPr>
    </w:p>
    <w:bookmarkEnd w:id="0"/>
    <w:bookmarkEnd w:id="1"/>
    <w:bookmarkEnd w:id="2"/>
    <w:bookmarkEnd w:id="3"/>
    <w:p w:rsidR="00954168" w:rsidRDefault="00954168" w:rsidP="00954168">
      <w:pPr>
        <w:rPr>
          <w:lang w:val="ru-RU"/>
        </w:rPr>
      </w:pPr>
    </w:p>
    <w:p w:rsidR="00954168" w:rsidRDefault="00954168" w:rsidP="00954168">
      <w:pPr>
        <w:spacing w:line="260" w:lineRule="atLeast"/>
        <w:rPr>
          <w:rFonts w:ascii="Verdana" w:hAnsi="Verdana" w:cs="Verdana"/>
          <w:sz w:val="20"/>
          <w:szCs w:val="20"/>
        </w:rPr>
      </w:pPr>
      <w:r>
        <w:rPr>
          <w:rFonts w:ascii="Verdana" w:hAnsi="Verdana" w:cs="Verdana"/>
          <w:sz w:val="20"/>
          <w:szCs w:val="20"/>
        </w:rPr>
        <w:t>НАСТОЯЩИЯТ ДОКЛАД ЗА ДЕЙНОСТТА НА „ТОПЛОФИКАЦИЯ – РАЗГРАД“ АД Е ИЗГОТВЕН В СЪОТВЕТСТВИЕ С РАЗПОРЕДБИТЕ НА ГЛАВА СЕДМА ОТ ЗАКОНА ЗА СЧЕТОВОДСТВОТО, ИЗИСКВАНИЯТА НА ТЪРГОВСКИЯ ЗАКОН И ИЗИСКВАНИЯТА НА ЗАКОНА ЗА ПУБЛИЧНОТО ПРЕДЛАГАНЕ НА ЦЕННИ КНИЖА</w:t>
      </w:r>
    </w:p>
    <w:p w:rsidR="00954168" w:rsidRDefault="00954168" w:rsidP="00954168">
      <w:pPr>
        <w:spacing w:line="260" w:lineRule="atLeast"/>
        <w:rPr>
          <w:rFonts w:ascii="Verdana" w:hAnsi="Verdana" w:cs="Verdana"/>
          <w:sz w:val="20"/>
          <w:szCs w:val="20"/>
        </w:rPr>
      </w:pPr>
    </w:p>
    <w:p w:rsidR="00954168" w:rsidRPr="00A52D1E" w:rsidRDefault="00954168" w:rsidP="00954168">
      <w:pPr>
        <w:spacing w:line="260" w:lineRule="atLeast"/>
        <w:rPr>
          <w:rFonts w:ascii="Verdana" w:hAnsi="Verdana" w:cs="Verdana"/>
          <w:sz w:val="20"/>
          <w:szCs w:val="20"/>
          <w:lang w:val="ru-RU"/>
        </w:rPr>
      </w:pPr>
      <w:r>
        <w:rPr>
          <w:rFonts w:ascii="Verdana" w:hAnsi="Verdana" w:cs="Verdana"/>
          <w:sz w:val="20"/>
          <w:szCs w:val="20"/>
        </w:rPr>
        <w:t xml:space="preserve">Ръководството представя своя междинен доклад и индивидуален междинен финансов отчет </w:t>
      </w:r>
      <w:r w:rsidRPr="00D60861">
        <w:rPr>
          <w:rFonts w:ascii="Verdana" w:hAnsi="Verdana" w:cs="Verdana"/>
          <w:sz w:val="20"/>
          <w:szCs w:val="20"/>
        </w:rPr>
        <w:t xml:space="preserve">към </w:t>
      </w:r>
      <w:r w:rsidR="00561901">
        <w:rPr>
          <w:rFonts w:ascii="Verdana" w:hAnsi="Verdana" w:cs="Verdana"/>
          <w:sz w:val="20"/>
          <w:szCs w:val="20"/>
        </w:rPr>
        <w:t>30 Юни 202</w:t>
      </w:r>
      <w:r w:rsidR="004753F2">
        <w:rPr>
          <w:rFonts w:ascii="Verdana" w:hAnsi="Verdana" w:cs="Verdana"/>
          <w:sz w:val="20"/>
          <w:szCs w:val="20"/>
          <w:lang w:val="en-US"/>
        </w:rPr>
        <w:t>5</w:t>
      </w:r>
      <w:r w:rsidRPr="00D60861">
        <w:rPr>
          <w:rFonts w:ascii="Verdana" w:hAnsi="Verdana" w:cs="Verdana"/>
          <w:sz w:val="20"/>
          <w:szCs w:val="20"/>
        </w:rPr>
        <w:t xml:space="preserve"> г.,</w:t>
      </w:r>
      <w:r>
        <w:rPr>
          <w:rFonts w:ascii="Verdana" w:hAnsi="Verdana" w:cs="Verdana"/>
          <w:sz w:val="20"/>
          <w:szCs w:val="20"/>
        </w:rPr>
        <w:t xml:space="preserve"> изготвен в съответствие с Международните стандарти за финансово отчит</w:t>
      </w:r>
      <w:r w:rsidR="0081442E">
        <w:rPr>
          <w:rFonts w:ascii="Verdana" w:hAnsi="Verdana" w:cs="Verdana"/>
          <w:sz w:val="20"/>
          <w:szCs w:val="20"/>
        </w:rPr>
        <w:t>ане, приети от Европейския съюз, който не е заверен или прегледан от регистриран одитор.</w:t>
      </w:r>
    </w:p>
    <w:p w:rsidR="00954168" w:rsidRPr="00A52D1E" w:rsidRDefault="00954168" w:rsidP="00954168">
      <w:pPr>
        <w:spacing w:line="260" w:lineRule="atLeast"/>
        <w:rPr>
          <w:rFonts w:ascii="Verdana" w:hAnsi="Verdana" w:cs="Verdana"/>
          <w:sz w:val="20"/>
          <w:szCs w:val="20"/>
          <w:lang w:val="ru-RU"/>
        </w:rPr>
      </w:pPr>
    </w:p>
    <w:p w:rsidR="00954168" w:rsidRPr="00C2255D" w:rsidRDefault="00954168" w:rsidP="00954168">
      <w:pPr>
        <w:pStyle w:val="EndnoteText"/>
        <w:spacing w:before="120" w:after="0" w:line="260" w:lineRule="atLeast"/>
        <w:rPr>
          <w:rFonts w:ascii="Verdana" w:hAnsi="Verdana" w:cs="Verdana"/>
          <w:b/>
          <w:bCs/>
          <w:lang w:val="bg-BG"/>
        </w:rPr>
      </w:pPr>
      <w:bookmarkStart w:id="4" w:name="_Toc153350918"/>
      <w:bookmarkStart w:id="5" w:name="_Toc153351499"/>
      <w:bookmarkStart w:id="6" w:name="_Toc154161871"/>
      <w:r w:rsidRPr="00C2255D">
        <w:rPr>
          <w:rFonts w:ascii="Verdana" w:hAnsi="Verdana" w:cs="Verdana"/>
          <w:b/>
          <w:bCs/>
          <w:lang w:val="bg-BG"/>
        </w:rPr>
        <w:t>Описание на дейността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е регистрирано в Република България с ЕИК 116019472</w:t>
      </w:r>
      <w:r>
        <w:rPr>
          <w:rFonts w:ascii="Verdana" w:hAnsi="Verdana" w:cs="Verdana"/>
          <w:sz w:val="20"/>
          <w:szCs w:val="20"/>
        </w:rPr>
        <w:t>.</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е със седалище, адрес на управление и адрес за кореспонденция</w:t>
      </w:r>
      <w:r>
        <w:rPr>
          <w:rFonts w:ascii="Verdana" w:hAnsi="Verdana" w:cs="Verdana"/>
          <w:sz w:val="20"/>
          <w:szCs w:val="20"/>
        </w:rPr>
        <w:t>:</w:t>
      </w:r>
      <w:r w:rsidRPr="00C2255D">
        <w:rPr>
          <w:rFonts w:ascii="Verdana" w:hAnsi="Verdana" w:cs="Verdana"/>
          <w:sz w:val="20"/>
          <w:szCs w:val="20"/>
        </w:rPr>
        <w:t xml:space="preserve"> гр. Разград, 7200, Индустриална зона, ул.</w:t>
      </w:r>
      <w:r w:rsidR="00ED612A">
        <w:rPr>
          <w:rFonts w:ascii="Verdana" w:hAnsi="Verdana" w:cs="Verdana"/>
          <w:sz w:val="20"/>
          <w:szCs w:val="20"/>
        </w:rPr>
        <w:t xml:space="preserve"> „</w:t>
      </w:r>
      <w:r w:rsidRPr="00C2255D">
        <w:rPr>
          <w:rFonts w:ascii="Verdana" w:hAnsi="Verdana" w:cs="Verdana"/>
          <w:sz w:val="20"/>
          <w:szCs w:val="20"/>
        </w:rPr>
        <w:t>Черна“</w:t>
      </w:r>
      <w:r>
        <w:rPr>
          <w:rFonts w:ascii="Verdana" w:hAnsi="Verdana" w:cs="Verdana"/>
          <w:sz w:val="20"/>
          <w:szCs w:val="20"/>
        </w:rPr>
        <w:t>.</w:t>
      </w:r>
    </w:p>
    <w:p w:rsidR="00954168" w:rsidRPr="00C2255D" w:rsidRDefault="00954168" w:rsidP="00954168">
      <w:pPr>
        <w:spacing w:line="260" w:lineRule="atLeast"/>
        <w:rPr>
          <w:rFonts w:ascii="Verdana" w:hAnsi="Verdana" w:cs="Verdana"/>
          <w:sz w:val="20"/>
          <w:szCs w:val="20"/>
        </w:rPr>
      </w:pP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Основната му дейност е свързана с производство на е</w:t>
      </w:r>
      <w:r>
        <w:rPr>
          <w:rFonts w:ascii="Verdana" w:hAnsi="Verdana" w:cs="Verdana"/>
          <w:sz w:val="20"/>
          <w:szCs w:val="20"/>
        </w:rPr>
        <w:t xml:space="preserve">лектрическа и топлинна енергия </w:t>
      </w:r>
      <w:r w:rsidRPr="00C2255D">
        <w:rPr>
          <w:rFonts w:ascii="Verdana" w:hAnsi="Verdana" w:cs="Verdana"/>
          <w:sz w:val="20"/>
          <w:szCs w:val="20"/>
        </w:rPr>
        <w:t>и пренос на топлинна енергия.</w:t>
      </w:r>
    </w:p>
    <w:p w:rsidR="00954168" w:rsidRDefault="00954168" w:rsidP="00954168">
      <w:pPr>
        <w:spacing w:line="260" w:lineRule="atLeast"/>
        <w:rPr>
          <w:rFonts w:ascii="Verdana" w:hAnsi="Verdana" w:cs="Verdana"/>
          <w:sz w:val="20"/>
          <w:szCs w:val="20"/>
        </w:rPr>
      </w:pPr>
      <w:r>
        <w:rPr>
          <w:rFonts w:ascii="Verdana" w:hAnsi="Verdana" w:cs="Verdana"/>
          <w:sz w:val="20"/>
          <w:szCs w:val="20"/>
        </w:rPr>
        <w:t xml:space="preserve">Дружеството и през този период </w:t>
      </w:r>
      <w:r w:rsidRPr="00C2255D">
        <w:rPr>
          <w:rFonts w:ascii="Verdana" w:hAnsi="Verdana" w:cs="Verdana"/>
          <w:sz w:val="20"/>
          <w:szCs w:val="20"/>
        </w:rPr>
        <w:t>е продължило основната си дейност, свързана с производство на електрическа и топлинна енергия, и пренос на топлинна енергия.</w:t>
      </w:r>
    </w:p>
    <w:p w:rsidR="00954168" w:rsidRPr="00A52D1E" w:rsidRDefault="00954168" w:rsidP="00954168">
      <w:pPr>
        <w:spacing w:line="260" w:lineRule="atLeast"/>
        <w:rPr>
          <w:rFonts w:ascii="Verdana" w:hAnsi="Verdana" w:cs="Verdana"/>
          <w:sz w:val="20"/>
          <w:szCs w:val="20"/>
          <w:lang w:val="ru-RU"/>
        </w:rPr>
      </w:pPr>
    </w:p>
    <w:p w:rsidR="00954168" w:rsidRDefault="00954168" w:rsidP="00954168">
      <w:pPr>
        <w:spacing w:line="260" w:lineRule="atLeast"/>
        <w:rPr>
          <w:rFonts w:ascii="Verdana" w:hAnsi="Verdana" w:cs="Verdana"/>
          <w:sz w:val="20"/>
          <w:szCs w:val="20"/>
        </w:rPr>
      </w:pPr>
      <w:r>
        <w:rPr>
          <w:rFonts w:ascii="Verdana" w:hAnsi="Verdana" w:cs="Verdana"/>
          <w:sz w:val="20"/>
          <w:szCs w:val="20"/>
        </w:rPr>
        <w:t>Дружеството няма регистрирани клонове в страната и чужбина.</w:t>
      </w:r>
    </w:p>
    <w:p w:rsidR="00954168" w:rsidRDefault="00954168" w:rsidP="00954168">
      <w:pPr>
        <w:spacing w:line="260" w:lineRule="atLeast"/>
        <w:rPr>
          <w:rFonts w:ascii="Verdana" w:hAnsi="Verdana" w:cs="Verdana"/>
          <w:sz w:val="20"/>
          <w:szCs w:val="20"/>
        </w:rPr>
      </w:pPr>
      <w:r>
        <w:rPr>
          <w:rFonts w:ascii="Verdana" w:hAnsi="Verdana" w:cs="Verdana"/>
          <w:sz w:val="20"/>
          <w:szCs w:val="20"/>
        </w:rPr>
        <w:t>Дружеството не е публично дружество по смисъла на ЗППЦК.</w:t>
      </w:r>
    </w:p>
    <w:p w:rsidR="00954168" w:rsidRPr="00A62E59" w:rsidRDefault="00954168" w:rsidP="00954168">
      <w:pPr>
        <w:spacing w:line="260" w:lineRule="atLeast"/>
        <w:rPr>
          <w:rFonts w:ascii="Verdana" w:hAnsi="Verdana" w:cs="Verdana"/>
          <w:sz w:val="20"/>
          <w:szCs w:val="20"/>
        </w:rPr>
      </w:pPr>
      <w:r>
        <w:rPr>
          <w:rFonts w:ascii="Verdana" w:hAnsi="Verdana" w:cs="Verdana"/>
          <w:sz w:val="20"/>
          <w:szCs w:val="20"/>
        </w:rPr>
        <w:t>Дружеството не е регистрирано като финансова институция.</w:t>
      </w:r>
    </w:p>
    <w:bookmarkEnd w:id="4"/>
    <w:bookmarkEnd w:id="5"/>
    <w:bookmarkEnd w:id="6"/>
    <w:p w:rsidR="00954168" w:rsidRDefault="00954168" w:rsidP="00954168">
      <w:pPr>
        <w:pStyle w:val="BodyTextIndent"/>
        <w:spacing w:line="260" w:lineRule="atLeast"/>
        <w:ind w:left="0"/>
        <w:rPr>
          <w:rFonts w:ascii="Verdana" w:hAnsi="Verdana" w:cs="Verdana"/>
          <w:sz w:val="20"/>
          <w:szCs w:val="20"/>
        </w:rPr>
      </w:pPr>
      <w:r w:rsidRPr="00D60861">
        <w:rPr>
          <w:rFonts w:ascii="Verdana" w:hAnsi="Verdana" w:cs="Verdana"/>
          <w:sz w:val="20"/>
          <w:szCs w:val="20"/>
        </w:rPr>
        <w:t>Финансовият резулт</w:t>
      </w:r>
      <w:r w:rsidR="00561901">
        <w:rPr>
          <w:rFonts w:ascii="Verdana" w:hAnsi="Verdana" w:cs="Verdana"/>
          <w:sz w:val="20"/>
          <w:szCs w:val="20"/>
        </w:rPr>
        <w:t>ат на Дружеството към 30.06.202</w:t>
      </w:r>
      <w:r w:rsidR="004753F2">
        <w:rPr>
          <w:rFonts w:ascii="Verdana" w:hAnsi="Verdana" w:cs="Verdana"/>
          <w:sz w:val="20"/>
          <w:szCs w:val="20"/>
          <w:lang w:val="en-US"/>
        </w:rPr>
        <w:t>5</w:t>
      </w:r>
      <w:r w:rsidRPr="00D60861">
        <w:rPr>
          <w:rFonts w:ascii="Verdana" w:hAnsi="Verdana" w:cs="Verdana"/>
          <w:sz w:val="20"/>
          <w:szCs w:val="20"/>
        </w:rPr>
        <w:t xml:space="preserve"> г.</w:t>
      </w:r>
      <w:r w:rsidR="009F2C91">
        <w:rPr>
          <w:rFonts w:ascii="Verdana" w:hAnsi="Verdana" w:cs="Verdana"/>
          <w:sz w:val="20"/>
          <w:szCs w:val="20"/>
        </w:rPr>
        <w:t>,</w:t>
      </w:r>
      <w:r w:rsidRPr="00D60861">
        <w:rPr>
          <w:rFonts w:ascii="Verdana" w:hAnsi="Verdana" w:cs="Verdana"/>
          <w:sz w:val="20"/>
          <w:szCs w:val="20"/>
        </w:rPr>
        <w:t xml:space="preserve"> след данъци</w:t>
      </w:r>
      <w:r w:rsidR="009F2C91">
        <w:rPr>
          <w:rFonts w:ascii="Verdana" w:hAnsi="Verdana" w:cs="Verdana"/>
          <w:sz w:val="20"/>
          <w:szCs w:val="20"/>
        </w:rPr>
        <w:t>,</w:t>
      </w:r>
      <w:r w:rsidR="00561901">
        <w:rPr>
          <w:rFonts w:ascii="Verdana" w:hAnsi="Verdana" w:cs="Verdana"/>
          <w:sz w:val="20"/>
          <w:szCs w:val="20"/>
        </w:rPr>
        <w:t xml:space="preserve"> е </w:t>
      </w:r>
      <w:r w:rsidR="004753F2">
        <w:rPr>
          <w:rFonts w:ascii="Verdana" w:hAnsi="Verdana" w:cs="Verdana"/>
          <w:sz w:val="20"/>
          <w:szCs w:val="20"/>
        </w:rPr>
        <w:t xml:space="preserve">за загуба </w:t>
      </w:r>
      <w:r w:rsidR="009D79AF">
        <w:rPr>
          <w:rFonts w:ascii="Verdana" w:hAnsi="Verdana" w:cs="Verdana"/>
          <w:sz w:val="20"/>
          <w:szCs w:val="20"/>
        </w:rPr>
        <w:t xml:space="preserve"> </w:t>
      </w:r>
      <w:r w:rsidRPr="00D60861">
        <w:rPr>
          <w:rFonts w:ascii="Verdana" w:hAnsi="Verdana" w:cs="Verdana"/>
          <w:sz w:val="20"/>
          <w:szCs w:val="20"/>
        </w:rPr>
        <w:t xml:space="preserve"> в размер на </w:t>
      </w:r>
      <w:r w:rsidR="004753F2">
        <w:rPr>
          <w:rFonts w:ascii="Verdana" w:hAnsi="Verdana" w:cs="Verdana"/>
          <w:sz w:val="20"/>
          <w:szCs w:val="20"/>
        </w:rPr>
        <w:t xml:space="preserve">1596 </w:t>
      </w:r>
      <w:r w:rsidRPr="00D60861">
        <w:rPr>
          <w:rFonts w:ascii="Verdana" w:hAnsi="Verdana" w:cs="Verdana"/>
          <w:sz w:val="20"/>
          <w:szCs w:val="20"/>
        </w:rPr>
        <w:t>хил</w:t>
      </w:r>
      <w:r w:rsidRPr="00C2255D">
        <w:rPr>
          <w:rFonts w:ascii="Verdana" w:hAnsi="Verdana" w:cs="Verdana"/>
          <w:sz w:val="20"/>
          <w:szCs w:val="20"/>
        </w:rPr>
        <w:t xml:space="preserve">.лв. </w:t>
      </w:r>
    </w:p>
    <w:p w:rsidR="00954168" w:rsidRDefault="00954168" w:rsidP="00954168">
      <w:pPr>
        <w:pStyle w:val="BodyTextIndent"/>
        <w:spacing w:after="40" w:line="260" w:lineRule="atLeast"/>
        <w:ind w:left="0"/>
        <w:rPr>
          <w:rFonts w:ascii="Verdana" w:hAnsi="Verdana" w:cs="Verdana"/>
          <w:b/>
          <w:bCs/>
          <w:sz w:val="20"/>
          <w:szCs w:val="20"/>
        </w:rPr>
      </w:pPr>
      <w:r w:rsidRPr="00C46C41">
        <w:rPr>
          <w:rFonts w:ascii="Verdana" w:hAnsi="Verdana" w:cs="Verdana"/>
          <w:b/>
          <w:bCs/>
          <w:sz w:val="20"/>
          <w:szCs w:val="20"/>
        </w:rPr>
        <w:t>Структура на основния капитал</w:t>
      </w:r>
    </w:p>
    <w:p w:rsidR="00954168" w:rsidRPr="00C46C41" w:rsidRDefault="00954168" w:rsidP="00954168">
      <w:pPr>
        <w:pStyle w:val="BodyTextIndent"/>
        <w:spacing w:after="40" w:line="260" w:lineRule="atLeast"/>
        <w:ind w:left="0"/>
        <w:rPr>
          <w:rFonts w:ascii="Verdana" w:hAnsi="Verdana" w:cs="Verdana"/>
          <w:b/>
          <w:bCs/>
          <w:sz w:val="20"/>
          <w:szCs w:val="20"/>
        </w:rPr>
      </w:pPr>
    </w:p>
    <w:tbl>
      <w:tblPr>
        <w:tblW w:w="5000" w:type="pct"/>
        <w:tblCellSpacing w:w="1440" w:type="nil"/>
        <w:tblInd w:w="-106" w:type="dxa"/>
        <w:tblBorders>
          <w:top w:val="outset" w:sz="6" w:space="0" w:color="auto"/>
          <w:bottom w:val="outset" w:sz="6" w:space="0" w:color="auto"/>
          <w:insideH w:val="outset" w:sz="6" w:space="0" w:color="auto"/>
        </w:tblBorders>
        <w:tblLook w:val="0000" w:firstRow="0" w:lastRow="0" w:firstColumn="0" w:lastColumn="0" w:noHBand="0" w:noVBand="0"/>
      </w:tblPr>
      <w:tblGrid>
        <w:gridCol w:w="5066"/>
        <w:gridCol w:w="1230"/>
        <w:gridCol w:w="1464"/>
        <w:gridCol w:w="1528"/>
      </w:tblGrid>
      <w:tr w:rsidR="00954168" w:rsidTr="000B6DD7">
        <w:trPr>
          <w:tblCellSpacing w:w="1440" w:type="nil"/>
        </w:trPr>
        <w:tc>
          <w:tcPr>
            <w:tcW w:w="2674" w:type="pct"/>
          </w:tcPr>
          <w:p w:rsidR="00954168" w:rsidRPr="00611ED0" w:rsidRDefault="00954168" w:rsidP="000B6DD7">
            <w:pPr>
              <w:spacing w:line="260" w:lineRule="atLeast"/>
              <w:rPr>
                <w:rFonts w:ascii="Verdana" w:hAnsi="Verdana" w:cs="Verdana"/>
                <w:b/>
                <w:bCs/>
                <w:sz w:val="20"/>
                <w:szCs w:val="20"/>
              </w:rPr>
            </w:pPr>
            <w:r w:rsidRPr="00611ED0">
              <w:rPr>
                <w:rFonts w:ascii="Verdana" w:hAnsi="Verdana" w:cs="Verdana"/>
                <w:b/>
                <w:bCs/>
                <w:sz w:val="20"/>
                <w:szCs w:val="20"/>
              </w:rPr>
              <w:t>Акционери</w:t>
            </w:r>
          </w:p>
        </w:tc>
        <w:tc>
          <w:tcPr>
            <w:tcW w:w="651" w:type="pct"/>
          </w:tcPr>
          <w:p w:rsidR="00954168" w:rsidRPr="00611ED0" w:rsidRDefault="00954168" w:rsidP="000B6DD7">
            <w:pPr>
              <w:spacing w:line="260" w:lineRule="atLeast"/>
              <w:jc w:val="center"/>
              <w:rPr>
                <w:rFonts w:ascii="Verdana" w:hAnsi="Verdana" w:cs="Verdana"/>
                <w:b/>
                <w:bCs/>
                <w:sz w:val="20"/>
                <w:szCs w:val="20"/>
              </w:rPr>
            </w:pPr>
            <w:r w:rsidRPr="00611ED0">
              <w:rPr>
                <w:rFonts w:ascii="Verdana" w:hAnsi="Verdana" w:cs="Verdana"/>
                <w:b/>
                <w:bCs/>
                <w:sz w:val="20"/>
                <w:szCs w:val="20"/>
              </w:rPr>
              <w:t>Участие</w:t>
            </w:r>
          </w:p>
        </w:tc>
        <w:tc>
          <w:tcPr>
            <w:tcW w:w="775" w:type="pct"/>
          </w:tcPr>
          <w:p w:rsidR="00954168" w:rsidRPr="00611ED0" w:rsidRDefault="00954168" w:rsidP="000B6DD7">
            <w:pPr>
              <w:spacing w:line="260" w:lineRule="atLeast"/>
              <w:jc w:val="center"/>
              <w:rPr>
                <w:rFonts w:ascii="Verdana" w:hAnsi="Verdana" w:cs="Verdana"/>
                <w:b/>
                <w:bCs/>
                <w:sz w:val="20"/>
                <w:szCs w:val="20"/>
              </w:rPr>
            </w:pPr>
            <w:r w:rsidRPr="00611ED0">
              <w:rPr>
                <w:rFonts w:ascii="Verdana" w:hAnsi="Verdana" w:cs="Verdana"/>
                <w:b/>
                <w:bCs/>
                <w:sz w:val="20"/>
                <w:szCs w:val="20"/>
              </w:rPr>
              <w:t>Брой акции</w:t>
            </w:r>
          </w:p>
        </w:tc>
        <w:tc>
          <w:tcPr>
            <w:tcW w:w="798" w:type="pct"/>
          </w:tcPr>
          <w:p w:rsidR="00954168" w:rsidRDefault="00954168" w:rsidP="000B6DD7">
            <w:pPr>
              <w:spacing w:line="260" w:lineRule="atLeast"/>
              <w:jc w:val="center"/>
              <w:rPr>
                <w:rFonts w:ascii="Verdana" w:hAnsi="Verdana" w:cs="Verdana"/>
                <w:b/>
                <w:bCs/>
                <w:sz w:val="20"/>
                <w:szCs w:val="20"/>
                <w:lang w:val="en-US"/>
              </w:rPr>
            </w:pPr>
            <w:r w:rsidRPr="00611ED0">
              <w:rPr>
                <w:rFonts w:ascii="Verdana" w:hAnsi="Verdana" w:cs="Verdana"/>
                <w:b/>
                <w:bCs/>
                <w:sz w:val="20"/>
                <w:szCs w:val="20"/>
              </w:rPr>
              <w:t>Номинална стойност</w:t>
            </w:r>
          </w:p>
          <w:p w:rsidR="00954168" w:rsidRPr="00C46C41" w:rsidRDefault="00954168" w:rsidP="000B6DD7">
            <w:pPr>
              <w:spacing w:line="260" w:lineRule="atLeast"/>
              <w:jc w:val="center"/>
              <w:rPr>
                <w:rFonts w:ascii="Verdana" w:hAnsi="Verdana" w:cs="Verdana"/>
                <w:b/>
                <w:bCs/>
                <w:sz w:val="20"/>
                <w:szCs w:val="20"/>
              </w:rPr>
            </w:pPr>
            <w:r w:rsidRPr="00D151A7">
              <w:rPr>
                <w:rFonts w:ascii="Verdana" w:hAnsi="Verdana" w:cs="Verdana"/>
                <w:b/>
                <w:bCs/>
                <w:sz w:val="20"/>
                <w:szCs w:val="20"/>
              </w:rPr>
              <w:t>BGN'000</w:t>
            </w:r>
          </w:p>
        </w:tc>
      </w:tr>
      <w:tr w:rsidR="00954168" w:rsidTr="000B6DD7">
        <w:trPr>
          <w:tblCellSpacing w:w="1440" w:type="nil"/>
        </w:trPr>
        <w:tc>
          <w:tcPr>
            <w:tcW w:w="2674" w:type="pct"/>
          </w:tcPr>
          <w:p w:rsidR="00954168" w:rsidRPr="00611ED0" w:rsidRDefault="00954168" w:rsidP="000B6DD7">
            <w:pPr>
              <w:spacing w:line="260" w:lineRule="atLeast"/>
              <w:rPr>
                <w:rFonts w:ascii="Verdana" w:hAnsi="Verdana" w:cs="Verdana"/>
                <w:sz w:val="20"/>
                <w:szCs w:val="20"/>
              </w:rPr>
            </w:pPr>
            <w:r w:rsidRPr="00611ED0">
              <w:rPr>
                <w:rFonts w:ascii="Verdana" w:hAnsi="Verdana" w:cs="Verdana"/>
                <w:sz w:val="20"/>
                <w:szCs w:val="20"/>
              </w:rPr>
              <w:t>Овергаз Холдинг АД</w:t>
            </w:r>
          </w:p>
        </w:tc>
        <w:tc>
          <w:tcPr>
            <w:tcW w:w="651"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lang w:val="en-US"/>
              </w:rPr>
              <w:t>99,99</w:t>
            </w:r>
            <w:r w:rsidR="007A1CCD">
              <w:rPr>
                <w:rFonts w:ascii="Verdana" w:hAnsi="Verdana" w:cs="Verdana"/>
                <w:sz w:val="20"/>
                <w:szCs w:val="20"/>
              </w:rPr>
              <w:t>9</w:t>
            </w:r>
            <w:r>
              <w:rPr>
                <w:rFonts w:ascii="Verdana" w:hAnsi="Verdana" w:cs="Verdana"/>
                <w:sz w:val="20"/>
                <w:szCs w:val="20"/>
                <w:lang w:val="en-US"/>
              </w:rPr>
              <w:t>99</w:t>
            </w:r>
            <w:r w:rsidR="009F2C91">
              <w:rPr>
                <w:rFonts w:ascii="Verdana" w:hAnsi="Verdana" w:cs="Verdana"/>
                <w:sz w:val="20"/>
                <w:szCs w:val="20"/>
              </w:rPr>
              <w:t xml:space="preserve"> </w:t>
            </w:r>
            <w:r w:rsidRPr="00611ED0">
              <w:rPr>
                <w:rFonts w:ascii="Verdana" w:hAnsi="Verdana" w:cs="Verdana"/>
                <w:sz w:val="20"/>
                <w:szCs w:val="20"/>
              </w:rPr>
              <w:t>%</w:t>
            </w:r>
          </w:p>
        </w:tc>
        <w:tc>
          <w:tcPr>
            <w:tcW w:w="775"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rPr>
              <w:t>6 999 999</w:t>
            </w:r>
          </w:p>
        </w:tc>
        <w:tc>
          <w:tcPr>
            <w:tcW w:w="798" w:type="pct"/>
          </w:tcPr>
          <w:p w:rsidR="00954168" w:rsidRPr="00611ED0" w:rsidRDefault="00954168" w:rsidP="000B6DD7">
            <w:pPr>
              <w:spacing w:line="260" w:lineRule="atLeast"/>
              <w:jc w:val="center"/>
              <w:rPr>
                <w:rFonts w:ascii="Verdana" w:hAnsi="Verdana" w:cs="Verdana"/>
                <w:sz w:val="20"/>
                <w:szCs w:val="20"/>
              </w:rPr>
            </w:pPr>
            <w:r>
              <w:rPr>
                <w:rFonts w:ascii="Verdana" w:hAnsi="Verdana" w:cs="Verdana"/>
                <w:sz w:val="20"/>
                <w:szCs w:val="20"/>
              </w:rPr>
              <w:t>6 999 999</w:t>
            </w:r>
          </w:p>
        </w:tc>
      </w:tr>
      <w:tr w:rsidR="00954168" w:rsidRPr="004F03A5" w:rsidTr="000B6DD7">
        <w:trPr>
          <w:tblCellSpacing w:w="1440" w:type="nil"/>
        </w:trPr>
        <w:tc>
          <w:tcPr>
            <w:tcW w:w="2674" w:type="pct"/>
          </w:tcPr>
          <w:p w:rsidR="00954168" w:rsidRPr="004F03A5" w:rsidRDefault="00954168" w:rsidP="000B6DD7">
            <w:pPr>
              <w:spacing w:line="260" w:lineRule="atLeast"/>
              <w:rPr>
                <w:rFonts w:ascii="Verdana" w:hAnsi="Verdana" w:cs="Verdana"/>
                <w:sz w:val="20"/>
                <w:szCs w:val="20"/>
              </w:rPr>
            </w:pPr>
            <w:r w:rsidRPr="006B47A6">
              <w:rPr>
                <w:rFonts w:ascii="Verdana" w:hAnsi="Verdana" w:cs="Verdana"/>
                <w:sz w:val="20"/>
                <w:szCs w:val="20"/>
              </w:rPr>
              <w:t xml:space="preserve">Овергаз Директ </w:t>
            </w:r>
            <w:r w:rsidR="00AA671D" w:rsidRPr="006B47A6">
              <w:rPr>
                <w:rFonts w:ascii="Verdana" w:hAnsi="Verdana" w:cs="Verdana"/>
                <w:sz w:val="20"/>
                <w:szCs w:val="20"/>
              </w:rPr>
              <w:t>Е</w:t>
            </w:r>
            <w:r w:rsidRPr="006B47A6">
              <w:rPr>
                <w:rFonts w:ascii="Verdana" w:hAnsi="Verdana" w:cs="Verdana"/>
                <w:sz w:val="20"/>
                <w:szCs w:val="20"/>
              </w:rPr>
              <w:t>ООД</w:t>
            </w:r>
          </w:p>
        </w:tc>
        <w:tc>
          <w:tcPr>
            <w:tcW w:w="651" w:type="pct"/>
          </w:tcPr>
          <w:p w:rsidR="00954168" w:rsidRPr="004F03A5" w:rsidRDefault="007A1CCD" w:rsidP="000B6DD7">
            <w:pPr>
              <w:spacing w:line="260" w:lineRule="atLeast"/>
              <w:jc w:val="center"/>
              <w:rPr>
                <w:rFonts w:ascii="Verdana" w:hAnsi="Verdana" w:cs="Verdana"/>
                <w:sz w:val="20"/>
                <w:szCs w:val="20"/>
              </w:rPr>
            </w:pPr>
            <w:r>
              <w:rPr>
                <w:rFonts w:ascii="Verdana" w:hAnsi="Verdana" w:cs="Verdana"/>
                <w:sz w:val="20"/>
                <w:szCs w:val="20"/>
              </w:rPr>
              <w:t xml:space="preserve"> </w:t>
            </w:r>
            <w:r w:rsidR="00954168" w:rsidRPr="004F03A5">
              <w:rPr>
                <w:rFonts w:ascii="Verdana" w:hAnsi="Verdana" w:cs="Verdana"/>
                <w:sz w:val="20"/>
                <w:szCs w:val="20"/>
              </w:rPr>
              <w:t>0,00</w:t>
            </w:r>
            <w:r>
              <w:rPr>
                <w:rFonts w:ascii="Verdana" w:hAnsi="Verdana" w:cs="Verdana"/>
                <w:sz w:val="20"/>
                <w:szCs w:val="20"/>
              </w:rPr>
              <w:t>0</w:t>
            </w:r>
            <w:r w:rsidR="00954168" w:rsidRPr="004F03A5">
              <w:rPr>
                <w:rFonts w:ascii="Verdana" w:hAnsi="Verdana" w:cs="Verdana"/>
                <w:sz w:val="20"/>
                <w:szCs w:val="20"/>
              </w:rPr>
              <w:t>01</w:t>
            </w:r>
            <w:r w:rsidR="009F2C91">
              <w:rPr>
                <w:rFonts w:ascii="Verdana" w:hAnsi="Verdana" w:cs="Verdana"/>
                <w:sz w:val="20"/>
                <w:szCs w:val="20"/>
              </w:rPr>
              <w:t xml:space="preserve"> </w:t>
            </w:r>
            <w:r w:rsidR="00954168" w:rsidRPr="004F03A5">
              <w:rPr>
                <w:rFonts w:ascii="Verdana" w:hAnsi="Verdana" w:cs="Verdana"/>
                <w:sz w:val="20"/>
                <w:szCs w:val="20"/>
              </w:rPr>
              <w:t>%</w:t>
            </w:r>
          </w:p>
        </w:tc>
        <w:tc>
          <w:tcPr>
            <w:tcW w:w="775" w:type="pct"/>
          </w:tcPr>
          <w:p w:rsidR="00954168" w:rsidRPr="004F03A5" w:rsidRDefault="00954168" w:rsidP="000B6DD7">
            <w:pPr>
              <w:spacing w:line="260" w:lineRule="atLeast"/>
              <w:jc w:val="center"/>
              <w:rPr>
                <w:rFonts w:ascii="Verdana" w:hAnsi="Verdana" w:cs="Verdana"/>
                <w:sz w:val="20"/>
                <w:szCs w:val="20"/>
              </w:rPr>
            </w:pPr>
            <w:r w:rsidRPr="004F03A5">
              <w:rPr>
                <w:rFonts w:ascii="Verdana" w:hAnsi="Verdana" w:cs="Verdana"/>
                <w:sz w:val="20"/>
                <w:szCs w:val="20"/>
              </w:rPr>
              <w:t>1</w:t>
            </w:r>
          </w:p>
        </w:tc>
        <w:tc>
          <w:tcPr>
            <w:tcW w:w="798" w:type="pct"/>
          </w:tcPr>
          <w:p w:rsidR="00954168" w:rsidRPr="004F03A5" w:rsidRDefault="00954168" w:rsidP="000B6DD7">
            <w:pPr>
              <w:spacing w:line="260" w:lineRule="atLeast"/>
              <w:jc w:val="center"/>
              <w:rPr>
                <w:rFonts w:ascii="Verdana" w:hAnsi="Verdana" w:cs="Verdana"/>
                <w:sz w:val="20"/>
                <w:szCs w:val="20"/>
              </w:rPr>
            </w:pPr>
            <w:r w:rsidRPr="004F03A5">
              <w:rPr>
                <w:rFonts w:ascii="Verdana" w:hAnsi="Verdana" w:cs="Verdana"/>
                <w:sz w:val="20"/>
                <w:szCs w:val="20"/>
              </w:rPr>
              <w:t>1</w:t>
            </w:r>
          </w:p>
        </w:tc>
      </w:tr>
      <w:tr w:rsidR="00954168" w:rsidTr="000B6DD7">
        <w:trPr>
          <w:tblCellSpacing w:w="1440" w:type="nil"/>
        </w:trPr>
        <w:tc>
          <w:tcPr>
            <w:tcW w:w="2674" w:type="pct"/>
          </w:tcPr>
          <w:p w:rsidR="00954168" w:rsidRPr="00CF2829" w:rsidRDefault="00954168" w:rsidP="000B6DD7">
            <w:pPr>
              <w:spacing w:line="260" w:lineRule="atLeast"/>
              <w:rPr>
                <w:rFonts w:ascii="Verdana" w:hAnsi="Verdana" w:cs="Verdana"/>
                <w:b/>
                <w:bCs/>
                <w:sz w:val="20"/>
                <w:szCs w:val="20"/>
              </w:rPr>
            </w:pPr>
            <w:r w:rsidRPr="00CF2829">
              <w:rPr>
                <w:rFonts w:ascii="Verdana" w:hAnsi="Verdana" w:cs="Verdana"/>
                <w:b/>
                <w:bCs/>
                <w:sz w:val="20"/>
                <w:szCs w:val="20"/>
              </w:rPr>
              <w:t>Общо</w:t>
            </w:r>
          </w:p>
        </w:tc>
        <w:tc>
          <w:tcPr>
            <w:tcW w:w="651" w:type="pct"/>
          </w:tcPr>
          <w:p w:rsidR="00954168" w:rsidRPr="00CF2829" w:rsidRDefault="00954168" w:rsidP="000B6DD7">
            <w:pPr>
              <w:spacing w:line="260" w:lineRule="atLeast"/>
              <w:jc w:val="center"/>
              <w:rPr>
                <w:rFonts w:ascii="Verdana" w:hAnsi="Verdana" w:cs="Verdana"/>
                <w:b/>
                <w:bCs/>
                <w:sz w:val="20"/>
                <w:szCs w:val="20"/>
              </w:rPr>
            </w:pPr>
            <w:r w:rsidRPr="00CF2829">
              <w:rPr>
                <w:rFonts w:ascii="Verdana" w:hAnsi="Verdana" w:cs="Verdana"/>
                <w:b/>
                <w:bCs/>
                <w:sz w:val="20"/>
                <w:szCs w:val="20"/>
              </w:rPr>
              <w:t>100</w:t>
            </w:r>
            <w:r w:rsidR="009F2C91">
              <w:rPr>
                <w:rFonts w:ascii="Verdana" w:hAnsi="Verdana" w:cs="Verdana"/>
                <w:b/>
                <w:bCs/>
                <w:sz w:val="20"/>
                <w:szCs w:val="20"/>
              </w:rPr>
              <w:t xml:space="preserve"> </w:t>
            </w:r>
            <w:r w:rsidRPr="00CF2829">
              <w:rPr>
                <w:rFonts w:ascii="Verdana" w:hAnsi="Verdana" w:cs="Verdana"/>
                <w:b/>
                <w:bCs/>
                <w:sz w:val="20"/>
                <w:szCs w:val="20"/>
              </w:rPr>
              <w:t>%</w:t>
            </w:r>
          </w:p>
        </w:tc>
        <w:tc>
          <w:tcPr>
            <w:tcW w:w="775" w:type="pct"/>
          </w:tcPr>
          <w:p w:rsidR="00954168" w:rsidRPr="00CF2829" w:rsidRDefault="00954168" w:rsidP="000B6DD7">
            <w:pPr>
              <w:spacing w:line="260" w:lineRule="atLeast"/>
              <w:jc w:val="center"/>
              <w:rPr>
                <w:rFonts w:ascii="Verdana" w:hAnsi="Verdana" w:cs="Verdana"/>
                <w:b/>
                <w:bCs/>
                <w:sz w:val="20"/>
                <w:szCs w:val="20"/>
              </w:rPr>
            </w:pPr>
            <w:r>
              <w:rPr>
                <w:rFonts w:ascii="Verdana" w:hAnsi="Verdana" w:cs="Verdana"/>
                <w:b/>
                <w:bCs/>
                <w:sz w:val="20"/>
                <w:szCs w:val="20"/>
              </w:rPr>
              <w:t>7 000 000</w:t>
            </w:r>
          </w:p>
        </w:tc>
        <w:tc>
          <w:tcPr>
            <w:tcW w:w="798" w:type="pct"/>
          </w:tcPr>
          <w:p w:rsidR="00954168" w:rsidRPr="00CF2829" w:rsidRDefault="00954168" w:rsidP="000B6DD7">
            <w:pPr>
              <w:spacing w:line="260" w:lineRule="atLeast"/>
              <w:jc w:val="center"/>
              <w:rPr>
                <w:rFonts w:ascii="Verdana" w:hAnsi="Verdana" w:cs="Verdana"/>
                <w:b/>
                <w:bCs/>
                <w:sz w:val="20"/>
                <w:szCs w:val="20"/>
              </w:rPr>
            </w:pPr>
            <w:r>
              <w:rPr>
                <w:rFonts w:ascii="Verdana" w:hAnsi="Verdana" w:cs="Verdana"/>
                <w:b/>
                <w:bCs/>
                <w:sz w:val="20"/>
                <w:szCs w:val="20"/>
              </w:rPr>
              <w:t>7 </w:t>
            </w:r>
            <w:r w:rsidRPr="00CF2829">
              <w:rPr>
                <w:rFonts w:ascii="Verdana" w:hAnsi="Verdana" w:cs="Verdana"/>
                <w:b/>
                <w:bCs/>
                <w:sz w:val="20"/>
                <w:szCs w:val="20"/>
              </w:rPr>
              <w:t>000</w:t>
            </w:r>
            <w:r>
              <w:rPr>
                <w:rFonts w:ascii="Verdana" w:hAnsi="Verdana" w:cs="Verdana"/>
                <w:b/>
                <w:bCs/>
                <w:sz w:val="20"/>
                <w:szCs w:val="20"/>
              </w:rPr>
              <w:t xml:space="preserve"> 000</w:t>
            </w:r>
          </w:p>
        </w:tc>
      </w:tr>
    </w:tbl>
    <w:p w:rsidR="00954168" w:rsidRDefault="00954168" w:rsidP="00954168">
      <w:pPr>
        <w:spacing w:before="60" w:line="260" w:lineRule="atLeast"/>
        <w:rPr>
          <w:rFonts w:ascii="Verdana" w:hAnsi="Verdana" w:cs="Verdana"/>
          <w:sz w:val="20"/>
          <w:szCs w:val="20"/>
          <w:lang w:val="en-US"/>
        </w:rPr>
      </w:pPr>
    </w:p>
    <w:p w:rsidR="00954168" w:rsidRDefault="00954168" w:rsidP="00954168">
      <w:pPr>
        <w:spacing w:before="60" w:line="260" w:lineRule="atLeast"/>
        <w:rPr>
          <w:rFonts w:ascii="Verdana" w:hAnsi="Verdana" w:cs="Verdana"/>
          <w:sz w:val="20"/>
          <w:szCs w:val="20"/>
        </w:rPr>
      </w:pP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00561901">
        <w:rPr>
          <w:rFonts w:ascii="Verdana" w:hAnsi="Verdana" w:cs="Verdana"/>
          <w:sz w:val="20"/>
          <w:szCs w:val="20"/>
          <w:lang w:val="ru-RU"/>
        </w:rPr>
        <w:t>.202</w:t>
      </w:r>
      <w:r w:rsidR="00B72F38">
        <w:rPr>
          <w:rFonts w:ascii="Verdana" w:hAnsi="Verdana" w:cs="Verdana"/>
          <w:sz w:val="20"/>
          <w:szCs w:val="20"/>
          <w:lang w:val="en-GB"/>
        </w:rPr>
        <w:t>5</w:t>
      </w:r>
      <w:r w:rsidRPr="009B79B2">
        <w:rPr>
          <w:rFonts w:ascii="Verdana" w:hAnsi="Verdana" w:cs="Verdana"/>
          <w:sz w:val="20"/>
          <w:szCs w:val="20"/>
        </w:rPr>
        <w:t xml:space="preserve"> г. </w:t>
      </w:r>
      <w:r w:rsidR="00ED612A">
        <w:rPr>
          <w:rFonts w:ascii="Verdana" w:hAnsi="Verdana" w:cs="Verdana"/>
          <w:sz w:val="20"/>
          <w:szCs w:val="20"/>
        </w:rPr>
        <w:t>„</w:t>
      </w:r>
      <w:r w:rsidRPr="009B79B2">
        <w:rPr>
          <w:rFonts w:ascii="Verdana" w:hAnsi="Verdana" w:cs="Verdana"/>
          <w:sz w:val="20"/>
          <w:szCs w:val="20"/>
        </w:rPr>
        <w:t>Топлофикация – Разград</w:t>
      </w:r>
      <w:r w:rsidR="00ED612A">
        <w:rPr>
          <w:rFonts w:ascii="Verdana" w:hAnsi="Verdana" w:cs="Verdana"/>
          <w:sz w:val="20"/>
          <w:szCs w:val="20"/>
        </w:rPr>
        <w:t xml:space="preserve">“ </w:t>
      </w:r>
      <w:r w:rsidRPr="009B79B2">
        <w:rPr>
          <w:rFonts w:ascii="Verdana" w:hAnsi="Verdana" w:cs="Verdana"/>
          <w:sz w:val="20"/>
          <w:szCs w:val="20"/>
        </w:rPr>
        <w:t>АД няма участия в дъщерни и асоциирани дружества.</w:t>
      </w:r>
    </w:p>
    <w:p w:rsidR="00954168" w:rsidRPr="009B79B2" w:rsidRDefault="00954168" w:rsidP="00954168">
      <w:pPr>
        <w:spacing w:before="60" w:line="260" w:lineRule="atLeast"/>
        <w:rPr>
          <w:rFonts w:ascii="Verdana" w:hAnsi="Verdana" w:cs="Verdana"/>
          <w:sz w:val="20"/>
          <w:szCs w:val="20"/>
        </w:rPr>
      </w:pPr>
    </w:p>
    <w:p w:rsidR="00954168" w:rsidRPr="009B79B2" w:rsidRDefault="00954168" w:rsidP="00954168">
      <w:pPr>
        <w:spacing w:before="60" w:line="260" w:lineRule="atLeast"/>
        <w:rPr>
          <w:rFonts w:ascii="Verdana" w:hAnsi="Verdana" w:cs="Verdana"/>
          <w:b/>
          <w:bCs/>
          <w:sz w:val="20"/>
          <w:szCs w:val="20"/>
        </w:rPr>
      </w:pPr>
      <w:r w:rsidRPr="009B79B2">
        <w:rPr>
          <w:rFonts w:ascii="Verdana" w:hAnsi="Verdana" w:cs="Verdana"/>
          <w:b/>
          <w:bCs/>
          <w:sz w:val="20"/>
          <w:szCs w:val="20"/>
        </w:rPr>
        <w:t>Капиталова структура</w:t>
      </w:r>
    </w:p>
    <w:p w:rsidR="00954168" w:rsidRDefault="00954168" w:rsidP="00954168">
      <w:pPr>
        <w:spacing w:before="60" w:line="260" w:lineRule="atLeast"/>
        <w:rPr>
          <w:rFonts w:ascii="Verdana" w:hAnsi="Verdana" w:cs="Verdana"/>
          <w:sz w:val="20"/>
          <w:szCs w:val="20"/>
        </w:rPr>
      </w:pP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00561901">
        <w:rPr>
          <w:rFonts w:ascii="Verdana" w:hAnsi="Verdana" w:cs="Verdana"/>
          <w:sz w:val="20"/>
          <w:szCs w:val="20"/>
          <w:lang w:val="ru-RU"/>
        </w:rPr>
        <w:t>.202</w:t>
      </w:r>
      <w:r w:rsidR="00B72F38">
        <w:rPr>
          <w:rFonts w:ascii="Verdana" w:hAnsi="Verdana" w:cs="Verdana"/>
          <w:sz w:val="20"/>
          <w:szCs w:val="20"/>
          <w:lang w:val="en-GB"/>
        </w:rPr>
        <w:t>5</w:t>
      </w:r>
      <w:r w:rsidRPr="009B79B2">
        <w:rPr>
          <w:rFonts w:ascii="Verdana" w:hAnsi="Verdana" w:cs="Verdana"/>
          <w:sz w:val="20"/>
          <w:szCs w:val="20"/>
        </w:rPr>
        <w:t xml:space="preserve"> г. собствения</w:t>
      </w:r>
      <w:r w:rsidR="009F2C91">
        <w:rPr>
          <w:rFonts w:ascii="Verdana" w:hAnsi="Verdana" w:cs="Verdana"/>
          <w:sz w:val="20"/>
          <w:szCs w:val="20"/>
        </w:rPr>
        <w:t>т</w:t>
      </w:r>
      <w:r w:rsidRPr="009B79B2">
        <w:rPr>
          <w:rFonts w:ascii="Verdana" w:hAnsi="Verdana" w:cs="Verdana"/>
          <w:sz w:val="20"/>
          <w:szCs w:val="20"/>
        </w:rPr>
        <w:t xml:space="preserve"> капитал на дружеството е в размер на </w:t>
      </w:r>
      <w:r w:rsidR="009D79AF">
        <w:rPr>
          <w:rFonts w:ascii="Verdana" w:hAnsi="Verdana" w:cs="Verdana"/>
          <w:sz w:val="20"/>
          <w:szCs w:val="20"/>
        </w:rPr>
        <w:t xml:space="preserve">3 </w:t>
      </w:r>
      <w:r w:rsidR="00B72F38">
        <w:rPr>
          <w:rFonts w:ascii="Verdana" w:hAnsi="Verdana" w:cs="Verdana"/>
          <w:sz w:val="20"/>
          <w:szCs w:val="20"/>
          <w:lang w:val="en-GB"/>
        </w:rPr>
        <w:t>359</w:t>
      </w:r>
      <w:r w:rsidRPr="009B79B2">
        <w:rPr>
          <w:rFonts w:ascii="Verdana" w:hAnsi="Verdana" w:cs="Verdana"/>
          <w:sz w:val="20"/>
          <w:szCs w:val="20"/>
        </w:rPr>
        <w:t xml:space="preserve"> хил.лв.</w:t>
      </w:r>
    </w:p>
    <w:p w:rsidR="00954168" w:rsidRDefault="00954168" w:rsidP="00954168">
      <w:pPr>
        <w:spacing w:before="60" w:line="260" w:lineRule="atLeast"/>
        <w:rPr>
          <w:rFonts w:ascii="Verdana" w:hAnsi="Verdana" w:cs="Verdana"/>
          <w:sz w:val="20"/>
          <w:szCs w:val="20"/>
        </w:rPr>
      </w:pPr>
      <w:r>
        <w:rPr>
          <w:rFonts w:ascii="Verdana" w:hAnsi="Verdana" w:cs="Verdana"/>
          <w:sz w:val="20"/>
          <w:szCs w:val="20"/>
        </w:rPr>
        <w:t>През отчетния период не са настъпили и</w:t>
      </w:r>
      <w:r w:rsidR="007B05A6">
        <w:rPr>
          <w:rFonts w:ascii="Verdana" w:hAnsi="Verdana" w:cs="Verdana"/>
          <w:sz w:val="20"/>
          <w:szCs w:val="20"/>
        </w:rPr>
        <w:t xml:space="preserve">зменения в основния капитал на дружеството, </w:t>
      </w:r>
      <w:r>
        <w:rPr>
          <w:rFonts w:ascii="Verdana" w:hAnsi="Verdana" w:cs="Verdana"/>
          <w:sz w:val="20"/>
          <w:szCs w:val="20"/>
        </w:rPr>
        <w:t>спрямо предходния отчетен период.</w:t>
      </w:r>
    </w:p>
    <w:p w:rsidR="00954168" w:rsidRPr="00E53814" w:rsidRDefault="00954168" w:rsidP="00954168">
      <w:pPr>
        <w:pStyle w:val="HTMLPreformatted"/>
        <w:jc w:val="both"/>
        <w:rPr>
          <w:rFonts w:ascii="Verdana" w:hAnsi="Verdana" w:cs="Verdana"/>
          <w:b/>
          <w:bCs/>
          <w:sz w:val="20"/>
          <w:szCs w:val="20"/>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p>
    <w:p w:rsidR="00954168" w:rsidRPr="00C2255D"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C2255D">
        <w:rPr>
          <w:rFonts w:ascii="Verdana" w:hAnsi="Verdana" w:cs="Verdana"/>
          <w:b/>
          <w:bCs/>
          <w:sz w:val="20"/>
          <w:szCs w:val="20"/>
          <w:lang w:val="bg-BG"/>
        </w:rPr>
        <w:t>Управление</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 xml:space="preserve">Съгласно действащия Търговски закон в </w:t>
      </w:r>
      <w:r>
        <w:rPr>
          <w:rFonts w:ascii="Verdana" w:hAnsi="Verdana" w:cs="Verdana"/>
          <w:sz w:val="20"/>
          <w:szCs w:val="20"/>
        </w:rPr>
        <w:t xml:space="preserve">Република </w:t>
      </w:r>
      <w:r w:rsidRPr="00C2255D">
        <w:rPr>
          <w:rFonts w:ascii="Verdana" w:hAnsi="Verdana" w:cs="Verdana"/>
          <w:sz w:val="20"/>
          <w:szCs w:val="20"/>
        </w:rPr>
        <w:t xml:space="preserve">България, </w:t>
      </w:r>
      <w:r w:rsidRPr="009B79B2">
        <w:rPr>
          <w:rFonts w:ascii="Verdana" w:hAnsi="Verdana" w:cs="Verdana"/>
          <w:sz w:val="20"/>
          <w:szCs w:val="20"/>
        </w:rPr>
        <w:t xml:space="preserve">към </w:t>
      </w:r>
      <w:r w:rsidRPr="009B79B2">
        <w:rPr>
          <w:rFonts w:ascii="Verdana" w:hAnsi="Verdana" w:cs="Verdana"/>
          <w:sz w:val="20"/>
          <w:szCs w:val="20"/>
          <w:lang w:val="ru-RU"/>
        </w:rPr>
        <w:t>3</w:t>
      </w:r>
      <w:r w:rsidRPr="009B79B2">
        <w:rPr>
          <w:rFonts w:ascii="Verdana" w:hAnsi="Verdana" w:cs="Verdana"/>
          <w:sz w:val="20"/>
          <w:szCs w:val="20"/>
        </w:rPr>
        <w:t>0</w:t>
      </w:r>
      <w:r w:rsidRPr="009B79B2">
        <w:rPr>
          <w:rFonts w:ascii="Verdana" w:hAnsi="Verdana" w:cs="Verdana"/>
          <w:sz w:val="20"/>
          <w:szCs w:val="20"/>
          <w:lang w:val="ru-RU"/>
        </w:rPr>
        <w:t>.</w:t>
      </w:r>
      <w:r w:rsidRPr="009B79B2">
        <w:rPr>
          <w:rFonts w:ascii="Verdana" w:hAnsi="Verdana" w:cs="Verdana"/>
          <w:sz w:val="20"/>
          <w:szCs w:val="20"/>
        </w:rPr>
        <w:t>06</w:t>
      </w:r>
      <w:r w:rsidR="00561901">
        <w:rPr>
          <w:rFonts w:ascii="Verdana" w:hAnsi="Verdana" w:cs="Verdana"/>
          <w:sz w:val="20"/>
          <w:szCs w:val="20"/>
          <w:lang w:val="ru-RU"/>
        </w:rPr>
        <w:t>.202</w:t>
      </w:r>
      <w:r w:rsidR="00B72F38">
        <w:rPr>
          <w:rFonts w:ascii="Verdana" w:hAnsi="Verdana" w:cs="Verdana"/>
          <w:sz w:val="20"/>
          <w:szCs w:val="20"/>
          <w:lang w:val="en-GB"/>
        </w:rPr>
        <w:t>5</w:t>
      </w:r>
      <w:r w:rsidRPr="009B79B2">
        <w:rPr>
          <w:rFonts w:ascii="Verdana" w:hAnsi="Verdana" w:cs="Verdana"/>
          <w:sz w:val="20"/>
          <w:szCs w:val="20"/>
        </w:rPr>
        <w:t xml:space="preserve"> г.,</w:t>
      </w:r>
      <w:r w:rsidRPr="00C2255D">
        <w:rPr>
          <w:rFonts w:ascii="Verdana" w:hAnsi="Verdana" w:cs="Verdana"/>
          <w:sz w:val="20"/>
          <w:szCs w:val="20"/>
        </w:rPr>
        <w:t xml:space="preserve"> </w:t>
      </w:r>
      <w:r>
        <w:rPr>
          <w:rFonts w:ascii="Verdana" w:hAnsi="Verdana" w:cs="Verdana"/>
          <w:sz w:val="20"/>
          <w:szCs w:val="20"/>
        </w:rPr>
        <w:t>„</w:t>
      </w:r>
      <w:r w:rsidRPr="00C2255D">
        <w:rPr>
          <w:rFonts w:ascii="Verdana" w:hAnsi="Verdana" w:cs="Verdana"/>
          <w:sz w:val="20"/>
          <w:szCs w:val="20"/>
        </w:rPr>
        <w:t>Топлофикация – Разград</w:t>
      </w:r>
      <w:r>
        <w:rPr>
          <w:rFonts w:ascii="Verdana" w:hAnsi="Verdana" w:cs="Verdana"/>
          <w:sz w:val="20"/>
          <w:szCs w:val="20"/>
        </w:rPr>
        <w:t>“</w:t>
      </w:r>
      <w:r w:rsidR="000123BA">
        <w:rPr>
          <w:rFonts w:ascii="Verdana" w:hAnsi="Verdana" w:cs="Verdana"/>
          <w:sz w:val="20"/>
          <w:szCs w:val="20"/>
        </w:rPr>
        <w:t xml:space="preserve"> </w:t>
      </w:r>
      <w:r w:rsidR="00AF5B42">
        <w:rPr>
          <w:rFonts w:ascii="Verdana" w:hAnsi="Verdana" w:cs="Verdana"/>
          <w:sz w:val="20"/>
          <w:szCs w:val="20"/>
        </w:rPr>
        <w:t>АД е акционерно д</w:t>
      </w:r>
      <w:r w:rsidRPr="00C2255D">
        <w:rPr>
          <w:rFonts w:ascii="Verdana" w:hAnsi="Verdana" w:cs="Verdana"/>
          <w:sz w:val="20"/>
          <w:szCs w:val="20"/>
        </w:rPr>
        <w:t>ружество с едностепенна система на управление.</w:t>
      </w:r>
    </w:p>
    <w:p w:rsidR="00F63006" w:rsidRDefault="00954168" w:rsidP="00954168">
      <w:pPr>
        <w:spacing w:before="120" w:line="260" w:lineRule="atLeast"/>
        <w:rPr>
          <w:rFonts w:ascii="Verdana" w:hAnsi="Verdana" w:cs="Verdana"/>
          <w:sz w:val="20"/>
          <w:szCs w:val="20"/>
        </w:rPr>
      </w:pPr>
      <w:r w:rsidRPr="00C2255D">
        <w:rPr>
          <w:rFonts w:ascii="Verdana" w:hAnsi="Verdana" w:cs="Verdana"/>
          <w:sz w:val="20"/>
          <w:szCs w:val="20"/>
        </w:rPr>
        <w:t xml:space="preserve">Към </w:t>
      </w:r>
      <w:r w:rsidR="00561901">
        <w:rPr>
          <w:rFonts w:ascii="Verdana" w:hAnsi="Verdana" w:cs="Verdana"/>
          <w:sz w:val="20"/>
          <w:szCs w:val="20"/>
        </w:rPr>
        <w:t>30.06.202</w:t>
      </w:r>
      <w:r w:rsidR="00AD7B53">
        <w:rPr>
          <w:rFonts w:ascii="Verdana" w:hAnsi="Verdana" w:cs="Verdana"/>
          <w:sz w:val="20"/>
          <w:szCs w:val="20"/>
          <w:lang w:val="en-US"/>
        </w:rPr>
        <w:t>5</w:t>
      </w:r>
      <w:bookmarkStart w:id="7" w:name="_GoBack"/>
      <w:bookmarkEnd w:id="7"/>
      <w:r w:rsidRPr="00C2255D">
        <w:rPr>
          <w:rFonts w:ascii="Verdana" w:hAnsi="Verdana" w:cs="Verdana"/>
          <w:sz w:val="20"/>
          <w:szCs w:val="20"/>
        </w:rPr>
        <w:t xml:space="preserve"> г., Съве</w:t>
      </w:r>
      <w:r w:rsidR="00F63006">
        <w:rPr>
          <w:rFonts w:ascii="Verdana" w:hAnsi="Verdana" w:cs="Verdana"/>
          <w:sz w:val="20"/>
          <w:szCs w:val="20"/>
        </w:rPr>
        <w:t>тът на директорите се състои от:</w:t>
      </w:r>
    </w:p>
    <w:p w:rsidR="00ED612A" w:rsidRDefault="00F63006" w:rsidP="00F63006">
      <w:pPr>
        <w:spacing w:line="360" w:lineRule="auto"/>
        <w:rPr>
          <w:rFonts w:ascii="Verdana" w:hAnsi="Verdana" w:cs="Arial"/>
          <w:b/>
          <w:sz w:val="20"/>
        </w:rPr>
      </w:pPr>
      <w:r w:rsidRPr="000E54EB">
        <w:rPr>
          <w:rFonts w:ascii="Verdana" w:hAnsi="Verdana" w:cs="Arial"/>
          <w:b/>
          <w:sz w:val="20"/>
        </w:rPr>
        <w:t>Председател</w:t>
      </w:r>
      <w:r w:rsidR="000123BA">
        <w:rPr>
          <w:rFonts w:ascii="Verdana" w:hAnsi="Verdana" w:cs="Arial"/>
          <w:b/>
          <w:sz w:val="20"/>
        </w:rPr>
        <w:t>:</w:t>
      </w:r>
    </w:p>
    <w:p w:rsidR="00F63006" w:rsidRPr="000E54EB" w:rsidRDefault="00ED612A" w:rsidP="00F63006">
      <w:pPr>
        <w:spacing w:line="360" w:lineRule="auto"/>
        <w:rPr>
          <w:rFonts w:ascii="Verdana" w:hAnsi="Verdana" w:cs="Vrinda"/>
          <w:b/>
          <w:sz w:val="20"/>
        </w:rPr>
      </w:pPr>
      <w:r>
        <w:rPr>
          <w:rFonts w:ascii="Verdana" w:hAnsi="Verdana" w:cs="Arial"/>
          <w:sz w:val="20"/>
        </w:rPr>
        <w:t>„</w:t>
      </w:r>
      <w:r w:rsidR="00F63006" w:rsidRPr="000E54EB">
        <w:rPr>
          <w:rFonts w:ascii="Verdana" w:hAnsi="Verdana" w:cs="Arial"/>
          <w:sz w:val="20"/>
        </w:rPr>
        <w:t>ОВЕРГАЗ</w:t>
      </w:r>
      <w:r w:rsidR="00F63006">
        <w:rPr>
          <w:rFonts w:ascii="Verdana" w:hAnsi="Verdana" w:cs="Arial"/>
          <w:sz w:val="20"/>
        </w:rPr>
        <w:t xml:space="preserve"> </w:t>
      </w:r>
      <w:r w:rsidR="00F63006" w:rsidRPr="000E54EB">
        <w:rPr>
          <w:rFonts w:ascii="Verdana" w:hAnsi="Verdana" w:cs="Arial"/>
          <w:sz w:val="20"/>
        </w:rPr>
        <w:t>ХОЛДИНГ</w:t>
      </w:r>
      <w:r>
        <w:rPr>
          <w:rFonts w:ascii="Verdana" w:hAnsi="Verdana" w:cs="Arial"/>
          <w:sz w:val="20"/>
        </w:rPr>
        <w:t>“</w:t>
      </w:r>
      <w:r w:rsidR="00F63006">
        <w:rPr>
          <w:rFonts w:ascii="Verdana" w:hAnsi="Verdana" w:cs="Arial"/>
          <w:sz w:val="20"/>
        </w:rPr>
        <w:t xml:space="preserve"> </w:t>
      </w:r>
      <w:r w:rsidR="00F63006" w:rsidRPr="000E54EB">
        <w:rPr>
          <w:rFonts w:ascii="Verdana" w:hAnsi="Verdana" w:cs="Arial"/>
          <w:sz w:val="20"/>
        </w:rPr>
        <w:t>АД</w:t>
      </w:r>
      <w:r w:rsidR="00F63006" w:rsidRPr="000E54EB">
        <w:rPr>
          <w:rFonts w:ascii="Verdana" w:hAnsi="Verdana" w:cs="Vrinda"/>
          <w:sz w:val="20"/>
        </w:rPr>
        <w:t xml:space="preserve">, </w:t>
      </w:r>
      <w:r w:rsidR="00F63006" w:rsidRPr="000E54EB">
        <w:rPr>
          <w:rFonts w:ascii="Verdana" w:hAnsi="Verdana" w:cs="Arial"/>
          <w:sz w:val="20"/>
          <w:lang w:eastAsia="bg-BG"/>
        </w:rPr>
        <w:t>представлявано</w:t>
      </w:r>
      <w:r w:rsidR="00F63006">
        <w:rPr>
          <w:rFonts w:ascii="Verdana" w:hAnsi="Verdana" w:cs="Arial"/>
          <w:sz w:val="20"/>
          <w:lang w:eastAsia="bg-BG"/>
        </w:rPr>
        <w:t xml:space="preserve"> </w:t>
      </w:r>
      <w:r w:rsidR="00F63006" w:rsidRPr="000E54EB">
        <w:rPr>
          <w:rFonts w:ascii="Verdana" w:hAnsi="Verdana" w:cs="Arial"/>
          <w:sz w:val="20"/>
          <w:lang w:eastAsia="bg-BG"/>
        </w:rPr>
        <w:t>от</w:t>
      </w:r>
      <w:r w:rsidR="00F63006">
        <w:rPr>
          <w:rFonts w:ascii="Verdana" w:hAnsi="Verdana" w:cs="Arial"/>
          <w:sz w:val="20"/>
          <w:lang w:eastAsia="bg-BG"/>
        </w:rPr>
        <w:t xml:space="preserve"> </w:t>
      </w:r>
      <w:r>
        <w:rPr>
          <w:rFonts w:ascii="Verdana" w:hAnsi="Verdana" w:cs="Vrinda"/>
          <w:sz w:val="20"/>
          <w:lang w:eastAsia="bg-BG"/>
        </w:rPr>
        <w:t>Данаил Парашкевов Монов</w:t>
      </w:r>
    </w:p>
    <w:p w:rsidR="00F63006" w:rsidRPr="000E54EB" w:rsidRDefault="00F63006" w:rsidP="00F63006">
      <w:pPr>
        <w:spacing w:line="360" w:lineRule="auto"/>
        <w:rPr>
          <w:rFonts w:ascii="Verdana" w:hAnsi="Verdana" w:cs="Vrinda"/>
          <w:b/>
          <w:sz w:val="20"/>
        </w:rPr>
      </w:pPr>
      <w:r w:rsidRPr="000E54EB">
        <w:rPr>
          <w:rFonts w:ascii="Verdana" w:hAnsi="Verdana" w:cs="Arial"/>
          <w:b/>
          <w:sz w:val="20"/>
        </w:rPr>
        <w:t>Членове</w:t>
      </w:r>
      <w:r w:rsidRPr="000E54EB">
        <w:rPr>
          <w:rFonts w:ascii="Verdana" w:hAnsi="Verdana" w:cs="Vrinda"/>
          <w:b/>
          <w:sz w:val="20"/>
        </w:rPr>
        <w:t xml:space="preserve">: </w:t>
      </w:r>
    </w:p>
    <w:p w:rsidR="00B13504" w:rsidRPr="000E54EB" w:rsidRDefault="00B13504" w:rsidP="00B13504">
      <w:pPr>
        <w:spacing w:line="360" w:lineRule="auto"/>
        <w:rPr>
          <w:rFonts w:ascii="Verdana" w:hAnsi="Verdana" w:cs="Vrinda"/>
          <w:sz w:val="20"/>
          <w:lang w:eastAsia="bg-BG"/>
        </w:rPr>
      </w:pPr>
      <w:r>
        <w:rPr>
          <w:rFonts w:ascii="Verdana" w:hAnsi="Verdana" w:cs="Arial"/>
          <w:caps/>
          <w:sz w:val="20"/>
          <w:lang w:eastAsia="bg-BG"/>
        </w:rPr>
        <w:t>стефка христова найденова</w:t>
      </w:r>
      <w:r w:rsidRPr="000E54EB">
        <w:rPr>
          <w:rFonts w:ascii="Verdana" w:hAnsi="Verdana" w:cs="Vrinda"/>
          <w:sz w:val="20"/>
          <w:lang w:eastAsia="bg-BG"/>
        </w:rPr>
        <w:t xml:space="preserve"> – </w:t>
      </w:r>
      <w:r w:rsidRPr="000E54EB">
        <w:rPr>
          <w:rFonts w:ascii="Verdana" w:hAnsi="Verdana" w:cs="Arial"/>
          <w:sz w:val="20"/>
          <w:lang w:eastAsia="bg-BG"/>
        </w:rPr>
        <w:t>Член</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Съвета</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директорите</w:t>
      </w:r>
      <w:r w:rsidRPr="000E54EB">
        <w:rPr>
          <w:rFonts w:ascii="Verdana" w:hAnsi="Verdana" w:cs="Vrinda"/>
          <w:sz w:val="20"/>
          <w:lang w:eastAsia="bg-BG"/>
        </w:rPr>
        <w:t>;</w:t>
      </w:r>
    </w:p>
    <w:p w:rsidR="00B13504" w:rsidRPr="000E54EB" w:rsidRDefault="00B13504" w:rsidP="00B13504">
      <w:pPr>
        <w:spacing w:line="360" w:lineRule="auto"/>
        <w:rPr>
          <w:rFonts w:ascii="Verdana" w:hAnsi="Verdana" w:cs="Vrinda"/>
          <w:sz w:val="20"/>
          <w:lang w:eastAsia="bg-BG"/>
        </w:rPr>
      </w:pPr>
      <w:r w:rsidRPr="000E54EB">
        <w:rPr>
          <w:rFonts w:ascii="Verdana" w:hAnsi="Verdana" w:cs="Arial"/>
          <w:caps/>
          <w:sz w:val="20"/>
          <w:lang w:eastAsia="bg-BG"/>
        </w:rPr>
        <w:t>Михаил</w:t>
      </w:r>
      <w:r>
        <w:rPr>
          <w:rFonts w:ascii="Verdana" w:hAnsi="Verdana" w:cs="Arial"/>
          <w:caps/>
          <w:sz w:val="20"/>
          <w:lang w:eastAsia="bg-BG"/>
        </w:rPr>
        <w:t xml:space="preserve"> </w:t>
      </w:r>
      <w:r w:rsidRPr="000E54EB">
        <w:rPr>
          <w:rFonts w:ascii="Verdana" w:hAnsi="Verdana" w:cs="Arial"/>
          <w:caps/>
          <w:sz w:val="20"/>
          <w:lang w:eastAsia="bg-BG"/>
        </w:rPr>
        <w:t>Николаев</w:t>
      </w:r>
      <w:r>
        <w:rPr>
          <w:rFonts w:ascii="Verdana" w:hAnsi="Verdana" w:cs="Arial"/>
          <w:caps/>
          <w:sz w:val="20"/>
          <w:lang w:eastAsia="bg-BG"/>
        </w:rPr>
        <w:t xml:space="preserve"> </w:t>
      </w:r>
      <w:r w:rsidRPr="000E54EB">
        <w:rPr>
          <w:rFonts w:ascii="Verdana" w:hAnsi="Verdana" w:cs="Arial"/>
          <w:caps/>
          <w:sz w:val="20"/>
          <w:lang w:eastAsia="bg-BG"/>
        </w:rPr>
        <w:t>Ковачев</w:t>
      </w:r>
      <w:r w:rsidRPr="000E54EB">
        <w:rPr>
          <w:rFonts w:ascii="Verdana" w:hAnsi="Verdana" w:cs="Vrinda"/>
          <w:sz w:val="20"/>
          <w:lang w:eastAsia="bg-BG"/>
        </w:rPr>
        <w:t xml:space="preserve"> – </w:t>
      </w:r>
      <w:r w:rsidRPr="000E54EB">
        <w:rPr>
          <w:rFonts w:ascii="Verdana" w:hAnsi="Verdana" w:cs="Arial"/>
          <w:sz w:val="20"/>
          <w:lang w:eastAsia="bg-BG"/>
        </w:rPr>
        <w:t>Изпълнителен</w:t>
      </w:r>
      <w:r>
        <w:rPr>
          <w:rFonts w:ascii="Verdana" w:hAnsi="Verdana" w:cs="Arial"/>
          <w:sz w:val="20"/>
          <w:lang w:eastAsia="bg-BG"/>
        </w:rPr>
        <w:t xml:space="preserve"> </w:t>
      </w:r>
      <w:r w:rsidRPr="000E54EB">
        <w:rPr>
          <w:rFonts w:ascii="Verdana" w:hAnsi="Verdana" w:cs="Arial"/>
          <w:sz w:val="20"/>
          <w:lang w:eastAsia="bg-BG"/>
        </w:rPr>
        <w:t>директор</w:t>
      </w:r>
    </w:p>
    <w:p w:rsidR="00954168" w:rsidRDefault="00B8207F" w:rsidP="00954168">
      <w:pPr>
        <w:spacing w:before="100" w:line="260" w:lineRule="atLeast"/>
        <w:rPr>
          <w:rFonts w:ascii="Verdana" w:hAnsi="Verdana" w:cs="Verdana"/>
          <w:sz w:val="20"/>
          <w:szCs w:val="20"/>
        </w:rPr>
      </w:pPr>
      <w:r>
        <w:rPr>
          <w:rFonts w:ascii="Verdana" w:hAnsi="Verdana" w:cs="Verdana"/>
          <w:sz w:val="20"/>
          <w:szCs w:val="20"/>
        </w:rPr>
        <w:t>Изпълнителен Директор на д</w:t>
      </w:r>
      <w:r w:rsidR="00954168" w:rsidRPr="00C2255D">
        <w:rPr>
          <w:rFonts w:ascii="Verdana" w:hAnsi="Verdana" w:cs="Verdana"/>
          <w:sz w:val="20"/>
          <w:szCs w:val="20"/>
        </w:rPr>
        <w:t>ружеството е Михаил Николаев Ковачев.</w:t>
      </w:r>
    </w:p>
    <w:p w:rsidR="00954168" w:rsidRPr="00C2255D" w:rsidRDefault="00954168" w:rsidP="00954168">
      <w:pPr>
        <w:spacing w:line="240" w:lineRule="atLeast"/>
        <w:rPr>
          <w:rFonts w:ascii="Verdana" w:hAnsi="Verdana" w:cs="Verdana"/>
          <w:sz w:val="20"/>
          <w:szCs w:val="20"/>
        </w:rPr>
      </w:pPr>
    </w:p>
    <w:p w:rsidR="00954168" w:rsidRPr="00640DD7"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640DD7">
        <w:rPr>
          <w:rFonts w:ascii="Verdana" w:hAnsi="Verdana" w:cs="Verdana"/>
          <w:b/>
          <w:bCs/>
          <w:sz w:val="20"/>
          <w:szCs w:val="20"/>
          <w:lang w:val="bg-BG"/>
        </w:rPr>
        <w:t>Човешки ресурси</w:t>
      </w:r>
    </w:p>
    <w:p w:rsidR="00954168" w:rsidRPr="00C2255D" w:rsidRDefault="00954168" w:rsidP="00954168">
      <w:pPr>
        <w:pStyle w:val="BodyText"/>
        <w:spacing w:after="0" w:line="260" w:lineRule="atLeast"/>
        <w:rPr>
          <w:rFonts w:ascii="Verdana" w:hAnsi="Verdana" w:cs="Verdana"/>
          <w:i/>
          <w:iCs/>
          <w:sz w:val="20"/>
          <w:szCs w:val="20"/>
          <w:lang w:val="bg-BG"/>
        </w:rPr>
      </w:pPr>
      <w:r w:rsidRPr="00C2255D">
        <w:rPr>
          <w:rFonts w:ascii="Verdana" w:hAnsi="Verdana" w:cs="Verdana"/>
          <w:i/>
          <w:iCs/>
          <w:sz w:val="20"/>
          <w:szCs w:val="20"/>
          <w:lang w:val="bg-BG"/>
        </w:rPr>
        <w:t>Персонал</w:t>
      </w:r>
    </w:p>
    <w:p w:rsidR="00954168" w:rsidRPr="00A52D1E" w:rsidRDefault="00954168" w:rsidP="00954168">
      <w:pPr>
        <w:pStyle w:val="BodyText"/>
        <w:spacing w:after="0" w:line="260" w:lineRule="atLeast"/>
        <w:rPr>
          <w:rFonts w:ascii="Verdana" w:hAnsi="Verdana" w:cs="Verdana"/>
          <w:sz w:val="20"/>
          <w:szCs w:val="20"/>
          <w:lang w:val="ru-RU"/>
        </w:rPr>
      </w:pPr>
      <w:r w:rsidRPr="009B79B2">
        <w:rPr>
          <w:rFonts w:ascii="Verdana" w:hAnsi="Verdana" w:cs="Verdana"/>
          <w:sz w:val="20"/>
          <w:szCs w:val="20"/>
          <w:lang w:val="bg-BG"/>
        </w:rPr>
        <w:t xml:space="preserve">Персоналът, с който е реализирана производствената програма </w:t>
      </w:r>
      <w:r>
        <w:rPr>
          <w:rFonts w:ascii="Verdana" w:hAnsi="Verdana" w:cs="Verdana"/>
          <w:sz w:val="20"/>
          <w:szCs w:val="20"/>
          <w:lang w:val="bg-BG"/>
        </w:rPr>
        <w:t>пр</w:t>
      </w:r>
      <w:r w:rsidR="009D79AF">
        <w:rPr>
          <w:rFonts w:ascii="Verdana" w:hAnsi="Verdana" w:cs="Verdana"/>
          <w:sz w:val="20"/>
          <w:szCs w:val="20"/>
          <w:lang w:val="bg-BG"/>
        </w:rPr>
        <w:t>е</w:t>
      </w:r>
      <w:r>
        <w:rPr>
          <w:rFonts w:ascii="Verdana" w:hAnsi="Verdana" w:cs="Verdana"/>
          <w:sz w:val="20"/>
          <w:szCs w:val="20"/>
          <w:lang w:val="bg-BG"/>
        </w:rPr>
        <w:t xml:space="preserve">з разглеждания период </w:t>
      </w:r>
      <w:r w:rsidRPr="009B79B2">
        <w:rPr>
          <w:rFonts w:ascii="Verdana" w:hAnsi="Verdana" w:cs="Verdana"/>
          <w:sz w:val="20"/>
          <w:szCs w:val="20"/>
          <w:lang w:val="bg-BG"/>
        </w:rPr>
        <w:t xml:space="preserve">е </w:t>
      </w:r>
      <w:r w:rsidR="00A61EA6">
        <w:rPr>
          <w:rFonts w:ascii="Verdana" w:hAnsi="Verdana" w:cs="Verdana"/>
          <w:sz w:val="20"/>
          <w:szCs w:val="20"/>
          <w:lang w:val="ru-RU"/>
        </w:rPr>
        <w:t>3</w:t>
      </w:r>
      <w:r w:rsidR="0024014B">
        <w:rPr>
          <w:rFonts w:ascii="Verdana" w:hAnsi="Verdana" w:cs="Verdana"/>
          <w:sz w:val="20"/>
          <w:szCs w:val="20"/>
          <w:lang w:val="ru-RU"/>
        </w:rPr>
        <w:t>3</w:t>
      </w:r>
      <w:r w:rsidRPr="009B79B2">
        <w:rPr>
          <w:rFonts w:ascii="Verdana" w:hAnsi="Verdana" w:cs="Verdana"/>
          <w:sz w:val="20"/>
          <w:szCs w:val="20"/>
          <w:lang w:val="bg-BG"/>
        </w:rPr>
        <w:t xml:space="preserve"> човека, от които работниците, заети в основната дейност са </w:t>
      </w:r>
      <w:r w:rsidR="0024014B">
        <w:rPr>
          <w:rFonts w:ascii="Verdana" w:hAnsi="Verdana" w:cs="Verdana"/>
          <w:sz w:val="20"/>
          <w:szCs w:val="20"/>
          <w:lang w:val="bg-BG"/>
        </w:rPr>
        <w:t>20</w:t>
      </w:r>
      <w:r w:rsidR="00BA3E1A">
        <w:rPr>
          <w:rFonts w:ascii="Verdana" w:hAnsi="Verdana" w:cs="Verdana"/>
          <w:sz w:val="20"/>
          <w:szCs w:val="20"/>
          <w:lang w:val="bg-BG"/>
        </w:rPr>
        <w:t xml:space="preserve"> души, представляващи </w:t>
      </w:r>
      <w:r w:rsidR="0024014B">
        <w:rPr>
          <w:rFonts w:ascii="Verdana" w:hAnsi="Verdana" w:cs="Verdana"/>
          <w:sz w:val="20"/>
          <w:szCs w:val="20"/>
          <w:lang w:val="bg-BG"/>
        </w:rPr>
        <w:t>60</w:t>
      </w:r>
      <w:r w:rsidR="00ED612A">
        <w:rPr>
          <w:rFonts w:ascii="Verdana" w:hAnsi="Verdana" w:cs="Verdana"/>
          <w:sz w:val="20"/>
          <w:szCs w:val="20"/>
          <w:lang w:val="bg-BG"/>
        </w:rPr>
        <w:t xml:space="preserve"> </w:t>
      </w:r>
      <w:r w:rsidR="0024014B">
        <w:rPr>
          <w:rFonts w:ascii="Verdana" w:hAnsi="Verdana" w:cs="Verdana"/>
          <w:sz w:val="20"/>
          <w:szCs w:val="20"/>
          <w:lang w:val="bg-BG"/>
        </w:rPr>
        <w:t>%, а останалите 40</w:t>
      </w:r>
      <w:r w:rsidR="000123BA">
        <w:rPr>
          <w:rFonts w:ascii="Verdana" w:hAnsi="Verdana" w:cs="Verdana"/>
          <w:sz w:val="20"/>
          <w:szCs w:val="20"/>
          <w:lang w:val="bg-BG"/>
        </w:rPr>
        <w:t xml:space="preserve"> </w:t>
      </w:r>
      <w:r w:rsidRPr="009B79B2">
        <w:rPr>
          <w:rFonts w:ascii="Verdana" w:hAnsi="Verdana" w:cs="Verdana"/>
          <w:sz w:val="20"/>
          <w:szCs w:val="20"/>
          <w:lang w:val="bg-BG"/>
        </w:rPr>
        <w:t>% включват спомагателния и административен персонал – 1</w:t>
      </w:r>
      <w:r w:rsidR="0024014B">
        <w:rPr>
          <w:rFonts w:ascii="Verdana" w:hAnsi="Verdana" w:cs="Verdana"/>
          <w:sz w:val="20"/>
          <w:szCs w:val="20"/>
          <w:lang w:val="ru-RU"/>
        </w:rPr>
        <w:t>3</w:t>
      </w:r>
      <w:r w:rsidRPr="009B79B2">
        <w:rPr>
          <w:rFonts w:ascii="Verdana" w:hAnsi="Verdana" w:cs="Verdana"/>
          <w:sz w:val="20"/>
          <w:szCs w:val="20"/>
          <w:lang w:val="bg-BG"/>
        </w:rPr>
        <w:t xml:space="preserve"> човека.</w:t>
      </w:r>
    </w:p>
    <w:p w:rsidR="00954168" w:rsidRDefault="00954168" w:rsidP="00954168">
      <w:pPr>
        <w:pStyle w:val="BodyText"/>
        <w:spacing w:after="0" w:line="260" w:lineRule="atLeast"/>
        <w:rPr>
          <w:rFonts w:ascii="Verdana" w:hAnsi="Verdana" w:cs="Verdana"/>
          <w:sz w:val="20"/>
          <w:szCs w:val="20"/>
          <w:lang w:val="bg-BG"/>
        </w:rPr>
      </w:pPr>
    </w:p>
    <w:p w:rsidR="00954168" w:rsidRPr="002530AA" w:rsidRDefault="00954168" w:rsidP="00954168">
      <w:pPr>
        <w:pStyle w:val="BodyText"/>
        <w:spacing w:after="0" w:line="260" w:lineRule="atLeast"/>
        <w:rPr>
          <w:rFonts w:ascii="Verdana" w:hAnsi="Verdana" w:cs="Verdana"/>
          <w:i/>
          <w:iCs/>
          <w:sz w:val="20"/>
          <w:szCs w:val="20"/>
          <w:lang w:val="bg-BG"/>
        </w:rPr>
      </w:pPr>
      <w:r w:rsidRPr="000D0F39">
        <w:rPr>
          <w:rFonts w:ascii="Verdana" w:hAnsi="Verdana" w:cs="Verdana"/>
          <w:i/>
          <w:iCs/>
          <w:sz w:val="20"/>
          <w:szCs w:val="20"/>
          <w:lang w:val="bg-BG"/>
        </w:rPr>
        <w:t xml:space="preserve">Работна заплата </w:t>
      </w:r>
    </w:p>
    <w:p w:rsidR="0024014B" w:rsidRDefault="00954168" w:rsidP="00954168">
      <w:pPr>
        <w:pStyle w:val="BodyText"/>
        <w:spacing w:after="0" w:line="260" w:lineRule="atLeast"/>
        <w:rPr>
          <w:rFonts w:ascii="Verdana" w:hAnsi="Verdana" w:cs="Verdana"/>
          <w:sz w:val="20"/>
          <w:szCs w:val="20"/>
          <w:lang w:val="bg-BG"/>
        </w:rPr>
      </w:pPr>
      <w:r w:rsidRPr="008219CA">
        <w:rPr>
          <w:rFonts w:ascii="Verdana" w:hAnsi="Verdana" w:cs="Verdana"/>
          <w:sz w:val="20"/>
          <w:szCs w:val="20"/>
          <w:lang w:val="bg-BG"/>
        </w:rPr>
        <w:t>Начислените и изплатени средства за работна заплата за разгле</w:t>
      </w:r>
      <w:r w:rsidR="008219CA" w:rsidRPr="008219CA">
        <w:rPr>
          <w:rFonts w:ascii="Verdana" w:hAnsi="Verdana" w:cs="Verdana"/>
          <w:sz w:val="20"/>
          <w:szCs w:val="20"/>
          <w:lang w:val="bg-BG"/>
        </w:rPr>
        <w:t xml:space="preserve">ждания период са в размер на </w:t>
      </w:r>
      <w:r w:rsidR="00B72F38">
        <w:rPr>
          <w:rFonts w:ascii="Verdana" w:hAnsi="Verdana" w:cs="Verdana"/>
          <w:sz w:val="20"/>
          <w:szCs w:val="20"/>
          <w:lang w:val="en-GB"/>
        </w:rPr>
        <w:t>447</w:t>
      </w:r>
      <w:r w:rsidR="008219CA" w:rsidRPr="00B208E3">
        <w:rPr>
          <w:rFonts w:ascii="Verdana" w:hAnsi="Verdana" w:cs="Verdana"/>
          <w:sz w:val="20"/>
          <w:szCs w:val="20"/>
          <w:lang w:val="bg-BG"/>
        </w:rPr>
        <w:t xml:space="preserve"> хил.лв., </w:t>
      </w:r>
    </w:p>
    <w:p w:rsidR="00954168" w:rsidRPr="002530AA" w:rsidRDefault="00954168" w:rsidP="00954168">
      <w:pPr>
        <w:pStyle w:val="BodyText"/>
        <w:spacing w:after="0" w:line="260" w:lineRule="atLeast"/>
        <w:rPr>
          <w:rFonts w:ascii="Verdana" w:hAnsi="Verdana" w:cs="Verdana"/>
          <w:i/>
          <w:iCs/>
          <w:sz w:val="20"/>
          <w:szCs w:val="20"/>
          <w:lang w:val="bg-BG"/>
        </w:rPr>
      </w:pPr>
      <w:r w:rsidRPr="002530AA">
        <w:rPr>
          <w:rFonts w:ascii="Verdana" w:hAnsi="Verdana" w:cs="Verdana"/>
          <w:i/>
          <w:iCs/>
          <w:sz w:val="20"/>
          <w:szCs w:val="20"/>
          <w:lang w:val="bg-BG"/>
        </w:rPr>
        <w:t>Социални придобивки</w:t>
      </w:r>
    </w:p>
    <w:p w:rsidR="00954168" w:rsidRDefault="00954168" w:rsidP="00954168">
      <w:pPr>
        <w:pStyle w:val="BodyText"/>
        <w:spacing w:after="0" w:line="260" w:lineRule="atLeast"/>
        <w:rPr>
          <w:rFonts w:ascii="Verdana" w:hAnsi="Verdana" w:cs="Verdana"/>
          <w:sz w:val="20"/>
          <w:szCs w:val="20"/>
          <w:lang w:val="bg-BG"/>
        </w:rPr>
      </w:pPr>
      <w:r>
        <w:rPr>
          <w:rFonts w:ascii="Verdana" w:hAnsi="Verdana" w:cs="Verdana"/>
          <w:sz w:val="20"/>
          <w:szCs w:val="20"/>
          <w:lang w:val="bg-BG"/>
        </w:rPr>
        <w:t>Към предоставените социални придобивки можем да о</w:t>
      </w:r>
      <w:r w:rsidR="00D43C66">
        <w:rPr>
          <w:rFonts w:ascii="Verdana" w:hAnsi="Verdana" w:cs="Verdana"/>
          <w:sz w:val="20"/>
          <w:szCs w:val="20"/>
          <w:lang w:val="bg-BG"/>
        </w:rPr>
        <w:t>тчетем предоставянето на средства</w:t>
      </w:r>
      <w:r>
        <w:rPr>
          <w:rFonts w:ascii="Verdana" w:hAnsi="Verdana" w:cs="Verdana"/>
          <w:sz w:val="20"/>
          <w:szCs w:val="20"/>
          <w:lang w:val="bg-BG"/>
        </w:rPr>
        <w:t xml:space="preserve"> за </w:t>
      </w:r>
      <w:r w:rsidRPr="00D43C66">
        <w:rPr>
          <w:rFonts w:ascii="Verdana" w:hAnsi="Verdana" w:cs="Verdana"/>
          <w:sz w:val="20"/>
          <w:szCs w:val="20"/>
          <w:lang w:val="bg-BG"/>
        </w:rPr>
        <w:t>храна</w:t>
      </w:r>
      <w:r>
        <w:rPr>
          <w:rFonts w:ascii="Verdana" w:hAnsi="Verdana" w:cs="Verdana"/>
          <w:sz w:val="20"/>
          <w:szCs w:val="20"/>
          <w:lang w:val="bg-BG"/>
        </w:rPr>
        <w:t>, застраховки „Живот“ и „Трудова злополука“, допълнителна здравна застраховка, както и предоставяне на ежегодни профилактични прегледи.</w:t>
      </w:r>
    </w:p>
    <w:p w:rsidR="00954168" w:rsidRPr="00C2255D" w:rsidRDefault="00954168" w:rsidP="00954168">
      <w:pPr>
        <w:pStyle w:val="BodyText"/>
        <w:spacing w:after="0" w:line="260" w:lineRule="atLeast"/>
        <w:rPr>
          <w:rFonts w:ascii="Verdana" w:hAnsi="Verdana" w:cs="Verdana"/>
          <w:sz w:val="20"/>
          <w:szCs w:val="20"/>
          <w:lang w:val="bg-BG"/>
        </w:rPr>
      </w:pPr>
    </w:p>
    <w:p w:rsidR="00954168" w:rsidRPr="003A26A3"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FF393B">
        <w:rPr>
          <w:rFonts w:ascii="Verdana" w:hAnsi="Verdana" w:cs="Verdana"/>
          <w:b/>
          <w:bCs/>
          <w:sz w:val="20"/>
          <w:szCs w:val="20"/>
          <w:lang w:val="bg-BG"/>
        </w:rPr>
        <w:t xml:space="preserve">Анализ на продажби и структура на </w:t>
      </w:r>
      <w:r w:rsidRPr="008A4423">
        <w:rPr>
          <w:rFonts w:ascii="Verdana" w:hAnsi="Verdana" w:cs="Verdana"/>
          <w:b/>
          <w:bCs/>
          <w:sz w:val="20"/>
          <w:szCs w:val="20"/>
          <w:lang w:val="bg-BG"/>
        </w:rPr>
        <w:t>разходите</w:t>
      </w:r>
    </w:p>
    <w:p w:rsidR="00954168" w:rsidRPr="004857A2" w:rsidRDefault="00B8207F" w:rsidP="00954168">
      <w:pPr>
        <w:pStyle w:val="BodyTextIndent"/>
        <w:spacing w:before="0" w:line="260" w:lineRule="atLeast"/>
        <w:ind w:left="0"/>
        <w:rPr>
          <w:rFonts w:ascii="Verdana" w:hAnsi="Verdana" w:cs="Verdana"/>
          <w:sz w:val="20"/>
          <w:szCs w:val="20"/>
        </w:rPr>
      </w:pPr>
      <w:r>
        <w:rPr>
          <w:rFonts w:ascii="Verdana" w:hAnsi="Verdana" w:cs="Arial"/>
          <w:sz w:val="20"/>
          <w:szCs w:val="20"/>
        </w:rPr>
        <w:t>Основният дял от приходите на д</w:t>
      </w:r>
      <w:r w:rsidR="00954168" w:rsidRPr="00C2255D">
        <w:rPr>
          <w:rFonts w:ascii="Verdana" w:hAnsi="Verdana" w:cs="Arial"/>
          <w:sz w:val="20"/>
          <w:szCs w:val="20"/>
        </w:rPr>
        <w:t>ружеството са от продажба на т</w:t>
      </w:r>
      <w:r w:rsidR="00954168">
        <w:rPr>
          <w:rFonts w:ascii="Verdana" w:hAnsi="Verdana" w:cs="Arial"/>
          <w:sz w:val="20"/>
          <w:szCs w:val="20"/>
        </w:rPr>
        <w:t xml:space="preserve">оплинна и електрическа енергия в размер </w:t>
      </w:r>
      <w:r w:rsidR="00954168" w:rsidRPr="004857A2">
        <w:rPr>
          <w:rFonts w:ascii="Verdana" w:hAnsi="Verdana" w:cs="Arial"/>
          <w:sz w:val="20"/>
          <w:szCs w:val="20"/>
        </w:rPr>
        <w:t xml:space="preserve">на </w:t>
      </w:r>
      <w:r w:rsidR="00B74769">
        <w:rPr>
          <w:rFonts w:ascii="Verdana" w:hAnsi="Verdana" w:cs="Arial"/>
          <w:sz w:val="20"/>
          <w:szCs w:val="20"/>
        </w:rPr>
        <w:t xml:space="preserve">3 </w:t>
      </w:r>
      <w:r w:rsidR="00B72F38">
        <w:rPr>
          <w:rFonts w:ascii="Verdana" w:hAnsi="Verdana" w:cs="Arial"/>
          <w:sz w:val="20"/>
          <w:szCs w:val="20"/>
          <w:lang w:val="en-GB"/>
        </w:rPr>
        <w:t>448</w:t>
      </w:r>
      <w:r w:rsidR="00ED612A">
        <w:rPr>
          <w:rFonts w:ascii="Verdana" w:hAnsi="Verdana" w:cs="Arial"/>
          <w:sz w:val="20"/>
          <w:szCs w:val="20"/>
        </w:rPr>
        <w:t xml:space="preserve"> </w:t>
      </w:r>
      <w:r w:rsidR="00954168" w:rsidRPr="004857A2">
        <w:rPr>
          <w:rFonts w:ascii="Verdana" w:hAnsi="Verdana" w:cs="Arial"/>
          <w:sz w:val="20"/>
          <w:szCs w:val="20"/>
        </w:rPr>
        <w:t xml:space="preserve">хил.лв. </w:t>
      </w:r>
      <w:r w:rsidR="00EA0D16" w:rsidRPr="004857A2">
        <w:rPr>
          <w:rFonts w:ascii="Verdana" w:hAnsi="Verdana" w:cs="Arial"/>
          <w:sz w:val="20"/>
          <w:szCs w:val="20"/>
        </w:rPr>
        <w:t xml:space="preserve">от общо </w:t>
      </w:r>
      <w:r w:rsidR="00B74769">
        <w:rPr>
          <w:rFonts w:ascii="Verdana" w:hAnsi="Verdana" w:cs="Arial"/>
          <w:sz w:val="20"/>
          <w:szCs w:val="20"/>
        </w:rPr>
        <w:t xml:space="preserve">3 </w:t>
      </w:r>
      <w:r w:rsidR="00B72F38">
        <w:rPr>
          <w:rFonts w:ascii="Verdana" w:hAnsi="Verdana" w:cs="Arial"/>
          <w:sz w:val="20"/>
          <w:szCs w:val="20"/>
          <w:lang w:val="en-GB"/>
        </w:rPr>
        <w:t>575</w:t>
      </w:r>
      <w:r w:rsidR="00A61EA6">
        <w:rPr>
          <w:rFonts w:ascii="Verdana" w:hAnsi="Verdana" w:cs="Arial"/>
          <w:sz w:val="20"/>
          <w:szCs w:val="20"/>
        </w:rPr>
        <w:t xml:space="preserve"> </w:t>
      </w:r>
      <w:r w:rsidR="00954168" w:rsidRPr="004857A2">
        <w:rPr>
          <w:rFonts w:ascii="Verdana" w:hAnsi="Verdana" w:cs="Arial"/>
          <w:sz w:val="20"/>
          <w:szCs w:val="20"/>
        </w:rPr>
        <w:t>хил.лв., както следва:</w:t>
      </w:r>
      <w:r w:rsidR="00954168" w:rsidRPr="004857A2">
        <w:rPr>
          <w:rFonts w:ascii="Verdana" w:hAnsi="Verdana" w:cs="Verdana"/>
          <w:sz w:val="20"/>
          <w:szCs w:val="20"/>
        </w:rPr>
        <w:t xml:space="preserve"> </w:t>
      </w:r>
    </w:p>
    <w:p w:rsidR="00954168" w:rsidRPr="004857A2" w:rsidRDefault="00954168" w:rsidP="00954168">
      <w:pPr>
        <w:pStyle w:val="BodyTextIndent"/>
        <w:spacing w:before="0" w:line="260" w:lineRule="atLeast"/>
        <w:ind w:left="0"/>
        <w:rPr>
          <w:rFonts w:ascii="Verdana" w:hAnsi="Verdana" w:cs="Verdana"/>
          <w:sz w:val="20"/>
          <w:szCs w:val="20"/>
        </w:rPr>
      </w:pPr>
    </w:p>
    <w:p w:rsidR="00954168" w:rsidRPr="004857A2" w:rsidRDefault="00954168" w:rsidP="00954168">
      <w:pPr>
        <w:pStyle w:val="BodyTextIndent"/>
        <w:numPr>
          <w:ilvl w:val="0"/>
          <w:numId w:val="4"/>
        </w:numPr>
        <w:spacing w:before="0" w:line="260" w:lineRule="atLeast"/>
        <w:rPr>
          <w:rFonts w:ascii="Verdana" w:hAnsi="Verdana" w:cs="Arial"/>
          <w:sz w:val="20"/>
          <w:szCs w:val="20"/>
        </w:rPr>
      </w:pPr>
      <w:r w:rsidRPr="004857A2">
        <w:rPr>
          <w:rFonts w:ascii="Verdana" w:hAnsi="Verdana" w:cs="Arial"/>
          <w:sz w:val="20"/>
          <w:szCs w:val="20"/>
        </w:rPr>
        <w:t>Приходи от топлинна енергия – 1 </w:t>
      </w:r>
      <w:r w:rsidR="00B72F38">
        <w:rPr>
          <w:rFonts w:ascii="Verdana" w:hAnsi="Verdana" w:cs="Arial"/>
          <w:sz w:val="20"/>
          <w:szCs w:val="20"/>
          <w:lang w:val="en-GB"/>
        </w:rPr>
        <w:t>392</w:t>
      </w:r>
      <w:r w:rsidRPr="004857A2">
        <w:rPr>
          <w:rFonts w:ascii="Verdana" w:hAnsi="Verdana" w:cs="Arial"/>
          <w:sz w:val="20"/>
          <w:szCs w:val="20"/>
        </w:rPr>
        <w:t>хил.лв.;</w:t>
      </w:r>
    </w:p>
    <w:p w:rsidR="00954168" w:rsidRPr="004857A2" w:rsidRDefault="00954168" w:rsidP="00954168">
      <w:pPr>
        <w:pStyle w:val="BodyTextIndent"/>
        <w:numPr>
          <w:ilvl w:val="0"/>
          <w:numId w:val="4"/>
        </w:numPr>
        <w:spacing w:before="0" w:line="260" w:lineRule="atLeast"/>
        <w:rPr>
          <w:rFonts w:ascii="Verdana" w:hAnsi="Verdana" w:cs="Arial"/>
          <w:sz w:val="20"/>
          <w:szCs w:val="20"/>
        </w:rPr>
      </w:pPr>
      <w:r w:rsidRPr="004857A2">
        <w:rPr>
          <w:rFonts w:ascii="Verdana" w:hAnsi="Verdana" w:cs="Arial"/>
          <w:sz w:val="20"/>
          <w:szCs w:val="20"/>
        </w:rPr>
        <w:t xml:space="preserve">Приходи от електрическа енергия – </w:t>
      </w:r>
      <w:r w:rsidR="00B72F38">
        <w:rPr>
          <w:rFonts w:ascii="Verdana" w:hAnsi="Verdana" w:cs="Arial"/>
          <w:sz w:val="20"/>
          <w:szCs w:val="20"/>
          <w:lang w:val="en-GB"/>
        </w:rPr>
        <w:t>2 057</w:t>
      </w:r>
      <w:r w:rsidRPr="004857A2">
        <w:rPr>
          <w:rFonts w:ascii="Verdana" w:hAnsi="Verdana" w:cs="Arial"/>
          <w:sz w:val="20"/>
          <w:szCs w:val="20"/>
        </w:rPr>
        <w:t xml:space="preserve"> хил.лв. </w:t>
      </w:r>
    </w:p>
    <w:p w:rsidR="00954168" w:rsidRPr="00C2255D" w:rsidRDefault="00954168" w:rsidP="00954168">
      <w:pPr>
        <w:pStyle w:val="BodyTextIndent"/>
        <w:spacing w:before="0" w:line="260" w:lineRule="atLeast"/>
        <w:ind w:left="720"/>
        <w:rPr>
          <w:rFonts w:ascii="Verdana" w:hAnsi="Verdana" w:cs="Arial"/>
          <w:sz w:val="20"/>
          <w:szCs w:val="20"/>
        </w:rPr>
      </w:pPr>
    </w:p>
    <w:p w:rsidR="00954168" w:rsidRDefault="00954168" w:rsidP="00954168">
      <w:pPr>
        <w:pStyle w:val="BodyTextIndent"/>
        <w:spacing w:before="0" w:line="260" w:lineRule="atLeast"/>
        <w:ind w:left="0"/>
        <w:rPr>
          <w:rFonts w:ascii="Verdana" w:hAnsi="Verdana" w:cs="Arial"/>
          <w:sz w:val="20"/>
          <w:szCs w:val="20"/>
        </w:rPr>
      </w:pPr>
      <w:r w:rsidRPr="00C2255D">
        <w:rPr>
          <w:rFonts w:ascii="Verdana" w:hAnsi="Verdana" w:cs="Arial"/>
          <w:sz w:val="20"/>
          <w:szCs w:val="20"/>
        </w:rPr>
        <w:t>Допълнително дружеството отчита</w:t>
      </w:r>
      <w:r>
        <w:rPr>
          <w:rFonts w:ascii="Verdana" w:hAnsi="Verdana" w:cs="Arial"/>
          <w:sz w:val="20"/>
          <w:szCs w:val="20"/>
        </w:rPr>
        <w:t xml:space="preserve"> </w:t>
      </w:r>
      <w:r w:rsidR="004857A2">
        <w:rPr>
          <w:rFonts w:ascii="Verdana" w:hAnsi="Verdana" w:cs="Arial"/>
          <w:sz w:val="20"/>
          <w:szCs w:val="20"/>
        </w:rPr>
        <w:t xml:space="preserve">приходи от услуги в размер на </w:t>
      </w:r>
      <w:r w:rsidR="00B72F38">
        <w:rPr>
          <w:rFonts w:ascii="Verdana" w:hAnsi="Verdana" w:cs="Arial"/>
          <w:sz w:val="20"/>
          <w:szCs w:val="20"/>
          <w:lang w:val="en-GB"/>
        </w:rPr>
        <w:t>64</w:t>
      </w:r>
      <w:r>
        <w:rPr>
          <w:rFonts w:ascii="Verdana" w:hAnsi="Verdana" w:cs="Arial"/>
          <w:sz w:val="20"/>
          <w:szCs w:val="20"/>
        </w:rPr>
        <w:t xml:space="preserve"> хил.лв</w:t>
      </w:r>
      <w:r w:rsidR="004857A2">
        <w:rPr>
          <w:rFonts w:ascii="Verdana" w:hAnsi="Verdana" w:cs="Arial"/>
          <w:sz w:val="20"/>
          <w:szCs w:val="20"/>
        </w:rPr>
        <w:t xml:space="preserve">. и други приходи в размер на </w:t>
      </w:r>
      <w:r w:rsidR="00B72F38">
        <w:rPr>
          <w:rFonts w:ascii="Verdana" w:hAnsi="Verdana" w:cs="Arial"/>
          <w:sz w:val="20"/>
          <w:szCs w:val="20"/>
          <w:lang w:val="en-GB"/>
        </w:rPr>
        <w:t>78</w:t>
      </w:r>
      <w:r>
        <w:rPr>
          <w:rFonts w:ascii="Verdana" w:hAnsi="Verdana" w:cs="Arial"/>
          <w:sz w:val="20"/>
          <w:szCs w:val="20"/>
        </w:rPr>
        <w:t xml:space="preserve"> хил.лв</w:t>
      </w:r>
      <w:r w:rsidRPr="00C2255D">
        <w:rPr>
          <w:rFonts w:ascii="Verdana" w:hAnsi="Verdana" w:cs="Arial"/>
          <w:sz w:val="20"/>
          <w:szCs w:val="20"/>
        </w:rPr>
        <w:t xml:space="preserve">. </w:t>
      </w:r>
    </w:p>
    <w:p w:rsidR="00954168" w:rsidRPr="00C2255D" w:rsidRDefault="00954168" w:rsidP="00954168">
      <w:pPr>
        <w:pStyle w:val="BodyTextIndent"/>
        <w:spacing w:before="0" w:line="260" w:lineRule="atLeast"/>
        <w:ind w:left="0"/>
        <w:rPr>
          <w:rFonts w:ascii="Verdana" w:hAnsi="Verdana" w:cs="Arial"/>
          <w:bCs/>
          <w:sz w:val="20"/>
          <w:szCs w:val="20"/>
        </w:rPr>
      </w:pPr>
      <w:r w:rsidRPr="00C2255D">
        <w:rPr>
          <w:rFonts w:ascii="Verdana" w:hAnsi="Verdana" w:cs="Arial"/>
          <w:sz w:val="20"/>
          <w:szCs w:val="20"/>
        </w:rPr>
        <w:t xml:space="preserve">Разходите за </w:t>
      </w:r>
      <w:r w:rsidR="00B8207F">
        <w:rPr>
          <w:rFonts w:ascii="Verdana" w:hAnsi="Verdana" w:cs="Arial"/>
          <w:sz w:val="20"/>
          <w:szCs w:val="20"/>
        </w:rPr>
        <w:t xml:space="preserve">основна дейност са в размер на </w:t>
      </w:r>
      <w:r w:rsidR="00B74769">
        <w:rPr>
          <w:rFonts w:ascii="Verdana" w:hAnsi="Verdana" w:cs="Arial"/>
          <w:sz w:val="20"/>
          <w:szCs w:val="20"/>
        </w:rPr>
        <w:t xml:space="preserve"> </w:t>
      </w:r>
      <w:r w:rsidR="00B72F38">
        <w:rPr>
          <w:rFonts w:ascii="Verdana" w:hAnsi="Verdana" w:cs="Arial"/>
          <w:sz w:val="20"/>
          <w:szCs w:val="20"/>
          <w:lang w:val="en-GB"/>
        </w:rPr>
        <w:t>5</w:t>
      </w:r>
      <w:r w:rsidR="00B74769">
        <w:rPr>
          <w:rFonts w:ascii="Verdana" w:hAnsi="Verdana" w:cs="Arial"/>
          <w:sz w:val="20"/>
          <w:szCs w:val="20"/>
        </w:rPr>
        <w:t xml:space="preserve"> </w:t>
      </w:r>
      <w:r w:rsidR="00B72F38">
        <w:rPr>
          <w:rFonts w:ascii="Verdana" w:hAnsi="Verdana" w:cs="Arial"/>
          <w:sz w:val="20"/>
          <w:szCs w:val="20"/>
          <w:lang w:val="en-GB"/>
        </w:rPr>
        <w:t>154</w:t>
      </w:r>
      <w:r w:rsidR="00B74769">
        <w:rPr>
          <w:rFonts w:ascii="Verdana" w:hAnsi="Verdana" w:cs="Arial"/>
          <w:sz w:val="20"/>
          <w:szCs w:val="20"/>
        </w:rPr>
        <w:t xml:space="preserve"> </w:t>
      </w:r>
      <w:r>
        <w:rPr>
          <w:rFonts w:ascii="Verdana" w:hAnsi="Verdana" w:cs="Arial"/>
          <w:sz w:val="20"/>
          <w:szCs w:val="20"/>
        </w:rPr>
        <w:t xml:space="preserve"> хил.лв</w:t>
      </w:r>
      <w:r w:rsidRPr="00C2255D">
        <w:rPr>
          <w:rFonts w:ascii="Verdana" w:hAnsi="Verdana" w:cs="Arial"/>
          <w:sz w:val="20"/>
          <w:szCs w:val="20"/>
        </w:rPr>
        <w:t xml:space="preserve">. С най-голям относителен дял </w:t>
      </w:r>
      <w:r>
        <w:rPr>
          <w:rFonts w:ascii="Verdana" w:hAnsi="Verdana" w:cs="Arial"/>
          <w:sz w:val="20"/>
          <w:szCs w:val="20"/>
        </w:rPr>
        <w:t xml:space="preserve">са разходите за материали  </w:t>
      </w:r>
      <w:r w:rsidR="00B74769">
        <w:rPr>
          <w:rFonts w:ascii="Verdana" w:hAnsi="Verdana" w:cs="Arial"/>
          <w:sz w:val="20"/>
          <w:szCs w:val="20"/>
        </w:rPr>
        <w:t xml:space="preserve"> </w:t>
      </w:r>
      <w:r w:rsidR="00B72F38">
        <w:rPr>
          <w:rFonts w:ascii="Verdana" w:hAnsi="Verdana" w:cs="Arial"/>
          <w:sz w:val="20"/>
          <w:szCs w:val="20"/>
          <w:lang w:val="en-GB"/>
        </w:rPr>
        <w:t>3 454</w:t>
      </w:r>
      <w:r w:rsidR="00B74769">
        <w:rPr>
          <w:rFonts w:ascii="Verdana" w:hAnsi="Verdana" w:cs="Arial"/>
          <w:sz w:val="20"/>
          <w:szCs w:val="20"/>
        </w:rPr>
        <w:t xml:space="preserve"> </w:t>
      </w:r>
      <w:r w:rsidR="005440ED">
        <w:rPr>
          <w:rFonts w:ascii="Verdana" w:hAnsi="Verdana" w:cs="Arial"/>
          <w:sz w:val="20"/>
          <w:szCs w:val="20"/>
        </w:rPr>
        <w:t xml:space="preserve"> </w:t>
      </w:r>
      <w:r w:rsidRPr="00C2255D">
        <w:rPr>
          <w:rFonts w:ascii="Verdana" w:hAnsi="Verdana" w:cs="Arial"/>
          <w:sz w:val="20"/>
          <w:szCs w:val="20"/>
        </w:rPr>
        <w:t xml:space="preserve">хил.лв., следвани от </w:t>
      </w:r>
      <w:r>
        <w:rPr>
          <w:rFonts w:ascii="Verdana" w:hAnsi="Verdana" w:cs="Arial"/>
          <w:sz w:val="20"/>
          <w:szCs w:val="20"/>
        </w:rPr>
        <w:t>ра</w:t>
      </w:r>
      <w:r w:rsidR="00B8207F">
        <w:rPr>
          <w:rFonts w:ascii="Verdana" w:hAnsi="Verdana" w:cs="Arial"/>
          <w:sz w:val="20"/>
          <w:szCs w:val="20"/>
        </w:rPr>
        <w:t xml:space="preserve">зходите </w:t>
      </w:r>
      <w:r w:rsidR="00B0047E">
        <w:rPr>
          <w:rFonts w:ascii="Verdana" w:hAnsi="Verdana" w:cs="Arial"/>
          <w:sz w:val="20"/>
          <w:szCs w:val="20"/>
        </w:rPr>
        <w:t xml:space="preserve">за външни услуги – </w:t>
      </w:r>
      <w:r w:rsidR="00B72F38">
        <w:rPr>
          <w:rFonts w:ascii="Verdana" w:hAnsi="Verdana" w:cs="Arial"/>
          <w:sz w:val="20"/>
          <w:szCs w:val="20"/>
          <w:lang w:val="en-GB"/>
        </w:rPr>
        <w:t>507</w:t>
      </w:r>
      <w:r>
        <w:rPr>
          <w:rFonts w:ascii="Verdana" w:hAnsi="Verdana" w:cs="Arial"/>
          <w:sz w:val="20"/>
          <w:szCs w:val="20"/>
        </w:rPr>
        <w:t xml:space="preserve"> хил.лв. </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sidRPr="00C2255D">
        <w:rPr>
          <w:rFonts w:ascii="Verdana" w:hAnsi="Verdana" w:cs="Arial"/>
          <w:sz w:val="20"/>
          <w:szCs w:val="20"/>
        </w:rPr>
        <w:t xml:space="preserve">Разходи за материали –  </w:t>
      </w:r>
      <w:r w:rsidR="00B72F38">
        <w:rPr>
          <w:rFonts w:ascii="Verdana" w:hAnsi="Verdana" w:cs="Arial"/>
          <w:sz w:val="20"/>
          <w:szCs w:val="20"/>
          <w:lang w:val="en-GB"/>
        </w:rPr>
        <w:t>3 454</w:t>
      </w:r>
      <w:r w:rsidRPr="00C2255D">
        <w:rPr>
          <w:rFonts w:ascii="Verdana" w:hAnsi="Verdana" w:cs="Arial"/>
          <w:sz w:val="20"/>
          <w:szCs w:val="20"/>
        </w:rPr>
        <w:t xml:space="preserve"> хил.лв.; </w:t>
      </w:r>
    </w:p>
    <w:p w:rsidR="00954168" w:rsidRPr="00C2255D" w:rsidRDefault="004857A2"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 xml:space="preserve">Разходи за външни услуги – </w:t>
      </w:r>
      <w:r w:rsidR="00B72F38">
        <w:rPr>
          <w:rFonts w:ascii="Verdana" w:hAnsi="Verdana" w:cs="Arial"/>
          <w:sz w:val="20"/>
          <w:szCs w:val="20"/>
          <w:lang w:val="en-GB"/>
        </w:rPr>
        <w:t>507</w:t>
      </w:r>
      <w:r w:rsidR="00954168" w:rsidRPr="00C2255D">
        <w:rPr>
          <w:rFonts w:ascii="Verdana" w:hAnsi="Verdana" w:cs="Arial"/>
          <w:sz w:val="20"/>
          <w:szCs w:val="20"/>
        </w:rPr>
        <w:t xml:space="preserve"> хил.лв.;</w:t>
      </w:r>
    </w:p>
    <w:p w:rsidR="00954168" w:rsidRPr="00C2255D" w:rsidRDefault="005440ED"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 xml:space="preserve">Разходи за амортизации – </w:t>
      </w:r>
      <w:r w:rsidR="00B72F38">
        <w:rPr>
          <w:rFonts w:ascii="Verdana" w:hAnsi="Verdana" w:cs="Arial"/>
          <w:sz w:val="20"/>
          <w:szCs w:val="20"/>
          <w:lang w:val="en-GB"/>
        </w:rPr>
        <w:t>346</w:t>
      </w:r>
      <w:r w:rsidR="00954168" w:rsidRPr="00C2255D">
        <w:rPr>
          <w:rFonts w:ascii="Verdana" w:hAnsi="Verdana" w:cs="Arial"/>
          <w:sz w:val="20"/>
          <w:szCs w:val="20"/>
        </w:rPr>
        <w:t xml:space="preserve"> хил.лв.;</w:t>
      </w:r>
      <w:r w:rsidR="00954168">
        <w:rPr>
          <w:rFonts w:ascii="Verdana" w:hAnsi="Verdana" w:cs="Arial"/>
          <w:sz w:val="20"/>
          <w:szCs w:val="20"/>
        </w:rPr>
        <w:t xml:space="preserve">  </w:t>
      </w:r>
    </w:p>
    <w:p w:rsidR="00954168" w:rsidRPr="00C2255D" w:rsidRDefault="004857A2"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 xml:space="preserve">Разходи за възнаграждения – </w:t>
      </w:r>
      <w:r w:rsidR="00B72F38">
        <w:rPr>
          <w:rFonts w:ascii="Verdana" w:hAnsi="Verdana" w:cs="Arial"/>
          <w:sz w:val="20"/>
          <w:szCs w:val="20"/>
          <w:lang w:val="en-US"/>
        </w:rPr>
        <w:t>447</w:t>
      </w:r>
      <w:r w:rsidR="00954168" w:rsidRPr="00C2255D">
        <w:rPr>
          <w:rFonts w:ascii="Verdana" w:hAnsi="Verdana" w:cs="Arial"/>
          <w:sz w:val="20"/>
          <w:szCs w:val="20"/>
        </w:rPr>
        <w:t xml:space="preserve"> хил.лв.;</w:t>
      </w:r>
    </w:p>
    <w:p w:rsidR="00954168" w:rsidRPr="00C2255D" w:rsidRDefault="00954168" w:rsidP="00954168">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t>Разходи за осигуро</w:t>
      </w:r>
      <w:r w:rsidR="005440ED">
        <w:rPr>
          <w:rFonts w:ascii="Verdana" w:hAnsi="Verdana" w:cs="Arial"/>
          <w:sz w:val="20"/>
          <w:szCs w:val="20"/>
        </w:rPr>
        <w:t xml:space="preserve">вки – </w:t>
      </w:r>
      <w:r w:rsidR="00B72F38">
        <w:rPr>
          <w:rFonts w:ascii="Verdana" w:hAnsi="Verdana" w:cs="Arial"/>
          <w:sz w:val="20"/>
          <w:szCs w:val="20"/>
          <w:lang w:val="en-GB"/>
        </w:rPr>
        <w:t>82</w:t>
      </w:r>
      <w:r>
        <w:rPr>
          <w:rFonts w:ascii="Verdana" w:hAnsi="Verdana" w:cs="Arial"/>
          <w:sz w:val="20"/>
          <w:szCs w:val="20"/>
        </w:rPr>
        <w:t xml:space="preserve"> </w:t>
      </w:r>
      <w:r w:rsidRPr="00C2255D">
        <w:rPr>
          <w:rFonts w:ascii="Verdana" w:hAnsi="Verdana" w:cs="Arial"/>
          <w:sz w:val="20"/>
          <w:szCs w:val="20"/>
        </w:rPr>
        <w:t>хил.лв.;</w:t>
      </w:r>
    </w:p>
    <w:p w:rsidR="00124453" w:rsidRPr="00B8207F" w:rsidRDefault="00954168" w:rsidP="00B8207F">
      <w:pPr>
        <w:pStyle w:val="BodyTextIndent"/>
        <w:numPr>
          <w:ilvl w:val="0"/>
          <w:numId w:val="3"/>
        </w:numPr>
        <w:spacing w:before="0" w:line="260" w:lineRule="atLeast"/>
        <w:rPr>
          <w:rFonts w:ascii="Verdana" w:hAnsi="Verdana" w:cs="Arial"/>
          <w:sz w:val="20"/>
          <w:szCs w:val="20"/>
        </w:rPr>
      </w:pPr>
      <w:r>
        <w:rPr>
          <w:rFonts w:ascii="Verdana" w:hAnsi="Verdana" w:cs="Arial"/>
          <w:sz w:val="20"/>
          <w:szCs w:val="20"/>
        </w:rPr>
        <w:lastRenderedPageBreak/>
        <w:t xml:space="preserve">Други разходи – </w:t>
      </w:r>
      <w:r w:rsidR="00B72F38">
        <w:rPr>
          <w:rFonts w:ascii="Verdana" w:hAnsi="Verdana" w:cs="Arial"/>
          <w:sz w:val="20"/>
          <w:szCs w:val="20"/>
          <w:lang w:val="en-GB"/>
        </w:rPr>
        <w:t>318</w:t>
      </w:r>
      <w:r w:rsidRPr="00C2255D">
        <w:rPr>
          <w:rFonts w:ascii="Verdana" w:hAnsi="Verdana" w:cs="Arial"/>
          <w:sz w:val="20"/>
          <w:szCs w:val="20"/>
        </w:rPr>
        <w:t xml:space="preserve"> хил.лв.</w:t>
      </w:r>
      <w:r>
        <w:rPr>
          <w:rFonts w:ascii="Verdana" w:hAnsi="Verdana" w:cs="Arial"/>
          <w:sz w:val="20"/>
          <w:szCs w:val="20"/>
        </w:rPr>
        <w:t>, основна част от които са формирани от разходи към фонд СЕС</w:t>
      </w:r>
      <w:r w:rsidR="000123BA">
        <w:rPr>
          <w:rFonts w:ascii="Verdana" w:hAnsi="Verdana" w:cs="Arial"/>
          <w:sz w:val="20"/>
          <w:szCs w:val="20"/>
        </w:rPr>
        <w:t>,</w:t>
      </w:r>
      <w:r>
        <w:rPr>
          <w:rFonts w:ascii="Verdana" w:hAnsi="Verdana" w:cs="Arial"/>
          <w:sz w:val="20"/>
          <w:szCs w:val="20"/>
        </w:rPr>
        <w:t xml:space="preserve"> представляващи 5</w:t>
      </w:r>
      <w:r w:rsidR="000123BA">
        <w:rPr>
          <w:rFonts w:ascii="Verdana" w:hAnsi="Verdana" w:cs="Arial"/>
          <w:sz w:val="20"/>
          <w:szCs w:val="20"/>
        </w:rPr>
        <w:t xml:space="preserve"> </w:t>
      </w:r>
      <w:r>
        <w:rPr>
          <w:rFonts w:ascii="Verdana" w:hAnsi="Verdana" w:cs="Arial"/>
          <w:sz w:val="20"/>
          <w:szCs w:val="20"/>
        </w:rPr>
        <w:t>% от приходите от продаж</w:t>
      </w:r>
      <w:r w:rsidR="009762A8">
        <w:rPr>
          <w:rFonts w:ascii="Verdana" w:hAnsi="Verdana" w:cs="Arial"/>
          <w:sz w:val="20"/>
          <w:szCs w:val="20"/>
        </w:rPr>
        <w:t>ба на ел. енергия</w:t>
      </w:r>
      <w:r>
        <w:rPr>
          <w:rFonts w:ascii="Verdana" w:hAnsi="Verdana" w:cs="Arial"/>
          <w:sz w:val="20"/>
          <w:szCs w:val="20"/>
        </w:rPr>
        <w:t>, разходите за неустойки за</w:t>
      </w:r>
      <w:r w:rsidR="00124453">
        <w:rPr>
          <w:rFonts w:ascii="Verdana" w:hAnsi="Verdana" w:cs="Arial"/>
          <w:sz w:val="20"/>
          <w:szCs w:val="20"/>
        </w:rPr>
        <w:t xml:space="preserve"> забавено плащане</w:t>
      </w:r>
      <w:r>
        <w:rPr>
          <w:rFonts w:ascii="Verdana" w:hAnsi="Verdana" w:cs="Arial"/>
          <w:sz w:val="20"/>
          <w:szCs w:val="20"/>
        </w:rPr>
        <w:t>,</w:t>
      </w:r>
      <w:r w:rsidR="005440ED">
        <w:rPr>
          <w:rFonts w:ascii="Verdana" w:hAnsi="Verdana" w:cs="Arial"/>
          <w:sz w:val="20"/>
          <w:szCs w:val="20"/>
        </w:rPr>
        <w:t xml:space="preserve"> неустойки за недостиг</w:t>
      </w:r>
      <w:r>
        <w:rPr>
          <w:rFonts w:ascii="Verdana" w:hAnsi="Verdana" w:cs="Arial"/>
          <w:sz w:val="20"/>
          <w:szCs w:val="20"/>
        </w:rPr>
        <w:t xml:space="preserve"> и др.</w:t>
      </w:r>
    </w:p>
    <w:p w:rsidR="00954168" w:rsidRPr="00FF393B"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Pr>
          <w:rFonts w:ascii="Verdana" w:hAnsi="Verdana" w:cs="Verdana"/>
          <w:b/>
          <w:bCs/>
          <w:sz w:val="20"/>
          <w:szCs w:val="20"/>
          <w:lang w:val="bg-BG"/>
        </w:rPr>
        <w:t>П</w:t>
      </w:r>
      <w:r w:rsidRPr="00FF393B">
        <w:rPr>
          <w:rFonts w:ascii="Verdana" w:hAnsi="Verdana" w:cs="Verdana"/>
          <w:b/>
          <w:bCs/>
          <w:sz w:val="20"/>
          <w:szCs w:val="20"/>
          <w:lang w:val="bg-BG"/>
        </w:rPr>
        <w:t>роизводствен процес</w:t>
      </w:r>
    </w:p>
    <w:p w:rsidR="00954168" w:rsidRPr="00C2255D" w:rsidRDefault="00B8207F" w:rsidP="00954168">
      <w:pPr>
        <w:spacing w:line="260" w:lineRule="atLeast"/>
        <w:rPr>
          <w:rFonts w:ascii="Verdana" w:hAnsi="Verdana" w:cs="Verdana"/>
          <w:sz w:val="20"/>
          <w:szCs w:val="20"/>
        </w:rPr>
      </w:pPr>
      <w:r>
        <w:rPr>
          <w:rFonts w:ascii="Verdana" w:hAnsi="Verdana" w:cs="Verdana"/>
          <w:sz w:val="20"/>
          <w:szCs w:val="20"/>
        </w:rPr>
        <w:t>Производственият процес на д</w:t>
      </w:r>
      <w:r w:rsidR="00954168" w:rsidRPr="00C2255D">
        <w:rPr>
          <w:rFonts w:ascii="Verdana" w:hAnsi="Verdana" w:cs="Verdana"/>
          <w:sz w:val="20"/>
          <w:szCs w:val="20"/>
        </w:rPr>
        <w:t>ружеството се характеризира с производство на топлинна и електрическа енергия чрез газов бутален двигател с генератор и производство на топлинна енергия с водогрейни котли.</w:t>
      </w:r>
      <w:r w:rsidR="00954168">
        <w:rPr>
          <w:rFonts w:ascii="Verdana" w:hAnsi="Verdana" w:cs="Verdana"/>
          <w:sz w:val="20"/>
          <w:szCs w:val="20"/>
        </w:rPr>
        <w:t xml:space="preserve"> Дейността на дружеството има сезонен характер.</w:t>
      </w:r>
    </w:p>
    <w:p w:rsidR="00954168" w:rsidRPr="00C2255D" w:rsidRDefault="00954168" w:rsidP="00954168">
      <w:pPr>
        <w:pStyle w:val="List"/>
        <w:spacing w:line="260" w:lineRule="atLeast"/>
        <w:ind w:left="0" w:firstLine="0"/>
        <w:jc w:val="both"/>
        <w:rPr>
          <w:rFonts w:ascii="Verdana" w:hAnsi="Verdana" w:cs="Verdana"/>
          <w:i/>
          <w:iCs/>
          <w:lang w:val="bg-BG"/>
        </w:rPr>
      </w:pPr>
    </w:p>
    <w:p w:rsidR="00954168" w:rsidRPr="00FF393B"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FF393B">
        <w:rPr>
          <w:rFonts w:ascii="Verdana" w:hAnsi="Verdana" w:cs="Verdana"/>
          <w:b/>
          <w:bCs/>
          <w:sz w:val="20"/>
          <w:szCs w:val="20"/>
          <w:lang w:val="bg-BG"/>
        </w:rPr>
        <w:t xml:space="preserve">Инвестиционни проекти </w:t>
      </w:r>
    </w:p>
    <w:p w:rsidR="00954168" w:rsidRPr="00C2255D" w:rsidRDefault="00954168" w:rsidP="00954168">
      <w:pPr>
        <w:pStyle w:val="List"/>
        <w:spacing w:line="260" w:lineRule="atLeast"/>
        <w:ind w:left="0" w:firstLine="0"/>
        <w:jc w:val="both"/>
        <w:rPr>
          <w:rFonts w:ascii="Verdana" w:hAnsi="Verdana" w:cs="Verdana"/>
          <w:lang w:val="bg-BG"/>
        </w:rPr>
      </w:pPr>
      <w:r w:rsidRPr="00C2255D">
        <w:rPr>
          <w:rFonts w:ascii="Verdana" w:hAnsi="Verdana" w:cs="Verdana"/>
          <w:lang w:val="bg-BG"/>
        </w:rPr>
        <w:t>Дружеството разполага с дълготрайни материални активи от следните групи</w:t>
      </w:r>
      <w:r>
        <w:rPr>
          <w:rFonts w:ascii="Verdana" w:hAnsi="Verdana" w:cs="Verdana"/>
          <w:lang w:val="bg-BG"/>
        </w:rPr>
        <w:t xml:space="preserve"> (с балансова стойност)</w:t>
      </w:r>
      <w:r w:rsidRPr="00C2255D">
        <w:rPr>
          <w:rFonts w:ascii="Verdana" w:hAnsi="Verdana" w:cs="Verdana"/>
          <w:lang w:val="bg-BG"/>
        </w:rPr>
        <w:t>:</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 xml:space="preserve">Земи – 1 </w:t>
      </w:r>
      <w:r w:rsidR="00CF39DA">
        <w:rPr>
          <w:rFonts w:ascii="Verdana" w:hAnsi="Verdana" w:cs="Verdana"/>
          <w:lang w:val="en-GB"/>
        </w:rPr>
        <w:t>760</w:t>
      </w:r>
      <w:r w:rsidRPr="009361C3">
        <w:rPr>
          <w:rFonts w:ascii="Verdana" w:hAnsi="Verdana" w:cs="Verdana"/>
          <w:lang w:val="bg-BG"/>
        </w:rPr>
        <w:t xml:space="preserve"> хил.лв.;</w:t>
      </w:r>
    </w:p>
    <w:p w:rsidR="00954168" w:rsidRPr="009361C3" w:rsidRDefault="005440ED" w:rsidP="00954168">
      <w:pPr>
        <w:pStyle w:val="List"/>
        <w:numPr>
          <w:ilvl w:val="0"/>
          <w:numId w:val="5"/>
        </w:numPr>
        <w:spacing w:line="260" w:lineRule="atLeast"/>
        <w:jc w:val="both"/>
        <w:rPr>
          <w:rFonts w:ascii="Verdana" w:hAnsi="Verdana" w:cs="Verdana"/>
          <w:lang w:val="bg-BG"/>
        </w:rPr>
      </w:pPr>
      <w:r>
        <w:rPr>
          <w:rFonts w:ascii="Verdana" w:hAnsi="Verdana" w:cs="Verdana"/>
          <w:lang w:val="bg-BG"/>
        </w:rPr>
        <w:t xml:space="preserve">Сгради – </w:t>
      </w:r>
      <w:r w:rsidR="00CF39DA">
        <w:rPr>
          <w:rFonts w:ascii="Verdana" w:hAnsi="Verdana" w:cs="Verdana"/>
          <w:lang w:val="en-GB"/>
        </w:rPr>
        <w:t>367</w:t>
      </w:r>
      <w:r w:rsidR="00954168" w:rsidRPr="009361C3">
        <w:rPr>
          <w:rFonts w:ascii="Verdana" w:hAnsi="Verdana" w:cs="Verdana"/>
          <w:lang w:val="bg-BG"/>
        </w:rPr>
        <w:t xml:space="preserve"> хил.лв.;</w:t>
      </w:r>
    </w:p>
    <w:p w:rsidR="00954168" w:rsidRPr="009361C3" w:rsidRDefault="00954168" w:rsidP="00954168">
      <w:pPr>
        <w:pStyle w:val="List"/>
        <w:numPr>
          <w:ilvl w:val="0"/>
          <w:numId w:val="5"/>
        </w:numPr>
        <w:spacing w:line="260" w:lineRule="atLeast"/>
        <w:jc w:val="both"/>
        <w:rPr>
          <w:rFonts w:ascii="Verdana" w:hAnsi="Verdana" w:cs="Verdana"/>
          <w:lang w:val="bg-BG"/>
        </w:rPr>
      </w:pPr>
      <w:r w:rsidRPr="009361C3">
        <w:rPr>
          <w:rFonts w:ascii="Verdana" w:hAnsi="Verdana" w:cs="Verdana"/>
          <w:lang w:val="bg-BG"/>
        </w:rPr>
        <w:t xml:space="preserve">Машини и оборудване – </w:t>
      </w:r>
      <w:r w:rsidR="00CF39DA">
        <w:rPr>
          <w:rFonts w:ascii="Verdana" w:hAnsi="Verdana" w:cs="Verdana"/>
          <w:lang w:val="en-GB"/>
        </w:rPr>
        <w:t>3 767</w:t>
      </w:r>
      <w:r w:rsidRPr="009361C3">
        <w:rPr>
          <w:rFonts w:ascii="Verdana" w:hAnsi="Verdana" w:cs="Verdana"/>
          <w:lang w:val="bg-BG"/>
        </w:rPr>
        <w:t xml:space="preserve"> хил.лв.;</w:t>
      </w:r>
    </w:p>
    <w:p w:rsidR="00954168" w:rsidRPr="009361C3" w:rsidRDefault="005440ED" w:rsidP="00954168">
      <w:pPr>
        <w:pStyle w:val="List"/>
        <w:numPr>
          <w:ilvl w:val="0"/>
          <w:numId w:val="5"/>
        </w:numPr>
        <w:spacing w:line="260" w:lineRule="atLeast"/>
        <w:jc w:val="both"/>
        <w:rPr>
          <w:rFonts w:ascii="Verdana" w:hAnsi="Verdana" w:cs="Verdana"/>
          <w:lang w:val="bg-BG"/>
        </w:rPr>
      </w:pPr>
      <w:r>
        <w:rPr>
          <w:rFonts w:ascii="Verdana" w:hAnsi="Verdana" w:cs="Verdana"/>
          <w:lang w:val="bg-BG"/>
        </w:rPr>
        <w:t xml:space="preserve">Съоръжения – </w:t>
      </w:r>
      <w:r w:rsidR="00CF39DA">
        <w:rPr>
          <w:rFonts w:ascii="Verdana" w:hAnsi="Verdana" w:cs="Verdana"/>
          <w:lang w:val="en-GB"/>
        </w:rPr>
        <w:t>689</w:t>
      </w:r>
      <w:r w:rsidR="00346BC9">
        <w:rPr>
          <w:rFonts w:ascii="Verdana" w:hAnsi="Verdana" w:cs="Verdana"/>
          <w:lang w:val="bg-BG"/>
        </w:rPr>
        <w:t xml:space="preserve"> </w:t>
      </w:r>
      <w:r w:rsidR="00954168" w:rsidRPr="009361C3">
        <w:rPr>
          <w:rFonts w:ascii="Verdana" w:hAnsi="Verdana" w:cs="Verdana"/>
          <w:lang w:val="bg-BG"/>
        </w:rPr>
        <w:t>хил.лв.;</w:t>
      </w:r>
    </w:p>
    <w:p w:rsidR="00954168" w:rsidRPr="00D135C3" w:rsidRDefault="005440ED" w:rsidP="00954168">
      <w:pPr>
        <w:pStyle w:val="List"/>
        <w:numPr>
          <w:ilvl w:val="0"/>
          <w:numId w:val="5"/>
        </w:numPr>
        <w:spacing w:line="260" w:lineRule="atLeast"/>
        <w:jc w:val="both"/>
        <w:rPr>
          <w:rFonts w:ascii="Verdana" w:hAnsi="Verdana" w:cs="Verdana"/>
          <w:lang w:val="bg-BG"/>
        </w:rPr>
      </w:pPr>
      <w:r>
        <w:rPr>
          <w:rFonts w:ascii="Verdana" w:hAnsi="Verdana" w:cs="Verdana"/>
          <w:lang w:val="bg-BG"/>
        </w:rPr>
        <w:t xml:space="preserve">Други активи – </w:t>
      </w:r>
      <w:r w:rsidR="00CF39DA">
        <w:rPr>
          <w:rFonts w:ascii="Verdana" w:hAnsi="Verdana" w:cs="Verdana"/>
          <w:lang w:val="en-GB"/>
        </w:rPr>
        <w:t>6</w:t>
      </w:r>
      <w:r w:rsidR="00954168" w:rsidRPr="00D135C3">
        <w:rPr>
          <w:rFonts w:ascii="Verdana" w:hAnsi="Verdana" w:cs="Verdana"/>
          <w:lang w:val="bg-BG"/>
        </w:rPr>
        <w:t xml:space="preserve"> хил.лв.;</w:t>
      </w:r>
    </w:p>
    <w:p w:rsidR="00954168" w:rsidRPr="00D135C3" w:rsidRDefault="00954168" w:rsidP="00954168">
      <w:pPr>
        <w:pStyle w:val="List"/>
        <w:numPr>
          <w:ilvl w:val="0"/>
          <w:numId w:val="5"/>
        </w:numPr>
        <w:spacing w:line="260" w:lineRule="atLeast"/>
        <w:jc w:val="both"/>
        <w:rPr>
          <w:rFonts w:ascii="Verdana" w:hAnsi="Verdana" w:cs="Verdana"/>
          <w:lang w:val="bg-BG"/>
        </w:rPr>
      </w:pPr>
      <w:r w:rsidRPr="00D135C3">
        <w:rPr>
          <w:rFonts w:ascii="Verdana" w:hAnsi="Verdana" w:cs="Verdana"/>
          <w:lang w:val="bg-BG"/>
        </w:rPr>
        <w:t xml:space="preserve">Активи в процес на изграждане </w:t>
      </w:r>
      <w:r w:rsidR="000123BA">
        <w:rPr>
          <w:rFonts w:ascii="Verdana" w:hAnsi="Verdana" w:cs="Verdana"/>
          <w:lang w:val="bg-BG"/>
        </w:rPr>
        <w:t xml:space="preserve">- </w:t>
      </w:r>
      <w:r w:rsidR="00CF39DA">
        <w:rPr>
          <w:rFonts w:ascii="Verdana" w:hAnsi="Verdana" w:cs="Verdana"/>
          <w:lang w:val="en-GB"/>
        </w:rPr>
        <w:t>309</w:t>
      </w:r>
      <w:r w:rsidR="000123BA">
        <w:rPr>
          <w:rFonts w:ascii="Verdana" w:hAnsi="Verdana" w:cs="Verdana"/>
          <w:lang w:val="bg-BG"/>
        </w:rPr>
        <w:t xml:space="preserve"> </w:t>
      </w:r>
      <w:r w:rsidRPr="00D135C3">
        <w:rPr>
          <w:rFonts w:ascii="Verdana" w:hAnsi="Verdana" w:cs="Verdana"/>
          <w:lang w:val="bg-BG"/>
        </w:rPr>
        <w:t>хил.лв.</w:t>
      </w:r>
    </w:p>
    <w:p w:rsidR="00954168" w:rsidRDefault="00954168" w:rsidP="00954168">
      <w:pPr>
        <w:pStyle w:val="List"/>
        <w:spacing w:before="60" w:line="260" w:lineRule="atLeast"/>
        <w:ind w:left="0" w:firstLine="0"/>
        <w:jc w:val="both"/>
        <w:rPr>
          <w:rFonts w:ascii="Verdana" w:hAnsi="Verdana" w:cs="Verdana"/>
          <w:highlight w:val="yellow"/>
          <w:lang w:val="bg-BG"/>
        </w:rPr>
      </w:pPr>
    </w:p>
    <w:p w:rsidR="00954168" w:rsidRDefault="00954168" w:rsidP="00954168">
      <w:pPr>
        <w:pStyle w:val="List"/>
        <w:spacing w:before="60" w:line="260" w:lineRule="atLeast"/>
        <w:ind w:left="0" w:firstLine="0"/>
        <w:jc w:val="both"/>
        <w:rPr>
          <w:rFonts w:ascii="Verdana" w:hAnsi="Verdana" w:cs="Verdana"/>
          <w:lang w:val="bg-BG"/>
        </w:rPr>
      </w:pPr>
      <w:r w:rsidRPr="009361C3">
        <w:rPr>
          <w:rFonts w:ascii="Verdana" w:hAnsi="Verdana" w:cs="Verdana"/>
          <w:lang w:val="bg-BG"/>
        </w:rPr>
        <w:t xml:space="preserve">Дълготрайни нематериални активи – софтуер за събиране на вземанията (право на </w:t>
      </w:r>
      <w:r w:rsidR="00D135C3">
        <w:rPr>
          <w:rFonts w:ascii="Verdana" w:hAnsi="Verdana" w:cs="Verdana"/>
          <w:lang w:val="bg-BG"/>
        </w:rPr>
        <w:t xml:space="preserve">ползване) с балансова стойност </w:t>
      </w:r>
      <w:r w:rsidR="008F781E">
        <w:rPr>
          <w:rFonts w:ascii="Verdana" w:hAnsi="Verdana" w:cs="Verdana"/>
          <w:lang w:val="bg-BG"/>
        </w:rPr>
        <w:t>1</w:t>
      </w:r>
      <w:r w:rsidR="00CF39DA">
        <w:rPr>
          <w:rFonts w:ascii="Verdana" w:hAnsi="Verdana" w:cs="Verdana"/>
          <w:lang w:val="en-GB"/>
        </w:rPr>
        <w:t xml:space="preserve">56 </w:t>
      </w:r>
      <w:r w:rsidRPr="00346BC9">
        <w:rPr>
          <w:rFonts w:ascii="Verdana" w:hAnsi="Verdana" w:cs="Verdana"/>
          <w:lang w:val="bg-BG"/>
        </w:rPr>
        <w:t>хил.лв.</w:t>
      </w:r>
      <w:r w:rsidRPr="00C2255D">
        <w:rPr>
          <w:rFonts w:ascii="Verdana" w:hAnsi="Verdana" w:cs="Verdana"/>
          <w:lang w:val="bg-BG"/>
        </w:rPr>
        <w:t xml:space="preserve"> </w:t>
      </w:r>
    </w:p>
    <w:p w:rsidR="00954168" w:rsidRDefault="00954168" w:rsidP="00954168">
      <w:pPr>
        <w:pStyle w:val="Document1"/>
        <w:keepNext w:val="0"/>
        <w:keepLines w:val="0"/>
        <w:widowControl/>
        <w:tabs>
          <w:tab w:val="clear" w:pos="-720"/>
        </w:tabs>
        <w:suppressAutoHyphens w:val="0"/>
        <w:spacing w:before="120" w:line="276" w:lineRule="auto"/>
        <w:jc w:val="both"/>
        <w:rPr>
          <w:rFonts w:ascii="Verdana" w:hAnsi="Verdana" w:cs="Verdana"/>
          <w:b/>
          <w:bCs/>
          <w:sz w:val="20"/>
          <w:szCs w:val="20"/>
          <w:lang w:val="bg-BG"/>
        </w:rPr>
      </w:pPr>
      <w:r w:rsidRPr="00AB7507">
        <w:rPr>
          <w:rFonts w:ascii="Verdana" w:hAnsi="Verdana" w:cs="Verdana"/>
          <w:b/>
          <w:bCs/>
          <w:sz w:val="20"/>
          <w:szCs w:val="20"/>
          <w:lang w:val="bg-BG"/>
        </w:rPr>
        <w:t xml:space="preserve">Кратък преглед на състоянието на пазара </w:t>
      </w:r>
    </w:p>
    <w:p w:rsidR="00954168" w:rsidRPr="00C05FDF"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05FDF">
        <w:rPr>
          <w:rFonts w:ascii="Verdana" w:hAnsi="Verdana" w:cs="Verdana"/>
          <w:i/>
          <w:iCs/>
          <w:sz w:val="20"/>
          <w:szCs w:val="20"/>
          <w:lang w:eastAsia="en-US"/>
        </w:rPr>
        <w:t xml:space="preserve">Пазарен модел, регулиране и конкурентна среда </w:t>
      </w:r>
    </w:p>
    <w:p w:rsidR="00954168" w:rsidRDefault="00954168" w:rsidP="00954168">
      <w:pPr>
        <w:pStyle w:val="firstline"/>
        <w:spacing w:before="120" w:beforeAutospacing="0" w:after="0" w:afterAutospacing="0" w:line="260" w:lineRule="atLeast"/>
        <w:jc w:val="both"/>
        <w:rPr>
          <w:rFonts w:ascii="Verdana" w:hAnsi="Verdana" w:cs="Verdana"/>
          <w:sz w:val="20"/>
          <w:szCs w:val="20"/>
        </w:rPr>
      </w:pPr>
      <w:r w:rsidRPr="00C05FDF">
        <w:rPr>
          <w:rFonts w:ascii="Verdana" w:hAnsi="Verdana" w:cs="Verdana"/>
          <w:sz w:val="20"/>
          <w:szCs w:val="20"/>
          <w:lang w:eastAsia="en-US"/>
        </w:rPr>
        <w:t>Пазарният</w:t>
      </w:r>
      <w:r>
        <w:rPr>
          <w:rFonts w:ascii="Verdana" w:hAnsi="Verdana" w:cs="Verdana"/>
          <w:sz w:val="20"/>
          <w:szCs w:val="20"/>
          <w:lang w:eastAsia="en-US"/>
        </w:rPr>
        <w:t xml:space="preserve"> </w:t>
      </w:r>
      <w:r w:rsidRPr="00C2255D">
        <w:rPr>
          <w:rFonts w:ascii="Verdana" w:hAnsi="Verdana" w:cs="Verdana"/>
          <w:sz w:val="20"/>
          <w:szCs w:val="20"/>
        </w:rPr>
        <w:t xml:space="preserve">модел на вътрешния пазар на </w:t>
      </w:r>
      <w:r>
        <w:rPr>
          <w:rFonts w:ascii="Verdana" w:hAnsi="Verdana" w:cs="Verdana"/>
          <w:sz w:val="20"/>
          <w:szCs w:val="20"/>
        </w:rPr>
        <w:t>„</w:t>
      </w:r>
      <w:r w:rsidRPr="00C2255D">
        <w:rPr>
          <w:rFonts w:ascii="Verdana" w:hAnsi="Verdana" w:cs="Verdana"/>
          <w:sz w:val="20"/>
          <w:szCs w:val="20"/>
        </w:rPr>
        <w:t>Топлофикация – Разград</w:t>
      </w:r>
      <w:r>
        <w:rPr>
          <w:rFonts w:ascii="Verdana" w:hAnsi="Verdana" w:cs="Verdana"/>
          <w:sz w:val="20"/>
          <w:szCs w:val="20"/>
        </w:rPr>
        <w:t>”</w:t>
      </w:r>
      <w:r w:rsidR="0000327B">
        <w:rPr>
          <w:rFonts w:ascii="Verdana" w:hAnsi="Verdana" w:cs="Verdana"/>
          <w:sz w:val="20"/>
          <w:szCs w:val="20"/>
        </w:rPr>
        <w:t xml:space="preserve"> </w:t>
      </w:r>
      <w:r w:rsidRPr="00C2255D">
        <w:rPr>
          <w:rFonts w:ascii="Verdana" w:hAnsi="Verdana" w:cs="Verdana"/>
          <w:sz w:val="20"/>
          <w:szCs w:val="20"/>
        </w:rPr>
        <w:t>АД е в съответствие с действащото законодателство, като осно</w:t>
      </w:r>
      <w:r w:rsidR="0000327B">
        <w:rPr>
          <w:rFonts w:ascii="Verdana" w:hAnsi="Verdana" w:cs="Verdana"/>
          <w:sz w:val="20"/>
          <w:szCs w:val="20"/>
        </w:rPr>
        <w:t xml:space="preserve">вни пазарни участници в сектор </w:t>
      </w:r>
      <w:r w:rsidR="00B8207F">
        <w:rPr>
          <w:rFonts w:ascii="Verdana" w:hAnsi="Verdana" w:cs="Verdana"/>
          <w:sz w:val="20"/>
          <w:szCs w:val="20"/>
        </w:rPr>
        <w:t>„</w:t>
      </w:r>
      <w:r w:rsidR="0000327B">
        <w:rPr>
          <w:rFonts w:ascii="Verdana" w:hAnsi="Verdana" w:cs="Verdana"/>
          <w:sz w:val="20"/>
          <w:szCs w:val="20"/>
        </w:rPr>
        <w:t>Т</w:t>
      </w:r>
      <w:r w:rsidRPr="00C2255D">
        <w:rPr>
          <w:rFonts w:ascii="Verdana" w:hAnsi="Verdana" w:cs="Verdana"/>
          <w:sz w:val="20"/>
          <w:szCs w:val="20"/>
        </w:rPr>
        <w:t>оплоенерге</w:t>
      </w:r>
      <w:r>
        <w:rPr>
          <w:rFonts w:ascii="Verdana" w:hAnsi="Verdana" w:cs="Verdana"/>
          <w:sz w:val="20"/>
          <w:szCs w:val="20"/>
        </w:rPr>
        <w:t>тика</w:t>
      </w:r>
      <w:r w:rsidR="00B8207F">
        <w:rPr>
          <w:rFonts w:ascii="Verdana" w:hAnsi="Verdana" w:cs="Verdana"/>
          <w:sz w:val="20"/>
          <w:szCs w:val="20"/>
        </w:rPr>
        <w:t>“</w:t>
      </w:r>
      <w:r>
        <w:rPr>
          <w:rFonts w:ascii="Verdana" w:hAnsi="Verdana" w:cs="Verdana"/>
          <w:sz w:val="20"/>
          <w:szCs w:val="20"/>
        </w:rPr>
        <w:t xml:space="preserve"> могат да бъдат дефинирани:</w:t>
      </w:r>
    </w:p>
    <w:p w:rsidR="00954168" w:rsidRPr="003A7047" w:rsidRDefault="00954168" w:rsidP="00954168"/>
    <w:p w:rsidR="00954168" w:rsidRPr="00C2255D" w:rsidRDefault="00954168" w:rsidP="00954168">
      <w:pPr>
        <w:numPr>
          <w:ilvl w:val="0"/>
          <w:numId w:val="6"/>
        </w:numPr>
        <w:spacing w:line="260" w:lineRule="atLeast"/>
        <w:rPr>
          <w:rFonts w:ascii="Verdana" w:hAnsi="Verdana" w:cs="Verdana"/>
          <w:sz w:val="20"/>
          <w:szCs w:val="20"/>
        </w:rPr>
      </w:pPr>
      <w:r>
        <w:rPr>
          <w:rFonts w:ascii="Verdana" w:hAnsi="Verdana" w:cs="Verdana"/>
          <w:sz w:val="20"/>
          <w:szCs w:val="20"/>
        </w:rPr>
        <w:t>Физически лица</w:t>
      </w:r>
    </w:p>
    <w:p w:rsidR="00954168" w:rsidRPr="00C2255D" w:rsidRDefault="00954168" w:rsidP="00954168">
      <w:pPr>
        <w:numPr>
          <w:ilvl w:val="0"/>
          <w:numId w:val="6"/>
        </w:numPr>
        <w:spacing w:line="260" w:lineRule="atLeast"/>
        <w:rPr>
          <w:rFonts w:ascii="Verdana" w:hAnsi="Verdana" w:cs="Verdana"/>
          <w:sz w:val="20"/>
          <w:szCs w:val="20"/>
        </w:rPr>
      </w:pPr>
      <w:r w:rsidRPr="00C2255D">
        <w:rPr>
          <w:rFonts w:ascii="Verdana" w:hAnsi="Verdana" w:cs="Verdana"/>
          <w:sz w:val="20"/>
          <w:szCs w:val="20"/>
        </w:rPr>
        <w:t xml:space="preserve">Бюджетни </w:t>
      </w:r>
      <w:r>
        <w:rPr>
          <w:rFonts w:ascii="Verdana" w:hAnsi="Verdana" w:cs="Verdana"/>
          <w:sz w:val="20"/>
          <w:szCs w:val="20"/>
        </w:rPr>
        <w:t>институции</w:t>
      </w:r>
    </w:p>
    <w:p w:rsidR="00954168" w:rsidRPr="00C2255D" w:rsidRDefault="00954168" w:rsidP="00954168">
      <w:pPr>
        <w:numPr>
          <w:ilvl w:val="0"/>
          <w:numId w:val="6"/>
        </w:numPr>
        <w:spacing w:line="260" w:lineRule="atLeast"/>
        <w:rPr>
          <w:rFonts w:ascii="Verdana" w:hAnsi="Verdana" w:cs="Verdana"/>
          <w:sz w:val="20"/>
          <w:szCs w:val="20"/>
        </w:rPr>
      </w:pPr>
      <w:r w:rsidRPr="00C2255D">
        <w:rPr>
          <w:rFonts w:ascii="Verdana" w:hAnsi="Verdana" w:cs="Verdana"/>
          <w:sz w:val="20"/>
          <w:szCs w:val="20"/>
        </w:rPr>
        <w:t xml:space="preserve">Стопански </w:t>
      </w:r>
      <w:r>
        <w:rPr>
          <w:rFonts w:ascii="Verdana" w:hAnsi="Verdana" w:cs="Verdana"/>
          <w:sz w:val="20"/>
          <w:szCs w:val="20"/>
        </w:rPr>
        <w:t>организации</w:t>
      </w:r>
    </w:p>
    <w:p w:rsidR="00954168" w:rsidRPr="009361C3" w:rsidRDefault="00954168" w:rsidP="00954168">
      <w:pPr>
        <w:numPr>
          <w:ilvl w:val="0"/>
          <w:numId w:val="6"/>
        </w:numPr>
        <w:spacing w:line="260" w:lineRule="atLeast"/>
        <w:rPr>
          <w:rFonts w:ascii="Verdana" w:hAnsi="Verdana" w:cs="Verdana"/>
          <w:sz w:val="20"/>
          <w:szCs w:val="20"/>
        </w:rPr>
      </w:pPr>
      <w:r w:rsidRPr="009361C3">
        <w:rPr>
          <w:rFonts w:ascii="Verdana" w:hAnsi="Verdana" w:cs="Verdana"/>
          <w:sz w:val="20"/>
          <w:szCs w:val="20"/>
        </w:rPr>
        <w:t>„Ен</w:t>
      </w:r>
      <w:r>
        <w:rPr>
          <w:rFonts w:ascii="Verdana" w:hAnsi="Verdana" w:cs="Verdana"/>
          <w:sz w:val="20"/>
          <w:szCs w:val="20"/>
        </w:rPr>
        <w:t>ерго – ПРО Енергийни Услуги“ ЕА</w:t>
      </w:r>
      <w:r w:rsidRPr="009361C3">
        <w:rPr>
          <w:rFonts w:ascii="Verdana" w:hAnsi="Verdana" w:cs="Verdana"/>
          <w:sz w:val="20"/>
          <w:szCs w:val="20"/>
        </w:rPr>
        <w:t>Д</w:t>
      </w:r>
    </w:p>
    <w:p w:rsidR="00954168" w:rsidRDefault="00954168" w:rsidP="00954168">
      <w:pPr>
        <w:spacing w:before="120" w:line="260" w:lineRule="atLeast"/>
        <w:rPr>
          <w:rFonts w:ascii="Verdana" w:hAnsi="Verdana" w:cs="Arial"/>
          <w:sz w:val="20"/>
        </w:rPr>
      </w:pPr>
      <w:r w:rsidRPr="00F8032D">
        <w:rPr>
          <w:rFonts w:ascii="Verdana" w:hAnsi="Verdana" w:cs="Arial"/>
          <w:sz w:val="20"/>
        </w:rPr>
        <w:t xml:space="preserve">Обект на ценово регулиране на вътрешния пазар са цените на </w:t>
      </w:r>
      <w:r>
        <w:rPr>
          <w:rFonts w:ascii="Verdana" w:hAnsi="Verdana" w:cs="Arial"/>
          <w:sz w:val="20"/>
        </w:rPr>
        <w:t>реализираните</w:t>
      </w:r>
      <w:r w:rsidRPr="00F8032D">
        <w:rPr>
          <w:rFonts w:ascii="Verdana" w:hAnsi="Verdana" w:cs="Arial"/>
          <w:sz w:val="20"/>
        </w:rPr>
        <w:t xml:space="preserve"> топлинна и електрическа енерги</w:t>
      </w:r>
      <w:r w:rsidR="00B8207F">
        <w:rPr>
          <w:rFonts w:ascii="Verdana" w:hAnsi="Verdana" w:cs="Arial"/>
          <w:sz w:val="20"/>
        </w:rPr>
        <w:t>я. Спецификата на дейността на д</w:t>
      </w:r>
      <w:r w:rsidRPr="00F8032D">
        <w:rPr>
          <w:rFonts w:ascii="Verdana" w:hAnsi="Verdana" w:cs="Arial"/>
          <w:sz w:val="20"/>
        </w:rPr>
        <w:t>ружеството предполага реализация на продукцията на топлинна енергия единствено в лицензираната територия. През разглеждания период продажбата</w:t>
      </w:r>
      <w:r>
        <w:rPr>
          <w:rFonts w:ascii="Verdana" w:hAnsi="Verdana" w:cs="Arial"/>
          <w:sz w:val="20"/>
        </w:rPr>
        <w:t xml:space="preserve"> на електрическа енергия е осъществяване на свободен пазар чрез координатор на балансираща група, съгласно договор за покупко-продажба на електрическа енергия по смисъла на чл.100, ал.6 от Закона за Енергетиката /ЗЕ/. Допълнително, на основание §33, ал.2 от Закона за изменение и допълнение на Закона за Енергетиката, във връзка с чл.36и, а</w:t>
      </w:r>
      <w:r w:rsidR="00B8207F">
        <w:rPr>
          <w:rFonts w:ascii="Verdana" w:hAnsi="Verdana" w:cs="Arial"/>
          <w:sz w:val="20"/>
        </w:rPr>
        <w:t>л.1 от Закона за енергетиката, д</w:t>
      </w:r>
      <w:r>
        <w:rPr>
          <w:rFonts w:ascii="Verdana" w:hAnsi="Verdana" w:cs="Arial"/>
          <w:sz w:val="20"/>
        </w:rPr>
        <w:t>ружеството има сключен договор с Фонд „Сигурност на електроенергийната система“ за компенсиране с премии.</w:t>
      </w:r>
    </w:p>
    <w:p w:rsidR="0000327B" w:rsidRPr="0007516E" w:rsidRDefault="0000327B" w:rsidP="00954168">
      <w:pPr>
        <w:spacing w:before="120" w:line="260" w:lineRule="atLeast"/>
        <w:rPr>
          <w:rFonts w:ascii="Verdana" w:hAnsi="Verdana" w:cs="Verdana"/>
          <w:sz w:val="20"/>
          <w:szCs w:val="20"/>
        </w:rPr>
      </w:pPr>
    </w:p>
    <w:p w:rsidR="00954168" w:rsidRPr="00C2255D"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2255D">
        <w:rPr>
          <w:rFonts w:ascii="Verdana" w:hAnsi="Verdana" w:cs="Verdana"/>
          <w:i/>
          <w:iCs/>
          <w:sz w:val="20"/>
          <w:szCs w:val="20"/>
          <w:lang w:eastAsia="en-US"/>
        </w:rPr>
        <w:t xml:space="preserve">Основни клиенти, сключени договори </w:t>
      </w:r>
    </w:p>
    <w:p w:rsidR="00954168" w:rsidRPr="00C05FDF" w:rsidRDefault="00954168" w:rsidP="00954168">
      <w:pPr>
        <w:spacing w:before="120" w:line="260" w:lineRule="atLeast"/>
        <w:rPr>
          <w:rFonts w:ascii="Verdana" w:hAnsi="Verdana" w:cs="Verdana"/>
          <w:sz w:val="20"/>
          <w:szCs w:val="20"/>
        </w:rPr>
      </w:pPr>
      <w:r>
        <w:rPr>
          <w:rFonts w:ascii="Verdana" w:hAnsi="Verdana" w:cs="Verdana"/>
          <w:sz w:val="20"/>
          <w:szCs w:val="20"/>
        </w:rPr>
        <w:t>Основни дългогодишни наши клиенти на топлинна енергия са Община Разград и Областната дирекция на МВР</w:t>
      </w:r>
      <w:r w:rsidR="0000327B">
        <w:rPr>
          <w:rFonts w:ascii="Verdana" w:hAnsi="Verdana" w:cs="Verdana"/>
          <w:sz w:val="20"/>
          <w:szCs w:val="20"/>
        </w:rPr>
        <w:t>, Районен и Окръжен съд, детски градини</w:t>
      </w:r>
      <w:r w:rsidR="00B8207F">
        <w:rPr>
          <w:rFonts w:ascii="Verdana" w:hAnsi="Verdana" w:cs="Verdana"/>
          <w:sz w:val="20"/>
          <w:szCs w:val="20"/>
        </w:rPr>
        <w:t xml:space="preserve"> и други, с които д</w:t>
      </w:r>
      <w:r>
        <w:rPr>
          <w:rFonts w:ascii="Verdana" w:hAnsi="Verdana" w:cs="Verdana"/>
          <w:sz w:val="20"/>
          <w:szCs w:val="20"/>
        </w:rPr>
        <w:t xml:space="preserve">ружеството е в добри партньорски взаимоотношения. Двустранното </w:t>
      </w:r>
      <w:r>
        <w:rPr>
          <w:rFonts w:ascii="Verdana" w:hAnsi="Verdana" w:cs="Verdana"/>
          <w:sz w:val="20"/>
          <w:szCs w:val="20"/>
        </w:rPr>
        <w:lastRenderedPageBreak/>
        <w:t>сътрудничество е ползотворно, като предвиждаме съвместната ни работа да продължи и в бъдеще.</w:t>
      </w:r>
    </w:p>
    <w:p w:rsidR="00954168"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p>
    <w:p w:rsidR="00954168"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p>
    <w:p w:rsidR="00954168" w:rsidRPr="0018718B"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18718B">
        <w:rPr>
          <w:rFonts w:ascii="Verdana" w:hAnsi="Verdana" w:cs="Verdana"/>
          <w:i/>
          <w:iCs/>
          <w:sz w:val="20"/>
          <w:szCs w:val="20"/>
          <w:lang w:eastAsia="en-US"/>
        </w:rPr>
        <w:t>Основни доставчици</w:t>
      </w:r>
    </w:p>
    <w:p w:rsidR="00954168" w:rsidRPr="00A52D1E" w:rsidRDefault="00954168" w:rsidP="00954168">
      <w:pPr>
        <w:pStyle w:val="firstline"/>
        <w:spacing w:before="120" w:beforeAutospacing="0" w:after="0" w:afterAutospacing="0" w:line="260" w:lineRule="atLeast"/>
        <w:jc w:val="both"/>
        <w:rPr>
          <w:rFonts w:ascii="Verdana" w:hAnsi="Verdana" w:cs="Verdana"/>
          <w:sz w:val="20"/>
          <w:szCs w:val="20"/>
          <w:lang w:val="ru-RU"/>
        </w:rPr>
      </w:pPr>
      <w:r w:rsidRPr="0018718B">
        <w:rPr>
          <w:rFonts w:ascii="Verdana" w:hAnsi="Verdana" w:cs="Verdana"/>
          <w:sz w:val="20"/>
          <w:szCs w:val="20"/>
          <w:lang w:eastAsia="en-US"/>
        </w:rPr>
        <w:t xml:space="preserve">Като основни доставчици </w:t>
      </w:r>
      <w:r>
        <w:rPr>
          <w:rFonts w:ascii="Verdana" w:hAnsi="Verdana" w:cs="Verdana"/>
          <w:sz w:val="20"/>
          <w:szCs w:val="20"/>
          <w:lang w:eastAsia="en-US"/>
        </w:rPr>
        <w:t>през разглеждания период</w:t>
      </w:r>
      <w:r w:rsidRPr="009361C3">
        <w:rPr>
          <w:rFonts w:ascii="Verdana" w:hAnsi="Verdana" w:cs="Verdana"/>
          <w:sz w:val="20"/>
          <w:szCs w:val="20"/>
          <w:lang w:eastAsia="en-US"/>
        </w:rPr>
        <w:t xml:space="preserve"> могат да се определят</w:t>
      </w:r>
      <w:r w:rsidR="00B8207F">
        <w:rPr>
          <w:rFonts w:ascii="Verdana" w:hAnsi="Verdana" w:cs="Verdana"/>
          <w:sz w:val="20"/>
          <w:szCs w:val="20"/>
          <w:lang w:eastAsia="en-US"/>
        </w:rPr>
        <w:t xml:space="preserve"> „Овергаз Мрежи“ АД, с когото д</w:t>
      </w:r>
      <w:r w:rsidRPr="0018718B">
        <w:rPr>
          <w:rFonts w:ascii="Verdana" w:hAnsi="Verdana" w:cs="Verdana"/>
          <w:sz w:val="20"/>
          <w:szCs w:val="20"/>
          <w:lang w:eastAsia="en-US"/>
        </w:rPr>
        <w:t>ружеството</w:t>
      </w:r>
      <w:r>
        <w:rPr>
          <w:rFonts w:ascii="Verdana" w:hAnsi="Verdana" w:cs="Verdana"/>
          <w:sz w:val="20"/>
          <w:szCs w:val="20"/>
          <w:lang w:eastAsia="en-US"/>
        </w:rPr>
        <w:t xml:space="preserve"> </w:t>
      </w:r>
      <w:r>
        <w:rPr>
          <w:rFonts w:ascii="Verdana" w:hAnsi="Verdana" w:cs="Verdana"/>
          <w:sz w:val="20"/>
          <w:szCs w:val="20"/>
        </w:rPr>
        <w:t>има сключени договори за снабдяване и разпределение на п</w:t>
      </w:r>
      <w:r w:rsidRPr="00C2255D">
        <w:rPr>
          <w:rFonts w:ascii="Verdana" w:hAnsi="Verdana" w:cs="Verdana"/>
          <w:sz w:val="20"/>
          <w:szCs w:val="20"/>
        </w:rPr>
        <w:t>рироден газ</w:t>
      </w:r>
      <w:r>
        <w:rPr>
          <w:rFonts w:ascii="Verdana" w:hAnsi="Verdana" w:cs="Verdana"/>
          <w:sz w:val="20"/>
          <w:szCs w:val="20"/>
        </w:rPr>
        <w:t>, „</w:t>
      </w:r>
      <w:r w:rsidRPr="00C2255D">
        <w:rPr>
          <w:rFonts w:ascii="Verdana" w:hAnsi="Verdana" w:cs="Verdana"/>
          <w:sz w:val="20"/>
          <w:szCs w:val="20"/>
        </w:rPr>
        <w:t>Филтър</w:t>
      </w:r>
      <w:r>
        <w:rPr>
          <w:rFonts w:ascii="Verdana" w:hAnsi="Verdana" w:cs="Verdana"/>
          <w:sz w:val="20"/>
          <w:szCs w:val="20"/>
        </w:rPr>
        <w:t>”</w:t>
      </w:r>
      <w:r w:rsidRPr="00C2255D">
        <w:rPr>
          <w:rFonts w:ascii="Verdana" w:hAnsi="Verdana" w:cs="Verdana"/>
          <w:sz w:val="20"/>
          <w:szCs w:val="20"/>
        </w:rPr>
        <w:t xml:space="preserve"> ЕООД, </w:t>
      </w:r>
      <w:r>
        <w:rPr>
          <w:rFonts w:ascii="Verdana" w:hAnsi="Verdana" w:cs="Verdana"/>
          <w:sz w:val="20"/>
          <w:szCs w:val="20"/>
        </w:rPr>
        <w:t>„</w:t>
      </w:r>
      <w:r w:rsidRPr="00C2255D">
        <w:rPr>
          <w:rFonts w:ascii="Verdana" w:hAnsi="Verdana" w:cs="Verdana"/>
          <w:sz w:val="20"/>
          <w:szCs w:val="20"/>
        </w:rPr>
        <w:t>Омникар БГ</w:t>
      </w:r>
      <w:r>
        <w:rPr>
          <w:rFonts w:ascii="Verdana" w:hAnsi="Verdana" w:cs="Verdana"/>
          <w:sz w:val="20"/>
          <w:szCs w:val="20"/>
        </w:rPr>
        <w:t>”</w:t>
      </w:r>
      <w:r w:rsidRPr="00C2255D">
        <w:rPr>
          <w:rFonts w:ascii="Verdana" w:hAnsi="Verdana" w:cs="Verdana"/>
          <w:sz w:val="20"/>
          <w:szCs w:val="20"/>
        </w:rPr>
        <w:t xml:space="preserve"> ЕООД, </w:t>
      </w:r>
      <w:r>
        <w:rPr>
          <w:rFonts w:ascii="Verdana" w:hAnsi="Verdana" w:cs="Verdana"/>
          <w:sz w:val="20"/>
          <w:szCs w:val="20"/>
        </w:rPr>
        <w:t>„</w:t>
      </w:r>
      <w:r w:rsidRPr="00C2255D">
        <w:rPr>
          <w:rFonts w:ascii="Verdana" w:hAnsi="Verdana" w:cs="Verdana"/>
          <w:sz w:val="20"/>
          <w:szCs w:val="20"/>
        </w:rPr>
        <w:t xml:space="preserve">Хигиенно - медицинска индустрия“ ЕООД, </w:t>
      </w:r>
      <w:r>
        <w:rPr>
          <w:rFonts w:ascii="Verdana" w:hAnsi="Verdana" w:cs="Verdana"/>
          <w:sz w:val="20"/>
          <w:szCs w:val="20"/>
        </w:rPr>
        <w:t>„</w:t>
      </w:r>
      <w:r w:rsidR="00CF39DA">
        <w:rPr>
          <w:rFonts w:ascii="Verdana" w:hAnsi="Verdana" w:cs="Verdana"/>
          <w:sz w:val="20"/>
          <w:szCs w:val="20"/>
        </w:rPr>
        <w:t>Далсия</w:t>
      </w:r>
      <w:r>
        <w:rPr>
          <w:rFonts w:ascii="Verdana" w:hAnsi="Verdana" w:cs="Verdana"/>
          <w:sz w:val="20"/>
          <w:szCs w:val="20"/>
        </w:rPr>
        <w:t>“ ООД  и др.</w:t>
      </w:r>
    </w:p>
    <w:p w:rsidR="00954168" w:rsidRPr="00F8032D" w:rsidRDefault="00954168" w:rsidP="006D6856">
      <w:pPr>
        <w:pStyle w:val="firstline"/>
        <w:spacing w:before="120" w:line="260" w:lineRule="atLeast"/>
        <w:jc w:val="both"/>
        <w:rPr>
          <w:rFonts w:ascii="Verdana" w:hAnsi="Verdana" w:cs="Verdana"/>
          <w:sz w:val="20"/>
          <w:szCs w:val="20"/>
          <w:lang w:eastAsia="en-US"/>
        </w:rPr>
      </w:pPr>
      <w:r w:rsidRPr="00F8032D">
        <w:rPr>
          <w:rFonts w:ascii="Verdana" w:hAnsi="Verdana" w:cs="Verdana"/>
          <w:sz w:val="20"/>
          <w:szCs w:val="20"/>
          <w:lang w:eastAsia="en-US"/>
        </w:rPr>
        <w:t>Същевременно въ</w:t>
      </w:r>
      <w:r w:rsidR="006D6856">
        <w:rPr>
          <w:rFonts w:ascii="Verdana" w:hAnsi="Verdana" w:cs="Verdana"/>
          <w:sz w:val="20"/>
          <w:szCs w:val="20"/>
          <w:lang w:eastAsia="en-US"/>
        </w:rPr>
        <w:t>в връзка с изискванията за ЗЕ, д</w:t>
      </w:r>
      <w:r w:rsidRPr="00F8032D">
        <w:rPr>
          <w:rFonts w:ascii="Verdana" w:hAnsi="Verdana" w:cs="Verdana"/>
          <w:sz w:val="20"/>
          <w:szCs w:val="20"/>
          <w:lang w:eastAsia="en-US"/>
        </w:rPr>
        <w:t>ружеството води отделна  счетоводна отчетност, както следва:</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Производство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Пренос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Производство на електрическа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Общи разходи за двата продукта;</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Разходи, свързани с реализацията на топлинна енергия;</w:t>
      </w:r>
    </w:p>
    <w:p w:rsidR="00954168" w:rsidRPr="00F8032D" w:rsidRDefault="00954168" w:rsidP="00954168">
      <w:pPr>
        <w:pStyle w:val="firstline"/>
        <w:spacing w:before="0" w:beforeAutospacing="0" w:after="0" w:afterAutospacing="0"/>
        <w:rPr>
          <w:rFonts w:ascii="Verdana" w:hAnsi="Verdana" w:cs="Verdana"/>
          <w:sz w:val="20"/>
          <w:szCs w:val="20"/>
          <w:lang w:eastAsia="en-US"/>
        </w:rPr>
      </w:pPr>
      <w:r w:rsidRPr="00F8032D">
        <w:rPr>
          <w:rFonts w:ascii="Verdana" w:hAnsi="Verdana" w:cs="Verdana"/>
          <w:sz w:val="20"/>
          <w:szCs w:val="20"/>
          <w:lang w:eastAsia="en-US"/>
        </w:rPr>
        <w:t>-</w:t>
      </w:r>
      <w:r w:rsidRPr="00F8032D">
        <w:rPr>
          <w:rFonts w:ascii="Verdana" w:hAnsi="Verdana" w:cs="Verdana"/>
          <w:sz w:val="20"/>
          <w:szCs w:val="20"/>
          <w:lang w:eastAsia="en-US"/>
        </w:rPr>
        <w:tab/>
        <w:t>Административни и административно - управленски разходи;</w:t>
      </w:r>
    </w:p>
    <w:p w:rsidR="00954168" w:rsidRPr="00F8032D" w:rsidRDefault="006D6856" w:rsidP="00954168">
      <w:pPr>
        <w:pStyle w:val="firstline"/>
        <w:spacing w:before="120" w:line="260" w:lineRule="atLeast"/>
        <w:jc w:val="both"/>
        <w:rPr>
          <w:rFonts w:ascii="Verdana" w:hAnsi="Verdana" w:cs="Verdana"/>
          <w:sz w:val="20"/>
          <w:szCs w:val="20"/>
          <w:lang w:eastAsia="en-US"/>
        </w:rPr>
      </w:pPr>
      <w:r>
        <w:rPr>
          <w:rFonts w:ascii="Verdana" w:hAnsi="Verdana" w:cs="Verdana"/>
          <w:sz w:val="20"/>
          <w:szCs w:val="20"/>
          <w:lang w:eastAsia="en-US"/>
        </w:rPr>
        <w:t>Допълнително д</w:t>
      </w:r>
      <w:r w:rsidR="00954168" w:rsidRPr="00F8032D">
        <w:rPr>
          <w:rFonts w:ascii="Verdana" w:hAnsi="Verdana" w:cs="Verdana"/>
          <w:sz w:val="20"/>
          <w:szCs w:val="20"/>
          <w:lang w:eastAsia="en-US"/>
        </w:rPr>
        <w:t>ружеството отчита и разходи за нерегулирана дейност, съгласно изискванията на Наредба №5 за регулиране на цените на топлинната енергия и Наредба № 1 за регулиране на цените на електрическа енергия. Всяка от дейностите има специфични характеристики, които дават възможност да се отделят и счетоводно. Създадена е и съответната счетоводна аналитичност.</w:t>
      </w:r>
    </w:p>
    <w:p w:rsidR="00954168" w:rsidRPr="00AB7507"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AB7507">
        <w:rPr>
          <w:rFonts w:ascii="Verdana" w:hAnsi="Verdana" w:cs="Verdana"/>
          <w:b/>
          <w:bCs/>
          <w:sz w:val="20"/>
          <w:szCs w:val="20"/>
          <w:lang w:val="bg-BG"/>
        </w:rPr>
        <w:t>Преглед на дейността</w:t>
      </w:r>
    </w:p>
    <w:p w:rsidR="00954168" w:rsidRPr="00C05FDF" w:rsidRDefault="00954168" w:rsidP="00954168">
      <w:pPr>
        <w:pStyle w:val="firstline"/>
        <w:spacing w:before="120" w:beforeAutospacing="0" w:after="0" w:afterAutospacing="0" w:line="260" w:lineRule="atLeast"/>
        <w:jc w:val="both"/>
        <w:rPr>
          <w:rFonts w:ascii="Verdana" w:hAnsi="Verdana" w:cs="Verdana"/>
          <w:i/>
          <w:iCs/>
          <w:sz w:val="20"/>
          <w:szCs w:val="20"/>
          <w:lang w:eastAsia="en-US"/>
        </w:rPr>
      </w:pPr>
      <w:r w:rsidRPr="00C05FDF">
        <w:rPr>
          <w:rFonts w:ascii="Verdana" w:hAnsi="Verdana" w:cs="Verdana"/>
          <w:i/>
          <w:iCs/>
          <w:sz w:val="20"/>
          <w:szCs w:val="20"/>
          <w:lang w:eastAsia="en-US"/>
        </w:rPr>
        <w:t>Резултати за текущия период</w:t>
      </w:r>
    </w:p>
    <w:p w:rsidR="00954168" w:rsidRDefault="00954168" w:rsidP="00954168">
      <w:pPr>
        <w:pStyle w:val="firstline"/>
        <w:spacing w:before="120" w:beforeAutospacing="0" w:after="0" w:afterAutospacing="0" w:line="260" w:lineRule="atLeast"/>
        <w:jc w:val="both"/>
        <w:rPr>
          <w:rFonts w:ascii="Verdana" w:hAnsi="Verdana" w:cs="Verdana"/>
          <w:sz w:val="20"/>
          <w:szCs w:val="20"/>
          <w:lang w:eastAsia="en-US"/>
        </w:rPr>
      </w:pPr>
      <w:r w:rsidRPr="009361C3">
        <w:rPr>
          <w:rFonts w:ascii="Verdana" w:hAnsi="Verdana" w:cs="Verdana"/>
          <w:sz w:val="20"/>
          <w:szCs w:val="20"/>
          <w:lang w:eastAsia="en-US"/>
        </w:rPr>
        <w:t>Финансовият резулт</w:t>
      </w:r>
      <w:r w:rsidR="006D6856">
        <w:rPr>
          <w:rFonts w:ascii="Verdana" w:hAnsi="Verdana" w:cs="Verdana"/>
          <w:sz w:val="20"/>
          <w:szCs w:val="20"/>
          <w:lang w:eastAsia="en-US"/>
        </w:rPr>
        <w:t>ат на д</w:t>
      </w:r>
      <w:r w:rsidR="00D135C3">
        <w:rPr>
          <w:rFonts w:ascii="Verdana" w:hAnsi="Verdana" w:cs="Verdana"/>
          <w:sz w:val="20"/>
          <w:szCs w:val="20"/>
          <w:lang w:eastAsia="en-US"/>
        </w:rPr>
        <w:t>ружеств</w:t>
      </w:r>
      <w:r w:rsidR="005440ED">
        <w:rPr>
          <w:rFonts w:ascii="Verdana" w:hAnsi="Verdana" w:cs="Verdana"/>
          <w:sz w:val="20"/>
          <w:szCs w:val="20"/>
          <w:lang w:eastAsia="en-US"/>
        </w:rPr>
        <w:t>ото към 30.06.202</w:t>
      </w:r>
      <w:r w:rsidR="00CF39DA">
        <w:rPr>
          <w:rFonts w:ascii="Verdana" w:hAnsi="Verdana" w:cs="Verdana"/>
          <w:sz w:val="20"/>
          <w:szCs w:val="20"/>
          <w:lang w:eastAsia="en-US"/>
        </w:rPr>
        <w:t>5</w:t>
      </w:r>
      <w:r w:rsidRPr="009361C3">
        <w:rPr>
          <w:rFonts w:ascii="Verdana" w:hAnsi="Verdana" w:cs="Verdana"/>
          <w:sz w:val="20"/>
          <w:szCs w:val="20"/>
          <w:lang w:eastAsia="en-US"/>
        </w:rPr>
        <w:t xml:space="preserve"> г. след да</w:t>
      </w:r>
      <w:r w:rsidR="00D135C3">
        <w:rPr>
          <w:rFonts w:ascii="Verdana" w:hAnsi="Verdana" w:cs="Verdana"/>
          <w:sz w:val="20"/>
          <w:szCs w:val="20"/>
          <w:lang w:eastAsia="en-US"/>
        </w:rPr>
        <w:t xml:space="preserve">нъци, е </w:t>
      </w:r>
      <w:r w:rsidR="00CF39DA">
        <w:rPr>
          <w:rFonts w:ascii="Verdana" w:hAnsi="Verdana" w:cs="Verdana"/>
          <w:sz w:val="20"/>
          <w:szCs w:val="20"/>
          <w:lang w:eastAsia="en-US"/>
        </w:rPr>
        <w:t>загуба</w:t>
      </w:r>
      <w:r w:rsidR="00D135C3">
        <w:rPr>
          <w:rFonts w:ascii="Verdana" w:hAnsi="Verdana" w:cs="Verdana"/>
          <w:sz w:val="20"/>
          <w:szCs w:val="20"/>
          <w:lang w:eastAsia="en-US"/>
        </w:rPr>
        <w:t xml:space="preserve"> в размер на  </w:t>
      </w:r>
      <w:r w:rsidR="00CF39DA">
        <w:rPr>
          <w:rFonts w:ascii="Verdana" w:hAnsi="Verdana" w:cs="Verdana"/>
          <w:sz w:val="20"/>
          <w:szCs w:val="20"/>
          <w:lang w:eastAsia="en-US"/>
        </w:rPr>
        <w:t>1 596</w:t>
      </w:r>
      <w:r w:rsidRPr="00B208E3">
        <w:rPr>
          <w:rFonts w:ascii="Verdana" w:hAnsi="Verdana" w:cs="Verdana"/>
          <w:sz w:val="20"/>
          <w:szCs w:val="20"/>
          <w:lang w:eastAsia="en-US"/>
        </w:rPr>
        <w:t xml:space="preserve"> хил.лв.  .</w:t>
      </w:r>
      <w:r>
        <w:rPr>
          <w:rFonts w:ascii="Verdana" w:hAnsi="Verdana" w:cs="Verdana"/>
          <w:sz w:val="20"/>
          <w:szCs w:val="20"/>
          <w:lang w:eastAsia="en-US"/>
        </w:rPr>
        <w:t xml:space="preserve"> От нап</w:t>
      </w:r>
      <w:r w:rsidR="0000327B">
        <w:rPr>
          <w:rFonts w:ascii="Verdana" w:hAnsi="Verdana" w:cs="Verdana"/>
          <w:sz w:val="20"/>
          <w:szCs w:val="20"/>
          <w:lang w:eastAsia="en-US"/>
        </w:rPr>
        <w:t>равеното сравнение и анализ на О</w:t>
      </w:r>
      <w:r>
        <w:rPr>
          <w:rFonts w:ascii="Verdana" w:hAnsi="Verdana" w:cs="Verdana"/>
          <w:sz w:val="20"/>
          <w:szCs w:val="20"/>
          <w:lang w:eastAsia="en-US"/>
        </w:rPr>
        <w:t>тчета за приходи и разходи за първ</w:t>
      </w:r>
      <w:r w:rsidR="008F378A">
        <w:rPr>
          <w:rFonts w:ascii="Verdana" w:hAnsi="Verdana" w:cs="Verdana"/>
          <w:sz w:val="20"/>
          <w:szCs w:val="20"/>
          <w:lang w:eastAsia="en-US"/>
        </w:rPr>
        <w:t>о шестмесечие на 20</w:t>
      </w:r>
      <w:r w:rsidR="00F82824">
        <w:rPr>
          <w:rFonts w:ascii="Verdana" w:hAnsi="Verdana" w:cs="Verdana"/>
          <w:sz w:val="20"/>
          <w:szCs w:val="20"/>
          <w:lang w:val="en-US" w:eastAsia="en-US"/>
        </w:rPr>
        <w:t>2</w:t>
      </w:r>
      <w:r w:rsidR="00CF39DA">
        <w:rPr>
          <w:rFonts w:ascii="Verdana" w:hAnsi="Verdana" w:cs="Verdana"/>
          <w:sz w:val="20"/>
          <w:szCs w:val="20"/>
          <w:lang w:eastAsia="en-US"/>
        </w:rPr>
        <w:t>5</w:t>
      </w:r>
      <w:r w:rsidR="008F378A">
        <w:rPr>
          <w:rFonts w:ascii="Verdana" w:hAnsi="Verdana" w:cs="Verdana"/>
          <w:sz w:val="20"/>
          <w:szCs w:val="20"/>
          <w:lang w:eastAsia="en-US"/>
        </w:rPr>
        <w:t xml:space="preserve"> г. спрямо</w:t>
      </w:r>
      <w:r w:rsidR="009F7B9C">
        <w:rPr>
          <w:rFonts w:ascii="Verdana" w:hAnsi="Verdana" w:cs="Verdana"/>
          <w:sz w:val="20"/>
          <w:szCs w:val="20"/>
          <w:lang w:eastAsia="en-US"/>
        </w:rPr>
        <w:t xml:space="preserve"> това на</w:t>
      </w:r>
      <w:r w:rsidR="008F378A">
        <w:rPr>
          <w:rFonts w:ascii="Verdana" w:hAnsi="Verdana" w:cs="Verdana"/>
          <w:sz w:val="20"/>
          <w:szCs w:val="20"/>
          <w:lang w:eastAsia="en-US"/>
        </w:rPr>
        <w:t xml:space="preserve"> 202</w:t>
      </w:r>
      <w:r w:rsidR="00CF39DA">
        <w:rPr>
          <w:rFonts w:ascii="Verdana" w:hAnsi="Verdana" w:cs="Verdana"/>
          <w:sz w:val="20"/>
          <w:szCs w:val="20"/>
          <w:lang w:eastAsia="en-US"/>
        </w:rPr>
        <w:t>4</w:t>
      </w:r>
      <w:r>
        <w:rPr>
          <w:rFonts w:ascii="Verdana" w:hAnsi="Verdana" w:cs="Verdana"/>
          <w:sz w:val="20"/>
          <w:szCs w:val="20"/>
          <w:lang w:eastAsia="en-US"/>
        </w:rPr>
        <w:t xml:space="preserve"> г. са направени следните констат</w:t>
      </w:r>
      <w:r w:rsidR="006D6856">
        <w:rPr>
          <w:rFonts w:ascii="Verdana" w:hAnsi="Verdana" w:cs="Verdana"/>
          <w:sz w:val="20"/>
          <w:szCs w:val="20"/>
          <w:lang w:eastAsia="en-US"/>
        </w:rPr>
        <w:t>а</w:t>
      </w:r>
      <w:r>
        <w:rPr>
          <w:rFonts w:ascii="Verdana" w:hAnsi="Verdana" w:cs="Verdana"/>
          <w:sz w:val="20"/>
          <w:szCs w:val="20"/>
          <w:lang w:eastAsia="en-US"/>
        </w:rPr>
        <w:t>ции:</w:t>
      </w:r>
    </w:p>
    <w:p w:rsidR="00F164B7" w:rsidRDefault="00954168" w:rsidP="00F52340">
      <w:pPr>
        <w:pStyle w:val="firstline"/>
        <w:numPr>
          <w:ilvl w:val="0"/>
          <w:numId w:val="5"/>
        </w:numPr>
        <w:spacing w:before="120" w:beforeAutospacing="0" w:after="0" w:afterAutospacing="0" w:line="260" w:lineRule="atLeast"/>
        <w:jc w:val="both"/>
        <w:rPr>
          <w:rFonts w:ascii="Verdana" w:hAnsi="Verdana" w:cs="Verdana"/>
          <w:sz w:val="20"/>
          <w:szCs w:val="20"/>
        </w:rPr>
      </w:pP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Pr="00426BBA">
        <w:rPr>
          <w:rFonts w:ascii="Verdana" w:hAnsi="Verdana" w:cs="Verdana"/>
          <w:sz w:val="20"/>
          <w:szCs w:val="20"/>
        </w:rPr>
        <w:tab/>
      </w:r>
      <w:r w:rsidR="00F164B7">
        <w:rPr>
          <w:rFonts w:ascii="Verdana" w:hAnsi="Verdana" w:cs="Verdana"/>
          <w:sz w:val="20"/>
          <w:szCs w:val="20"/>
        </w:rPr>
        <w:t xml:space="preserve">  </w:t>
      </w:r>
    </w:p>
    <w:p w:rsidR="00F164B7" w:rsidRPr="00C3313E" w:rsidRDefault="00F164B7" w:rsidP="00954168">
      <w:pPr>
        <w:spacing w:line="260" w:lineRule="atLeast"/>
        <w:ind w:right="-1"/>
        <w:rPr>
          <w:rFonts w:ascii="Verdana" w:hAnsi="Verdana" w:cs="Verdana"/>
          <w:b/>
          <w:sz w:val="20"/>
          <w:szCs w:val="20"/>
        </w:rPr>
      </w:pPr>
      <w:r w:rsidRPr="00F164B7">
        <w:rPr>
          <w:rFonts w:ascii="Verdana" w:hAnsi="Verdana" w:cs="Verdana"/>
          <w:b/>
          <w:sz w:val="20"/>
          <w:szCs w:val="20"/>
        </w:rPr>
        <w:t>Справка за текущи активи и пасиви</w:t>
      </w:r>
    </w:p>
    <w:p w:rsidR="00954168" w:rsidRPr="00426BBA" w:rsidRDefault="00954168" w:rsidP="00954168">
      <w:pPr>
        <w:spacing w:line="260" w:lineRule="atLeast"/>
        <w:ind w:right="-1"/>
        <w:rPr>
          <w:rFonts w:ascii="Verdana" w:hAnsi="Verdana" w:cs="Verdana"/>
          <w:sz w:val="20"/>
          <w:szCs w:val="20"/>
        </w:rPr>
      </w:pPr>
      <w:r w:rsidRPr="00426BBA">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00F164B7">
        <w:rPr>
          <w:rFonts w:ascii="Verdana" w:hAnsi="Verdana" w:cs="Verdana"/>
          <w:sz w:val="20"/>
          <w:szCs w:val="20"/>
        </w:rPr>
        <w:tab/>
      </w:r>
      <w:r w:rsidRPr="00426BBA">
        <w:rPr>
          <w:rFonts w:ascii="Verdana" w:hAnsi="Verdana" w:cs="Verdana"/>
          <w:sz w:val="20"/>
          <w:szCs w:val="20"/>
        </w:rPr>
        <w:t>/хил.лв/</w:t>
      </w:r>
    </w:p>
    <w:tbl>
      <w:tblPr>
        <w:tblW w:w="5000" w:type="pct"/>
        <w:tblCellSpacing w:w="1440" w:type="nil"/>
        <w:tblInd w:w="-106" w:type="dxa"/>
        <w:tblBorders>
          <w:top w:val="outset" w:sz="6" w:space="0" w:color="auto"/>
          <w:bottom w:val="outset" w:sz="6" w:space="0" w:color="auto"/>
          <w:insideH w:val="outset" w:sz="6" w:space="0" w:color="auto"/>
        </w:tblBorders>
        <w:tblLook w:val="00A0" w:firstRow="1" w:lastRow="0" w:firstColumn="1" w:lastColumn="0" w:noHBand="0" w:noVBand="0"/>
      </w:tblPr>
      <w:tblGrid>
        <w:gridCol w:w="5798"/>
        <w:gridCol w:w="1745"/>
        <w:gridCol w:w="1745"/>
      </w:tblGrid>
      <w:tr w:rsidR="00954168" w:rsidRPr="00426BBA" w:rsidTr="00F164B7">
        <w:trPr>
          <w:trHeight w:val="255"/>
          <w:tblCellSpacing w:w="1440" w:type="nil"/>
        </w:trPr>
        <w:tc>
          <w:tcPr>
            <w:tcW w:w="3121" w:type="pct"/>
            <w:shd w:val="clear" w:color="000000" w:fill="FFFFFF"/>
            <w:noWrap/>
            <w:vAlign w:val="center"/>
          </w:tcPr>
          <w:p w:rsidR="00954168" w:rsidRPr="00426BBA" w:rsidRDefault="00F164B7" w:rsidP="000B6DD7">
            <w:pPr>
              <w:jc w:val="left"/>
              <w:rPr>
                <w:rFonts w:ascii="Verdana" w:hAnsi="Verdana" w:cs="Verdana"/>
                <w:b/>
                <w:bCs/>
                <w:color w:val="000000"/>
                <w:sz w:val="20"/>
                <w:szCs w:val="20"/>
                <w:lang w:val="en-US"/>
              </w:rPr>
            </w:pPr>
            <w:r>
              <w:rPr>
                <w:rFonts w:ascii="Verdana" w:hAnsi="Verdana" w:cs="Verdana"/>
                <w:b/>
                <w:bCs/>
                <w:color w:val="000000"/>
                <w:sz w:val="20"/>
                <w:szCs w:val="20"/>
              </w:rPr>
              <w:t>Текущи</w:t>
            </w:r>
            <w:r w:rsidR="00954168" w:rsidRPr="00426BBA">
              <w:rPr>
                <w:rFonts w:ascii="Verdana" w:hAnsi="Verdana" w:cs="Verdana"/>
                <w:b/>
                <w:bCs/>
                <w:color w:val="000000"/>
                <w:sz w:val="20"/>
                <w:szCs w:val="20"/>
                <w:lang w:val="en-US"/>
              </w:rPr>
              <w:t xml:space="preserve"> </w:t>
            </w:r>
            <w:proofErr w:type="spellStart"/>
            <w:r w:rsidR="00954168" w:rsidRPr="00426BBA">
              <w:rPr>
                <w:rFonts w:ascii="Verdana" w:hAnsi="Verdana" w:cs="Verdana"/>
                <w:b/>
                <w:bCs/>
                <w:color w:val="000000"/>
                <w:sz w:val="20"/>
                <w:szCs w:val="20"/>
                <w:lang w:val="en-US"/>
              </w:rPr>
              <w:t>активи</w:t>
            </w:r>
            <w:proofErr w:type="spellEnd"/>
          </w:p>
        </w:tc>
        <w:tc>
          <w:tcPr>
            <w:tcW w:w="939" w:type="pct"/>
            <w:noWrap/>
            <w:vAlign w:val="center"/>
          </w:tcPr>
          <w:p w:rsidR="00954168" w:rsidRPr="00426BBA" w:rsidRDefault="00954168" w:rsidP="001E4187">
            <w:pPr>
              <w:jc w:val="center"/>
              <w:rPr>
                <w:rFonts w:ascii="Verdana" w:hAnsi="Verdana" w:cs="Verdana"/>
                <w:b/>
                <w:bCs/>
                <w:sz w:val="20"/>
                <w:szCs w:val="20"/>
                <w:lang w:val="en-US"/>
              </w:rPr>
            </w:pPr>
            <w:r w:rsidRPr="00426BBA">
              <w:rPr>
                <w:rFonts w:ascii="Verdana" w:hAnsi="Verdana" w:cs="Verdana"/>
                <w:b/>
                <w:bCs/>
                <w:sz w:val="20"/>
                <w:szCs w:val="20"/>
                <w:lang w:val="en-US"/>
              </w:rPr>
              <w:t>3</w:t>
            </w:r>
            <w:r w:rsidRPr="00426BBA">
              <w:rPr>
                <w:rFonts w:ascii="Verdana" w:hAnsi="Verdana" w:cs="Verdana"/>
                <w:b/>
                <w:bCs/>
                <w:sz w:val="20"/>
                <w:szCs w:val="20"/>
              </w:rPr>
              <w:t>0.06</w:t>
            </w:r>
            <w:r w:rsidRPr="00426BBA">
              <w:rPr>
                <w:rFonts w:ascii="Verdana" w:hAnsi="Verdana" w:cs="Verdana"/>
                <w:b/>
                <w:bCs/>
                <w:sz w:val="20"/>
                <w:szCs w:val="20"/>
                <w:lang w:val="en-US"/>
              </w:rPr>
              <w:t>.20</w:t>
            </w:r>
            <w:r w:rsidR="00892800">
              <w:rPr>
                <w:rFonts w:ascii="Verdana" w:hAnsi="Verdana" w:cs="Verdana"/>
                <w:b/>
                <w:bCs/>
                <w:sz w:val="20"/>
                <w:szCs w:val="20"/>
              </w:rPr>
              <w:t>2</w:t>
            </w:r>
            <w:r w:rsidR="001E4187">
              <w:rPr>
                <w:rFonts w:ascii="Verdana" w:hAnsi="Verdana" w:cs="Verdana"/>
                <w:b/>
                <w:bCs/>
                <w:sz w:val="20"/>
                <w:szCs w:val="20"/>
              </w:rPr>
              <w:t>5</w:t>
            </w:r>
            <w:r w:rsidRPr="00426BBA">
              <w:rPr>
                <w:rFonts w:ascii="Verdana" w:hAnsi="Verdana" w:cs="Verdana"/>
                <w:b/>
                <w:bCs/>
                <w:sz w:val="20"/>
                <w:szCs w:val="20"/>
                <w:lang w:val="en-US"/>
              </w:rPr>
              <w:t xml:space="preserve"> г.</w:t>
            </w:r>
          </w:p>
        </w:tc>
        <w:tc>
          <w:tcPr>
            <w:tcW w:w="939" w:type="pct"/>
            <w:shd w:val="clear" w:color="000000" w:fill="FFFFFF"/>
            <w:noWrap/>
            <w:vAlign w:val="center"/>
          </w:tcPr>
          <w:p w:rsidR="00954168" w:rsidRPr="00426BBA" w:rsidRDefault="00954168" w:rsidP="001E4187">
            <w:pPr>
              <w:jc w:val="center"/>
              <w:rPr>
                <w:rFonts w:ascii="Verdana" w:hAnsi="Verdana" w:cs="Verdana"/>
                <w:b/>
                <w:bCs/>
                <w:color w:val="000000"/>
                <w:sz w:val="20"/>
                <w:szCs w:val="20"/>
                <w:lang w:val="en-US"/>
              </w:rPr>
            </w:pPr>
            <w:r w:rsidRPr="00426BBA">
              <w:rPr>
                <w:rFonts w:ascii="Verdana" w:hAnsi="Verdana" w:cs="Verdana"/>
                <w:b/>
                <w:bCs/>
                <w:color w:val="000000"/>
                <w:sz w:val="20"/>
                <w:szCs w:val="20"/>
              </w:rPr>
              <w:t>31</w:t>
            </w:r>
            <w:r w:rsidRPr="00426BBA">
              <w:rPr>
                <w:rFonts w:ascii="Verdana" w:hAnsi="Verdana" w:cs="Verdana"/>
                <w:b/>
                <w:bCs/>
                <w:color w:val="000000"/>
                <w:sz w:val="20"/>
                <w:szCs w:val="20"/>
                <w:lang w:val="en-US"/>
              </w:rPr>
              <w:t>.</w:t>
            </w:r>
            <w:r w:rsidRPr="00426BBA">
              <w:rPr>
                <w:rFonts w:ascii="Verdana" w:hAnsi="Verdana" w:cs="Verdana"/>
                <w:b/>
                <w:bCs/>
                <w:color w:val="000000"/>
                <w:sz w:val="20"/>
                <w:szCs w:val="20"/>
              </w:rPr>
              <w:t>12</w:t>
            </w:r>
            <w:r w:rsidR="001D5804">
              <w:rPr>
                <w:rFonts w:ascii="Verdana" w:hAnsi="Verdana" w:cs="Verdana"/>
                <w:b/>
                <w:bCs/>
                <w:color w:val="000000"/>
                <w:sz w:val="20"/>
                <w:szCs w:val="20"/>
                <w:lang w:val="en-US"/>
              </w:rPr>
              <w:t>.20</w:t>
            </w:r>
            <w:r w:rsidR="00892800">
              <w:rPr>
                <w:rFonts w:ascii="Verdana" w:hAnsi="Verdana" w:cs="Verdana"/>
                <w:b/>
                <w:bCs/>
                <w:color w:val="000000"/>
                <w:sz w:val="20"/>
                <w:szCs w:val="20"/>
              </w:rPr>
              <w:t>2</w:t>
            </w:r>
            <w:r w:rsidR="001E4187">
              <w:rPr>
                <w:rFonts w:ascii="Verdana" w:hAnsi="Verdana" w:cs="Verdana"/>
                <w:b/>
                <w:bCs/>
                <w:color w:val="000000"/>
                <w:sz w:val="20"/>
                <w:szCs w:val="20"/>
              </w:rPr>
              <w:t>4</w:t>
            </w:r>
            <w:r w:rsidRPr="00426BBA">
              <w:rPr>
                <w:rFonts w:ascii="Verdana" w:hAnsi="Verdana" w:cs="Verdana"/>
                <w:b/>
                <w:bCs/>
                <w:color w:val="000000"/>
                <w:sz w:val="20"/>
                <w:szCs w:val="20"/>
                <w:lang w:val="en-US"/>
              </w:rPr>
              <w:t xml:space="preserve"> г.</w:t>
            </w:r>
          </w:p>
        </w:tc>
      </w:tr>
      <w:tr w:rsidR="00F164B7" w:rsidRPr="00426BBA" w:rsidTr="00CE2C13">
        <w:trPr>
          <w:trHeight w:val="255"/>
          <w:tblCellSpacing w:w="1440" w:type="nil"/>
        </w:trPr>
        <w:tc>
          <w:tcPr>
            <w:tcW w:w="3121" w:type="pct"/>
            <w:shd w:val="clear" w:color="000000" w:fill="FFFFFF"/>
            <w:noWrap/>
            <w:vAlign w:val="center"/>
          </w:tcPr>
          <w:p w:rsidR="00F164B7" w:rsidRDefault="00F164B7" w:rsidP="000B6DD7">
            <w:pPr>
              <w:jc w:val="left"/>
              <w:rPr>
                <w:rFonts w:ascii="Verdana" w:hAnsi="Verdana" w:cs="Verdana"/>
                <w:b/>
                <w:bCs/>
                <w:color w:val="000000"/>
                <w:sz w:val="20"/>
                <w:szCs w:val="20"/>
              </w:rPr>
            </w:pPr>
            <w:r>
              <w:rPr>
                <w:rFonts w:ascii="Verdana" w:hAnsi="Verdana" w:cs="Verdana"/>
                <w:b/>
                <w:bCs/>
                <w:color w:val="000000"/>
                <w:sz w:val="20"/>
                <w:szCs w:val="20"/>
              </w:rPr>
              <w:t>Материални запаси</w:t>
            </w:r>
          </w:p>
        </w:tc>
        <w:tc>
          <w:tcPr>
            <w:tcW w:w="939" w:type="pct"/>
            <w:noWrap/>
            <w:vAlign w:val="center"/>
          </w:tcPr>
          <w:p w:rsidR="00F164B7" w:rsidRPr="00F164B7" w:rsidRDefault="0072026F" w:rsidP="000B6DD7">
            <w:pPr>
              <w:jc w:val="center"/>
              <w:rPr>
                <w:rFonts w:ascii="Verdana" w:hAnsi="Verdana" w:cs="Verdana"/>
                <w:b/>
                <w:bCs/>
                <w:sz w:val="20"/>
                <w:szCs w:val="20"/>
              </w:rPr>
            </w:pPr>
            <w:r>
              <w:rPr>
                <w:rFonts w:ascii="Verdana" w:hAnsi="Verdana" w:cs="Verdana"/>
                <w:b/>
                <w:bCs/>
                <w:sz w:val="20"/>
                <w:szCs w:val="20"/>
              </w:rPr>
              <w:t>195</w:t>
            </w:r>
          </w:p>
        </w:tc>
        <w:tc>
          <w:tcPr>
            <w:tcW w:w="939" w:type="pct"/>
            <w:shd w:val="clear" w:color="000000" w:fill="FFFFFF"/>
            <w:noWrap/>
            <w:vAlign w:val="center"/>
          </w:tcPr>
          <w:p w:rsidR="00F164B7" w:rsidRPr="00426BBA" w:rsidRDefault="001E4187" w:rsidP="000B6DD7">
            <w:pPr>
              <w:jc w:val="center"/>
              <w:rPr>
                <w:rFonts w:ascii="Verdana" w:hAnsi="Verdana" w:cs="Verdana"/>
                <w:b/>
                <w:bCs/>
                <w:color w:val="000000"/>
                <w:sz w:val="20"/>
                <w:szCs w:val="20"/>
              </w:rPr>
            </w:pPr>
            <w:r>
              <w:rPr>
                <w:rFonts w:ascii="Verdana" w:hAnsi="Verdana" w:cs="Verdana"/>
                <w:b/>
                <w:bCs/>
                <w:color w:val="000000"/>
                <w:sz w:val="20"/>
                <w:szCs w:val="20"/>
              </w:rPr>
              <w:t>197</w:t>
            </w:r>
          </w:p>
        </w:tc>
      </w:tr>
      <w:tr w:rsidR="00954168" w:rsidRPr="00F164B7" w:rsidTr="00F52340">
        <w:trPr>
          <w:trHeight w:val="255"/>
          <w:tblCellSpacing w:w="1440" w:type="nil"/>
        </w:trPr>
        <w:tc>
          <w:tcPr>
            <w:tcW w:w="3121" w:type="pct"/>
            <w:shd w:val="clear" w:color="000000" w:fill="FFFFFF"/>
            <w:vAlign w:val="center"/>
          </w:tcPr>
          <w:p w:rsidR="00954168" w:rsidRPr="00F164B7" w:rsidRDefault="00954168" w:rsidP="000B6DD7">
            <w:pPr>
              <w:jc w:val="left"/>
              <w:rPr>
                <w:rFonts w:ascii="Verdana" w:hAnsi="Verdana" w:cs="Verdana"/>
                <w:b/>
                <w:color w:val="000000"/>
                <w:sz w:val="20"/>
                <w:szCs w:val="20"/>
                <w:lang w:val="en-US"/>
              </w:rPr>
            </w:pPr>
            <w:proofErr w:type="spellStart"/>
            <w:r w:rsidRPr="00F164B7">
              <w:rPr>
                <w:rFonts w:ascii="Verdana" w:hAnsi="Verdana" w:cs="Verdana"/>
                <w:b/>
                <w:color w:val="000000"/>
                <w:sz w:val="20"/>
                <w:szCs w:val="20"/>
                <w:lang w:val="en-US"/>
              </w:rPr>
              <w:t>Текущи</w:t>
            </w:r>
            <w:proofErr w:type="spellEnd"/>
            <w:r w:rsidRPr="00F164B7">
              <w:rPr>
                <w:rFonts w:ascii="Verdana" w:hAnsi="Verdana" w:cs="Verdana"/>
                <w:b/>
                <w:color w:val="000000"/>
                <w:sz w:val="20"/>
                <w:szCs w:val="20"/>
              </w:rPr>
              <w:t xml:space="preserve"> </w:t>
            </w:r>
            <w:proofErr w:type="spellStart"/>
            <w:r w:rsidRPr="00F164B7">
              <w:rPr>
                <w:rFonts w:ascii="Verdana" w:hAnsi="Verdana" w:cs="Verdana"/>
                <w:b/>
                <w:color w:val="000000"/>
                <w:sz w:val="20"/>
                <w:szCs w:val="20"/>
                <w:lang w:val="en-US"/>
              </w:rPr>
              <w:t>търговски</w:t>
            </w:r>
            <w:proofErr w:type="spellEnd"/>
            <w:r w:rsidRPr="00F164B7">
              <w:rPr>
                <w:rFonts w:ascii="Verdana" w:hAnsi="Verdana" w:cs="Verdana"/>
                <w:b/>
                <w:color w:val="000000"/>
                <w:sz w:val="20"/>
                <w:szCs w:val="20"/>
                <w:lang w:val="en-US"/>
              </w:rPr>
              <w:t xml:space="preserve"> и </w:t>
            </w:r>
            <w:proofErr w:type="spellStart"/>
            <w:r w:rsidRPr="00F164B7">
              <w:rPr>
                <w:rFonts w:ascii="Verdana" w:hAnsi="Verdana" w:cs="Verdana"/>
                <w:b/>
                <w:color w:val="000000"/>
                <w:sz w:val="20"/>
                <w:szCs w:val="20"/>
                <w:lang w:val="en-US"/>
              </w:rPr>
              <w:t>други</w:t>
            </w:r>
            <w:proofErr w:type="spellEnd"/>
            <w:r w:rsidRPr="00F164B7">
              <w:rPr>
                <w:rFonts w:ascii="Verdana" w:hAnsi="Verdana" w:cs="Verdana"/>
                <w:b/>
                <w:color w:val="000000"/>
                <w:sz w:val="20"/>
                <w:szCs w:val="20"/>
              </w:rPr>
              <w:t xml:space="preserve"> </w:t>
            </w:r>
            <w:proofErr w:type="spellStart"/>
            <w:r w:rsidRPr="00F164B7">
              <w:rPr>
                <w:rFonts w:ascii="Verdana" w:hAnsi="Verdana" w:cs="Verdana"/>
                <w:b/>
                <w:color w:val="000000"/>
                <w:sz w:val="20"/>
                <w:szCs w:val="20"/>
                <w:lang w:val="en-US"/>
              </w:rPr>
              <w:t>вземания</w:t>
            </w:r>
            <w:proofErr w:type="spellEnd"/>
          </w:p>
        </w:tc>
        <w:tc>
          <w:tcPr>
            <w:tcW w:w="939" w:type="pct"/>
            <w:noWrap/>
            <w:vAlign w:val="center"/>
          </w:tcPr>
          <w:p w:rsidR="00954168" w:rsidRPr="00F164B7" w:rsidRDefault="0072026F" w:rsidP="00F52340">
            <w:pPr>
              <w:jc w:val="center"/>
              <w:rPr>
                <w:rFonts w:ascii="Verdana" w:hAnsi="Verdana" w:cs="Verdana"/>
                <w:b/>
                <w:sz w:val="20"/>
                <w:szCs w:val="20"/>
              </w:rPr>
            </w:pPr>
            <w:r>
              <w:rPr>
                <w:rFonts w:ascii="Verdana" w:hAnsi="Verdana" w:cs="Verdana"/>
                <w:b/>
                <w:sz w:val="20"/>
                <w:szCs w:val="20"/>
              </w:rPr>
              <w:t>1 180</w:t>
            </w:r>
          </w:p>
        </w:tc>
        <w:tc>
          <w:tcPr>
            <w:tcW w:w="939" w:type="pct"/>
            <w:noWrap/>
            <w:vAlign w:val="center"/>
          </w:tcPr>
          <w:p w:rsidR="00954168" w:rsidRPr="00F164B7" w:rsidRDefault="001E4187" w:rsidP="00F52340">
            <w:pPr>
              <w:jc w:val="center"/>
              <w:rPr>
                <w:rFonts w:ascii="Verdana" w:hAnsi="Verdana" w:cs="Verdana"/>
                <w:b/>
                <w:sz w:val="20"/>
                <w:szCs w:val="20"/>
              </w:rPr>
            </w:pPr>
            <w:r>
              <w:rPr>
                <w:rFonts w:ascii="Verdana" w:hAnsi="Verdana" w:cs="Verdana"/>
                <w:b/>
                <w:sz w:val="20"/>
                <w:szCs w:val="20"/>
              </w:rPr>
              <w:t>1 848</w:t>
            </w:r>
          </w:p>
        </w:tc>
      </w:tr>
      <w:tr w:rsidR="00954168" w:rsidRPr="00426BBA" w:rsidTr="00F164B7">
        <w:trPr>
          <w:trHeight w:val="255"/>
          <w:tblCellSpacing w:w="1440" w:type="nil"/>
        </w:trPr>
        <w:tc>
          <w:tcPr>
            <w:tcW w:w="3121" w:type="pct"/>
            <w:shd w:val="clear" w:color="000000" w:fill="FFFFFF"/>
            <w:vAlign w:val="center"/>
          </w:tcPr>
          <w:p w:rsidR="00954168" w:rsidRPr="00426BBA" w:rsidRDefault="00954168"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Парични</w:t>
            </w:r>
            <w:proofErr w:type="spellEnd"/>
            <w:r w:rsidRPr="00426BBA">
              <w:rPr>
                <w:rFonts w:ascii="Verdana" w:hAnsi="Verdana" w:cs="Verdana"/>
                <w:b/>
                <w:bCs/>
                <w:color w:val="000000"/>
                <w:sz w:val="20"/>
                <w:szCs w:val="20"/>
                <w:lang w:val="en-US"/>
              </w:rPr>
              <w:t xml:space="preserve"> </w:t>
            </w:r>
            <w:proofErr w:type="spellStart"/>
            <w:r w:rsidRPr="00426BBA">
              <w:rPr>
                <w:rFonts w:ascii="Verdana" w:hAnsi="Verdana" w:cs="Verdana"/>
                <w:b/>
                <w:bCs/>
                <w:color w:val="000000"/>
                <w:sz w:val="20"/>
                <w:szCs w:val="20"/>
                <w:lang w:val="en-US"/>
              </w:rPr>
              <w:t>средства</w:t>
            </w:r>
            <w:proofErr w:type="spellEnd"/>
          </w:p>
        </w:tc>
        <w:tc>
          <w:tcPr>
            <w:tcW w:w="939" w:type="pct"/>
            <w:noWrap/>
            <w:vAlign w:val="center"/>
          </w:tcPr>
          <w:p w:rsidR="00954168" w:rsidRPr="00426BBA" w:rsidRDefault="0072026F" w:rsidP="000B6DD7">
            <w:pPr>
              <w:jc w:val="center"/>
              <w:rPr>
                <w:rFonts w:ascii="Verdana" w:hAnsi="Verdana" w:cs="Verdana"/>
                <w:b/>
                <w:bCs/>
                <w:sz w:val="20"/>
                <w:szCs w:val="20"/>
              </w:rPr>
            </w:pPr>
            <w:r>
              <w:rPr>
                <w:rFonts w:ascii="Verdana" w:hAnsi="Verdana" w:cs="Verdana"/>
                <w:b/>
                <w:bCs/>
                <w:sz w:val="20"/>
                <w:szCs w:val="20"/>
              </w:rPr>
              <w:t>6</w:t>
            </w:r>
          </w:p>
        </w:tc>
        <w:tc>
          <w:tcPr>
            <w:tcW w:w="939" w:type="pct"/>
            <w:noWrap/>
            <w:vAlign w:val="center"/>
          </w:tcPr>
          <w:p w:rsidR="00954168" w:rsidRPr="00426BBA" w:rsidRDefault="001E4187" w:rsidP="000B6DD7">
            <w:pPr>
              <w:jc w:val="center"/>
              <w:rPr>
                <w:rFonts w:ascii="Verdana" w:hAnsi="Verdana" w:cs="Verdana"/>
                <w:b/>
                <w:bCs/>
                <w:sz w:val="20"/>
                <w:szCs w:val="20"/>
              </w:rPr>
            </w:pPr>
            <w:r>
              <w:rPr>
                <w:rFonts w:ascii="Verdana" w:hAnsi="Verdana" w:cs="Verdana"/>
                <w:b/>
                <w:bCs/>
                <w:sz w:val="20"/>
                <w:szCs w:val="20"/>
              </w:rPr>
              <w:t>28</w:t>
            </w:r>
          </w:p>
        </w:tc>
      </w:tr>
      <w:tr w:rsidR="00954168" w:rsidRPr="00426BBA" w:rsidTr="00F164B7">
        <w:trPr>
          <w:trHeight w:val="255"/>
          <w:tblCellSpacing w:w="1440" w:type="nil"/>
        </w:trPr>
        <w:tc>
          <w:tcPr>
            <w:tcW w:w="3121" w:type="pct"/>
            <w:shd w:val="clear" w:color="000000" w:fill="F2F2F2"/>
            <w:noWrap/>
            <w:vAlign w:val="center"/>
          </w:tcPr>
          <w:p w:rsidR="00954168" w:rsidRPr="00426BBA" w:rsidRDefault="00954168" w:rsidP="00F164B7">
            <w:pPr>
              <w:jc w:val="left"/>
              <w:rPr>
                <w:rFonts w:ascii="Verdana" w:hAnsi="Verdana" w:cs="Verdana"/>
                <w:b/>
                <w:bCs/>
                <w:sz w:val="20"/>
                <w:szCs w:val="20"/>
                <w:lang w:val="en-US"/>
              </w:rPr>
            </w:pPr>
            <w:proofErr w:type="spellStart"/>
            <w:r w:rsidRPr="00426BBA">
              <w:rPr>
                <w:rFonts w:ascii="Verdana" w:hAnsi="Verdana" w:cs="Verdana"/>
                <w:b/>
                <w:bCs/>
                <w:sz w:val="20"/>
                <w:szCs w:val="20"/>
                <w:lang w:val="en-US"/>
              </w:rPr>
              <w:t>Общо</w:t>
            </w:r>
            <w:proofErr w:type="spellEnd"/>
            <w:r w:rsidRPr="00426BBA">
              <w:rPr>
                <w:rFonts w:ascii="Verdana" w:hAnsi="Verdana" w:cs="Verdana"/>
                <w:b/>
                <w:bCs/>
                <w:sz w:val="20"/>
                <w:szCs w:val="20"/>
              </w:rPr>
              <w:t xml:space="preserve"> </w:t>
            </w:r>
            <w:r w:rsidR="00F164B7">
              <w:rPr>
                <w:rFonts w:ascii="Verdana" w:hAnsi="Verdana" w:cs="Verdana"/>
                <w:b/>
                <w:bCs/>
                <w:sz w:val="20"/>
                <w:szCs w:val="20"/>
              </w:rPr>
              <w:t>текущи</w:t>
            </w:r>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активи</w:t>
            </w:r>
            <w:proofErr w:type="spellEnd"/>
          </w:p>
        </w:tc>
        <w:tc>
          <w:tcPr>
            <w:tcW w:w="939" w:type="pct"/>
            <w:shd w:val="clear" w:color="000000" w:fill="F2F2F2"/>
            <w:noWrap/>
            <w:vAlign w:val="center"/>
          </w:tcPr>
          <w:p w:rsidR="00954168" w:rsidRPr="00426BBA" w:rsidRDefault="0072026F" w:rsidP="00F164B7">
            <w:pPr>
              <w:jc w:val="center"/>
              <w:rPr>
                <w:rFonts w:ascii="Verdana" w:hAnsi="Verdana" w:cs="Verdana"/>
                <w:b/>
                <w:bCs/>
                <w:sz w:val="20"/>
                <w:szCs w:val="20"/>
              </w:rPr>
            </w:pPr>
            <w:r>
              <w:rPr>
                <w:rFonts w:ascii="Verdana" w:hAnsi="Verdana" w:cs="Verdana"/>
                <w:b/>
                <w:bCs/>
                <w:sz w:val="20"/>
                <w:szCs w:val="20"/>
              </w:rPr>
              <w:t>1 381</w:t>
            </w:r>
          </w:p>
        </w:tc>
        <w:tc>
          <w:tcPr>
            <w:tcW w:w="939" w:type="pct"/>
            <w:shd w:val="clear" w:color="000000" w:fill="F2F2F2"/>
            <w:noWrap/>
            <w:vAlign w:val="center"/>
          </w:tcPr>
          <w:p w:rsidR="00954168" w:rsidRPr="00426BBA" w:rsidRDefault="001E4187" w:rsidP="00F164B7">
            <w:pPr>
              <w:jc w:val="center"/>
              <w:rPr>
                <w:rFonts w:ascii="Verdana" w:hAnsi="Verdana" w:cs="Verdana"/>
                <w:b/>
                <w:bCs/>
                <w:sz w:val="20"/>
                <w:szCs w:val="20"/>
              </w:rPr>
            </w:pPr>
            <w:r>
              <w:rPr>
                <w:rFonts w:ascii="Verdana" w:hAnsi="Verdana" w:cs="Verdana"/>
                <w:b/>
                <w:bCs/>
                <w:sz w:val="20"/>
                <w:szCs w:val="20"/>
              </w:rPr>
              <w:t>2073</w:t>
            </w:r>
          </w:p>
        </w:tc>
      </w:tr>
      <w:tr w:rsidR="00F164B7" w:rsidRPr="00426BBA" w:rsidTr="00F164B7">
        <w:trPr>
          <w:trHeight w:val="255"/>
          <w:tblCellSpacing w:w="1440" w:type="nil"/>
        </w:trPr>
        <w:tc>
          <w:tcPr>
            <w:tcW w:w="3121" w:type="pct"/>
            <w:shd w:val="clear" w:color="000000" w:fill="F2F2F2"/>
            <w:noWrap/>
            <w:vAlign w:val="center"/>
          </w:tcPr>
          <w:p w:rsidR="00F164B7" w:rsidRPr="00426BBA" w:rsidRDefault="00F164B7" w:rsidP="00F164B7">
            <w:pPr>
              <w:jc w:val="left"/>
              <w:rPr>
                <w:rFonts w:ascii="Verdana" w:hAnsi="Verdana" w:cs="Verdana"/>
                <w:b/>
                <w:bCs/>
                <w:sz w:val="20"/>
                <w:szCs w:val="20"/>
                <w:lang w:val="en-US"/>
              </w:rPr>
            </w:pPr>
          </w:p>
        </w:tc>
        <w:tc>
          <w:tcPr>
            <w:tcW w:w="939" w:type="pct"/>
            <w:shd w:val="clear" w:color="000000" w:fill="F2F2F2"/>
            <w:noWrap/>
            <w:vAlign w:val="center"/>
          </w:tcPr>
          <w:p w:rsidR="00F164B7" w:rsidRDefault="00F164B7" w:rsidP="00F164B7">
            <w:pPr>
              <w:jc w:val="center"/>
              <w:rPr>
                <w:rFonts w:ascii="Verdana" w:hAnsi="Verdana" w:cs="Verdana"/>
                <w:b/>
                <w:bCs/>
                <w:sz w:val="20"/>
                <w:szCs w:val="20"/>
              </w:rPr>
            </w:pPr>
          </w:p>
        </w:tc>
        <w:tc>
          <w:tcPr>
            <w:tcW w:w="939" w:type="pct"/>
            <w:shd w:val="clear" w:color="000000" w:fill="F2F2F2"/>
            <w:noWrap/>
            <w:vAlign w:val="center"/>
          </w:tcPr>
          <w:p w:rsidR="00F164B7" w:rsidRDefault="00F164B7" w:rsidP="00F164B7">
            <w:pPr>
              <w:jc w:val="center"/>
              <w:rPr>
                <w:rFonts w:ascii="Verdana" w:hAnsi="Verdana" w:cs="Verdana"/>
                <w:b/>
                <w:bCs/>
                <w:sz w:val="20"/>
                <w:szCs w:val="20"/>
              </w:rPr>
            </w:pPr>
          </w:p>
        </w:tc>
      </w:tr>
      <w:tr w:rsidR="00954168" w:rsidRPr="00426BBA" w:rsidTr="00F164B7">
        <w:trPr>
          <w:trHeight w:val="255"/>
          <w:tblCellSpacing w:w="1440" w:type="nil"/>
        </w:trPr>
        <w:tc>
          <w:tcPr>
            <w:tcW w:w="3121" w:type="pct"/>
            <w:shd w:val="clear" w:color="000000" w:fill="FFFFFF"/>
            <w:noWrap/>
            <w:vAlign w:val="center"/>
          </w:tcPr>
          <w:p w:rsidR="00954168" w:rsidRPr="00426BBA" w:rsidRDefault="00CE2C13" w:rsidP="00F164B7">
            <w:pPr>
              <w:jc w:val="left"/>
              <w:rPr>
                <w:rFonts w:ascii="Verdana" w:hAnsi="Verdana" w:cs="Verdana"/>
                <w:b/>
                <w:bCs/>
                <w:color w:val="000000"/>
                <w:sz w:val="20"/>
                <w:szCs w:val="20"/>
                <w:lang w:val="en-US"/>
              </w:rPr>
            </w:pPr>
            <w:r>
              <w:rPr>
                <w:rFonts w:ascii="Verdana" w:hAnsi="Verdana" w:cs="Verdana"/>
                <w:b/>
                <w:bCs/>
                <w:color w:val="000000"/>
                <w:sz w:val="20"/>
                <w:szCs w:val="20"/>
              </w:rPr>
              <w:t xml:space="preserve">Текущи </w:t>
            </w:r>
            <w:proofErr w:type="spellStart"/>
            <w:r w:rsidR="00954168" w:rsidRPr="00426BBA">
              <w:rPr>
                <w:rFonts w:ascii="Verdana" w:hAnsi="Verdana" w:cs="Verdana"/>
                <w:b/>
                <w:bCs/>
                <w:color w:val="000000"/>
                <w:sz w:val="20"/>
                <w:szCs w:val="20"/>
                <w:lang w:val="en-US"/>
              </w:rPr>
              <w:t>пасиви</w:t>
            </w:r>
            <w:proofErr w:type="spellEnd"/>
          </w:p>
        </w:tc>
        <w:tc>
          <w:tcPr>
            <w:tcW w:w="939" w:type="pct"/>
            <w:shd w:val="clear" w:color="000000" w:fill="FFFFFF"/>
            <w:noWrap/>
            <w:vAlign w:val="center"/>
          </w:tcPr>
          <w:p w:rsidR="00954168" w:rsidRPr="00426BBA" w:rsidRDefault="00954168" w:rsidP="001E4187">
            <w:pPr>
              <w:jc w:val="center"/>
              <w:rPr>
                <w:rFonts w:ascii="Verdana" w:hAnsi="Verdana" w:cs="Verdana"/>
                <w:b/>
                <w:bCs/>
                <w:sz w:val="20"/>
                <w:szCs w:val="20"/>
                <w:lang w:val="en-US"/>
              </w:rPr>
            </w:pPr>
            <w:r w:rsidRPr="00426BBA">
              <w:rPr>
                <w:rFonts w:ascii="Verdana" w:hAnsi="Verdana" w:cs="Verdana"/>
                <w:b/>
                <w:bCs/>
                <w:sz w:val="20"/>
                <w:szCs w:val="20"/>
                <w:lang w:val="en-US"/>
              </w:rPr>
              <w:t>3</w:t>
            </w:r>
            <w:r w:rsidRPr="00426BBA">
              <w:rPr>
                <w:rFonts w:ascii="Verdana" w:hAnsi="Verdana" w:cs="Verdana"/>
                <w:b/>
                <w:bCs/>
                <w:sz w:val="20"/>
                <w:szCs w:val="20"/>
              </w:rPr>
              <w:t>0.06</w:t>
            </w:r>
            <w:r w:rsidRPr="00426BBA">
              <w:rPr>
                <w:rFonts w:ascii="Verdana" w:hAnsi="Verdana" w:cs="Verdana"/>
                <w:b/>
                <w:bCs/>
                <w:sz w:val="20"/>
                <w:szCs w:val="20"/>
                <w:lang w:val="en-US"/>
              </w:rPr>
              <w:t>.20</w:t>
            </w:r>
            <w:r w:rsidR="00892800">
              <w:rPr>
                <w:rFonts w:ascii="Verdana" w:hAnsi="Verdana" w:cs="Verdana"/>
                <w:b/>
                <w:bCs/>
                <w:sz w:val="20"/>
                <w:szCs w:val="20"/>
              </w:rPr>
              <w:t>2</w:t>
            </w:r>
            <w:r w:rsidR="001E4187">
              <w:rPr>
                <w:rFonts w:ascii="Verdana" w:hAnsi="Verdana" w:cs="Verdana"/>
                <w:b/>
                <w:bCs/>
                <w:sz w:val="20"/>
                <w:szCs w:val="20"/>
              </w:rPr>
              <w:t>5</w:t>
            </w:r>
            <w:r w:rsidRPr="00426BBA">
              <w:rPr>
                <w:rFonts w:ascii="Verdana" w:hAnsi="Verdana" w:cs="Verdana"/>
                <w:b/>
                <w:bCs/>
                <w:sz w:val="20"/>
                <w:szCs w:val="20"/>
                <w:lang w:val="en-US"/>
              </w:rPr>
              <w:t xml:space="preserve"> г.</w:t>
            </w:r>
          </w:p>
        </w:tc>
        <w:tc>
          <w:tcPr>
            <w:tcW w:w="939" w:type="pct"/>
            <w:shd w:val="clear" w:color="000000" w:fill="FFFFFF"/>
            <w:noWrap/>
            <w:vAlign w:val="center"/>
          </w:tcPr>
          <w:p w:rsidR="00954168" w:rsidRPr="00426BBA" w:rsidRDefault="00954168" w:rsidP="001E4187">
            <w:pPr>
              <w:jc w:val="center"/>
              <w:rPr>
                <w:rFonts w:ascii="Verdana" w:hAnsi="Verdana" w:cs="Verdana"/>
                <w:b/>
                <w:bCs/>
                <w:color w:val="000000"/>
                <w:sz w:val="20"/>
                <w:szCs w:val="20"/>
                <w:lang w:val="en-US"/>
              </w:rPr>
            </w:pPr>
            <w:r w:rsidRPr="00426BBA">
              <w:rPr>
                <w:rFonts w:ascii="Verdana" w:hAnsi="Verdana" w:cs="Verdana"/>
                <w:b/>
                <w:bCs/>
                <w:color w:val="000000"/>
                <w:sz w:val="20"/>
                <w:szCs w:val="20"/>
              </w:rPr>
              <w:t>31</w:t>
            </w:r>
            <w:r w:rsidRPr="00426BBA">
              <w:rPr>
                <w:rFonts w:ascii="Verdana" w:hAnsi="Verdana" w:cs="Verdana"/>
                <w:b/>
                <w:bCs/>
                <w:color w:val="000000"/>
                <w:sz w:val="20"/>
                <w:szCs w:val="20"/>
                <w:lang w:val="en-US"/>
              </w:rPr>
              <w:t>.</w:t>
            </w:r>
            <w:r w:rsidRPr="00426BBA">
              <w:rPr>
                <w:rFonts w:ascii="Verdana" w:hAnsi="Verdana" w:cs="Verdana"/>
                <w:b/>
                <w:bCs/>
                <w:color w:val="000000"/>
                <w:sz w:val="20"/>
                <w:szCs w:val="20"/>
              </w:rPr>
              <w:t>12</w:t>
            </w:r>
            <w:r w:rsidR="001D5804">
              <w:rPr>
                <w:rFonts w:ascii="Verdana" w:hAnsi="Verdana" w:cs="Verdana"/>
                <w:b/>
                <w:bCs/>
                <w:color w:val="000000"/>
                <w:sz w:val="20"/>
                <w:szCs w:val="20"/>
                <w:lang w:val="en-US"/>
              </w:rPr>
              <w:t>.20</w:t>
            </w:r>
            <w:r w:rsidR="00892800">
              <w:rPr>
                <w:rFonts w:ascii="Verdana" w:hAnsi="Verdana" w:cs="Verdana"/>
                <w:b/>
                <w:bCs/>
                <w:color w:val="000000"/>
                <w:sz w:val="20"/>
                <w:szCs w:val="20"/>
              </w:rPr>
              <w:t>2</w:t>
            </w:r>
            <w:r w:rsidR="001E4187">
              <w:rPr>
                <w:rFonts w:ascii="Verdana" w:hAnsi="Verdana" w:cs="Verdana"/>
                <w:b/>
                <w:bCs/>
                <w:color w:val="000000"/>
                <w:sz w:val="20"/>
                <w:szCs w:val="20"/>
              </w:rPr>
              <w:t>4</w:t>
            </w:r>
            <w:r w:rsidRPr="00426BBA">
              <w:rPr>
                <w:rFonts w:ascii="Verdana" w:hAnsi="Verdana" w:cs="Verdana"/>
                <w:b/>
                <w:bCs/>
                <w:color w:val="000000"/>
                <w:sz w:val="20"/>
                <w:szCs w:val="20"/>
                <w:lang w:val="en-US"/>
              </w:rPr>
              <w:t xml:space="preserve"> г.</w:t>
            </w:r>
          </w:p>
        </w:tc>
      </w:tr>
      <w:tr w:rsidR="00892800" w:rsidRPr="00426BBA" w:rsidTr="00F164B7">
        <w:trPr>
          <w:trHeight w:val="255"/>
          <w:tblCellSpacing w:w="1440" w:type="nil"/>
        </w:trPr>
        <w:tc>
          <w:tcPr>
            <w:tcW w:w="3121" w:type="pct"/>
            <w:shd w:val="clear" w:color="000000" w:fill="FFFFFF"/>
            <w:vAlign w:val="center"/>
          </w:tcPr>
          <w:p w:rsidR="00892800" w:rsidRPr="00426BBA" w:rsidRDefault="00892800"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Текущи</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търговски</w:t>
            </w:r>
            <w:proofErr w:type="spellEnd"/>
            <w:r w:rsidRPr="00426BBA">
              <w:rPr>
                <w:rFonts w:ascii="Verdana" w:hAnsi="Verdana" w:cs="Verdana"/>
                <w:b/>
                <w:bCs/>
                <w:color w:val="000000"/>
                <w:sz w:val="20"/>
                <w:szCs w:val="20"/>
                <w:lang w:val="en-US"/>
              </w:rPr>
              <w:t xml:space="preserve"> и </w:t>
            </w:r>
            <w:proofErr w:type="spellStart"/>
            <w:r w:rsidRPr="00426BBA">
              <w:rPr>
                <w:rFonts w:ascii="Verdana" w:hAnsi="Verdana" w:cs="Verdana"/>
                <w:b/>
                <w:bCs/>
                <w:color w:val="000000"/>
                <w:sz w:val="20"/>
                <w:szCs w:val="20"/>
                <w:lang w:val="en-US"/>
              </w:rPr>
              <w:t>други</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задължения</w:t>
            </w:r>
            <w:proofErr w:type="spellEnd"/>
          </w:p>
        </w:tc>
        <w:tc>
          <w:tcPr>
            <w:tcW w:w="939" w:type="pct"/>
            <w:noWrap/>
            <w:vAlign w:val="center"/>
          </w:tcPr>
          <w:p w:rsidR="00892800" w:rsidRPr="00426BBA" w:rsidRDefault="00CE0742" w:rsidP="0072026F">
            <w:pPr>
              <w:jc w:val="center"/>
              <w:rPr>
                <w:rFonts w:ascii="Verdana" w:hAnsi="Verdana" w:cs="Verdana"/>
                <w:b/>
                <w:bCs/>
                <w:sz w:val="20"/>
                <w:szCs w:val="20"/>
              </w:rPr>
            </w:pPr>
            <w:r>
              <w:rPr>
                <w:rFonts w:ascii="Verdana" w:hAnsi="Verdana" w:cs="Verdana"/>
                <w:b/>
                <w:bCs/>
                <w:sz w:val="20"/>
                <w:szCs w:val="20"/>
              </w:rPr>
              <w:t xml:space="preserve">2 </w:t>
            </w:r>
            <w:r w:rsidR="0072026F">
              <w:rPr>
                <w:rFonts w:ascii="Verdana" w:hAnsi="Verdana" w:cs="Verdana"/>
                <w:b/>
                <w:bCs/>
                <w:sz w:val="20"/>
                <w:szCs w:val="20"/>
              </w:rPr>
              <w:t>846</w:t>
            </w:r>
          </w:p>
        </w:tc>
        <w:tc>
          <w:tcPr>
            <w:tcW w:w="939" w:type="pct"/>
            <w:noWrap/>
            <w:vAlign w:val="center"/>
          </w:tcPr>
          <w:p w:rsidR="00892800" w:rsidRPr="00426BBA" w:rsidRDefault="001E4187" w:rsidP="001E4187">
            <w:pPr>
              <w:jc w:val="center"/>
              <w:rPr>
                <w:rFonts w:ascii="Verdana" w:hAnsi="Verdana" w:cs="Verdana"/>
                <w:b/>
                <w:bCs/>
                <w:sz w:val="20"/>
                <w:szCs w:val="20"/>
              </w:rPr>
            </w:pPr>
            <w:r>
              <w:rPr>
                <w:rFonts w:ascii="Verdana" w:hAnsi="Verdana" w:cs="Verdana"/>
                <w:b/>
                <w:bCs/>
                <w:sz w:val="20"/>
                <w:szCs w:val="20"/>
              </w:rPr>
              <w:t>3 196</w:t>
            </w:r>
          </w:p>
        </w:tc>
      </w:tr>
      <w:tr w:rsidR="00892800" w:rsidRPr="00426BBA" w:rsidTr="00F164B7">
        <w:trPr>
          <w:trHeight w:val="255"/>
          <w:tblCellSpacing w:w="1440" w:type="nil"/>
        </w:trPr>
        <w:tc>
          <w:tcPr>
            <w:tcW w:w="3121" w:type="pct"/>
            <w:shd w:val="clear" w:color="000000" w:fill="FFFFFF"/>
            <w:vAlign w:val="center"/>
          </w:tcPr>
          <w:p w:rsidR="00892800" w:rsidRPr="00426BBA" w:rsidRDefault="00892800" w:rsidP="000B6DD7">
            <w:pPr>
              <w:jc w:val="left"/>
              <w:rPr>
                <w:rFonts w:ascii="Verdana" w:hAnsi="Verdana" w:cs="Verdana"/>
                <w:b/>
                <w:bCs/>
                <w:color w:val="000000"/>
                <w:sz w:val="20"/>
                <w:szCs w:val="20"/>
                <w:lang w:val="en-US"/>
              </w:rPr>
            </w:pPr>
            <w:proofErr w:type="spellStart"/>
            <w:r w:rsidRPr="00426BBA">
              <w:rPr>
                <w:rFonts w:ascii="Verdana" w:hAnsi="Verdana" w:cs="Verdana"/>
                <w:b/>
                <w:bCs/>
                <w:color w:val="000000"/>
                <w:sz w:val="20"/>
                <w:szCs w:val="20"/>
                <w:lang w:val="en-US"/>
              </w:rPr>
              <w:t>Задължения</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по</w:t>
            </w:r>
            <w:proofErr w:type="spellEnd"/>
            <w:r w:rsidRPr="00426BBA">
              <w:rPr>
                <w:rFonts w:ascii="Verdana" w:hAnsi="Verdana" w:cs="Verdana"/>
                <w:b/>
                <w:bCs/>
                <w:color w:val="000000"/>
                <w:sz w:val="20"/>
                <w:szCs w:val="20"/>
              </w:rPr>
              <w:t xml:space="preserve"> </w:t>
            </w:r>
            <w:proofErr w:type="spellStart"/>
            <w:r w:rsidRPr="00426BBA">
              <w:rPr>
                <w:rFonts w:ascii="Verdana" w:hAnsi="Verdana" w:cs="Verdana"/>
                <w:b/>
                <w:bCs/>
                <w:color w:val="000000"/>
                <w:sz w:val="20"/>
                <w:szCs w:val="20"/>
                <w:lang w:val="en-US"/>
              </w:rPr>
              <w:t>кредити</w:t>
            </w:r>
            <w:proofErr w:type="spellEnd"/>
            <w:r w:rsidRPr="00426BBA">
              <w:rPr>
                <w:rFonts w:ascii="Verdana" w:hAnsi="Verdana" w:cs="Verdana"/>
                <w:b/>
                <w:bCs/>
                <w:color w:val="000000"/>
                <w:sz w:val="20"/>
                <w:szCs w:val="20"/>
                <w:lang w:val="en-US"/>
              </w:rPr>
              <w:t xml:space="preserve">, в </w:t>
            </w:r>
            <w:proofErr w:type="spellStart"/>
            <w:r w:rsidRPr="00426BBA">
              <w:rPr>
                <w:rFonts w:ascii="Verdana" w:hAnsi="Verdana" w:cs="Verdana"/>
                <w:b/>
                <w:bCs/>
                <w:color w:val="000000"/>
                <w:sz w:val="20"/>
                <w:szCs w:val="20"/>
                <w:lang w:val="en-US"/>
              </w:rPr>
              <w:t>т.ч</w:t>
            </w:r>
            <w:proofErr w:type="spellEnd"/>
            <w:r w:rsidRPr="00426BBA">
              <w:rPr>
                <w:rFonts w:ascii="Verdana" w:hAnsi="Verdana" w:cs="Verdana"/>
                <w:b/>
                <w:bCs/>
                <w:color w:val="000000"/>
                <w:sz w:val="20"/>
                <w:szCs w:val="20"/>
                <w:lang w:val="en-US"/>
              </w:rPr>
              <w:t>.:</w:t>
            </w:r>
          </w:p>
        </w:tc>
        <w:tc>
          <w:tcPr>
            <w:tcW w:w="939" w:type="pct"/>
            <w:noWrap/>
            <w:vAlign w:val="center"/>
          </w:tcPr>
          <w:p w:rsidR="00892800" w:rsidRPr="00426BBA" w:rsidRDefault="0072026F" w:rsidP="003E0CCA">
            <w:pPr>
              <w:jc w:val="center"/>
              <w:rPr>
                <w:rFonts w:ascii="Verdana" w:hAnsi="Verdana" w:cs="Verdana"/>
                <w:b/>
                <w:bCs/>
                <w:sz w:val="20"/>
                <w:szCs w:val="20"/>
              </w:rPr>
            </w:pPr>
            <w:r>
              <w:rPr>
                <w:rFonts w:ascii="Verdana" w:hAnsi="Verdana" w:cs="Verdana"/>
                <w:b/>
                <w:bCs/>
                <w:sz w:val="20"/>
                <w:szCs w:val="20"/>
              </w:rPr>
              <w:t>882</w:t>
            </w:r>
          </w:p>
        </w:tc>
        <w:tc>
          <w:tcPr>
            <w:tcW w:w="939" w:type="pct"/>
            <w:noWrap/>
            <w:vAlign w:val="center"/>
          </w:tcPr>
          <w:p w:rsidR="00892800" w:rsidRPr="00426BBA" w:rsidRDefault="001E4187" w:rsidP="001E4187">
            <w:pPr>
              <w:jc w:val="center"/>
              <w:rPr>
                <w:rFonts w:ascii="Verdana" w:hAnsi="Verdana" w:cs="Verdana"/>
                <w:b/>
                <w:bCs/>
                <w:sz w:val="20"/>
                <w:szCs w:val="20"/>
              </w:rPr>
            </w:pPr>
            <w:r>
              <w:rPr>
                <w:rFonts w:ascii="Verdana" w:hAnsi="Verdana" w:cs="Verdana"/>
                <w:b/>
                <w:bCs/>
                <w:sz w:val="20"/>
                <w:szCs w:val="20"/>
              </w:rPr>
              <w:t>1 309</w:t>
            </w:r>
          </w:p>
        </w:tc>
      </w:tr>
      <w:tr w:rsidR="00892800" w:rsidRPr="00426BBA" w:rsidTr="00F164B7">
        <w:trPr>
          <w:trHeight w:val="255"/>
          <w:tblCellSpacing w:w="1440" w:type="nil"/>
        </w:trPr>
        <w:tc>
          <w:tcPr>
            <w:tcW w:w="3121" w:type="pct"/>
            <w:shd w:val="clear" w:color="000000" w:fill="FFFFFF"/>
            <w:vAlign w:val="center"/>
          </w:tcPr>
          <w:p w:rsidR="00892800" w:rsidRPr="00426BBA" w:rsidRDefault="00892800" w:rsidP="000B6DD7">
            <w:pPr>
              <w:jc w:val="left"/>
              <w:rPr>
                <w:rFonts w:ascii="Verdana" w:hAnsi="Verdana" w:cs="Verdana"/>
                <w:color w:val="000000"/>
                <w:sz w:val="20"/>
                <w:szCs w:val="20"/>
                <w:lang w:val="en-US"/>
              </w:rPr>
            </w:pPr>
            <w:r w:rsidRPr="00426BBA">
              <w:rPr>
                <w:rFonts w:ascii="Verdana" w:hAnsi="Verdana" w:cs="Verdana"/>
                <w:color w:val="000000"/>
                <w:sz w:val="20"/>
                <w:szCs w:val="20"/>
                <w:lang w:val="en-US"/>
              </w:rPr>
              <w:t xml:space="preserve">-       </w:t>
            </w:r>
            <w:proofErr w:type="spellStart"/>
            <w:r w:rsidRPr="00426BBA">
              <w:rPr>
                <w:rFonts w:ascii="Verdana" w:hAnsi="Verdana" w:cs="Verdana"/>
                <w:color w:val="000000"/>
                <w:sz w:val="20"/>
                <w:szCs w:val="20"/>
                <w:lang w:val="en-US"/>
              </w:rPr>
              <w:t>Текущи</w:t>
            </w:r>
            <w:proofErr w:type="spellEnd"/>
          </w:p>
        </w:tc>
        <w:tc>
          <w:tcPr>
            <w:tcW w:w="939" w:type="pct"/>
            <w:noWrap/>
            <w:vAlign w:val="center"/>
          </w:tcPr>
          <w:p w:rsidR="00892800" w:rsidRPr="00426BBA" w:rsidRDefault="00CE0742" w:rsidP="003E0CCA">
            <w:pPr>
              <w:jc w:val="center"/>
              <w:rPr>
                <w:rFonts w:ascii="Verdana" w:hAnsi="Verdana" w:cs="Verdana"/>
                <w:sz w:val="20"/>
                <w:szCs w:val="20"/>
              </w:rPr>
            </w:pPr>
            <w:r>
              <w:rPr>
                <w:rFonts w:ascii="Verdana" w:hAnsi="Verdana" w:cs="Verdana"/>
                <w:sz w:val="20"/>
                <w:szCs w:val="20"/>
              </w:rPr>
              <w:t>3</w:t>
            </w:r>
            <w:r w:rsidR="00892800">
              <w:rPr>
                <w:rFonts w:ascii="Verdana" w:hAnsi="Verdana" w:cs="Verdana"/>
                <w:sz w:val="20"/>
                <w:szCs w:val="20"/>
              </w:rPr>
              <w:t>00</w:t>
            </w:r>
          </w:p>
        </w:tc>
        <w:tc>
          <w:tcPr>
            <w:tcW w:w="939" w:type="pct"/>
            <w:noWrap/>
            <w:vAlign w:val="center"/>
          </w:tcPr>
          <w:p w:rsidR="00892800" w:rsidRPr="00426BBA" w:rsidRDefault="001E4187" w:rsidP="000B6DD7">
            <w:pPr>
              <w:jc w:val="center"/>
              <w:rPr>
                <w:rFonts w:ascii="Verdana" w:hAnsi="Verdana" w:cs="Verdana"/>
                <w:sz w:val="20"/>
                <w:szCs w:val="20"/>
              </w:rPr>
            </w:pPr>
            <w:r>
              <w:rPr>
                <w:rFonts w:ascii="Verdana" w:hAnsi="Verdana" w:cs="Verdana"/>
                <w:sz w:val="20"/>
                <w:szCs w:val="20"/>
              </w:rPr>
              <w:t>436</w:t>
            </w:r>
          </w:p>
        </w:tc>
      </w:tr>
      <w:tr w:rsidR="00892800" w:rsidRPr="00426BBA" w:rsidTr="00F164B7">
        <w:trPr>
          <w:trHeight w:val="255"/>
          <w:tblCellSpacing w:w="1440" w:type="nil"/>
        </w:trPr>
        <w:tc>
          <w:tcPr>
            <w:tcW w:w="3121" w:type="pct"/>
            <w:shd w:val="clear" w:color="000000" w:fill="F2F2F2"/>
            <w:noWrap/>
            <w:vAlign w:val="center"/>
          </w:tcPr>
          <w:p w:rsidR="00892800" w:rsidRPr="00426BBA" w:rsidRDefault="00892800" w:rsidP="00CE0742">
            <w:pPr>
              <w:jc w:val="left"/>
              <w:rPr>
                <w:rFonts w:ascii="Verdana" w:hAnsi="Verdana" w:cs="Verdana"/>
                <w:b/>
                <w:bCs/>
                <w:sz w:val="20"/>
                <w:szCs w:val="20"/>
                <w:lang w:val="en-US"/>
              </w:rPr>
            </w:pPr>
            <w:proofErr w:type="spellStart"/>
            <w:r w:rsidRPr="00426BBA">
              <w:rPr>
                <w:rFonts w:ascii="Verdana" w:hAnsi="Verdana" w:cs="Verdana"/>
                <w:b/>
                <w:bCs/>
                <w:sz w:val="20"/>
                <w:szCs w:val="20"/>
                <w:lang w:val="en-US"/>
              </w:rPr>
              <w:t>Общо</w:t>
            </w:r>
            <w:proofErr w:type="spellEnd"/>
            <w:r w:rsidRPr="00426BBA">
              <w:rPr>
                <w:rFonts w:ascii="Verdana" w:hAnsi="Verdana" w:cs="Verdana"/>
                <w:b/>
                <w:bCs/>
                <w:sz w:val="20"/>
                <w:szCs w:val="20"/>
              </w:rPr>
              <w:t xml:space="preserve"> </w:t>
            </w:r>
            <w:r w:rsidR="00CE0742">
              <w:rPr>
                <w:rFonts w:ascii="Verdana" w:hAnsi="Verdana" w:cs="Verdana"/>
                <w:b/>
                <w:bCs/>
                <w:sz w:val="20"/>
                <w:szCs w:val="20"/>
              </w:rPr>
              <w:t xml:space="preserve"> </w:t>
            </w:r>
            <w:r w:rsidRPr="00426BBA">
              <w:rPr>
                <w:rFonts w:ascii="Verdana" w:hAnsi="Verdana" w:cs="Verdana"/>
                <w:b/>
                <w:bCs/>
                <w:sz w:val="20"/>
                <w:szCs w:val="20"/>
              </w:rPr>
              <w:t xml:space="preserve"> </w:t>
            </w:r>
            <w:proofErr w:type="spellStart"/>
            <w:r w:rsidRPr="00426BBA">
              <w:rPr>
                <w:rFonts w:ascii="Verdana" w:hAnsi="Verdana" w:cs="Verdana"/>
                <w:b/>
                <w:bCs/>
                <w:sz w:val="20"/>
                <w:szCs w:val="20"/>
                <w:lang w:val="en-US"/>
              </w:rPr>
              <w:t>пасиви</w:t>
            </w:r>
            <w:proofErr w:type="spellEnd"/>
          </w:p>
        </w:tc>
        <w:tc>
          <w:tcPr>
            <w:tcW w:w="939" w:type="pct"/>
            <w:shd w:val="clear" w:color="000000" w:fill="F2F2F2"/>
            <w:noWrap/>
            <w:vAlign w:val="center"/>
          </w:tcPr>
          <w:p w:rsidR="00892800" w:rsidRPr="00426BBA" w:rsidRDefault="00CE0742" w:rsidP="0072026F">
            <w:pPr>
              <w:jc w:val="center"/>
              <w:rPr>
                <w:rFonts w:ascii="Verdana" w:hAnsi="Verdana" w:cs="Verdana"/>
                <w:b/>
                <w:bCs/>
                <w:sz w:val="20"/>
                <w:szCs w:val="20"/>
              </w:rPr>
            </w:pPr>
            <w:r>
              <w:rPr>
                <w:rFonts w:ascii="Verdana" w:hAnsi="Verdana" w:cs="Verdana"/>
                <w:b/>
                <w:bCs/>
                <w:sz w:val="20"/>
                <w:szCs w:val="20"/>
              </w:rPr>
              <w:t xml:space="preserve">3 </w:t>
            </w:r>
            <w:r w:rsidR="0072026F">
              <w:rPr>
                <w:rFonts w:ascii="Verdana" w:hAnsi="Verdana" w:cs="Verdana"/>
                <w:b/>
                <w:bCs/>
                <w:sz w:val="20"/>
                <w:szCs w:val="20"/>
              </w:rPr>
              <w:t>728</w:t>
            </w:r>
          </w:p>
        </w:tc>
        <w:tc>
          <w:tcPr>
            <w:tcW w:w="939" w:type="pct"/>
            <w:shd w:val="clear" w:color="000000" w:fill="F2F2F2"/>
            <w:noWrap/>
            <w:vAlign w:val="center"/>
          </w:tcPr>
          <w:p w:rsidR="00892800" w:rsidRPr="00426BBA" w:rsidRDefault="001E4187" w:rsidP="00892800">
            <w:pPr>
              <w:jc w:val="center"/>
              <w:rPr>
                <w:rFonts w:ascii="Verdana" w:hAnsi="Verdana" w:cs="Verdana"/>
                <w:b/>
                <w:bCs/>
                <w:sz w:val="20"/>
                <w:szCs w:val="20"/>
              </w:rPr>
            </w:pPr>
            <w:r>
              <w:rPr>
                <w:rFonts w:ascii="Verdana" w:hAnsi="Verdana" w:cs="Verdana"/>
                <w:b/>
                <w:bCs/>
                <w:sz w:val="20"/>
                <w:szCs w:val="20"/>
              </w:rPr>
              <w:t>4 505</w:t>
            </w:r>
          </w:p>
        </w:tc>
      </w:tr>
    </w:tbl>
    <w:p w:rsidR="00954168" w:rsidRPr="00426BBA" w:rsidRDefault="00954168" w:rsidP="00954168">
      <w:pPr>
        <w:spacing w:line="260" w:lineRule="atLeast"/>
        <w:rPr>
          <w:rFonts w:ascii="Verdana" w:hAnsi="Verdana" w:cs="Verdana"/>
          <w:sz w:val="20"/>
          <w:szCs w:val="20"/>
          <w:highlight w:val="yellow"/>
        </w:rPr>
      </w:pPr>
    </w:p>
    <w:p w:rsidR="00954168" w:rsidRDefault="00954168" w:rsidP="00954168">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BF3C91">
        <w:rPr>
          <w:rFonts w:ascii="Verdana" w:hAnsi="Verdana" w:cs="Verdana"/>
          <w:b/>
          <w:bCs/>
          <w:sz w:val="20"/>
          <w:szCs w:val="20"/>
          <w:lang w:val="bg-BG"/>
        </w:rPr>
        <w:lastRenderedPageBreak/>
        <w:t xml:space="preserve">Фактори, оказали въздействие </w:t>
      </w:r>
      <w:r>
        <w:rPr>
          <w:rFonts w:ascii="Verdana" w:hAnsi="Verdana" w:cs="Verdana"/>
          <w:b/>
          <w:bCs/>
          <w:sz w:val="20"/>
          <w:szCs w:val="20"/>
          <w:lang w:val="bg-BG"/>
        </w:rPr>
        <w:t xml:space="preserve">върху финансовото състояние на </w:t>
      </w:r>
      <w:r w:rsidR="006D6856">
        <w:rPr>
          <w:rFonts w:ascii="Verdana" w:hAnsi="Verdana" w:cs="Verdana"/>
          <w:b/>
          <w:bCs/>
          <w:sz w:val="20"/>
          <w:szCs w:val="20"/>
          <w:lang w:val="bg-BG"/>
        </w:rPr>
        <w:t xml:space="preserve"> д</w:t>
      </w:r>
      <w:r w:rsidRPr="00BF3C91">
        <w:rPr>
          <w:rFonts w:ascii="Verdana" w:hAnsi="Verdana" w:cs="Verdana"/>
          <w:b/>
          <w:bCs/>
          <w:sz w:val="20"/>
          <w:szCs w:val="20"/>
          <w:lang w:val="bg-BG"/>
        </w:rPr>
        <w:t xml:space="preserve">ружеството и </w:t>
      </w:r>
      <w:r w:rsidRPr="00964ECD">
        <w:rPr>
          <w:rFonts w:ascii="Verdana" w:hAnsi="Verdana" w:cs="Verdana"/>
          <w:b/>
          <w:bCs/>
          <w:sz w:val="20"/>
          <w:szCs w:val="20"/>
          <w:lang w:val="bg-BG"/>
        </w:rPr>
        <w:t xml:space="preserve">основни параметри в дейността </w:t>
      </w:r>
      <w:r w:rsidRPr="00F8032D">
        <w:rPr>
          <w:rFonts w:ascii="Verdana" w:hAnsi="Verdana" w:cs="Verdana"/>
          <w:b/>
          <w:bCs/>
          <w:sz w:val="20"/>
          <w:szCs w:val="20"/>
          <w:lang w:val="bg-BG"/>
        </w:rPr>
        <w:t>през първото</w:t>
      </w:r>
      <w:r w:rsidR="00892800">
        <w:rPr>
          <w:rFonts w:ascii="Verdana" w:hAnsi="Verdana" w:cs="Verdana"/>
          <w:b/>
          <w:bCs/>
          <w:sz w:val="20"/>
          <w:szCs w:val="20"/>
          <w:lang w:val="bg-BG"/>
        </w:rPr>
        <w:t xml:space="preserve"> шестмесечие на 202</w:t>
      </w:r>
      <w:r w:rsidR="002651C0">
        <w:rPr>
          <w:rFonts w:ascii="Verdana" w:hAnsi="Verdana" w:cs="Verdana"/>
          <w:b/>
          <w:bCs/>
          <w:sz w:val="20"/>
          <w:szCs w:val="20"/>
          <w:lang w:val="bg-BG"/>
        </w:rPr>
        <w:t>5</w:t>
      </w:r>
      <w:r>
        <w:rPr>
          <w:rFonts w:ascii="Verdana" w:hAnsi="Verdana" w:cs="Verdana"/>
          <w:b/>
          <w:bCs/>
          <w:sz w:val="20"/>
          <w:szCs w:val="20"/>
          <w:lang w:val="bg-BG"/>
        </w:rPr>
        <w:t xml:space="preserve"> г.</w:t>
      </w:r>
    </w:p>
    <w:p w:rsidR="00954168" w:rsidRDefault="00954168" w:rsidP="00954168">
      <w:pPr>
        <w:spacing w:line="260" w:lineRule="atLeast"/>
        <w:rPr>
          <w:rFonts w:ascii="Verdana" w:hAnsi="Verdana" w:cs="Verdana"/>
          <w:sz w:val="20"/>
          <w:szCs w:val="20"/>
          <w:highlight w:val="yellow"/>
        </w:rPr>
      </w:pPr>
    </w:p>
    <w:p w:rsidR="00954168" w:rsidRPr="003736B2" w:rsidRDefault="00954168" w:rsidP="00954168">
      <w:pPr>
        <w:spacing w:line="260" w:lineRule="atLeast"/>
        <w:rPr>
          <w:rFonts w:ascii="Verdana" w:hAnsi="Verdana" w:cs="Verdana"/>
          <w:sz w:val="20"/>
          <w:szCs w:val="20"/>
        </w:rPr>
      </w:pPr>
      <w:r>
        <w:rPr>
          <w:rFonts w:ascii="Verdana" w:hAnsi="Verdana" w:cs="Verdana"/>
          <w:sz w:val="20"/>
          <w:szCs w:val="20"/>
        </w:rPr>
        <w:t>О</w:t>
      </w:r>
      <w:r w:rsidRPr="00964ECD">
        <w:rPr>
          <w:rFonts w:ascii="Verdana" w:hAnsi="Verdana" w:cs="Verdana"/>
          <w:sz w:val="20"/>
          <w:szCs w:val="20"/>
        </w:rPr>
        <w:t xml:space="preserve">сновните фактори, оказали влияние върху финансовото състояние на </w:t>
      </w:r>
      <w:r w:rsidR="006D6856">
        <w:rPr>
          <w:rFonts w:ascii="Verdana" w:hAnsi="Verdana" w:cs="Verdana"/>
          <w:sz w:val="20"/>
          <w:szCs w:val="20"/>
        </w:rPr>
        <w:t>д</w:t>
      </w:r>
      <w:r w:rsidRPr="003736B2">
        <w:rPr>
          <w:rFonts w:ascii="Verdana" w:hAnsi="Verdana" w:cs="Verdana"/>
          <w:sz w:val="20"/>
          <w:szCs w:val="20"/>
        </w:rPr>
        <w:t>ружеството през разглеждания период са свързани с :</w:t>
      </w:r>
    </w:p>
    <w:p w:rsidR="00954168" w:rsidRPr="003736B2" w:rsidRDefault="00954168" w:rsidP="00954168">
      <w:pPr>
        <w:spacing w:line="260" w:lineRule="atLeast"/>
        <w:rPr>
          <w:rFonts w:ascii="Verdana" w:hAnsi="Verdana" w:cs="Verdana"/>
          <w:sz w:val="20"/>
          <w:szCs w:val="20"/>
        </w:rPr>
      </w:pPr>
    </w:p>
    <w:p w:rsidR="00954168" w:rsidRPr="00A52D1E" w:rsidRDefault="00954168" w:rsidP="00954168">
      <w:pPr>
        <w:pStyle w:val="ListParagraph"/>
        <w:numPr>
          <w:ilvl w:val="0"/>
          <w:numId w:val="7"/>
        </w:numPr>
        <w:spacing w:line="260" w:lineRule="atLeast"/>
        <w:rPr>
          <w:rFonts w:ascii="Verdana" w:hAnsi="Verdana" w:cs="Verdana"/>
          <w:sz w:val="20"/>
          <w:szCs w:val="20"/>
          <w:lang w:val="ru-RU"/>
        </w:rPr>
      </w:pPr>
      <w:r w:rsidRPr="003736B2">
        <w:rPr>
          <w:rFonts w:ascii="Verdana" w:hAnsi="Verdana" w:cs="Verdana"/>
          <w:sz w:val="20"/>
          <w:szCs w:val="20"/>
        </w:rPr>
        <w:t>Невъзможност за навременно</w:t>
      </w:r>
      <w:r w:rsidRPr="00C2255D">
        <w:rPr>
          <w:rFonts w:ascii="Verdana" w:hAnsi="Verdana" w:cs="Verdana"/>
          <w:sz w:val="20"/>
          <w:szCs w:val="20"/>
        </w:rPr>
        <w:t xml:space="preserve"> обслужване на текущите задължения, водещо до увеличаване на неустойките за забавено плащане.</w:t>
      </w:r>
    </w:p>
    <w:p w:rsidR="00954168" w:rsidRPr="00FF73B7" w:rsidRDefault="00954168" w:rsidP="00954168">
      <w:pPr>
        <w:pStyle w:val="ListParagraph"/>
        <w:numPr>
          <w:ilvl w:val="0"/>
          <w:numId w:val="7"/>
        </w:numPr>
        <w:spacing w:line="260" w:lineRule="atLeast"/>
        <w:rPr>
          <w:rFonts w:ascii="Verdana" w:hAnsi="Verdana" w:cs="Verdana"/>
          <w:sz w:val="20"/>
          <w:szCs w:val="20"/>
          <w:lang w:val="ru-RU"/>
        </w:rPr>
      </w:pPr>
      <w:r>
        <w:rPr>
          <w:rFonts w:ascii="Verdana" w:hAnsi="Verdana" w:cs="Verdana"/>
          <w:sz w:val="20"/>
          <w:szCs w:val="20"/>
        </w:rPr>
        <w:t>Липса на ясен механизъм при утвърждаването на цените на топлинна и електрическа енергия. Забелязва се непризнаване на присъщи за дейността разходи в процеса на ценообразуване. Това води до невъзможност за генериране на парич</w:t>
      </w:r>
      <w:r w:rsidR="006D6856">
        <w:rPr>
          <w:rFonts w:ascii="Verdana" w:hAnsi="Verdana" w:cs="Verdana"/>
          <w:sz w:val="20"/>
          <w:szCs w:val="20"/>
        </w:rPr>
        <w:t>ен ресурс, въз основа на който д</w:t>
      </w:r>
      <w:r>
        <w:rPr>
          <w:rFonts w:ascii="Verdana" w:hAnsi="Verdana" w:cs="Verdana"/>
          <w:sz w:val="20"/>
          <w:szCs w:val="20"/>
        </w:rPr>
        <w:t xml:space="preserve">ружеството да планира извършването на важни ремонтни дейности по ключови съоръжения. През годините се отчита все по-висока аварийност на участъци от топлопреносната мрежа. Всичко това поставя под риск възможността за изпълнение </w:t>
      </w:r>
      <w:r w:rsidR="00DA7B50">
        <w:rPr>
          <w:rFonts w:ascii="Verdana" w:hAnsi="Verdana" w:cs="Verdana"/>
          <w:sz w:val="20"/>
          <w:szCs w:val="20"/>
        </w:rPr>
        <w:t>на лицензионните задължения на д</w:t>
      </w:r>
      <w:r>
        <w:rPr>
          <w:rFonts w:ascii="Verdana" w:hAnsi="Verdana" w:cs="Verdana"/>
          <w:sz w:val="20"/>
          <w:szCs w:val="20"/>
        </w:rPr>
        <w:t>ружеството.</w:t>
      </w:r>
    </w:p>
    <w:p w:rsidR="00FF73B7" w:rsidRPr="00A52D1E" w:rsidRDefault="00C3313E" w:rsidP="00954168">
      <w:pPr>
        <w:pStyle w:val="ListParagraph"/>
        <w:numPr>
          <w:ilvl w:val="0"/>
          <w:numId w:val="7"/>
        </w:numPr>
        <w:spacing w:line="260" w:lineRule="atLeast"/>
        <w:rPr>
          <w:rFonts w:ascii="Verdana" w:hAnsi="Verdana" w:cs="Verdana"/>
          <w:sz w:val="20"/>
          <w:szCs w:val="20"/>
          <w:lang w:val="ru-RU"/>
        </w:rPr>
      </w:pPr>
      <w:r>
        <w:rPr>
          <w:rFonts w:ascii="Verdana" w:hAnsi="Verdana" w:cs="Verdana"/>
          <w:sz w:val="20"/>
          <w:szCs w:val="20"/>
        </w:rPr>
        <w:t>Плаващите</w:t>
      </w:r>
      <w:r w:rsidR="00DA7B50">
        <w:rPr>
          <w:rFonts w:ascii="Verdana" w:hAnsi="Verdana" w:cs="Verdana"/>
          <w:sz w:val="20"/>
          <w:szCs w:val="20"/>
        </w:rPr>
        <w:t xml:space="preserve"> цени, </w:t>
      </w:r>
      <w:r w:rsidR="00FF73B7">
        <w:rPr>
          <w:rFonts w:ascii="Verdana" w:hAnsi="Verdana" w:cs="Verdana"/>
          <w:sz w:val="20"/>
          <w:szCs w:val="20"/>
        </w:rPr>
        <w:t>както на природния газ, така и на електрическата енергия.</w:t>
      </w:r>
    </w:p>
    <w:p w:rsidR="00954168" w:rsidRDefault="00954168" w:rsidP="00954168">
      <w:pPr>
        <w:numPr>
          <w:ilvl w:val="0"/>
          <w:numId w:val="7"/>
        </w:numPr>
        <w:spacing w:line="260" w:lineRule="atLeast"/>
        <w:rPr>
          <w:rFonts w:ascii="Verdana" w:hAnsi="Verdana" w:cs="Verdana"/>
          <w:sz w:val="20"/>
          <w:szCs w:val="20"/>
        </w:rPr>
      </w:pPr>
      <w:r w:rsidRPr="00C2255D">
        <w:rPr>
          <w:rFonts w:ascii="Verdana" w:hAnsi="Verdana" w:cs="Verdana"/>
          <w:sz w:val="20"/>
          <w:szCs w:val="20"/>
        </w:rPr>
        <w:t>Липса на конкретна</w:t>
      </w:r>
      <w:r>
        <w:rPr>
          <w:rFonts w:ascii="Verdana" w:hAnsi="Verdana" w:cs="Verdana"/>
          <w:sz w:val="20"/>
          <w:szCs w:val="20"/>
        </w:rPr>
        <w:t xml:space="preserve"> и постоянна</w:t>
      </w:r>
      <w:r w:rsidRPr="00C2255D">
        <w:rPr>
          <w:rFonts w:ascii="Verdana" w:hAnsi="Verdana" w:cs="Verdana"/>
          <w:sz w:val="20"/>
          <w:szCs w:val="20"/>
        </w:rPr>
        <w:t xml:space="preserve"> държавна политика в Сектора - непрекъсната промяна в основните нормативни документи.</w:t>
      </w:r>
    </w:p>
    <w:p w:rsidR="00954168" w:rsidRPr="009B58C7" w:rsidRDefault="00954168" w:rsidP="00954168">
      <w:pPr>
        <w:pStyle w:val="HTMLPreformatted"/>
        <w:numPr>
          <w:ilvl w:val="0"/>
          <w:numId w:val="7"/>
        </w:numPr>
        <w:jc w:val="both"/>
        <w:rPr>
          <w:rFonts w:ascii="Verdana" w:hAnsi="Verdana" w:cs="Verdana"/>
          <w:sz w:val="20"/>
          <w:szCs w:val="20"/>
        </w:rPr>
      </w:pPr>
      <w:r>
        <w:rPr>
          <w:rFonts w:ascii="Verdana" w:hAnsi="Verdana" w:cs="Verdana"/>
          <w:sz w:val="20"/>
          <w:szCs w:val="20"/>
        </w:rPr>
        <w:t>Излизане на свободния пазар за търговия с еле</w:t>
      </w:r>
      <w:r w:rsidR="00DA7B50">
        <w:rPr>
          <w:rFonts w:ascii="Verdana" w:hAnsi="Verdana" w:cs="Verdana"/>
          <w:sz w:val="20"/>
          <w:szCs w:val="20"/>
        </w:rPr>
        <w:t>ктрическа енергия. Към момента др</w:t>
      </w:r>
      <w:r>
        <w:rPr>
          <w:rFonts w:ascii="Verdana" w:hAnsi="Verdana" w:cs="Verdana"/>
          <w:sz w:val="20"/>
          <w:szCs w:val="20"/>
        </w:rPr>
        <w:t xml:space="preserve">ужеството продава произведената от него електрическа енергия чрез координатор на балансираща група. Продажбата на свободен пазар създава предпоставки за търсене на по-висока изкупна цена на произвежданата електрическа енергия, спрямо утвърдената от КЕВР, което от своя страна рефлектира </w:t>
      </w:r>
      <w:r w:rsidR="00DA7B50">
        <w:rPr>
          <w:rFonts w:ascii="Verdana" w:hAnsi="Verdana" w:cs="Verdana"/>
          <w:sz w:val="20"/>
          <w:szCs w:val="20"/>
        </w:rPr>
        <w:t>положително върху приходите на д</w:t>
      </w:r>
      <w:r w:rsidR="009B58C7">
        <w:rPr>
          <w:rFonts w:ascii="Verdana" w:hAnsi="Verdana" w:cs="Verdana"/>
          <w:sz w:val="20"/>
          <w:szCs w:val="20"/>
        </w:rPr>
        <w:t>ружеството</w:t>
      </w:r>
      <w:r w:rsidR="009B58C7">
        <w:rPr>
          <w:rFonts w:ascii="Verdana" w:hAnsi="Verdana" w:cs="Verdana"/>
          <w:sz w:val="20"/>
          <w:szCs w:val="20"/>
          <w:lang w:val="en-GB"/>
        </w:rPr>
        <w:t>;</w:t>
      </w:r>
    </w:p>
    <w:p w:rsidR="00954168" w:rsidRDefault="00954168" w:rsidP="00954168">
      <w:pPr>
        <w:pStyle w:val="Document1"/>
        <w:keepNext w:val="0"/>
        <w:keepLines w:val="0"/>
        <w:widowControl/>
        <w:tabs>
          <w:tab w:val="clear" w:pos="-720"/>
        </w:tabs>
        <w:suppressAutoHyphens w:val="0"/>
        <w:spacing w:line="260" w:lineRule="atLeast"/>
        <w:jc w:val="both"/>
        <w:rPr>
          <w:rFonts w:ascii="Verdana" w:hAnsi="Verdana" w:cs="Verdana"/>
          <w:b/>
          <w:bCs/>
          <w:sz w:val="20"/>
          <w:szCs w:val="20"/>
          <w:lang w:val="bg-BG"/>
        </w:rPr>
      </w:pPr>
    </w:p>
    <w:p w:rsidR="00954168" w:rsidRPr="00C2255D" w:rsidRDefault="00954168" w:rsidP="00954168">
      <w:pPr>
        <w:pStyle w:val="Document1"/>
        <w:keepNext w:val="0"/>
        <w:keepLines w:val="0"/>
        <w:widowControl/>
        <w:tabs>
          <w:tab w:val="clear" w:pos="-720"/>
        </w:tabs>
        <w:suppressAutoHyphens w:val="0"/>
        <w:spacing w:line="260" w:lineRule="atLeast"/>
        <w:jc w:val="both"/>
        <w:rPr>
          <w:rFonts w:ascii="Verdana" w:hAnsi="Verdana" w:cs="Verdana"/>
          <w:b/>
          <w:bCs/>
          <w:sz w:val="20"/>
          <w:szCs w:val="20"/>
          <w:lang w:val="bg-BG"/>
        </w:rPr>
      </w:pPr>
      <w:r>
        <w:rPr>
          <w:rFonts w:ascii="Verdana" w:hAnsi="Verdana" w:cs="Verdana"/>
          <w:b/>
          <w:bCs/>
          <w:sz w:val="20"/>
          <w:szCs w:val="20"/>
          <w:lang w:val="bg-BG"/>
        </w:rPr>
        <w:t xml:space="preserve">Стопански цели </w:t>
      </w:r>
    </w:p>
    <w:p w:rsidR="00954168" w:rsidRDefault="00954168" w:rsidP="00954168">
      <w:pPr>
        <w:spacing w:line="260" w:lineRule="atLeast"/>
        <w:rPr>
          <w:rFonts w:ascii="Verdana" w:hAnsi="Verdana" w:cs="Verdana"/>
          <w:i/>
          <w:iCs/>
          <w:sz w:val="20"/>
          <w:szCs w:val="20"/>
        </w:rPr>
      </w:pPr>
    </w:p>
    <w:p w:rsidR="00954168" w:rsidRPr="00C2255D" w:rsidRDefault="00504D05" w:rsidP="00954168">
      <w:pPr>
        <w:spacing w:line="260" w:lineRule="atLeast"/>
        <w:rPr>
          <w:rFonts w:ascii="Verdana" w:hAnsi="Verdana" w:cs="Verdana"/>
          <w:i/>
          <w:iCs/>
          <w:sz w:val="20"/>
          <w:szCs w:val="20"/>
        </w:rPr>
      </w:pPr>
      <w:r>
        <w:rPr>
          <w:rFonts w:ascii="Verdana" w:hAnsi="Verdana" w:cs="Verdana"/>
          <w:i/>
          <w:iCs/>
          <w:sz w:val="20"/>
          <w:szCs w:val="20"/>
        </w:rPr>
        <w:t>Предвиждано развитие на д</w:t>
      </w:r>
      <w:r w:rsidR="00954168" w:rsidRPr="00C2255D">
        <w:rPr>
          <w:rFonts w:ascii="Verdana" w:hAnsi="Verdana" w:cs="Verdana"/>
          <w:i/>
          <w:iCs/>
          <w:sz w:val="20"/>
          <w:szCs w:val="20"/>
        </w:rPr>
        <w:t>ружеството</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 xml:space="preserve">Ръководството не предвижда промени </w:t>
      </w:r>
      <w:r w:rsidR="00D43C66">
        <w:rPr>
          <w:rFonts w:ascii="Verdana" w:hAnsi="Verdana" w:cs="Verdana"/>
          <w:sz w:val="20"/>
          <w:szCs w:val="20"/>
        </w:rPr>
        <w:t>към момента на</w:t>
      </w:r>
      <w:r w:rsidRPr="00C2255D">
        <w:rPr>
          <w:rFonts w:ascii="Verdana" w:hAnsi="Verdana" w:cs="Verdana"/>
          <w:sz w:val="20"/>
          <w:szCs w:val="20"/>
        </w:rPr>
        <w:t xml:space="preserve"> разв</w:t>
      </w:r>
      <w:r w:rsidR="00504D05">
        <w:rPr>
          <w:rFonts w:ascii="Verdana" w:hAnsi="Verdana" w:cs="Verdana"/>
          <w:sz w:val="20"/>
          <w:szCs w:val="20"/>
        </w:rPr>
        <w:t>итието на основната дейност на д</w:t>
      </w:r>
      <w:r w:rsidRPr="00C2255D">
        <w:rPr>
          <w:rFonts w:ascii="Verdana" w:hAnsi="Verdana" w:cs="Verdana"/>
          <w:sz w:val="20"/>
          <w:szCs w:val="20"/>
        </w:rPr>
        <w:t>ружеството.</w:t>
      </w:r>
    </w:p>
    <w:p w:rsidR="00954168" w:rsidRDefault="00954168" w:rsidP="00954168">
      <w:pPr>
        <w:spacing w:line="260" w:lineRule="atLeast"/>
        <w:rPr>
          <w:rFonts w:ascii="Verdana" w:hAnsi="Verdana" w:cs="Verdana"/>
          <w:sz w:val="20"/>
          <w:szCs w:val="20"/>
        </w:rPr>
      </w:pPr>
    </w:p>
    <w:p w:rsidR="00954168" w:rsidRPr="00C2255D" w:rsidRDefault="00954168" w:rsidP="00954168">
      <w:pPr>
        <w:spacing w:line="260" w:lineRule="atLeast"/>
        <w:rPr>
          <w:rFonts w:ascii="Verdana" w:hAnsi="Verdana" w:cs="Arial"/>
          <w:bCs/>
          <w:i/>
          <w:sz w:val="20"/>
        </w:rPr>
      </w:pPr>
      <w:r w:rsidRPr="00C2255D">
        <w:rPr>
          <w:rFonts w:ascii="Verdana" w:hAnsi="Verdana" w:cs="Arial"/>
          <w:bCs/>
          <w:i/>
          <w:sz w:val="20"/>
        </w:rPr>
        <w:t>Икономическо развитие</w:t>
      </w:r>
    </w:p>
    <w:p w:rsidR="00954168" w:rsidRPr="007475B1" w:rsidRDefault="00954168" w:rsidP="00954168">
      <w:pPr>
        <w:spacing w:line="260" w:lineRule="atLeast"/>
        <w:rPr>
          <w:rFonts w:ascii="Verdana" w:hAnsi="Verdana" w:cs="Arial"/>
          <w:sz w:val="20"/>
        </w:rPr>
      </w:pPr>
      <w:r>
        <w:rPr>
          <w:rFonts w:ascii="Verdana" w:hAnsi="Verdana" w:cs="Arial"/>
          <w:sz w:val="20"/>
        </w:rPr>
        <w:t>В процеса на ценообразуване Комисията за енергийно и водно регулиране не признава определени разходи като ценообразуващ елемент, което води до утвърждаване на по-ниски цени от заявените на топлинна и електрическа енергия.</w:t>
      </w:r>
    </w:p>
    <w:p w:rsidR="00954168" w:rsidRPr="00192077" w:rsidRDefault="00954168" w:rsidP="00954168">
      <w:pPr>
        <w:spacing w:line="260" w:lineRule="atLeast"/>
        <w:rPr>
          <w:rFonts w:ascii="Verdana" w:hAnsi="Verdana" w:cs="Arial"/>
          <w:color w:val="FF0000"/>
          <w:sz w:val="20"/>
        </w:rPr>
      </w:pPr>
      <w:r w:rsidRPr="00C2255D">
        <w:rPr>
          <w:rFonts w:ascii="Verdana" w:hAnsi="Verdana" w:cs="Arial"/>
          <w:sz w:val="20"/>
        </w:rPr>
        <w:t xml:space="preserve">Това от своя страна ще доведе до </w:t>
      </w:r>
      <w:r w:rsidR="00504D05" w:rsidRPr="00EF0260">
        <w:rPr>
          <w:rFonts w:ascii="Verdana" w:hAnsi="Verdana" w:cs="Arial"/>
          <w:sz w:val="20"/>
        </w:rPr>
        <w:t>не</w:t>
      </w:r>
      <w:r w:rsidRPr="00EF0260">
        <w:rPr>
          <w:rFonts w:ascii="Verdana" w:hAnsi="Verdana" w:cs="Arial"/>
          <w:sz w:val="20"/>
        </w:rPr>
        <w:t>възможност</w:t>
      </w:r>
      <w:r w:rsidRPr="00C2255D">
        <w:rPr>
          <w:rFonts w:ascii="Verdana" w:hAnsi="Verdana" w:cs="Arial"/>
          <w:sz w:val="20"/>
        </w:rPr>
        <w:t xml:space="preserve"> за обслужване на текущите задължения и същевременно отчитане на по-малки разходи за неустойки за забавено плащане.</w:t>
      </w:r>
    </w:p>
    <w:p w:rsidR="00954168" w:rsidRDefault="00954168" w:rsidP="00954168">
      <w:pPr>
        <w:spacing w:line="260" w:lineRule="atLeast"/>
        <w:rPr>
          <w:rFonts w:ascii="Verdana" w:hAnsi="Verdana" w:cs="Arial"/>
          <w:sz w:val="20"/>
        </w:rPr>
      </w:pPr>
    </w:p>
    <w:p w:rsidR="00954168" w:rsidRPr="00C2255D" w:rsidRDefault="00954168" w:rsidP="00954168">
      <w:pPr>
        <w:spacing w:line="260" w:lineRule="atLeast"/>
        <w:rPr>
          <w:rFonts w:ascii="Verdana" w:hAnsi="Verdana" w:cs="Verdana"/>
          <w:i/>
          <w:iCs/>
          <w:sz w:val="20"/>
          <w:szCs w:val="20"/>
        </w:rPr>
      </w:pPr>
      <w:r w:rsidRPr="00C2255D">
        <w:rPr>
          <w:rFonts w:ascii="Verdana" w:hAnsi="Verdana" w:cs="Verdana"/>
          <w:i/>
          <w:iCs/>
          <w:sz w:val="20"/>
          <w:szCs w:val="20"/>
        </w:rPr>
        <w:t>Развитие на персонала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По отношение развитиет</w:t>
      </w:r>
      <w:r>
        <w:rPr>
          <w:rFonts w:ascii="Verdana" w:hAnsi="Verdana" w:cs="Verdana"/>
          <w:sz w:val="20"/>
          <w:szCs w:val="20"/>
        </w:rPr>
        <w:t>о на пер</w:t>
      </w:r>
      <w:r w:rsidRPr="00C2255D">
        <w:rPr>
          <w:rFonts w:ascii="Verdana" w:hAnsi="Verdana" w:cs="Verdana"/>
          <w:sz w:val="20"/>
          <w:szCs w:val="20"/>
        </w:rPr>
        <w:t>с</w:t>
      </w:r>
      <w:r>
        <w:rPr>
          <w:rFonts w:ascii="Verdana" w:hAnsi="Verdana" w:cs="Verdana"/>
          <w:sz w:val="20"/>
          <w:szCs w:val="20"/>
        </w:rPr>
        <w:t>о</w:t>
      </w:r>
      <w:r w:rsidRPr="00C2255D">
        <w:rPr>
          <w:rFonts w:ascii="Verdana" w:hAnsi="Verdana" w:cs="Verdana"/>
          <w:sz w:val="20"/>
          <w:szCs w:val="20"/>
        </w:rPr>
        <w:t xml:space="preserve">нала не се очаква драстично увеличаване или намаляване на персонала на </w:t>
      </w:r>
      <w:r w:rsidR="00192077">
        <w:rPr>
          <w:rFonts w:ascii="Verdana" w:hAnsi="Verdana" w:cs="Verdana"/>
          <w:sz w:val="20"/>
          <w:szCs w:val="20"/>
        </w:rPr>
        <w:t>д</w:t>
      </w:r>
      <w:r w:rsidRPr="00C2255D">
        <w:rPr>
          <w:rFonts w:ascii="Verdana" w:hAnsi="Verdana" w:cs="Verdana"/>
          <w:sz w:val="20"/>
          <w:szCs w:val="20"/>
        </w:rPr>
        <w:t>ружеството, като същевременно се запазва тенденцията по предлагане на различни видове обучения с цел повишаване квалификац</w:t>
      </w:r>
      <w:r>
        <w:rPr>
          <w:rFonts w:ascii="Verdana" w:hAnsi="Verdana" w:cs="Verdana"/>
          <w:sz w:val="20"/>
          <w:szCs w:val="20"/>
        </w:rPr>
        <w:t xml:space="preserve">ията на заетите лица. Отчита се тенденция, свързана с намаляване на </w:t>
      </w:r>
      <w:r w:rsidRPr="00C2255D">
        <w:rPr>
          <w:rFonts w:ascii="Verdana" w:hAnsi="Verdana" w:cs="Verdana"/>
          <w:sz w:val="20"/>
          <w:szCs w:val="20"/>
        </w:rPr>
        <w:t>квалифицирана</w:t>
      </w:r>
      <w:r>
        <w:rPr>
          <w:rFonts w:ascii="Verdana" w:hAnsi="Verdana" w:cs="Verdana"/>
          <w:sz w:val="20"/>
          <w:szCs w:val="20"/>
        </w:rPr>
        <w:t>та</w:t>
      </w:r>
      <w:r w:rsidRPr="00C2255D">
        <w:rPr>
          <w:rFonts w:ascii="Verdana" w:hAnsi="Verdana" w:cs="Verdana"/>
          <w:sz w:val="20"/>
          <w:szCs w:val="20"/>
        </w:rPr>
        <w:t xml:space="preserve"> работна сила.</w:t>
      </w:r>
    </w:p>
    <w:p w:rsidR="00954168" w:rsidRPr="00C2255D" w:rsidRDefault="00954168" w:rsidP="00954168">
      <w:pPr>
        <w:spacing w:line="260" w:lineRule="atLeast"/>
        <w:rPr>
          <w:rFonts w:ascii="Verdana" w:hAnsi="Verdana" w:cs="Verdana"/>
          <w:sz w:val="20"/>
          <w:szCs w:val="20"/>
        </w:rPr>
      </w:pPr>
    </w:p>
    <w:p w:rsidR="00954168" w:rsidRPr="00572E15" w:rsidRDefault="00954168" w:rsidP="00954168">
      <w:pPr>
        <w:spacing w:before="120" w:line="260" w:lineRule="atLeast"/>
        <w:rPr>
          <w:rFonts w:ascii="Verdana" w:hAnsi="Verdana" w:cs="Verdana"/>
          <w:b/>
          <w:bCs/>
          <w:sz w:val="20"/>
          <w:szCs w:val="20"/>
        </w:rPr>
      </w:pPr>
      <w:r>
        <w:rPr>
          <w:rFonts w:ascii="Verdana" w:hAnsi="Verdana" w:cs="Verdana"/>
          <w:b/>
          <w:bCs/>
          <w:sz w:val="20"/>
          <w:szCs w:val="20"/>
        </w:rPr>
        <w:t>У</w:t>
      </w:r>
      <w:r w:rsidRPr="00572E15">
        <w:rPr>
          <w:rFonts w:ascii="Verdana" w:hAnsi="Verdana" w:cs="Verdana"/>
          <w:b/>
          <w:bCs/>
          <w:sz w:val="20"/>
          <w:szCs w:val="20"/>
        </w:rPr>
        <w:t>правление на капиталовия риск</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Целите на ръководството при управление на кап</w:t>
      </w:r>
      <w:r w:rsidR="00192077">
        <w:rPr>
          <w:rFonts w:ascii="Verdana" w:hAnsi="Verdana" w:cs="Verdana"/>
          <w:sz w:val="20"/>
          <w:szCs w:val="20"/>
        </w:rPr>
        <w:t>итала са да защитят правото на д</w:t>
      </w:r>
      <w:r w:rsidRPr="00C2255D">
        <w:rPr>
          <w:rFonts w:ascii="Verdana" w:hAnsi="Verdana" w:cs="Verdana"/>
          <w:sz w:val="20"/>
          <w:szCs w:val="20"/>
        </w:rPr>
        <w:t xml:space="preserve">ружеството да продължи като действащо дружество с цел доходност за акционерите </w:t>
      </w:r>
      <w:r w:rsidRPr="00C2255D">
        <w:rPr>
          <w:rFonts w:ascii="Verdana" w:hAnsi="Verdana" w:cs="Verdana"/>
          <w:sz w:val="20"/>
          <w:szCs w:val="20"/>
        </w:rPr>
        <w:lastRenderedPageBreak/>
        <w:t>и поддържане на оптимална капиталова структура, за да се намали цената на капитала.</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В съответствие с останалите в индустр</w:t>
      </w:r>
      <w:r>
        <w:rPr>
          <w:rFonts w:ascii="Verdana" w:hAnsi="Verdana" w:cs="Verdana"/>
          <w:sz w:val="20"/>
          <w:szCs w:val="20"/>
        </w:rPr>
        <w:t xml:space="preserve">ията, „Топлофикация – Разград“ </w:t>
      </w:r>
      <w:r w:rsidRPr="00C2255D">
        <w:rPr>
          <w:rFonts w:ascii="Verdana" w:hAnsi="Verdana" w:cs="Verdana"/>
          <w:sz w:val="20"/>
          <w:szCs w:val="20"/>
        </w:rPr>
        <w:t>АД контролира капитала на база на съотношението собствен/привлечен капитал (коефициент на задлъжнялост). Този коефициент се изчислява, като нетните дългове (нетен дългов капитал) се разделят на общия капитал. Нетните дългове се изчисляват, като от общия дългов капитал, който се формира от задълженията към банки и финансови институции, по лизингови договори, търговски кредити и заеми, стокови кредити, без значение дали са към свързани или несвързани лица</w:t>
      </w:r>
      <w:r>
        <w:rPr>
          <w:rFonts w:ascii="Verdana" w:hAnsi="Verdana" w:cs="Verdana"/>
          <w:sz w:val="20"/>
          <w:szCs w:val="20"/>
        </w:rPr>
        <w:t>,</w:t>
      </w:r>
      <w:r w:rsidRPr="00C2255D">
        <w:rPr>
          <w:rFonts w:ascii="Verdana" w:hAnsi="Verdana" w:cs="Verdana"/>
          <w:sz w:val="20"/>
          <w:szCs w:val="20"/>
        </w:rPr>
        <w:t xml:space="preserve"> се приспаднат парите и парични еквиваленти. Общият капитал се изчислява, като „собствен капитал” (както е показан в Отчета за финансовото състояние)</w:t>
      </w:r>
      <w:r>
        <w:rPr>
          <w:rFonts w:ascii="Verdana" w:hAnsi="Verdana" w:cs="Verdana"/>
          <w:sz w:val="20"/>
          <w:szCs w:val="20"/>
        </w:rPr>
        <w:t>,</w:t>
      </w:r>
      <w:r w:rsidRPr="00C2255D">
        <w:rPr>
          <w:rFonts w:ascii="Verdana" w:hAnsi="Verdana" w:cs="Verdana"/>
          <w:sz w:val="20"/>
          <w:szCs w:val="20"/>
        </w:rPr>
        <w:t xml:space="preserve"> се събере с нетните дългове.</w:t>
      </w:r>
    </w:p>
    <w:p w:rsidR="00954168" w:rsidRDefault="00954168" w:rsidP="00954168">
      <w:pPr>
        <w:pStyle w:val="a0"/>
        <w:shd w:val="clear" w:color="auto" w:fill="auto"/>
        <w:spacing w:before="0" w:after="0" w:line="260" w:lineRule="atLeast"/>
        <w:ind w:right="-31"/>
        <w:rPr>
          <w:rFonts w:ascii="Verdana" w:hAnsi="Verdana" w:cs="Verdana"/>
          <w:spacing w:val="0"/>
          <w:sz w:val="20"/>
          <w:szCs w:val="20"/>
        </w:rPr>
      </w:pPr>
      <w:r w:rsidRPr="00C2255D">
        <w:rPr>
          <w:rFonts w:ascii="Verdana" w:hAnsi="Verdana" w:cs="Verdana"/>
          <w:spacing w:val="0"/>
          <w:sz w:val="20"/>
          <w:szCs w:val="20"/>
        </w:rPr>
        <w:t>Политиката на ръководството е да се подържа стабилна капиталова база, така че да се съхрани доверието на собствениците, и на пазара като цяло, и да може да се осигурят условия за развитие на бизнеса в бъдеще.</w:t>
      </w:r>
    </w:p>
    <w:p w:rsidR="00954168" w:rsidRDefault="00954168" w:rsidP="00954168">
      <w:pPr>
        <w:pStyle w:val="a0"/>
        <w:shd w:val="clear" w:color="auto" w:fill="auto"/>
        <w:spacing w:before="0" w:after="0" w:line="260" w:lineRule="atLeast"/>
        <w:ind w:right="-31"/>
        <w:rPr>
          <w:rFonts w:ascii="Verdana" w:hAnsi="Verdana" w:cs="Verdana"/>
          <w:spacing w:val="0"/>
          <w:sz w:val="20"/>
          <w:szCs w:val="20"/>
        </w:rPr>
      </w:pPr>
    </w:p>
    <w:p w:rsidR="00954168" w:rsidRDefault="00C3313E" w:rsidP="00954168">
      <w:pPr>
        <w:pStyle w:val="a0"/>
        <w:shd w:val="clear" w:color="auto" w:fill="auto"/>
        <w:spacing w:before="0" w:after="0" w:line="260" w:lineRule="atLeast"/>
        <w:ind w:right="280"/>
        <w:rPr>
          <w:rFonts w:ascii="Verdana" w:hAnsi="Verdana" w:cs="Verdana"/>
          <w:spacing w:val="0"/>
          <w:sz w:val="20"/>
          <w:szCs w:val="20"/>
        </w:rPr>
      </w:pPr>
      <w:r>
        <w:rPr>
          <w:rFonts w:ascii="Verdana" w:hAnsi="Verdana" w:cs="Verdana"/>
          <w:spacing w:val="0"/>
          <w:sz w:val="20"/>
          <w:szCs w:val="20"/>
        </w:rPr>
        <w:t>Към 30.06.202</w:t>
      </w:r>
      <w:r w:rsidR="002651C0">
        <w:rPr>
          <w:rFonts w:ascii="Verdana" w:hAnsi="Verdana" w:cs="Verdana"/>
          <w:spacing w:val="0"/>
          <w:sz w:val="20"/>
          <w:szCs w:val="20"/>
        </w:rPr>
        <w:t>5</w:t>
      </w:r>
      <w:r w:rsidR="00954168" w:rsidRPr="00C822E6">
        <w:rPr>
          <w:rFonts w:ascii="Verdana" w:hAnsi="Verdana" w:cs="Verdana"/>
          <w:spacing w:val="0"/>
          <w:sz w:val="20"/>
          <w:szCs w:val="20"/>
        </w:rPr>
        <w:t xml:space="preserve">г. собственият капитал е положителна </w:t>
      </w:r>
      <w:r w:rsidR="00954168" w:rsidRPr="006D56F0">
        <w:rPr>
          <w:rFonts w:ascii="Verdana" w:hAnsi="Verdana" w:cs="Verdana"/>
          <w:spacing w:val="0"/>
          <w:sz w:val="20"/>
          <w:szCs w:val="20"/>
        </w:rPr>
        <w:t xml:space="preserve">величина </w:t>
      </w:r>
      <w:r w:rsidR="00CE0742">
        <w:rPr>
          <w:rFonts w:ascii="Verdana" w:hAnsi="Verdana" w:cs="Verdana"/>
          <w:spacing w:val="0"/>
          <w:sz w:val="20"/>
          <w:szCs w:val="20"/>
        </w:rPr>
        <w:t xml:space="preserve">3 </w:t>
      </w:r>
      <w:r w:rsidR="002651C0">
        <w:rPr>
          <w:rFonts w:ascii="Verdana" w:hAnsi="Verdana" w:cs="Verdana"/>
          <w:spacing w:val="0"/>
          <w:sz w:val="20"/>
          <w:szCs w:val="20"/>
        </w:rPr>
        <w:t>359</w:t>
      </w:r>
      <w:r w:rsidR="00954168" w:rsidRPr="006D56F0">
        <w:rPr>
          <w:rFonts w:ascii="Verdana" w:hAnsi="Verdana" w:cs="Verdana"/>
          <w:spacing w:val="0"/>
          <w:sz w:val="20"/>
          <w:szCs w:val="20"/>
        </w:rPr>
        <w:t xml:space="preserve"> хил. лв</w:t>
      </w:r>
    </w:p>
    <w:p w:rsidR="00F63006" w:rsidRDefault="00F63006" w:rsidP="00954168">
      <w:pPr>
        <w:pStyle w:val="a0"/>
        <w:shd w:val="clear" w:color="auto" w:fill="auto"/>
        <w:spacing w:before="0" w:after="0" w:line="260" w:lineRule="atLeast"/>
        <w:ind w:right="280"/>
        <w:rPr>
          <w:rFonts w:ascii="Verdana" w:hAnsi="Verdana" w:cs="Verdana"/>
          <w:spacing w:val="0"/>
          <w:sz w:val="20"/>
          <w:szCs w:val="20"/>
        </w:rPr>
      </w:pPr>
    </w:p>
    <w:p w:rsidR="00F63006" w:rsidRDefault="00F63006" w:rsidP="00954168">
      <w:pPr>
        <w:pStyle w:val="a0"/>
        <w:shd w:val="clear" w:color="auto" w:fill="auto"/>
        <w:spacing w:before="0" w:after="0" w:line="260" w:lineRule="atLeast"/>
        <w:ind w:right="280"/>
        <w:rPr>
          <w:rFonts w:ascii="Verdana" w:hAnsi="Verdana" w:cs="Verdana"/>
          <w:spacing w:val="0"/>
          <w:sz w:val="20"/>
          <w:szCs w:val="20"/>
        </w:rPr>
      </w:pPr>
    </w:p>
    <w:p w:rsidR="00C3313E" w:rsidRDefault="00C3313E" w:rsidP="00954168">
      <w:pPr>
        <w:pStyle w:val="a0"/>
        <w:shd w:val="clear" w:color="auto" w:fill="auto"/>
        <w:spacing w:before="0" w:after="0" w:line="260" w:lineRule="atLeast"/>
        <w:ind w:right="280"/>
        <w:rPr>
          <w:rFonts w:ascii="Verdana" w:hAnsi="Verdana" w:cs="Verdana"/>
          <w:spacing w:val="0"/>
          <w:sz w:val="20"/>
          <w:szCs w:val="20"/>
        </w:rPr>
      </w:pPr>
    </w:p>
    <w:p w:rsidR="00F63006" w:rsidRPr="00C2255D" w:rsidRDefault="00F63006" w:rsidP="00954168">
      <w:pPr>
        <w:pStyle w:val="a0"/>
        <w:shd w:val="clear" w:color="auto" w:fill="auto"/>
        <w:spacing w:before="0" w:after="0" w:line="260" w:lineRule="atLeast"/>
        <w:ind w:right="280"/>
        <w:rPr>
          <w:rFonts w:ascii="Verdana" w:hAnsi="Verdana" w:cs="Verdana"/>
          <w:spacing w:val="0"/>
          <w:sz w:val="20"/>
          <w:szCs w:val="20"/>
        </w:rPr>
      </w:pPr>
    </w:p>
    <w:p w:rsidR="00954168" w:rsidRPr="00572E15" w:rsidRDefault="00954168" w:rsidP="00954168">
      <w:pPr>
        <w:spacing w:before="120" w:line="260" w:lineRule="atLeast"/>
        <w:rPr>
          <w:rFonts w:ascii="Verdana" w:hAnsi="Verdana" w:cs="Verdana"/>
          <w:b/>
          <w:bCs/>
          <w:sz w:val="20"/>
          <w:szCs w:val="20"/>
        </w:rPr>
      </w:pPr>
      <w:r w:rsidRPr="00572E15">
        <w:rPr>
          <w:rFonts w:ascii="Verdana" w:hAnsi="Verdana" w:cs="Verdana"/>
          <w:b/>
          <w:bCs/>
          <w:sz w:val="20"/>
          <w:szCs w:val="20"/>
        </w:rPr>
        <w:t>Управление на финансовия риск</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има експозиция към следните финансови рискове:</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кредитен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ликвиден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пазарен риск;</w:t>
      </w:r>
    </w:p>
    <w:p w:rsidR="00954168" w:rsidRPr="00C2255D" w:rsidRDefault="00954168" w:rsidP="00954168">
      <w:pPr>
        <w:numPr>
          <w:ilvl w:val="0"/>
          <w:numId w:val="1"/>
        </w:numPr>
        <w:spacing w:line="260" w:lineRule="atLeast"/>
        <w:rPr>
          <w:rFonts w:ascii="Verdana" w:hAnsi="Verdana" w:cs="Verdana"/>
          <w:sz w:val="20"/>
          <w:szCs w:val="20"/>
        </w:rPr>
      </w:pPr>
      <w:r w:rsidRPr="00C2255D">
        <w:rPr>
          <w:rFonts w:ascii="Verdana" w:hAnsi="Verdana" w:cs="Verdana"/>
          <w:sz w:val="20"/>
          <w:szCs w:val="20"/>
        </w:rPr>
        <w:t>оперативен риск.</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В настоящия доклад е оповестена инфо</w:t>
      </w:r>
      <w:r w:rsidR="00192077">
        <w:rPr>
          <w:rFonts w:ascii="Verdana" w:hAnsi="Verdana" w:cs="Verdana"/>
          <w:sz w:val="20"/>
          <w:szCs w:val="20"/>
        </w:rPr>
        <w:t>рмация относно експозицията на д</w:t>
      </w:r>
      <w:r w:rsidRPr="00C2255D">
        <w:rPr>
          <w:rFonts w:ascii="Verdana" w:hAnsi="Verdana" w:cs="Verdana"/>
          <w:sz w:val="20"/>
          <w:szCs w:val="20"/>
        </w:rPr>
        <w:t xml:space="preserve">ружеството спрямо всеки от горепосочените рискове, </w:t>
      </w:r>
      <w:r w:rsidR="00192077">
        <w:rPr>
          <w:rFonts w:ascii="Verdana" w:hAnsi="Verdana" w:cs="Verdana"/>
          <w:sz w:val="20"/>
          <w:szCs w:val="20"/>
        </w:rPr>
        <w:t>целите, политиките и процеси в д</w:t>
      </w:r>
      <w:r w:rsidRPr="00C2255D">
        <w:rPr>
          <w:rFonts w:ascii="Verdana" w:hAnsi="Verdana" w:cs="Verdana"/>
          <w:sz w:val="20"/>
          <w:szCs w:val="20"/>
        </w:rPr>
        <w:t>ружеството по оценяване, и управление на риска, и управлението на капитала. Допълнителни количествени оповестявания са включени в бележките към финансовия отчет.</w:t>
      </w:r>
    </w:p>
    <w:p w:rsidR="00954168" w:rsidRDefault="00954168" w:rsidP="00954168">
      <w:pPr>
        <w:spacing w:before="120" w:line="260" w:lineRule="atLeast"/>
        <w:rPr>
          <w:rFonts w:ascii="Verdana" w:hAnsi="Verdana" w:cs="Verdana"/>
          <w:b/>
          <w:bCs/>
          <w:sz w:val="20"/>
          <w:szCs w:val="20"/>
        </w:rPr>
      </w:pPr>
    </w:p>
    <w:p w:rsidR="00954168"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Основни положения за управление на риска</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Полит</w:t>
      </w:r>
      <w:r w:rsidR="00192077">
        <w:rPr>
          <w:rFonts w:ascii="Verdana" w:hAnsi="Verdana" w:cs="Verdana"/>
          <w:sz w:val="20"/>
          <w:szCs w:val="20"/>
        </w:rPr>
        <w:t>иките за управление на риска в д</w:t>
      </w:r>
      <w:r w:rsidRPr="00C2255D">
        <w:rPr>
          <w:rFonts w:ascii="Verdana" w:hAnsi="Verdana" w:cs="Verdana"/>
          <w:sz w:val="20"/>
          <w:szCs w:val="20"/>
        </w:rPr>
        <w:t>ружеството са установени с цел да идентифицират и анали</w:t>
      </w:r>
      <w:r w:rsidR="00192077">
        <w:rPr>
          <w:rFonts w:ascii="Verdana" w:hAnsi="Verdana" w:cs="Verdana"/>
          <w:sz w:val="20"/>
          <w:szCs w:val="20"/>
        </w:rPr>
        <w:t>зират рисковете, влияещи върху д</w:t>
      </w:r>
      <w:r w:rsidRPr="00C2255D">
        <w:rPr>
          <w:rFonts w:ascii="Verdana" w:hAnsi="Verdana" w:cs="Verdana"/>
          <w:sz w:val="20"/>
          <w:szCs w:val="20"/>
        </w:rPr>
        <w:t>ружеството, да установяват граници за поемане на рискове по отделни видове, дефинират правила за контрол върху рисковете и спазване на установените граници. Политиките и системите по управление на рисковете подлежат на регулярна проверка с цел установяване на настъпили изменения на пазара и</w:t>
      </w:r>
      <w:r w:rsidR="00192077">
        <w:rPr>
          <w:rFonts w:ascii="Verdana" w:hAnsi="Verdana" w:cs="Verdana"/>
          <w:sz w:val="20"/>
          <w:szCs w:val="20"/>
        </w:rPr>
        <w:t xml:space="preserve"> дейностите на д</w:t>
      </w:r>
      <w:r w:rsidRPr="00C2255D">
        <w:rPr>
          <w:rFonts w:ascii="Verdana" w:hAnsi="Verdana" w:cs="Verdana"/>
          <w:sz w:val="20"/>
          <w:szCs w:val="20"/>
        </w:rPr>
        <w:t>ружеството. Дружеството чрез обучение и прилагане на установените стандарти и процедури за управление цели да развие дисциплина и конструктивна контролна среда, където всички служители разбират своята роля и задължения.</w:t>
      </w:r>
    </w:p>
    <w:p w:rsidR="00954168" w:rsidRPr="00B020AF" w:rsidRDefault="00954168" w:rsidP="00954168">
      <w:pPr>
        <w:spacing w:before="120" w:line="260" w:lineRule="atLeast"/>
        <w:rPr>
          <w:rFonts w:ascii="Verdana" w:hAnsi="Verdana" w:cs="Verdana"/>
          <w:b/>
          <w:bCs/>
          <w:sz w:val="20"/>
          <w:szCs w:val="20"/>
        </w:rPr>
      </w:pPr>
      <w:r w:rsidRPr="00B020AF">
        <w:rPr>
          <w:rFonts w:ascii="Verdana" w:hAnsi="Verdana" w:cs="Verdana"/>
          <w:b/>
          <w:bCs/>
          <w:sz w:val="20"/>
          <w:szCs w:val="20"/>
        </w:rPr>
        <w:t>Кредитен риск</w:t>
      </w:r>
    </w:p>
    <w:p w:rsidR="00954168" w:rsidRPr="00CD39A3" w:rsidRDefault="00954168" w:rsidP="00954168">
      <w:pPr>
        <w:rPr>
          <w:rFonts w:ascii="Verdana" w:hAnsi="Verdana" w:cs="Verdana"/>
          <w:sz w:val="20"/>
          <w:szCs w:val="20"/>
        </w:rPr>
      </w:pPr>
      <w:r w:rsidRPr="00B020AF">
        <w:rPr>
          <w:rFonts w:ascii="Verdana" w:hAnsi="Verdana" w:cs="Verdana"/>
          <w:sz w:val="20"/>
          <w:szCs w:val="20"/>
        </w:rPr>
        <w:t xml:space="preserve">Кредитният риск е рискът, че контрагентът няма да изпълни задълженията си по даден финансов инструмент или договор, което води до финансова загуба. </w:t>
      </w:r>
    </w:p>
    <w:p w:rsidR="00954168" w:rsidRPr="00C2255D" w:rsidRDefault="00954168" w:rsidP="00954168">
      <w:pPr>
        <w:spacing w:before="120" w:line="260" w:lineRule="atLeast"/>
        <w:rPr>
          <w:rFonts w:ascii="Verdana" w:hAnsi="Verdana" w:cs="Verdana"/>
          <w:b/>
          <w:bCs/>
          <w:sz w:val="20"/>
          <w:szCs w:val="20"/>
        </w:rPr>
      </w:pPr>
      <w:r w:rsidRPr="00C2255D">
        <w:rPr>
          <w:rFonts w:ascii="Verdana" w:hAnsi="Verdana" w:cs="Verdana"/>
          <w:b/>
          <w:bCs/>
          <w:sz w:val="20"/>
          <w:szCs w:val="20"/>
        </w:rPr>
        <w:t>Вземания от клиенти</w:t>
      </w:r>
    </w:p>
    <w:p w:rsidR="00954168" w:rsidRDefault="00954168" w:rsidP="00954168">
      <w:pPr>
        <w:spacing w:line="260" w:lineRule="atLeast"/>
        <w:rPr>
          <w:rFonts w:ascii="Verdana" w:hAnsi="Verdana" w:cs="Verdana"/>
          <w:sz w:val="20"/>
          <w:szCs w:val="20"/>
        </w:rPr>
      </w:pPr>
      <w:r w:rsidRPr="00C2255D">
        <w:rPr>
          <w:rFonts w:ascii="Verdana" w:hAnsi="Verdana" w:cs="Verdana"/>
          <w:sz w:val="20"/>
          <w:szCs w:val="20"/>
        </w:rPr>
        <w:t xml:space="preserve">Експозицията към кредитен риск зависи от индивидуалните характеристики на отделните клиенти. Демографската структура на клиентите и риска от неплащане в </w:t>
      </w:r>
      <w:r w:rsidRPr="00C2255D">
        <w:rPr>
          <w:rFonts w:ascii="Verdana" w:hAnsi="Verdana" w:cs="Verdana"/>
          <w:sz w:val="20"/>
          <w:szCs w:val="20"/>
        </w:rPr>
        <w:lastRenderedPageBreak/>
        <w:t>индустрията или в ст</w:t>
      </w:r>
      <w:r>
        <w:rPr>
          <w:rFonts w:ascii="Verdana" w:hAnsi="Verdana" w:cs="Verdana"/>
          <w:sz w:val="20"/>
          <w:szCs w:val="20"/>
        </w:rPr>
        <w:t>раната, в която те оперират влия</w:t>
      </w:r>
      <w:r w:rsidRPr="00C2255D">
        <w:rPr>
          <w:rFonts w:ascii="Verdana" w:hAnsi="Verdana" w:cs="Verdana"/>
          <w:sz w:val="20"/>
          <w:szCs w:val="20"/>
        </w:rPr>
        <w:t>ят в по-малка степен на кредитният риск.</w:t>
      </w:r>
    </w:p>
    <w:p w:rsidR="00954168" w:rsidRPr="00AA0484" w:rsidRDefault="00954168" w:rsidP="00954168">
      <w:pPr>
        <w:jc w:val="left"/>
        <w:rPr>
          <w:sz w:val="24"/>
          <w:szCs w:val="24"/>
          <w:lang w:eastAsia="bg-BG"/>
        </w:rPr>
      </w:pPr>
      <w:r w:rsidRPr="00AA0484">
        <w:rPr>
          <w:rFonts w:ascii="Verdana" w:hAnsi="Verdana" w:cs="Verdana"/>
          <w:sz w:val="20"/>
          <w:szCs w:val="20"/>
          <w:lang w:eastAsia="bg-BG"/>
        </w:rPr>
        <w:t>Продажбите</w:t>
      </w:r>
      <w:r>
        <w:rPr>
          <w:rFonts w:ascii="Verdana" w:hAnsi="Verdana" w:cs="Verdana"/>
          <w:sz w:val="20"/>
          <w:szCs w:val="20"/>
          <w:lang w:eastAsia="bg-BG"/>
        </w:rPr>
        <w:t xml:space="preserve"> </w:t>
      </w:r>
      <w:r w:rsidRPr="00AA0484">
        <w:rPr>
          <w:rFonts w:ascii="Verdana" w:hAnsi="Verdana" w:cs="Verdana"/>
          <w:sz w:val="20"/>
          <w:szCs w:val="20"/>
          <w:lang w:eastAsia="bg-BG"/>
        </w:rPr>
        <w:t>на</w:t>
      </w:r>
      <w:r>
        <w:rPr>
          <w:rFonts w:ascii="Verdana" w:hAnsi="Verdana" w:cs="Verdana"/>
          <w:sz w:val="20"/>
          <w:szCs w:val="20"/>
          <w:lang w:eastAsia="bg-BG"/>
        </w:rPr>
        <w:t xml:space="preserve"> </w:t>
      </w:r>
      <w:r w:rsidRPr="00AA0484">
        <w:rPr>
          <w:rFonts w:ascii="Verdana" w:hAnsi="Verdana" w:cs="Verdana"/>
          <w:sz w:val="20"/>
          <w:szCs w:val="20"/>
          <w:lang w:eastAsia="bg-BG"/>
        </w:rPr>
        <w:t>Дружеството</w:t>
      </w:r>
      <w:r>
        <w:rPr>
          <w:rFonts w:ascii="Verdana" w:hAnsi="Verdana" w:cs="Verdana"/>
          <w:sz w:val="20"/>
          <w:szCs w:val="20"/>
          <w:lang w:eastAsia="bg-BG"/>
        </w:rPr>
        <w:t xml:space="preserve"> </w:t>
      </w:r>
      <w:r w:rsidRPr="00AA0484">
        <w:rPr>
          <w:rFonts w:ascii="Verdana" w:hAnsi="Verdana" w:cs="Verdana"/>
          <w:sz w:val="20"/>
          <w:szCs w:val="20"/>
          <w:lang w:eastAsia="bg-BG"/>
        </w:rPr>
        <w:t>са</w:t>
      </w:r>
      <w:r>
        <w:rPr>
          <w:rFonts w:ascii="Verdana" w:hAnsi="Verdana" w:cs="Verdana"/>
          <w:sz w:val="20"/>
          <w:szCs w:val="20"/>
          <w:lang w:eastAsia="bg-BG"/>
        </w:rPr>
        <w:t xml:space="preserve"> </w:t>
      </w:r>
      <w:r w:rsidRPr="00AA0484">
        <w:rPr>
          <w:rFonts w:ascii="Verdana" w:hAnsi="Verdana" w:cs="Verdana"/>
          <w:sz w:val="20"/>
          <w:szCs w:val="20"/>
          <w:lang w:eastAsia="bg-BG"/>
        </w:rPr>
        <w:t>зависими</w:t>
      </w:r>
      <w:r>
        <w:rPr>
          <w:rFonts w:ascii="Verdana" w:hAnsi="Verdana" w:cs="Verdana"/>
          <w:sz w:val="20"/>
          <w:szCs w:val="20"/>
          <w:lang w:eastAsia="bg-BG"/>
        </w:rPr>
        <w:t xml:space="preserve"> </w:t>
      </w:r>
      <w:r w:rsidRPr="00AA0484">
        <w:rPr>
          <w:rFonts w:ascii="Verdana" w:hAnsi="Verdana" w:cs="Verdana"/>
          <w:sz w:val="20"/>
          <w:szCs w:val="20"/>
          <w:lang w:eastAsia="bg-BG"/>
        </w:rPr>
        <w:t>генерално</w:t>
      </w:r>
      <w:r>
        <w:rPr>
          <w:rFonts w:ascii="Verdana" w:hAnsi="Verdana" w:cs="Verdana"/>
          <w:sz w:val="20"/>
          <w:szCs w:val="20"/>
          <w:lang w:eastAsia="bg-BG"/>
        </w:rPr>
        <w:t xml:space="preserve"> </w:t>
      </w:r>
      <w:r w:rsidRPr="00AA0484">
        <w:rPr>
          <w:rFonts w:ascii="Verdana" w:hAnsi="Verdana" w:cs="Verdana"/>
          <w:sz w:val="20"/>
          <w:szCs w:val="20"/>
          <w:lang w:eastAsia="bg-BG"/>
        </w:rPr>
        <w:t>от</w:t>
      </w:r>
      <w:r>
        <w:rPr>
          <w:rFonts w:ascii="Verdana" w:hAnsi="Verdana" w:cs="Verdana"/>
          <w:sz w:val="20"/>
          <w:szCs w:val="20"/>
          <w:lang w:eastAsia="bg-BG"/>
        </w:rPr>
        <w:t xml:space="preserve"> </w:t>
      </w:r>
      <w:r w:rsidRPr="00AA0484">
        <w:rPr>
          <w:rFonts w:ascii="Verdana" w:hAnsi="Verdana" w:cs="Verdana"/>
          <w:sz w:val="20"/>
          <w:szCs w:val="20"/>
          <w:lang w:eastAsia="bg-BG"/>
        </w:rPr>
        <w:t>следните</w:t>
      </w:r>
      <w:r>
        <w:rPr>
          <w:rFonts w:ascii="Verdana" w:hAnsi="Verdana" w:cs="Verdana"/>
          <w:sz w:val="20"/>
          <w:szCs w:val="20"/>
          <w:lang w:eastAsia="bg-BG"/>
        </w:rPr>
        <w:t xml:space="preserve"> </w:t>
      </w:r>
      <w:r w:rsidRPr="00AA0484">
        <w:rPr>
          <w:rFonts w:ascii="Verdana" w:hAnsi="Verdana" w:cs="Verdana"/>
          <w:sz w:val="20"/>
          <w:szCs w:val="20"/>
          <w:lang w:eastAsia="bg-BG"/>
        </w:rPr>
        <w:t>географски</w:t>
      </w:r>
      <w:r>
        <w:rPr>
          <w:rFonts w:ascii="Verdana" w:hAnsi="Verdana" w:cs="Verdana"/>
          <w:sz w:val="20"/>
          <w:szCs w:val="20"/>
          <w:lang w:eastAsia="bg-BG"/>
        </w:rPr>
        <w:t xml:space="preserve"> </w:t>
      </w:r>
      <w:r w:rsidRPr="00AA0484">
        <w:rPr>
          <w:rFonts w:ascii="Verdana" w:hAnsi="Verdana" w:cs="Verdana"/>
          <w:sz w:val="20"/>
          <w:szCs w:val="20"/>
          <w:lang w:eastAsia="bg-BG"/>
        </w:rPr>
        <w:t>положения:</w:t>
      </w:r>
    </w:p>
    <w:p w:rsidR="00954168" w:rsidRPr="00AA0484" w:rsidRDefault="00954168" w:rsidP="00954168">
      <w:pPr>
        <w:jc w:val="left"/>
        <w:rPr>
          <w:sz w:val="24"/>
          <w:szCs w:val="24"/>
          <w:lang w:eastAsia="bg-BG"/>
        </w:rPr>
      </w:pPr>
      <w:r w:rsidRPr="00AA0484">
        <w:rPr>
          <w:rFonts w:ascii="Verdana" w:hAnsi="Verdana" w:cs="Verdana"/>
          <w:sz w:val="20"/>
          <w:szCs w:val="20"/>
          <w:lang w:eastAsia="bg-BG"/>
        </w:rPr>
        <w:t>-  територията на град Разград е лицензионната територия за продажба на топлинна и електрическа енергия.</w:t>
      </w:r>
    </w:p>
    <w:p w:rsidR="00954168" w:rsidRDefault="00954168" w:rsidP="00954168">
      <w:pPr>
        <w:jc w:val="left"/>
        <w:rPr>
          <w:rFonts w:ascii="Verdana" w:hAnsi="Verdana" w:cs="Verdana"/>
          <w:sz w:val="20"/>
          <w:szCs w:val="20"/>
          <w:lang w:eastAsia="bg-BG"/>
        </w:rPr>
      </w:pPr>
      <w:r w:rsidRPr="00AA0484">
        <w:rPr>
          <w:rFonts w:ascii="Verdana" w:hAnsi="Verdana" w:cs="Verdana"/>
          <w:sz w:val="20"/>
          <w:szCs w:val="20"/>
          <w:lang w:eastAsia="bg-BG"/>
        </w:rPr>
        <w:t>Дружеството</w:t>
      </w:r>
      <w:r>
        <w:rPr>
          <w:rFonts w:ascii="Verdana" w:hAnsi="Verdana" w:cs="Verdana"/>
          <w:sz w:val="20"/>
          <w:szCs w:val="20"/>
          <w:lang w:eastAsia="bg-BG"/>
        </w:rPr>
        <w:t xml:space="preserve"> </w:t>
      </w:r>
      <w:r w:rsidRPr="00AA0484">
        <w:rPr>
          <w:rFonts w:ascii="Verdana" w:hAnsi="Verdana" w:cs="Verdana"/>
          <w:sz w:val="20"/>
          <w:szCs w:val="20"/>
          <w:lang w:eastAsia="bg-BG"/>
        </w:rPr>
        <w:t>има</w:t>
      </w:r>
      <w:r>
        <w:rPr>
          <w:rFonts w:ascii="Verdana" w:hAnsi="Verdana" w:cs="Verdana"/>
          <w:sz w:val="20"/>
          <w:szCs w:val="20"/>
          <w:lang w:eastAsia="bg-BG"/>
        </w:rPr>
        <w:t xml:space="preserve"> </w:t>
      </w:r>
      <w:r w:rsidRPr="00AA0484">
        <w:rPr>
          <w:rFonts w:ascii="Verdana" w:hAnsi="Verdana" w:cs="Verdana"/>
          <w:sz w:val="20"/>
          <w:szCs w:val="20"/>
          <w:lang w:eastAsia="bg-BG"/>
        </w:rPr>
        <w:t>съществени</w:t>
      </w:r>
      <w:r>
        <w:rPr>
          <w:rFonts w:ascii="Verdana" w:hAnsi="Verdana" w:cs="Verdana"/>
          <w:sz w:val="20"/>
          <w:szCs w:val="20"/>
          <w:lang w:eastAsia="bg-BG"/>
        </w:rPr>
        <w:t xml:space="preserve"> </w:t>
      </w:r>
      <w:r w:rsidRPr="00AA0484">
        <w:rPr>
          <w:rFonts w:ascii="Verdana" w:hAnsi="Verdana" w:cs="Verdana"/>
          <w:sz w:val="20"/>
          <w:szCs w:val="20"/>
          <w:lang w:eastAsia="bg-BG"/>
        </w:rPr>
        <w:t>продажби</w:t>
      </w:r>
      <w:r>
        <w:rPr>
          <w:rFonts w:ascii="Verdana" w:hAnsi="Verdana" w:cs="Verdana"/>
          <w:sz w:val="20"/>
          <w:szCs w:val="20"/>
          <w:lang w:eastAsia="bg-BG"/>
        </w:rPr>
        <w:t xml:space="preserve"> </w:t>
      </w:r>
      <w:r w:rsidRPr="00AA0484">
        <w:rPr>
          <w:rFonts w:ascii="Verdana" w:hAnsi="Verdana" w:cs="Verdana"/>
          <w:sz w:val="20"/>
          <w:szCs w:val="20"/>
          <w:lang w:eastAsia="bg-BG"/>
        </w:rPr>
        <w:t>към</w:t>
      </w:r>
      <w:r>
        <w:rPr>
          <w:rFonts w:ascii="Verdana" w:hAnsi="Verdana" w:cs="Verdana"/>
          <w:sz w:val="20"/>
          <w:szCs w:val="20"/>
          <w:lang w:eastAsia="bg-BG"/>
        </w:rPr>
        <w:t xml:space="preserve"> </w:t>
      </w:r>
      <w:r w:rsidRPr="00AA0484">
        <w:rPr>
          <w:rFonts w:ascii="Verdana" w:hAnsi="Verdana" w:cs="Verdana"/>
          <w:sz w:val="20"/>
          <w:szCs w:val="20"/>
          <w:lang w:eastAsia="bg-BG"/>
        </w:rPr>
        <w:t>няколко</w:t>
      </w:r>
      <w:r>
        <w:rPr>
          <w:rFonts w:ascii="Verdana" w:hAnsi="Verdana" w:cs="Verdana"/>
          <w:sz w:val="20"/>
          <w:szCs w:val="20"/>
          <w:lang w:eastAsia="bg-BG"/>
        </w:rPr>
        <w:t xml:space="preserve"> </w:t>
      </w:r>
      <w:r w:rsidRPr="00AA0484">
        <w:rPr>
          <w:rFonts w:ascii="Verdana" w:hAnsi="Verdana" w:cs="Verdana"/>
          <w:sz w:val="20"/>
          <w:szCs w:val="20"/>
          <w:lang w:eastAsia="bg-BG"/>
        </w:rPr>
        <w:t>клиента:</w:t>
      </w:r>
    </w:p>
    <w:p w:rsidR="00954168" w:rsidRDefault="00954168" w:rsidP="00192077">
      <w:pPr>
        <w:pStyle w:val="ListParagraph"/>
        <w:numPr>
          <w:ilvl w:val="0"/>
          <w:numId w:val="7"/>
        </w:numPr>
        <w:rPr>
          <w:rFonts w:ascii="Verdana" w:hAnsi="Verdana" w:cs="Verdana"/>
          <w:sz w:val="20"/>
          <w:szCs w:val="20"/>
          <w:lang w:eastAsia="bg-BG"/>
        </w:rPr>
      </w:pPr>
      <w:r>
        <w:rPr>
          <w:rFonts w:ascii="Verdana" w:hAnsi="Verdana" w:cs="Verdana"/>
          <w:sz w:val="20"/>
          <w:szCs w:val="20"/>
          <w:lang w:eastAsia="bg-BG"/>
        </w:rPr>
        <w:t>„Енерго – Про Енергийни услуги“ ЕАД</w:t>
      </w:r>
      <w:r w:rsidR="00192077">
        <w:rPr>
          <w:rFonts w:ascii="Verdana" w:hAnsi="Verdana" w:cs="Verdana"/>
          <w:sz w:val="20"/>
          <w:szCs w:val="20"/>
          <w:lang w:eastAsia="bg-BG"/>
        </w:rPr>
        <w:t>;</w:t>
      </w:r>
    </w:p>
    <w:p w:rsidR="00192077" w:rsidRDefault="00954168" w:rsidP="00192077">
      <w:pPr>
        <w:pStyle w:val="ListParagraph"/>
        <w:numPr>
          <w:ilvl w:val="0"/>
          <w:numId w:val="7"/>
        </w:numPr>
        <w:rPr>
          <w:rFonts w:ascii="Verdana" w:hAnsi="Verdana" w:cs="Verdana"/>
          <w:sz w:val="20"/>
          <w:szCs w:val="20"/>
          <w:lang w:eastAsia="bg-BG"/>
        </w:rPr>
      </w:pPr>
      <w:r>
        <w:rPr>
          <w:rFonts w:ascii="Verdana" w:hAnsi="Verdana" w:cs="Verdana"/>
          <w:sz w:val="20"/>
          <w:szCs w:val="20"/>
          <w:lang w:eastAsia="bg-BG"/>
        </w:rPr>
        <w:t xml:space="preserve">Детски градини – „ Шестте ястребинчета“, „Зорница“, Детска ясла </w:t>
      </w:r>
    </w:p>
    <w:p w:rsidR="00954168" w:rsidRDefault="00954168" w:rsidP="00192077">
      <w:pPr>
        <w:pStyle w:val="ListParagraph"/>
        <w:rPr>
          <w:rFonts w:ascii="Verdana" w:hAnsi="Verdana" w:cs="Verdana"/>
          <w:sz w:val="20"/>
          <w:szCs w:val="20"/>
          <w:lang w:eastAsia="bg-BG"/>
        </w:rPr>
      </w:pPr>
      <w:r>
        <w:rPr>
          <w:rFonts w:ascii="Verdana" w:hAnsi="Verdana" w:cs="Verdana"/>
          <w:sz w:val="20"/>
          <w:szCs w:val="20"/>
          <w:lang w:eastAsia="bg-BG"/>
        </w:rPr>
        <w:t xml:space="preserve">„ Звездици“, </w:t>
      </w:r>
      <w:r w:rsidR="00146B11">
        <w:rPr>
          <w:rFonts w:ascii="Verdana" w:hAnsi="Verdana" w:cs="Verdana"/>
          <w:sz w:val="20"/>
          <w:szCs w:val="20"/>
          <w:lang w:eastAsia="bg-BG"/>
        </w:rPr>
        <w:t>„В.</w:t>
      </w:r>
      <w:r w:rsidR="00192077">
        <w:rPr>
          <w:rFonts w:ascii="Verdana" w:hAnsi="Verdana" w:cs="Verdana"/>
          <w:sz w:val="20"/>
          <w:szCs w:val="20"/>
          <w:lang w:eastAsia="bg-BG"/>
        </w:rPr>
        <w:t xml:space="preserve"> </w:t>
      </w:r>
      <w:r>
        <w:rPr>
          <w:rFonts w:ascii="Verdana" w:hAnsi="Verdana" w:cs="Verdana"/>
          <w:sz w:val="20"/>
          <w:szCs w:val="20"/>
          <w:lang w:eastAsia="bg-BG"/>
        </w:rPr>
        <w:t>Левски“;</w:t>
      </w:r>
    </w:p>
    <w:p w:rsidR="00954168" w:rsidRDefault="00954168" w:rsidP="00192077">
      <w:pPr>
        <w:pStyle w:val="ListParagraph"/>
        <w:numPr>
          <w:ilvl w:val="0"/>
          <w:numId w:val="7"/>
        </w:numPr>
        <w:rPr>
          <w:rFonts w:ascii="Verdana" w:hAnsi="Verdana" w:cs="Verdana"/>
          <w:sz w:val="20"/>
          <w:szCs w:val="20"/>
          <w:lang w:eastAsia="bg-BG"/>
        </w:rPr>
      </w:pPr>
      <w:r>
        <w:rPr>
          <w:rFonts w:ascii="Verdana" w:hAnsi="Verdana" w:cs="Verdana"/>
          <w:sz w:val="20"/>
          <w:szCs w:val="20"/>
          <w:lang w:eastAsia="bg-BG"/>
        </w:rPr>
        <w:t>Териториално поделение на НОИ</w:t>
      </w:r>
      <w:r w:rsidR="00192077">
        <w:rPr>
          <w:rFonts w:ascii="Verdana" w:hAnsi="Verdana" w:cs="Verdana"/>
          <w:sz w:val="20"/>
          <w:szCs w:val="20"/>
          <w:lang w:eastAsia="bg-BG"/>
        </w:rPr>
        <w:t>;</w:t>
      </w:r>
    </w:p>
    <w:p w:rsidR="00954168" w:rsidRPr="00CD39A3" w:rsidRDefault="00954168" w:rsidP="00192077">
      <w:pPr>
        <w:pStyle w:val="ListParagraph"/>
        <w:numPr>
          <w:ilvl w:val="0"/>
          <w:numId w:val="7"/>
        </w:numPr>
        <w:rPr>
          <w:rFonts w:ascii="Verdana" w:hAnsi="Verdana" w:cs="Verdana"/>
          <w:sz w:val="20"/>
          <w:szCs w:val="20"/>
          <w:lang w:eastAsia="bg-BG"/>
        </w:rPr>
      </w:pPr>
      <w:r>
        <w:rPr>
          <w:rFonts w:ascii="Verdana" w:hAnsi="Verdana" w:cs="Verdana"/>
          <w:sz w:val="20"/>
          <w:szCs w:val="20"/>
          <w:lang w:eastAsia="bg-BG"/>
        </w:rPr>
        <w:t>Български пощи и др.</w:t>
      </w:r>
    </w:p>
    <w:p w:rsidR="00954168" w:rsidRPr="00C2255D" w:rsidRDefault="00954168" w:rsidP="00954168">
      <w:pPr>
        <w:spacing w:before="120" w:line="260" w:lineRule="atLeast"/>
        <w:rPr>
          <w:rFonts w:ascii="Verdana" w:hAnsi="Verdana" w:cs="Verdana"/>
          <w:b/>
          <w:bCs/>
          <w:sz w:val="20"/>
          <w:szCs w:val="20"/>
        </w:rPr>
      </w:pPr>
      <w:r w:rsidRPr="00C2255D">
        <w:rPr>
          <w:rFonts w:ascii="Verdana" w:hAnsi="Verdana" w:cs="Verdana"/>
          <w:b/>
          <w:bCs/>
          <w:sz w:val="20"/>
          <w:szCs w:val="20"/>
        </w:rPr>
        <w:t>Инвестиции</w:t>
      </w:r>
    </w:p>
    <w:p w:rsidR="00954168" w:rsidRPr="00C2255D" w:rsidRDefault="00954168" w:rsidP="00954168">
      <w:pPr>
        <w:spacing w:line="260" w:lineRule="atLeast"/>
        <w:rPr>
          <w:rFonts w:ascii="Verdana" w:hAnsi="Verdana" w:cs="Verdana"/>
          <w:sz w:val="20"/>
          <w:szCs w:val="20"/>
        </w:rPr>
      </w:pPr>
      <w:r w:rsidRPr="00C2255D">
        <w:rPr>
          <w:rFonts w:ascii="Verdana" w:hAnsi="Verdana" w:cs="Verdana"/>
          <w:sz w:val="20"/>
          <w:szCs w:val="20"/>
        </w:rPr>
        <w:t>Дружеството не прави инвестиции в ликвидни дългови и корпоративни ценни книжа с оглед на това да лимитира експозицията си по кредитен риск.</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Ликвиден риск</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Ликвиден р</w:t>
      </w:r>
      <w:r w:rsidR="00192077">
        <w:rPr>
          <w:rFonts w:ascii="Verdana" w:hAnsi="Verdana" w:cs="Verdana"/>
          <w:spacing w:val="0"/>
          <w:sz w:val="20"/>
          <w:szCs w:val="20"/>
        </w:rPr>
        <w:t>иск възниква при положение, че д</w:t>
      </w:r>
      <w:r w:rsidRPr="00C2255D">
        <w:rPr>
          <w:rFonts w:ascii="Verdana" w:hAnsi="Verdana" w:cs="Verdana"/>
          <w:spacing w:val="0"/>
          <w:sz w:val="20"/>
          <w:szCs w:val="20"/>
        </w:rPr>
        <w:t>ружеството не изпълни своите задължения, когато те станат изискуеми. Дружеството прилага подход, който да осигури необходимия ликвиден ресурс да се посрещнат настъпилите задължения при нормални или стресови условия без да се реализират неприемливи загуби и</w:t>
      </w:r>
      <w:r w:rsidR="00192077">
        <w:rPr>
          <w:rFonts w:ascii="Verdana" w:hAnsi="Verdana" w:cs="Verdana"/>
          <w:spacing w:val="0"/>
          <w:sz w:val="20"/>
          <w:szCs w:val="20"/>
        </w:rPr>
        <w:t>ли да се увреди репутацията на д</w:t>
      </w:r>
      <w:r w:rsidRPr="00C2255D">
        <w:rPr>
          <w:rFonts w:ascii="Verdana" w:hAnsi="Verdana" w:cs="Verdana"/>
          <w:spacing w:val="0"/>
          <w:sz w:val="20"/>
          <w:szCs w:val="20"/>
        </w:rPr>
        <w:t>ружеството.</w:t>
      </w:r>
    </w:p>
    <w:p w:rsidR="00954168" w:rsidRPr="00CD39A3" w:rsidRDefault="00954168" w:rsidP="00954168">
      <w:pPr>
        <w:rPr>
          <w:rFonts w:ascii="Verdana" w:hAnsi="Verdana" w:cs="Verdana"/>
          <w:sz w:val="20"/>
          <w:szCs w:val="20"/>
        </w:rPr>
      </w:pPr>
      <w:r w:rsidRPr="00C2255D">
        <w:rPr>
          <w:rFonts w:ascii="Verdana" w:hAnsi="Verdana" w:cs="Verdana"/>
          <w:sz w:val="20"/>
          <w:szCs w:val="20"/>
        </w:rPr>
        <w:t>Дружеството следи риска от недостиг на средства, с помощта на инструменти за плани</w:t>
      </w:r>
      <w:r w:rsidR="00192077">
        <w:rPr>
          <w:rFonts w:ascii="Verdana" w:hAnsi="Verdana" w:cs="Verdana"/>
          <w:sz w:val="20"/>
          <w:szCs w:val="20"/>
        </w:rPr>
        <w:t>ране на ликвидността. Целта на д</w:t>
      </w:r>
      <w:r w:rsidRPr="00C2255D">
        <w:rPr>
          <w:rFonts w:ascii="Verdana" w:hAnsi="Verdana" w:cs="Verdana"/>
          <w:sz w:val="20"/>
          <w:szCs w:val="20"/>
        </w:rPr>
        <w:t>ружеството е да поддържа баланс между срочност</w:t>
      </w:r>
      <w:r w:rsidRPr="000A7AA2">
        <w:rPr>
          <w:rFonts w:ascii="Verdana" w:hAnsi="Verdana" w:cs="Verdana"/>
          <w:sz w:val="20"/>
          <w:szCs w:val="20"/>
        </w:rPr>
        <w:t>на привлечения ресурс и гъвкавост, чрез използването на използванетоназаеми</w:t>
      </w:r>
      <w:r>
        <w:rPr>
          <w:rFonts w:ascii="Verdana" w:hAnsi="Verdana" w:cs="Verdana"/>
          <w:sz w:val="20"/>
          <w:szCs w:val="20"/>
        </w:rPr>
        <w:t>.</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Пазарен риск</w:t>
      </w:r>
    </w:p>
    <w:p w:rsidR="00954168" w:rsidRPr="00A52D1E" w:rsidRDefault="00954168" w:rsidP="00954168">
      <w:pPr>
        <w:pStyle w:val="a0"/>
        <w:shd w:val="clear" w:color="auto" w:fill="auto"/>
        <w:spacing w:before="0" w:after="0" w:line="250" w:lineRule="exact"/>
        <w:ind w:right="60"/>
        <w:rPr>
          <w:rFonts w:ascii="Verdana" w:hAnsi="Verdana" w:cs="Verdana"/>
          <w:spacing w:val="0"/>
          <w:sz w:val="20"/>
          <w:szCs w:val="20"/>
          <w:lang w:val="ru-RU"/>
        </w:rPr>
      </w:pPr>
      <w:r w:rsidRPr="00C2255D">
        <w:rPr>
          <w:rFonts w:ascii="Verdana" w:hAnsi="Verdana" w:cs="Verdana"/>
          <w:spacing w:val="0"/>
          <w:sz w:val="20"/>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управлява и контролира експозицията на пазарен риск в приемливи граници, като се оптимизира възвръщаемостта.</w:t>
      </w: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Валутен риск</w:t>
      </w:r>
    </w:p>
    <w:p w:rsidR="00954168" w:rsidRDefault="00954168" w:rsidP="00954168">
      <w:pPr>
        <w:pStyle w:val="a0"/>
        <w:shd w:val="clear" w:color="auto" w:fill="auto"/>
        <w:spacing w:before="0" w:after="0" w:line="260" w:lineRule="atLeast"/>
        <w:ind w:right="60"/>
        <w:rPr>
          <w:rFonts w:ascii="Verdana" w:hAnsi="Verdana" w:cs="Verdana"/>
          <w:sz w:val="20"/>
          <w:szCs w:val="20"/>
        </w:rPr>
      </w:pPr>
      <w:r w:rsidRPr="00C2255D">
        <w:rPr>
          <w:rFonts w:ascii="Verdana" w:hAnsi="Verdana" w:cs="Verdana"/>
          <w:sz w:val="20"/>
          <w:szCs w:val="20"/>
        </w:rPr>
        <w:t xml:space="preserve">Дружеството не е изложено на валутен риск, тъй </w:t>
      </w:r>
      <w:r w:rsidR="00192077">
        <w:rPr>
          <w:rFonts w:ascii="Verdana" w:hAnsi="Verdana" w:cs="Verdana"/>
          <w:sz w:val="20"/>
          <w:szCs w:val="20"/>
        </w:rPr>
        <w:t>като всички активи и пасиви на д</w:t>
      </w:r>
      <w:r w:rsidRPr="00C2255D">
        <w:rPr>
          <w:rFonts w:ascii="Verdana" w:hAnsi="Verdana" w:cs="Verdana"/>
          <w:sz w:val="20"/>
          <w:szCs w:val="20"/>
        </w:rPr>
        <w:t>ружеството са деноминирани в български лева или евро. Валутен риск би настъпил при промяна на съотношението на български лев/евро, за което Ръководството няма такава информация и предвиждания.</w:t>
      </w:r>
    </w:p>
    <w:p w:rsidR="00954168" w:rsidRDefault="00954168" w:rsidP="00954168">
      <w:pPr>
        <w:pStyle w:val="a0"/>
        <w:shd w:val="clear" w:color="auto" w:fill="auto"/>
        <w:spacing w:before="0" w:after="0" w:line="260" w:lineRule="atLeast"/>
        <w:ind w:right="60"/>
        <w:rPr>
          <w:rFonts w:ascii="Verdana" w:hAnsi="Verdana" w:cs="Verdana"/>
          <w:sz w:val="20"/>
          <w:szCs w:val="20"/>
        </w:rPr>
      </w:pPr>
    </w:p>
    <w:p w:rsidR="00954168" w:rsidRPr="006861FA" w:rsidRDefault="00954168" w:rsidP="00954168">
      <w:pPr>
        <w:spacing w:before="120" w:line="260" w:lineRule="atLeast"/>
        <w:rPr>
          <w:rFonts w:ascii="Verdana" w:hAnsi="Verdana" w:cs="Verdana"/>
          <w:b/>
          <w:bCs/>
          <w:sz w:val="20"/>
          <w:szCs w:val="20"/>
        </w:rPr>
      </w:pPr>
      <w:r w:rsidRPr="006861FA">
        <w:rPr>
          <w:rFonts w:ascii="Verdana" w:hAnsi="Verdana" w:cs="Verdana"/>
          <w:b/>
          <w:bCs/>
          <w:sz w:val="20"/>
          <w:szCs w:val="20"/>
        </w:rPr>
        <w:t>Оперативен риск</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Оперативен риск е рискът от преки или косвени загуби, произтичащи от широк кръг от причини, свързани с процесите, персонала, техн</w:t>
      </w:r>
      <w:r w:rsidR="008255C4">
        <w:rPr>
          <w:rFonts w:ascii="Verdana" w:hAnsi="Verdana" w:cs="Verdana"/>
          <w:spacing w:val="0"/>
          <w:sz w:val="20"/>
          <w:szCs w:val="20"/>
        </w:rPr>
        <w:t>ологиите и инфраструктурата на д</w:t>
      </w:r>
      <w:r w:rsidRPr="00C2255D">
        <w:rPr>
          <w:rFonts w:ascii="Verdana" w:hAnsi="Verdana" w:cs="Verdana"/>
          <w:spacing w:val="0"/>
          <w:sz w:val="20"/>
          <w:szCs w:val="20"/>
        </w:rPr>
        <w:t>ружеството, както и от външни фактори, различни от кредитни, пазарни и ликвидни рискове, като например тези, произтичащи от правни и регулаторни изисквания и общоприети стандарти на корпоративно поведение. Оперативни рискове в</w:t>
      </w:r>
      <w:r w:rsidR="008255C4">
        <w:rPr>
          <w:rFonts w:ascii="Verdana" w:hAnsi="Verdana" w:cs="Verdana"/>
          <w:spacing w:val="0"/>
          <w:sz w:val="20"/>
          <w:szCs w:val="20"/>
        </w:rPr>
        <w:t>ъзникват от всички операции на д</w:t>
      </w:r>
      <w:r w:rsidRPr="00C2255D">
        <w:rPr>
          <w:rFonts w:ascii="Verdana" w:hAnsi="Verdana" w:cs="Verdana"/>
          <w:spacing w:val="0"/>
          <w:sz w:val="20"/>
          <w:szCs w:val="20"/>
        </w:rPr>
        <w:t>ружеството.</w:t>
      </w:r>
    </w:p>
    <w:p w:rsidR="00954168" w:rsidRPr="00C2255D" w:rsidRDefault="008255C4" w:rsidP="00954168">
      <w:pPr>
        <w:pStyle w:val="a0"/>
        <w:shd w:val="clear" w:color="auto" w:fill="auto"/>
        <w:spacing w:before="0" w:after="0" w:line="260" w:lineRule="atLeast"/>
        <w:ind w:right="60"/>
        <w:rPr>
          <w:rFonts w:ascii="Verdana" w:hAnsi="Verdana" w:cs="Verdana"/>
          <w:spacing w:val="0"/>
          <w:sz w:val="20"/>
          <w:szCs w:val="20"/>
        </w:rPr>
      </w:pPr>
      <w:r>
        <w:rPr>
          <w:rFonts w:ascii="Verdana" w:hAnsi="Verdana" w:cs="Verdana"/>
          <w:spacing w:val="0"/>
          <w:sz w:val="20"/>
          <w:szCs w:val="20"/>
        </w:rPr>
        <w:t>Целта на д</w:t>
      </w:r>
      <w:r w:rsidR="00954168" w:rsidRPr="00C2255D">
        <w:rPr>
          <w:rFonts w:ascii="Verdana" w:hAnsi="Verdana" w:cs="Verdana"/>
          <w:spacing w:val="0"/>
          <w:sz w:val="20"/>
          <w:szCs w:val="20"/>
        </w:rPr>
        <w:t>ружеството е да се управлява оперативния риск, така че да се балансира между избягването на финансови загуби</w:t>
      </w:r>
      <w:r>
        <w:rPr>
          <w:rFonts w:ascii="Verdana" w:hAnsi="Verdana" w:cs="Verdana"/>
          <w:spacing w:val="0"/>
          <w:sz w:val="20"/>
          <w:szCs w:val="20"/>
        </w:rPr>
        <w:t xml:space="preserve"> и увреждане на репутацията на д</w:t>
      </w:r>
      <w:r w:rsidR="00954168" w:rsidRPr="00C2255D">
        <w:rPr>
          <w:rFonts w:ascii="Verdana" w:hAnsi="Verdana" w:cs="Verdana"/>
          <w:spacing w:val="0"/>
          <w:sz w:val="20"/>
          <w:szCs w:val="20"/>
        </w:rPr>
        <w:t>ружеството, и цялостната ефективност на разходите и да се избягват процедурите за контрол, които ограничават инициативата и творчеството.</w:t>
      </w:r>
    </w:p>
    <w:p w:rsidR="00954168" w:rsidRPr="00C2255D" w:rsidRDefault="00954168" w:rsidP="00954168">
      <w:pPr>
        <w:pStyle w:val="a0"/>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Основната отговорност за разработване и прилагане на контроли за оперативния риск се възлага на висшето ръководство. Тази отговорност се подпомага от р</w:t>
      </w:r>
      <w:r w:rsidR="008255C4">
        <w:rPr>
          <w:rFonts w:ascii="Verdana" w:hAnsi="Verdana" w:cs="Verdana"/>
          <w:spacing w:val="0"/>
          <w:sz w:val="20"/>
          <w:szCs w:val="20"/>
        </w:rPr>
        <w:t>азвитието на общи стандарти за д</w:t>
      </w:r>
      <w:r w:rsidRPr="00C2255D">
        <w:rPr>
          <w:rFonts w:ascii="Verdana" w:hAnsi="Verdana" w:cs="Verdana"/>
          <w:spacing w:val="0"/>
          <w:sz w:val="20"/>
          <w:szCs w:val="20"/>
        </w:rPr>
        <w:t xml:space="preserve">ружеството за управление на оперативния риск в </w:t>
      </w:r>
      <w:r w:rsidRPr="00C2255D">
        <w:rPr>
          <w:rFonts w:ascii="Verdana" w:hAnsi="Verdana" w:cs="Verdana"/>
          <w:spacing w:val="0"/>
          <w:sz w:val="20"/>
          <w:szCs w:val="20"/>
        </w:rPr>
        <w:lastRenderedPageBreak/>
        <w:t>следните области: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подходящо разпределение на задълженията, включително и независимо оторизиране на сделки;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равняване и мониторинг на сделките;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bookmarkStart w:id="8" w:name="bookmark3"/>
      <w:r w:rsidRPr="00C2255D">
        <w:rPr>
          <w:rFonts w:ascii="Verdana" w:hAnsi="Verdana" w:cs="Verdana"/>
          <w:spacing w:val="0"/>
          <w:sz w:val="20"/>
          <w:szCs w:val="20"/>
        </w:rPr>
        <w:t>съответствие с регулаторните и други правни изисквания</w:t>
      </w:r>
      <w:bookmarkEnd w:id="8"/>
      <w:r w:rsidRPr="00C2255D">
        <w:rPr>
          <w:rFonts w:ascii="Verdana" w:hAnsi="Verdana" w:cs="Verdana"/>
          <w:spacing w:val="0"/>
          <w:sz w:val="20"/>
          <w:szCs w:val="20"/>
        </w:rPr>
        <w:t>;</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документация за контрол и процедури;</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периодична оценка на оперативните рискове и адекватността на контролите и процедурите за справяне с идентифицираните рискове;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изисквания за докладване на оперативни загуби и предложените коригиращи действия;</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развитие на аварийни планове;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обучение и професионално развитие;</w:t>
      </w:r>
    </w:p>
    <w:p w:rsidR="00954168" w:rsidRPr="00C2255D"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етични и бизнес стандарти;</w:t>
      </w:r>
    </w:p>
    <w:p w:rsidR="00954168" w:rsidRPr="00957091" w:rsidRDefault="00954168" w:rsidP="00954168">
      <w:pPr>
        <w:pStyle w:val="a0"/>
        <w:numPr>
          <w:ilvl w:val="0"/>
          <w:numId w:val="2"/>
        </w:numPr>
        <w:shd w:val="clear" w:color="auto" w:fill="auto"/>
        <w:spacing w:before="0" w:after="0" w:line="260" w:lineRule="atLeast"/>
        <w:ind w:right="60"/>
        <w:rPr>
          <w:rFonts w:ascii="Verdana" w:hAnsi="Verdana" w:cs="Verdana"/>
          <w:spacing w:val="0"/>
          <w:sz w:val="20"/>
          <w:szCs w:val="20"/>
        </w:rPr>
      </w:pPr>
      <w:r w:rsidRPr="00C2255D">
        <w:rPr>
          <w:rFonts w:ascii="Verdana" w:hAnsi="Verdana" w:cs="Verdana"/>
          <w:spacing w:val="0"/>
          <w:sz w:val="20"/>
          <w:szCs w:val="20"/>
        </w:rPr>
        <w:t>намаляване на риска, включително застраховка, когато това е ефективно.</w:t>
      </w:r>
    </w:p>
    <w:p w:rsidR="00954168" w:rsidRDefault="00954168" w:rsidP="00954168">
      <w:pPr>
        <w:spacing w:line="260" w:lineRule="atLeast"/>
        <w:rPr>
          <w:rFonts w:ascii="Verdana" w:hAnsi="Verdana" w:cs="Verdana"/>
          <w:sz w:val="20"/>
          <w:szCs w:val="20"/>
          <w:lang w:val="ru-RU"/>
        </w:rPr>
      </w:pPr>
    </w:p>
    <w:p w:rsidR="00954168" w:rsidRPr="00A52D1E" w:rsidRDefault="00954168" w:rsidP="00954168">
      <w:pPr>
        <w:spacing w:line="260" w:lineRule="atLeast"/>
        <w:rPr>
          <w:rFonts w:ascii="Verdana" w:hAnsi="Verdana" w:cs="Verdana"/>
          <w:sz w:val="20"/>
          <w:szCs w:val="20"/>
          <w:lang w:val="ru-RU"/>
        </w:rPr>
      </w:pPr>
      <w:r w:rsidRPr="00A52D1E">
        <w:rPr>
          <w:rFonts w:ascii="Verdana" w:hAnsi="Verdana" w:cs="Verdana"/>
          <w:sz w:val="20"/>
          <w:szCs w:val="20"/>
          <w:lang w:val="ru-RU"/>
        </w:rPr>
        <w:t>_______________________________</w:t>
      </w:r>
    </w:p>
    <w:p w:rsidR="00954168" w:rsidRDefault="00954168" w:rsidP="00954168">
      <w:pPr>
        <w:spacing w:before="120" w:line="260" w:lineRule="atLeast"/>
        <w:rPr>
          <w:rFonts w:ascii="Verdana" w:hAnsi="Verdana" w:cs="Verdana"/>
          <w:b/>
          <w:bCs/>
          <w:sz w:val="20"/>
          <w:szCs w:val="20"/>
        </w:rPr>
      </w:pPr>
      <w:r w:rsidRPr="00611ED0">
        <w:rPr>
          <w:rFonts w:ascii="Verdana" w:hAnsi="Verdana" w:cs="Verdana"/>
          <w:b/>
          <w:bCs/>
          <w:sz w:val="20"/>
          <w:szCs w:val="20"/>
        </w:rPr>
        <w:t>Михаил Ковачев</w:t>
      </w:r>
    </w:p>
    <w:p w:rsidR="00954168" w:rsidRPr="00611ED0" w:rsidRDefault="00954168" w:rsidP="00954168">
      <w:pPr>
        <w:spacing w:before="120" w:line="260" w:lineRule="atLeast"/>
        <w:rPr>
          <w:rFonts w:ascii="Verdana" w:hAnsi="Verdana" w:cs="Verdana"/>
          <w:b/>
          <w:bCs/>
          <w:sz w:val="20"/>
          <w:szCs w:val="20"/>
        </w:rPr>
      </w:pPr>
      <w:r w:rsidRPr="00611ED0">
        <w:rPr>
          <w:rFonts w:ascii="Verdana" w:hAnsi="Verdana" w:cs="Verdana"/>
          <w:b/>
          <w:bCs/>
          <w:sz w:val="20"/>
          <w:szCs w:val="20"/>
        </w:rPr>
        <w:t>Изпълнителен директор</w:t>
      </w:r>
    </w:p>
    <w:p w:rsidR="00954168" w:rsidRPr="00611ED0" w:rsidRDefault="00954168" w:rsidP="00954168">
      <w:pPr>
        <w:spacing w:before="120" w:line="260" w:lineRule="atLeast"/>
        <w:rPr>
          <w:rFonts w:ascii="Verdana" w:hAnsi="Verdana" w:cs="Verdana"/>
          <w:b/>
          <w:bCs/>
          <w:sz w:val="20"/>
          <w:szCs w:val="20"/>
        </w:rPr>
      </w:pPr>
      <w:r>
        <w:rPr>
          <w:rFonts w:ascii="Verdana" w:hAnsi="Verdana" w:cs="Verdana"/>
          <w:b/>
          <w:bCs/>
          <w:sz w:val="20"/>
          <w:szCs w:val="20"/>
        </w:rPr>
        <w:t>„</w:t>
      </w:r>
      <w:r w:rsidRPr="00611ED0">
        <w:rPr>
          <w:rFonts w:ascii="Verdana" w:hAnsi="Verdana" w:cs="Verdana"/>
          <w:b/>
          <w:bCs/>
          <w:sz w:val="20"/>
          <w:szCs w:val="20"/>
        </w:rPr>
        <w:t>Топлофикация – Разград</w:t>
      </w:r>
      <w:r>
        <w:rPr>
          <w:rFonts w:ascii="Verdana" w:hAnsi="Verdana" w:cs="Verdana"/>
          <w:b/>
          <w:bCs/>
          <w:sz w:val="20"/>
          <w:szCs w:val="20"/>
        </w:rPr>
        <w:t>”</w:t>
      </w:r>
      <w:r w:rsidRPr="00611ED0">
        <w:rPr>
          <w:rFonts w:ascii="Verdana" w:hAnsi="Verdana" w:cs="Verdana"/>
          <w:b/>
          <w:bCs/>
          <w:sz w:val="20"/>
          <w:szCs w:val="20"/>
        </w:rPr>
        <w:t>АД</w:t>
      </w:r>
    </w:p>
    <w:p w:rsidR="00954168" w:rsidRPr="00611ED0" w:rsidRDefault="00954168" w:rsidP="00954168">
      <w:pPr>
        <w:spacing w:line="260" w:lineRule="atLeast"/>
        <w:rPr>
          <w:rFonts w:ascii="Verdana" w:hAnsi="Verdana" w:cs="Verdana"/>
          <w:b/>
          <w:bCs/>
          <w:sz w:val="20"/>
          <w:szCs w:val="20"/>
        </w:rPr>
      </w:pPr>
    </w:p>
    <w:p w:rsidR="00954168" w:rsidRDefault="00954168" w:rsidP="00954168">
      <w:pPr>
        <w:spacing w:line="260" w:lineRule="atLeast"/>
        <w:rPr>
          <w:rFonts w:ascii="Verdana" w:hAnsi="Verdana" w:cs="Verdana"/>
          <w:b/>
          <w:bCs/>
          <w:sz w:val="20"/>
          <w:szCs w:val="20"/>
          <w:lang w:val="ru-RU"/>
        </w:rPr>
      </w:pPr>
      <w:r>
        <w:rPr>
          <w:rFonts w:ascii="Verdana" w:hAnsi="Verdana" w:cs="Verdana"/>
          <w:b/>
          <w:bCs/>
          <w:sz w:val="20"/>
          <w:szCs w:val="20"/>
        </w:rPr>
        <w:t>Разград,</w:t>
      </w:r>
    </w:p>
    <w:p w:rsidR="00AB31A3" w:rsidRDefault="002651C0" w:rsidP="00146B11">
      <w:pPr>
        <w:spacing w:line="260" w:lineRule="atLeast"/>
      </w:pPr>
      <w:r>
        <w:rPr>
          <w:rFonts w:ascii="Verdana" w:hAnsi="Verdana" w:cs="Verdana"/>
          <w:b/>
          <w:bCs/>
          <w:sz w:val="20"/>
          <w:szCs w:val="20"/>
        </w:rPr>
        <w:t xml:space="preserve">Юли </w:t>
      </w:r>
      <w:r w:rsidR="00C3313E">
        <w:rPr>
          <w:rFonts w:ascii="Verdana" w:hAnsi="Verdana" w:cs="Verdana"/>
          <w:b/>
          <w:bCs/>
          <w:sz w:val="20"/>
          <w:szCs w:val="20"/>
        </w:rPr>
        <w:t>202</w:t>
      </w:r>
      <w:r w:rsidR="00A730FB">
        <w:rPr>
          <w:rFonts w:ascii="Verdana" w:hAnsi="Verdana" w:cs="Verdana"/>
          <w:b/>
          <w:bCs/>
          <w:sz w:val="20"/>
          <w:szCs w:val="20"/>
        </w:rPr>
        <w:t>5</w:t>
      </w:r>
      <w:r w:rsidR="00954168" w:rsidRPr="00C822E6">
        <w:rPr>
          <w:rFonts w:ascii="Verdana" w:hAnsi="Verdana" w:cs="Verdana"/>
          <w:b/>
          <w:bCs/>
          <w:sz w:val="20"/>
          <w:szCs w:val="20"/>
        </w:rPr>
        <w:t xml:space="preserve"> г.</w:t>
      </w:r>
    </w:p>
    <w:sectPr w:rsidR="00AB31A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7D" w:rsidRDefault="0043517D" w:rsidP="00954168">
      <w:r>
        <w:separator/>
      </w:r>
    </w:p>
  </w:endnote>
  <w:endnote w:type="continuationSeparator" w:id="0">
    <w:p w:rsidR="0043517D" w:rsidRDefault="0043517D" w:rsidP="009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68" w:rsidRPr="00073605" w:rsidRDefault="00954168" w:rsidP="00954168">
    <w:pPr>
      <w:pStyle w:val="Header"/>
      <w:tabs>
        <w:tab w:val="left" w:pos="885"/>
        <w:tab w:val="center" w:pos="4733"/>
      </w:tabs>
      <w:rPr>
        <w:rFonts w:ascii="Verdana" w:hAnsi="Verdana" w:cs="Verdana"/>
        <w:sz w:val="16"/>
        <w:szCs w:val="16"/>
      </w:rPr>
    </w:pPr>
    <w:r>
      <w:rPr>
        <w:rFonts w:ascii="Verdana" w:hAnsi="Verdana" w:cs="Verdana"/>
        <w:sz w:val="16"/>
        <w:szCs w:val="16"/>
      </w:rPr>
      <w:t xml:space="preserve">    </w:t>
    </w:r>
    <w:r>
      <w:rPr>
        <w:rFonts w:ascii="Verdana" w:hAnsi="Verdana" w:cs="Verdana"/>
        <w:sz w:val="16"/>
        <w:szCs w:val="16"/>
      </w:rPr>
      <w:tab/>
      <w:t>„</w:t>
    </w:r>
    <w:r w:rsidRPr="00073605">
      <w:rPr>
        <w:rFonts w:ascii="Verdana" w:hAnsi="Verdana" w:cs="Verdana"/>
        <w:sz w:val="16"/>
        <w:szCs w:val="16"/>
      </w:rPr>
      <w:t>ТОПЛОФИКАЦИЯ РАЗГРАД</w:t>
    </w:r>
    <w:r>
      <w:rPr>
        <w:rFonts w:ascii="Verdana" w:hAnsi="Verdana" w:cs="Verdana"/>
        <w:sz w:val="16"/>
        <w:szCs w:val="16"/>
      </w:rPr>
      <w:t xml:space="preserve">” </w:t>
    </w:r>
    <w:r w:rsidRPr="00073605">
      <w:rPr>
        <w:rFonts w:ascii="Verdana" w:hAnsi="Verdana" w:cs="Verdana"/>
        <w:sz w:val="16"/>
        <w:szCs w:val="16"/>
      </w:rPr>
      <w:t>АД,</w:t>
    </w:r>
    <w:r w:rsidRPr="00F86F28">
      <w:rPr>
        <w:rFonts w:ascii="Verdana" w:hAnsi="Verdana" w:cs="Verdana"/>
        <w:sz w:val="16"/>
        <w:szCs w:val="16"/>
        <w:lang w:val="ru-RU"/>
      </w:rPr>
      <w:t xml:space="preserve"> </w:t>
    </w:r>
    <w:r w:rsidRPr="00073605">
      <w:rPr>
        <w:rFonts w:ascii="Verdana" w:hAnsi="Verdana" w:cs="Verdana"/>
        <w:sz w:val="16"/>
        <w:szCs w:val="16"/>
      </w:rPr>
      <w:t xml:space="preserve">7 200, гр. Разград, ул. "Черна" тел: 084/ 626 -832, </w:t>
    </w:r>
  </w:p>
  <w:p w:rsidR="00954168" w:rsidRPr="00F86F28" w:rsidRDefault="00954168" w:rsidP="00954168">
    <w:pPr>
      <w:pStyle w:val="Header"/>
      <w:jc w:val="center"/>
      <w:rPr>
        <w:rFonts w:ascii="Verdana" w:hAnsi="Verdana" w:cs="Verdana"/>
        <w:sz w:val="16"/>
        <w:szCs w:val="16"/>
        <w:lang w:val="ru-RU"/>
      </w:rPr>
    </w:pPr>
    <w:r w:rsidRPr="00073605">
      <w:rPr>
        <w:rFonts w:ascii="Verdana" w:hAnsi="Verdana" w:cs="Verdana"/>
        <w:sz w:val="16"/>
        <w:szCs w:val="16"/>
      </w:rPr>
      <w:t xml:space="preserve">факс: 084/662-473 </w:t>
    </w:r>
    <w:r w:rsidRPr="00073605">
      <w:rPr>
        <w:rFonts w:ascii="Verdana" w:hAnsi="Verdana" w:cs="Verdana"/>
        <w:color w:val="000000"/>
        <w:sz w:val="16"/>
        <w:szCs w:val="16"/>
      </w:rPr>
      <w:t xml:space="preserve">e-mail: </w:t>
    </w:r>
    <w:hyperlink r:id="rId1" w:history="1">
      <w:r w:rsidRPr="00073605">
        <w:rPr>
          <w:rStyle w:val="Hyperlink"/>
          <w:rFonts w:ascii="Verdana" w:hAnsi="Verdana" w:cs="Verdana"/>
          <w:color w:val="000000"/>
          <w:sz w:val="16"/>
          <w:szCs w:val="16"/>
        </w:rPr>
        <w:t>toplo</w:t>
      </w:r>
      <w:r w:rsidRPr="00073605">
        <w:rPr>
          <w:rStyle w:val="Hyperlink"/>
          <w:rFonts w:ascii="Verdana" w:hAnsi="Verdana" w:cs="Verdana"/>
          <w:color w:val="000000"/>
          <w:sz w:val="16"/>
          <w:szCs w:val="16"/>
          <w:lang w:val="ru-RU"/>
        </w:rPr>
        <w:t>_</w:t>
      </w:r>
      <w:r w:rsidRPr="00073605">
        <w:rPr>
          <w:rStyle w:val="Hyperlink"/>
          <w:rFonts w:ascii="Verdana" w:hAnsi="Verdana" w:cs="Verdana"/>
          <w:color w:val="000000"/>
          <w:sz w:val="16"/>
          <w:szCs w:val="16"/>
        </w:rPr>
        <w:t>rz@overgas</w:t>
      </w:r>
      <w:r w:rsidRPr="00073605">
        <w:rPr>
          <w:rStyle w:val="Hyperlink"/>
          <w:rFonts w:ascii="Verdana" w:hAnsi="Verdana" w:cs="Verdana"/>
          <w:color w:val="000000"/>
          <w:sz w:val="16"/>
          <w:szCs w:val="16"/>
          <w:lang w:val="ru-RU"/>
        </w:rPr>
        <w:t>.</w:t>
      </w:r>
      <w:r w:rsidRPr="00073605">
        <w:rPr>
          <w:rStyle w:val="Hyperlink"/>
          <w:rFonts w:ascii="Verdana" w:hAnsi="Verdana" w:cs="Verdana"/>
          <w:color w:val="000000"/>
          <w:sz w:val="16"/>
          <w:szCs w:val="16"/>
        </w:rPr>
        <w:t>bg</w:t>
      </w:r>
    </w:hyperlink>
    <w:r w:rsidRPr="00073605">
      <w:rPr>
        <w:rFonts w:ascii="Verdana" w:hAnsi="Verdana" w:cs="Verdana"/>
        <w:sz w:val="16"/>
        <w:szCs w:val="16"/>
      </w:rPr>
      <w:t>; www.toplo-razgrad.com</w:t>
    </w:r>
  </w:p>
  <w:p w:rsidR="00954168" w:rsidRDefault="00954168">
    <w:pPr>
      <w:pStyle w:val="Footer"/>
    </w:pPr>
  </w:p>
  <w:p w:rsidR="00954168" w:rsidRDefault="0095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7D" w:rsidRDefault="0043517D" w:rsidP="00954168">
      <w:r>
        <w:separator/>
      </w:r>
    </w:p>
  </w:footnote>
  <w:footnote w:type="continuationSeparator" w:id="0">
    <w:p w:rsidR="0043517D" w:rsidRDefault="0043517D" w:rsidP="0095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eastAsia="Calibri" w:hAnsi="Verdana" w:cs="Verdana"/>
        <w:b/>
        <w:bCs/>
        <w:sz w:val="20"/>
        <w:szCs w:val="20"/>
      </w:rPr>
      <w:alias w:val="Title"/>
      <w:id w:val="77738743"/>
      <w:placeholder>
        <w:docPart w:val="DE2FE745B5CF48909C903B263157DD26"/>
      </w:placeholder>
      <w:dataBinding w:prefixMappings="xmlns:ns0='http://schemas.openxmlformats.org/package/2006/metadata/core-properties' xmlns:ns1='http://purl.org/dc/elements/1.1/'" w:xpath="/ns0:coreProperties[1]/ns1:title[1]" w:storeItemID="{6C3C8BC8-F283-45AE-878A-BAB7291924A1}"/>
      <w:text/>
    </w:sdtPr>
    <w:sdtEndPr/>
    <w:sdtContent>
      <w:p w:rsidR="00954168" w:rsidRDefault="00CC4228" w:rsidP="009541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Verdana" w:eastAsia="Calibri" w:hAnsi="Verdana" w:cs="Verdana"/>
            <w:b/>
            <w:bCs/>
            <w:sz w:val="20"/>
            <w:szCs w:val="20"/>
          </w:rPr>
          <w:t xml:space="preserve">„ТОПЛОФИКАЦИЯ </w:t>
        </w:r>
        <w:r w:rsidR="009F2C91">
          <w:rPr>
            <w:rFonts w:ascii="Verdana" w:eastAsia="Calibri" w:hAnsi="Verdana" w:cs="Verdana"/>
            <w:b/>
            <w:bCs/>
            <w:sz w:val="20"/>
            <w:szCs w:val="20"/>
            <w:lang w:val="en-US"/>
          </w:rPr>
          <w:t xml:space="preserve">- </w:t>
        </w:r>
        <w:r>
          <w:rPr>
            <w:rFonts w:ascii="Verdana" w:eastAsia="Calibri" w:hAnsi="Verdana" w:cs="Verdana"/>
            <w:b/>
            <w:bCs/>
            <w:sz w:val="20"/>
            <w:szCs w:val="20"/>
          </w:rPr>
          <w:t xml:space="preserve">РАЗГРАД” АД                                                       </w:t>
        </w:r>
        <w:r w:rsidR="009F2C91">
          <w:rPr>
            <w:rFonts w:ascii="Verdana" w:eastAsia="Calibri" w:hAnsi="Verdana" w:cs="Verdana"/>
            <w:b/>
            <w:bCs/>
            <w:sz w:val="20"/>
            <w:szCs w:val="20"/>
            <w:lang w:val="en-US"/>
          </w:rPr>
          <w:t xml:space="preserve">   </w:t>
        </w:r>
        <w:r>
          <w:rPr>
            <w:rFonts w:ascii="Verdana" w:eastAsia="Calibri" w:hAnsi="Verdana" w:cs="Verdana"/>
            <w:b/>
            <w:bCs/>
            <w:sz w:val="20"/>
            <w:szCs w:val="20"/>
          </w:rPr>
          <w:t xml:space="preserve">          </w:t>
        </w:r>
        <w:r w:rsidR="009F2C91">
          <w:rPr>
            <w:rFonts w:ascii="Verdana" w:eastAsia="Calibri" w:hAnsi="Verdana" w:cs="Verdana"/>
            <w:b/>
            <w:bCs/>
            <w:sz w:val="20"/>
            <w:szCs w:val="20"/>
          </w:rPr>
          <w:t>Междинен доклад</w:t>
        </w:r>
        <w:r>
          <w:rPr>
            <w:rFonts w:ascii="Verdana" w:eastAsia="Calibri" w:hAnsi="Verdana" w:cs="Verdana"/>
            <w:b/>
            <w:bCs/>
            <w:sz w:val="20"/>
            <w:szCs w:val="20"/>
          </w:rPr>
          <w:t xml:space="preserve"> за дейността </w:t>
        </w:r>
        <w:r w:rsidR="009F2C91">
          <w:rPr>
            <w:rFonts w:ascii="Verdana" w:eastAsia="Calibri" w:hAnsi="Verdana" w:cs="Verdana"/>
            <w:b/>
            <w:bCs/>
            <w:sz w:val="20"/>
            <w:szCs w:val="20"/>
          </w:rPr>
          <w:t xml:space="preserve">към </w:t>
        </w:r>
        <w:r w:rsidR="002D6510">
          <w:rPr>
            <w:rFonts w:ascii="Verdana" w:eastAsia="Calibri" w:hAnsi="Verdana" w:cs="Verdana"/>
            <w:b/>
            <w:bCs/>
            <w:sz w:val="20"/>
            <w:szCs w:val="20"/>
          </w:rPr>
          <w:t>30.06.202</w:t>
        </w:r>
        <w:r w:rsidR="00A730FB">
          <w:rPr>
            <w:rFonts w:ascii="Verdana" w:eastAsia="Calibri" w:hAnsi="Verdana" w:cs="Verdana"/>
            <w:b/>
            <w:bCs/>
            <w:sz w:val="20"/>
            <w:szCs w:val="20"/>
          </w:rPr>
          <w:t>5</w:t>
        </w:r>
        <w:r w:rsidR="006B47A6">
          <w:rPr>
            <w:rFonts w:ascii="Verdana" w:eastAsia="Calibri" w:hAnsi="Verdana" w:cs="Verdana"/>
            <w:b/>
            <w:bCs/>
            <w:sz w:val="20"/>
            <w:szCs w:val="20"/>
          </w:rPr>
          <w:t xml:space="preserve"> </w:t>
        </w:r>
        <w:r>
          <w:rPr>
            <w:rFonts w:ascii="Verdana" w:eastAsia="Calibri" w:hAnsi="Verdana" w:cs="Verdana"/>
            <w:b/>
            <w:bCs/>
            <w:sz w:val="20"/>
            <w:szCs w:val="20"/>
          </w:rPr>
          <w:t>г.</w:t>
        </w:r>
      </w:p>
    </w:sdtContent>
  </w:sdt>
  <w:p w:rsidR="00954168" w:rsidRDefault="00954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5AF"/>
    <w:multiLevelType w:val="hybridMultilevel"/>
    <w:tmpl w:val="5E22CC1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38861CC8"/>
    <w:multiLevelType w:val="hybridMultilevel"/>
    <w:tmpl w:val="C91E156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5F632AD3"/>
    <w:multiLevelType w:val="hybridMultilevel"/>
    <w:tmpl w:val="E6804D4C"/>
    <w:lvl w:ilvl="0" w:tplc="D3166AF0">
      <w:start w:val="1"/>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6B5F795B"/>
    <w:multiLevelType w:val="hybridMultilevel"/>
    <w:tmpl w:val="D164868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B3"/>
    <w:rsid w:val="0000327B"/>
    <w:rsid w:val="000123BA"/>
    <w:rsid w:val="0012120E"/>
    <w:rsid w:val="00124453"/>
    <w:rsid w:val="00146B11"/>
    <w:rsid w:val="001471F4"/>
    <w:rsid w:val="00163B59"/>
    <w:rsid w:val="00192077"/>
    <w:rsid w:val="001A0E7A"/>
    <w:rsid w:val="001D28ED"/>
    <w:rsid w:val="001D5804"/>
    <w:rsid w:val="001E4187"/>
    <w:rsid w:val="00207222"/>
    <w:rsid w:val="00224E96"/>
    <w:rsid w:val="0024014B"/>
    <w:rsid w:val="002651C0"/>
    <w:rsid w:val="00282E34"/>
    <w:rsid w:val="002959E0"/>
    <w:rsid w:val="002D6510"/>
    <w:rsid w:val="002D7367"/>
    <w:rsid w:val="002E75CF"/>
    <w:rsid w:val="002F602B"/>
    <w:rsid w:val="00306DF2"/>
    <w:rsid w:val="00346BC9"/>
    <w:rsid w:val="00374178"/>
    <w:rsid w:val="00391022"/>
    <w:rsid w:val="003C76DA"/>
    <w:rsid w:val="003D2852"/>
    <w:rsid w:val="003E15DE"/>
    <w:rsid w:val="004233DB"/>
    <w:rsid w:val="0043517D"/>
    <w:rsid w:val="004753F2"/>
    <w:rsid w:val="004843C9"/>
    <w:rsid w:val="004857A2"/>
    <w:rsid w:val="004B7C33"/>
    <w:rsid w:val="004D72CD"/>
    <w:rsid w:val="004E3AA0"/>
    <w:rsid w:val="00504D05"/>
    <w:rsid w:val="00527C59"/>
    <w:rsid w:val="005440ED"/>
    <w:rsid w:val="00561901"/>
    <w:rsid w:val="00587CEB"/>
    <w:rsid w:val="005E5A5D"/>
    <w:rsid w:val="00671ED6"/>
    <w:rsid w:val="006A611F"/>
    <w:rsid w:val="006B47A6"/>
    <w:rsid w:val="006D56F0"/>
    <w:rsid w:val="006D6856"/>
    <w:rsid w:val="00706C45"/>
    <w:rsid w:val="0072026F"/>
    <w:rsid w:val="007567D2"/>
    <w:rsid w:val="00763330"/>
    <w:rsid w:val="00797DC2"/>
    <w:rsid w:val="007A1CCD"/>
    <w:rsid w:val="007B05A6"/>
    <w:rsid w:val="007C292B"/>
    <w:rsid w:val="007C4148"/>
    <w:rsid w:val="007D2BFC"/>
    <w:rsid w:val="007D6A17"/>
    <w:rsid w:val="0081442E"/>
    <w:rsid w:val="008219CA"/>
    <w:rsid w:val="008255C4"/>
    <w:rsid w:val="00861B46"/>
    <w:rsid w:val="00892800"/>
    <w:rsid w:val="008A0326"/>
    <w:rsid w:val="008F378A"/>
    <w:rsid w:val="008F781E"/>
    <w:rsid w:val="00911305"/>
    <w:rsid w:val="00954168"/>
    <w:rsid w:val="009643BA"/>
    <w:rsid w:val="009762A8"/>
    <w:rsid w:val="009B58C7"/>
    <w:rsid w:val="009D79AF"/>
    <w:rsid w:val="009F2C91"/>
    <w:rsid w:val="009F7B9C"/>
    <w:rsid w:val="00A61EA6"/>
    <w:rsid w:val="00A62A95"/>
    <w:rsid w:val="00A730FB"/>
    <w:rsid w:val="00AA4F61"/>
    <w:rsid w:val="00AA671D"/>
    <w:rsid w:val="00AA73B5"/>
    <w:rsid w:val="00AB31A3"/>
    <w:rsid w:val="00AD7B53"/>
    <w:rsid w:val="00AF30CA"/>
    <w:rsid w:val="00AF5B42"/>
    <w:rsid w:val="00B0047E"/>
    <w:rsid w:val="00B13018"/>
    <w:rsid w:val="00B13504"/>
    <w:rsid w:val="00B13531"/>
    <w:rsid w:val="00B208E3"/>
    <w:rsid w:val="00B34C3B"/>
    <w:rsid w:val="00B72F38"/>
    <w:rsid w:val="00B74769"/>
    <w:rsid w:val="00B8207F"/>
    <w:rsid w:val="00BA3E1A"/>
    <w:rsid w:val="00C3313E"/>
    <w:rsid w:val="00C57628"/>
    <w:rsid w:val="00CB1E0E"/>
    <w:rsid w:val="00CC4228"/>
    <w:rsid w:val="00CE0742"/>
    <w:rsid w:val="00CE2C13"/>
    <w:rsid w:val="00CF39DA"/>
    <w:rsid w:val="00D12437"/>
    <w:rsid w:val="00D135C3"/>
    <w:rsid w:val="00D43C66"/>
    <w:rsid w:val="00D5343E"/>
    <w:rsid w:val="00D74ECC"/>
    <w:rsid w:val="00DA7B50"/>
    <w:rsid w:val="00DD35C4"/>
    <w:rsid w:val="00E30FCC"/>
    <w:rsid w:val="00E768FD"/>
    <w:rsid w:val="00EA0D16"/>
    <w:rsid w:val="00EB5DB3"/>
    <w:rsid w:val="00ED612A"/>
    <w:rsid w:val="00EF0260"/>
    <w:rsid w:val="00F164B7"/>
    <w:rsid w:val="00F41CE9"/>
    <w:rsid w:val="00F52340"/>
    <w:rsid w:val="00F63006"/>
    <w:rsid w:val="00F82824"/>
    <w:rsid w:val="00F940E1"/>
    <w:rsid w:val="00FF73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8"/>
    <w:pPr>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9"/>
    <w:qFormat/>
    <w:rsid w:val="00954168"/>
    <w:pPr>
      <w:keepNext/>
      <w:keepLines/>
      <w:spacing w:before="480"/>
      <w:outlineLvl w:val="0"/>
    </w:pPr>
    <w:rPr>
      <w:rFonts w:ascii="Cambria"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168"/>
    <w:rPr>
      <w:rFonts w:ascii="Cambria" w:eastAsia="Times New Roman" w:hAnsi="Cambria" w:cs="Cambria"/>
      <w:b/>
      <w:bCs/>
      <w:color w:val="365F91"/>
      <w:sz w:val="28"/>
      <w:szCs w:val="28"/>
      <w:lang w:val="en-US"/>
    </w:rPr>
  </w:style>
  <w:style w:type="paragraph" w:styleId="BodyTextIndent">
    <w:name w:val="Body Text Indent"/>
    <w:basedOn w:val="Normal"/>
    <w:link w:val="BodyTextIndentChar"/>
    <w:uiPriority w:val="99"/>
    <w:rsid w:val="00954168"/>
    <w:pPr>
      <w:spacing w:before="120"/>
      <w:ind w:left="709"/>
    </w:pPr>
    <w:rPr>
      <w:sz w:val="24"/>
      <w:szCs w:val="24"/>
    </w:rPr>
  </w:style>
  <w:style w:type="character" w:customStyle="1" w:styleId="BodyTextIndentChar">
    <w:name w:val="Body Text Indent Char"/>
    <w:basedOn w:val="DefaultParagraphFont"/>
    <w:link w:val="BodyTextIndent"/>
    <w:uiPriority w:val="99"/>
    <w:rsid w:val="00954168"/>
    <w:rPr>
      <w:rFonts w:ascii="Times New Roman" w:eastAsia="Times New Roman" w:hAnsi="Times New Roman" w:cs="Times New Roman"/>
      <w:sz w:val="24"/>
      <w:szCs w:val="24"/>
    </w:rPr>
  </w:style>
  <w:style w:type="paragraph" w:styleId="BodyText">
    <w:name w:val="Body Text"/>
    <w:basedOn w:val="Normal"/>
    <w:link w:val="BodyTextChar"/>
    <w:uiPriority w:val="99"/>
    <w:rsid w:val="00954168"/>
    <w:pPr>
      <w:spacing w:after="120"/>
    </w:pPr>
    <w:rPr>
      <w:sz w:val="24"/>
      <w:szCs w:val="24"/>
      <w:lang w:val="en-US"/>
    </w:rPr>
  </w:style>
  <w:style w:type="character" w:customStyle="1" w:styleId="BodyTextChar">
    <w:name w:val="Body Text Char"/>
    <w:basedOn w:val="DefaultParagraphFont"/>
    <w:link w:val="BodyText"/>
    <w:uiPriority w:val="99"/>
    <w:rsid w:val="00954168"/>
    <w:rPr>
      <w:rFonts w:ascii="Times New Roman" w:eastAsia="Times New Roman" w:hAnsi="Times New Roman" w:cs="Times New Roman"/>
      <w:sz w:val="24"/>
      <w:szCs w:val="24"/>
      <w:lang w:val="en-US"/>
    </w:rPr>
  </w:style>
  <w:style w:type="paragraph" w:customStyle="1" w:styleId="Document1">
    <w:name w:val="Document 1"/>
    <w:link w:val="Document1Char"/>
    <w:uiPriority w:val="99"/>
    <w:rsid w:val="00954168"/>
    <w:pPr>
      <w:keepNext/>
      <w:keepLines/>
      <w:widowControl w:val="0"/>
      <w:tabs>
        <w:tab w:val="left" w:pos="-720"/>
      </w:tabs>
      <w:suppressAutoHyphens/>
      <w:spacing w:after="0" w:line="240" w:lineRule="auto"/>
    </w:pPr>
    <w:rPr>
      <w:rFonts w:ascii="Bodoni Book 12pt" w:eastAsia="Calibri" w:hAnsi="Bodoni Book 12pt" w:cs="Times New Roman"/>
      <w:lang w:val="en-US" w:eastAsia="bg-BG"/>
    </w:rPr>
  </w:style>
  <w:style w:type="character" w:customStyle="1" w:styleId="Document1Char">
    <w:name w:val="Document 1 Char"/>
    <w:link w:val="Document1"/>
    <w:uiPriority w:val="99"/>
    <w:locked/>
    <w:rsid w:val="00954168"/>
    <w:rPr>
      <w:rFonts w:ascii="Bodoni Book 12pt" w:eastAsia="Calibri" w:hAnsi="Bodoni Book 12pt" w:cs="Times New Roman"/>
      <w:lang w:val="en-US" w:eastAsia="bg-BG"/>
    </w:rPr>
  </w:style>
  <w:style w:type="paragraph" w:styleId="List">
    <w:name w:val="List"/>
    <w:basedOn w:val="Normal"/>
    <w:uiPriority w:val="99"/>
    <w:rsid w:val="00954168"/>
    <w:pPr>
      <w:ind w:left="283" w:hanging="283"/>
      <w:jc w:val="left"/>
    </w:pPr>
    <w:rPr>
      <w:sz w:val="20"/>
      <w:szCs w:val="20"/>
      <w:lang w:val="en-AU"/>
    </w:rPr>
  </w:style>
  <w:style w:type="paragraph" w:styleId="ListContinue">
    <w:name w:val="List Continue"/>
    <w:basedOn w:val="Normal"/>
    <w:uiPriority w:val="99"/>
    <w:rsid w:val="00954168"/>
    <w:pPr>
      <w:spacing w:after="120"/>
      <w:ind w:left="283"/>
      <w:jc w:val="left"/>
    </w:pPr>
    <w:rPr>
      <w:sz w:val="20"/>
      <w:szCs w:val="20"/>
      <w:lang w:val="en-AU"/>
    </w:rPr>
  </w:style>
  <w:style w:type="paragraph" w:styleId="EndnoteText">
    <w:name w:val="endnote text"/>
    <w:basedOn w:val="Normal"/>
    <w:link w:val="EndnoteTextChar"/>
    <w:uiPriority w:val="99"/>
    <w:semiHidden/>
    <w:rsid w:val="0095416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954168"/>
    <w:rPr>
      <w:rFonts w:ascii="Arial" w:eastAsia="Times New Roman" w:hAnsi="Arial" w:cs="Arial"/>
      <w:sz w:val="20"/>
      <w:szCs w:val="20"/>
      <w:lang w:val="en-GB"/>
    </w:rPr>
  </w:style>
  <w:style w:type="paragraph" w:customStyle="1" w:styleId="firstline">
    <w:name w:val="firstline"/>
    <w:basedOn w:val="Normal"/>
    <w:uiPriority w:val="99"/>
    <w:rsid w:val="00954168"/>
    <w:pPr>
      <w:spacing w:before="100" w:beforeAutospacing="1" w:after="100" w:afterAutospacing="1"/>
      <w:jc w:val="left"/>
    </w:pPr>
    <w:rPr>
      <w:sz w:val="24"/>
      <w:szCs w:val="24"/>
      <w:lang w:eastAsia="bg-BG"/>
    </w:rPr>
  </w:style>
  <w:style w:type="paragraph" w:styleId="ListParagraph">
    <w:name w:val="List Paragraph"/>
    <w:basedOn w:val="Normal"/>
    <w:uiPriority w:val="99"/>
    <w:qFormat/>
    <w:rsid w:val="00954168"/>
    <w:pPr>
      <w:ind w:left="720"/>
    </w:pPr>
  </w:style>
  <w:style w:type="paragraph" w:styleId="HTMLPreformatted">
    <w:name w:val="HTML Preformatted"/>
    <w:basedOn w:val="Normal"/>
    <w:link w:val="HTMLPreformattedChar"/>
    <w:uiPriority w:val="99"/>
    <w:rsid w:val="0095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rsid w:val="00954168"/>
    <w:rPr>
      <w:rFonts w:ascii="Courier" w:eastAsia="Times New Roman" w:hAnsi="Courier" w:cs="Courier"/>
      <w:sz w:val="13"/>
      <w:szCs w:val="13"/>
    </w:rPr>
  </w:style>
  <w:style w:type="character" w:customStyle="1" w:styleId="a">
    <w:name w:val="Основен текст_"/>
    <w:link w:val="a0"/>
    <w:uiPriority w:val="99"/>
    <w:locked/>
    <w:rsid w:val="00954168"/>
    <w:rPr>
      <w:rFonts w:ascii="Times New Roman" w:hAnsi="Times New Roman" w:cs="Times New Roman"/>
      <w:spacing w:val="2"/>
      <w:sz w:val="16"/>
      <w:szCs w:val="16"/>
      <w:shd w:val="clear" w:color="auto" w:fill="FFFFFF"/>
    </w:rPr>
  </w:style>
  <w:style w:type="paragraph" w:customStyle="1" w:styleId="a0">
    <w:name w:val="Основен текст"/>
    <w:basedOn w:val="Normal"/>
    <w:link w:val="a"/>
    <w:uiPriority w:val="99"/>
    <w:rsid w:val="00954168"/>
    <w:pPr>
      <w:widowControl w:val="0"/>
      <w:shd w:val="clear" w:color="auto" w:fill="FFFFFF"/>
      <w:spacing w:before="60" w:after="180" w:line="262" w:lineRule="exact"/>
    </w:pPr>
    <w:rPr>
      <w:rFonts w:eastAsiaTheme="minorHAnsi"/>
      <w:spacing w:val="2"/>
      <w:sz w:val="16"/>
      <w:szCs w:val="16"/>
    </w:rPr>
  </w:style>
  <w:style w:type="paragraph" w:styleId="Header">
    <w:name w:val="header"/>
    <w:basedOn w:val="Normal"/>
    <w:link w:val="HeaderChar"/>
    <w:unhideWhenUsed/>
    <w:rsid w:val="00954168"/>
    <w:pPr>
      <w:tabs>
        <w:tab w:val="center" w:pos="4536"/>
        <w:tab w:val="right" w:pos="9072"/>
      </w:tabs>
    </w:pPr>
  </w:style>
  <w:style w:type="character" w:customStyle="1" w:styleId="HeaderChar">
    <w:name w:val="Header Char"/>
    <w:basedOn w:val="DefaultParagraphFont"/>
    <w:link w:val="Header"/>
    <w:uiPriority w:val="99"/>
    <w:rsid w:val="00954168"/>
    <w:rPr>
      <w:rFonts w:ascii="Times New Roman" w:eastAsia="Times New Roman" w:hAnsi="Times New Roman" w:cs="Times New Roman"/>
    </w:rPr>
  </w:style>
  <w:style w:type="paragraph" w:styleId="Footer">
    <w:name w:val="footer"/>
    <w:basedOn w:val="Normal"/>
    <w:link w:val="FooterChar"/>
    <w:uiPriority w:val="99"/>
    <w:unhideWhenUsed/>
    <w:rsid w:val="00954168"/>
    <w:pPr>
      <w:tabs>
        <w:tab w:val="center" w:pos="4536"/>
        <w:tab w:val="right" w:pos="9072"/>
      </w:tabs>
    </w:pPr>
  </w:style>
  <w:style w:type="character" w:customStyle="1" w:styleId="FooterChar">
    <w:name w:val="Footer Char"/>
    <w:basedOn w:val="DefaultParagraphFont"/>
    <w:link w:val="Footer"/>
    <w:uiPriority w:val="99"/>
    <w:rsid w:val="00954168"/>
    <w:rPr>
      <w:rFonts w:ascii="Times New Roman" w:eastAsia="Times New Roman" w:hAnsi="Times New Roman" w:cs="Times New Roman"/>
    </w:rPr>
  </w:style>
  <w:style w:type="character" w:styleId="Hyperlink">
    <w:name w:val="Hyperlink"/>
    <w:basedOn w:val="DefaultParagraphFont"/>
    <w:rsid w:val="00954168"/>
    <w:rPr>
      <w:color w:val="0000FF"/>
      <w:u w:val="single"/>
    </w:rPr>
  </w:style>
  <w:style w:type="paragraph" w:styleId="BalloonText">
    <w:name w:val="Balloon Text"/>
    <w:basedOn w:val="Normal"/>
    <w:link w:val="BalloonTextChar"/>
    <w:uiPriority w:val="99"/>
    <w:semiHidden/>
    <w:unhideWhenUsed/>
    <w:rsid w:val="006A611F"/>
    <w:rPr>
      <w:rFonts w:ascii="Tahoma" w:hAnsi="Tahoma" w:cs="Tahoma"/>
      <w:sz w:val="16"/>
      <w:szCs w:val="16"/>
    </w:rPr>
  </w:style>
  <w:style w:type="character" w:customStyle="1" w:styleId="BalloonTextChar">
    <w:name w:val="Balloon Text Char"/>
    <w:basedOn w:val="DefaultParagraphFont"/>
    <w:link w:val="BalloonText"/>
    <w:uiPriority w:val="99"/>
    <w:semiHidden/>
    <w:rsid w:val="006A61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68"/>
    <w:pPr>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9"/>
    <w:qFormat/>
    <w:rsid w:val="00954168"/>
    <w:pPr>
      <w:keepNext/>
      <w:keepLines/>
      <w:spacing w:before="480"/>
      <w:outlineLvl w:val="0"/>
    </w:pPr>
    <w:rPr>
      <w:rFonts w:ascii="Cambria"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168"/>
    <w:rPr>
      <w:rFonts w:ascii="Cambria" w:eastAsia="Times New Roman" w:hAnsi="Cambria" w:cs="Cambria"/>
      <w:b/>
      <w:bCs/>
      <w:color w:val="365F91"/>
      <w:sz w:val="28"/>
      <w:szCs w:val="28"/>
      <w:lang w:val="en-US"/>
    </w:rPr>
  </w:style>
  <w:style w:type="paragraph" w:styleId="BodyTextIndent">
    <w:name w:val="Body Text Indent"/>
    <w:basedOn w:val="Normal"/>
    <w:link w:val="BodyTextIndentChar"/>
    <w:uiPriority w:val="99"/>
    <w:rsid w:val="00954168"/>
    <w:pPr>
      <w:spacing w:before="120"/>
      <w:ind w:left="709"/>
    </w:pPr>
    <w:rPr>
      <w:sz w:val="24"/>
      <w:szCs w:val="24"/>
    </w:rPr>
  </w:style>
  <w:style w:type="character" w:customStyle="1" w:styleId="BodyTextIndentChar">
    <w:name w:val="Body Text Indent Char"/>
    <w:basedOn w:val="DefaultParagraphFont"/>
    <w:link w:val="BodyTextIndent"/>
    <w:uiPriority w:val="99"/>
    <w:rsid w:val="00954168"/>
    <w:rPr>
      <w:rFonts w:ascii="Times New Roman" w:eastAsia="Times New Roman" w:hAnsi="Times New Roman" w:cs="Times New Roman"/>
      <w:sz w:val="24"/>
      <w:szCs w:val="24"/>
    </w:rPr>
  </w:style>
  <w:style w:type="paragraph" w:styleId="BodyText">
    <w:name w:val="Body Text"/>
    <w:basedOn w:val="Normal"/>
    <w:link w:val="BodyTextChar"/>
    <w:uiPriority w:val="99"/>
    <w:rsid w:val="00954168"/>
    <w:pPr>
      <w:spacing w:after="120"/>
    </w:pPr>
    <w:rPr>
      <w:sz w:val="24"/>
      <w:szCs w:val="24"/>
      <w:lang w:val="en-US"/>
    </w:rPr>
  </w:style>
  <w:style w:type="character" w:customStyle="1" w:styleId="BodyTextChar">
    <w:name w:val="Body Text Char"/>
    <w:basedOn w:val="DefaultParagraphFont"/>
    <w:link w:val="BodyText"/>
    <w:uiPriority w:val="99"/>
    <w:rsid w:val="00954168"/>
    <w:rPr>
      <w:rFonts w:ascii="Times New Roman" w:eastAsia="Times New Roman" w:hAnsi="Times New Roman" w:cs="Times New Roman"/>
      <w:sz w:val="24"/>
      <w:szCs w:val="24"/>
      <w:lang w:val="en-US"/>
    </w:rPr>
  </w:style>
  <w:style w:type="paragraph" w:customStyle="1" w:styleId="Document1">
    <w:name w:val="Document 1"/>
    <w:link w:val="Document1Char"/>
    <w:uiPriority w:val="99"/>
    <w:rsid w:val="00954168"/>
    <w:pPr>
      <w:keepNext/>
      <w:keepLines/>
      <w:widowControl w:val="0"/>
      <w:tabs>
        <w:tab w:val="left" w:pos="-720"/>
      </w:tabs>
      <w:suppressAutoHyphens/>
      <w:spacing w:after="0" w:line="240" w:lineRule="auto"/>
    </w:pPr>
    <w:rPr>
      <w:rFonts w:ascii="Bodoni Book 12pt" w:eastAsia="Calibri" w:hAnsi="Bodoni Book 12pt" w:cs="Times New Roman"/>
      <w:lang w:val="en-US" w:eastAsia="bg-BG"/>
    </w:rPr>
  </w:style>
  <w:style w:type="character" w:customStyle="1" w:styleId="Document1Char">
    <w:name w:val="Document 1 Char"/>
    <w:link w:val="Document1"/>
    <w:uiPriority w:val="99"/>
    <w:locked/>
    <w:rsid w:val="00954168"/>
    <w:rPr>
      <w:rFonts w:ascii="Bodoni Book 12pt" w:eastAsia="Calibri" w:hAnsi="Bodoni Book 12pt" w:cs="Times New Roman"/>
      <w:lang w:val="en-US" w:eastAsia="bg-BG"/>
    </w:rPr>
  </w:style>
  <w:style w:type="paragraph" w:styleId="List">
    <w:name w:val="List"/>
    <w:basedOn w:val="Normal"/>
    <w:uiPriority w:val="99"/>
    <w:rsid w:val="00954168"/>
    <w:pPr>
      <w:ind w:left="283" w:hanging="283"/>
      <w:jc w:val="left"/>
    </w:pPr>
    <w:rPr>
      <w:sz w:val="20"/>
      <w:szCs w:val="20"/>
      <w:lang w:val="en-AU"/>
    </w:rPr>
  </w:style>
  <w:style w:type="paragraph" w:styleId="ListContinue">
    <w:name w:val="List Continue"/>
    <w:basedOn w:val="Normal"/>
    <w:uiPriority w:val="99"/>
    <w:rsid w:val="00954168"/>
    <w:pPr>
      <w:spacing w:after="120"/>
      <w:ind w:left="283"/>
      <w:jc w:val="left"/>
    </w:pPr>
    <w:rPr>
      <w:sz w:val="20"/>
      <w:szCs w:val="20"/>
      <w:lang w:val="en-AU"/>
    </w:rPr>
  </w:style>
  <w:style w:type="paragraph" w:styleId="EndnoteText">
    <w:name w:val="endnote text"/>
    <w:basedOn w:val="Normal"/>
    <w:link w:val="EndnoteTextChar"/>
    <w:uiPriority w:val="99"/>
    <w:semiHidden/>
    <w:rsid w:val="0095416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954168"/>
    <w:rPr>
      <w:rFonts w:ascii="Arial" w:eastAsia="Times New Roman" w:hAnsi="Arial" w:cs="Arial"/>
      <w:sz w:val="20"/>
      <w:szCs w:val="20"/>
      <w:lang w:val="en-GB"/>
    </w:rPr>
  </w:style>
  <w:style w:type="paragraph" w:customStyle="1" w:styleId="firstline">
    <w:name w:val="firstline"/>
    <w:basedOn w:val="Normal"/>
    <w:uiPriority w:val="99"/>
    <w:rsid w:val="00954168"/>
    <w:pPr>
      <w:spacing w:before="100" w:beforeAutospacing="1" w:after="100" w:afterAutospacing="1"/>
      <w:jc w:val="left"/>
    </w:pPr>
    <w:rPr>
      <w:sz w:val="24"/>
      <w:szCs w:val="24"/>
      <w:lang w:eastAsia="bg-BG"/>
    </w:rPr>
  </w:style>
  <w:style w:type="paragraph" w:styleId="ListParagraph">
    <w:name w:val="List Paragraph"/>
    <w:basedOn w:val="Normal"/>
    <w:uiPriority w:val="99"/>
    <w:qFormat/>
    <w:rsid w:val="00954168"/>
    <w:pPr>
      <w:ind w:left="720"/>
    </w:pPr>
  </w:style>
  <w:style w:type="paragraph" w:styleId="HTMLPreformatted">
    <w:name w:val="HTML Preformatted"/>
    <w:basedOn w:val="Normal"/>
    <w:link w:val="HTMLPreformattedChar"/>
    <w:uiPriority w:val="99"/>
    <w:rsid w:val="0095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rsid w:val="00954168"/>
    <w:rPr>
      <w:rFonts w:ascii="Courier" w:eastAsia="Times New Roman" w:hAnsi="Courier" w:cs="Courier"/>
      <w:sz w:val="13"/>
      <w:szCs w:val="13"/>
    </w:rPr>
  </w:style>
  <w:style w:type="character" w:customStyle="1" w:styleId="a">
    <w:name w:val="Основен текст_"/>
    <w:link w:val="a0"/>
    <w:uiPriority w:val="99"/>
    <w:locked/>
    <w:rsid w:val="00954168"/>
    <w:rPr>
      <w:rFonts w:ascii="Times New Roman" w:hAnsi="Times New Roman" w:cs="Times New Roman"/>
      <w:spacing w:val="2"/>
      <w:sz w:val="16"/>
      <w:szCs w:val="16"/>
      <w:shd w:val="clear" w:color="auto" w:fill="FFFFFF"/>
    </w:rPr>
  </w:style>
  <w:style w:type="paragraph" w:customStyle="1" w:styleId="a0">
    <w:name w:val="Основен текст"/>
    <w:basedOn w:val="Normal"/>
    <w:link w:val="a"/>
    <w:uiPriority w:val="99"/>
    <w:rsid w:val="00954168"/>
    <w:pPr>
      <w:widowControl w:val="0"/>
      <w:shd w:val="clear" w:color="auto" w:fill="FFFFFF"/>
      <w:spacing w:before="60" w:after="180" w:line="262" w:lineRule="exact"/>
    </w:pPr>
    <w:rPr>
      <w:rFonts w:eastAsiaTheme="minorHAnsi"/>
      <w:spacing w:val="2"/>
      <w:sz w:val="16"/>
      <w:szCs w:val="16"/>
    </w:rPr>
  </w:style>
  <w:style w:type="paragraph" w:styleId="Header">
    <w:name w:val="header"/>
    <w:basedOn w:val="Normal"/>
    <w:link w:val="HeaderChar"/>
    <w:unhideWhenUsed/>
    <w:rsid w:val="00954168"/>
    <w:pPr>
      <w:tabs>
        <w:tab w:val="center" w:pos="4536"/>
        <w:tab w:val="right" w:pos="9072"/>
      </w:tabs>
    </w:pPr>
  </w:style>
  <w:style w:type="character" w:customStyle="1" w:styleId="HeaderChar">
    <w:name w:val="Header Char"/>
    <w:basedOn w:val="DefaultParagraphFont"/>
    <w:link w:val="Header"/>
    <w:uiPriority w:val="99"/>
    <w:rsid w:val="00954168"/>
    <w:rPr>
      <w:rFonts w:ascii="Times New Roman" w:eastAsia="Times New Roman" w:hAnsi="Times New Roman" w:cs="Times New Roman"/>
    </w:rPr>
  </w:style>
  <w:style w:type="paragraph" w:styleId="Footer">
    <w:name w:val="footer"/>
    <w:basedOn w:val="Normal"/>
    <w:link w:val="FooterChar"/>
    <w:uiPriority w:val="99"/>
    <w:unhideWhenUsed/>
    <w:rsid w:val="00954168"/>
    <w:pPr>
      <w:tabs>
        <w:tab w:val="center" w:pos="4536"/>
        <w:tab w:val="right" w:pos="9072"/>
      </w:tabs>
    </w:pPr>
  </w:style>
  <w:style w:type="character" w:customStyle="1" w:styleId="FooterChar">
    <w:name w:val="Footer Char"/>
    <w:basedOn w:val="DefaultParagraphFont"/>
    <w:link w:val="Footer"/>
    <w:uiPriority w:val="99"/>
    <w:rsid w:val="00954168"/>
    <w:rPr>
      <w:rFonts w:ascii="Times New Roman" w:eastAsia="Times New Roman" w:hAnsi="Times New Roman" w:cs="Times New Roman"/>
    </w:rPr>
  </w:style>
  <w:style w:type="character" w:styleId="Hyperlink">
    <w:name w:val="Hyperlink"/>
    <w:basedOn w:val="DefaultParagraphFont"/>
    <w:rsid w:val="00954168"/>
    <w:rPr>
      <w:color w:val="0000FF"/>
      <w:u w:val="single"/>
    </w:rPr>
  </w:style>
  <w:style w:type="paragraph" w:styleId="BalloonText">
    <w:name w:val="Balloon Text"/>
    <w:basedOn w:val="Normal"/>
    <w:link w:val="BalloonTextChar"/>
    <w:uiPriority w:val="99"/>
    <w:semiHidden/>
    <w:unhideWhenUsed/>
    <w:rsid w:val="006A611F"/>
    <w:rPr>
      <w:rFonts w:ascii="Tahoma" w:hAnsi="Tahoma" w:cs="Tahoma"/>
      <w:sz w:val="16"/>
      <w:szCs w:val="16"/>
    </w:rPr>
  </w:style>
  <w:style w:type="character" w:customStyle="1" w:styleId="BalloonTextChar">
    <w:name w:val="Balloon Text Char"/>
    <w:basedOn w:val="DefaultParagraphFont"/>
    <w:link w:val="BalloonText"/>
    <w:uiPriority w:val="99"/>
    <w:semiHidden/>
    <w:rsid w:val="006A61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oplo_rz@overgas.b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2FE745B5CF48909C903B263157DD26"/>
        <w:category>
          <w:name w:val="General"/>
          <w:gallery w:val="placeholder"/>
        </w:category>
        <w:types>
          <w:type w:val="bbPlcHdr"/>
        </w:types>
        <w:behaviors>
          <w:behavior w:val="content"/>
        </w:behaviors>
        <w:guid w:val="{278F3102-90C1-48E9-B827-11F4DFD35785}"/>
      </w:docPartPr>
      <w:docPartBody>
        <w:p w:rsidR="00EF2263" w:rsidRDefault="008F077B" w:rsidP="008F077B">
          <w:pPr>
            <w:pStyle w:val="DE2FE745B5CF48909C903B263157DD2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7B"/>
    <w:rsid w:val="00092BB9"/>
    <w:rsid w:val="0009678B"/>
    <w:rsid w:val="001675B5"/>
    <w:rsid w:val="00274B59"/>
    <w:rsid w:val="002F5D38"/>
    <w:rsid w:val="003B300C"/>
    <w:rsid w:val="00403D68"/>
    <w:rsid w:val="00464A15"/>
    <w:rsid w:val="0047491D"/>
    <w:rsid w:val="00532939"/>
    <w:rsid w:val="00752378"/>
    <w:rsid w:val="00861BBC"/>
    <w:rsid w:val="00865254"/>
    <w:rsid w:val="008E1A7A"/>
    <w:rsid w:val="008F077B"/>
    <w:rsid w:val="00A16399"/>
    <w:rsid w:val="00A46E62"/>
    <w:rsid w:val="00AB1732"/>
    <w:rsid w:val="00B10D00"/>
    <w:rsid w:val="00C34EDC"/>
    <w:rsid w:val="00D064FD"/>
    <w:rsid w:val="00EF2263"/>
    <w:rsid w:val="00F26DCA"/>
    <w:rsid w:val="00F61E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FE745B5CF48909C903B263157DD26">
    <w:name w:val="DE2FE745B5CF48909C903B263157DD26"/>
    <w:rsid w:val="008F077B"/>
  </w:style>
  <w:style w:type="paragraph" w:customStyle="1" w:styleId="1FF95C37BF26425F9A43AA8B018347BE">
    <w:name w:val="1FF95C37BF26425F9A43AA8B018347BE"/>
    <w:rsid w:val="008F07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FE745B5CF48909C903B263157DD26">
    <w:name w:val="DE2FE745B5CF48909C903B263157DD26"/>
    <w:rsid w:val="008F077B"/>
  </w:style>
  <w:style w:type="paragraph" w:customStyle="1" w:styleId="1FF95C37BF26425F9A43AA8B018347BE">
    <w:name w:val="1FF95C37BF26425F9A43AA8B018347BE"/>
    <w:rsid w:val="008F0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83CB-5332-484C-A833-BB856980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„ТОПЛОФИКАЦИЯ - РАЗГРАД” АД                                                                    Междинен доклад за дейността към 30.06.2024 г.</vt:lpstr>
    </vt:vector>
  </TitlesOfParts>
  <Company>Overgas</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„ТОПЛОФИКАЦИЯ - РАЗГРАД” АД                                                                    Междинен доклад за дейността към 30.06.2025 г.</dc:title>
  <dc:creator>user</dc:creator>
  <cp:lastModifiedBy>marinka_nikolaeva</cp:lastModifiedBy>
  <cp:revision>10</cp:revision>
  <dcterms:created xsi:type="dcterms:W3CDTF">2025-07-23T10:19:00Z</dcterms:created>
  <dcterms:modified xsi:type="dcterms:W3CDTF">2025-07-24T07:58:00Z</dcterms:modified>
</cp:coreProperties>
</file>