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ind w:left="720"/>
        <w:jc w:val="both"/>
        <w:rPr>
          <w:b/>
          <w:snapToGrid w:val="0"/>
          <w:sz w:val="24"/>
          <w:szCs w:val="24"/>
          <w:lang w:val="en-US" w:eastAsia="en-US"/>
        </w:rPr>
      </w:pPr>
      <w:bookmarkStart w:id="0" w:name="_Toc63140642"/>
    </w:p>
    <w:bookmarkEnd w:id="0"/>
    <w:p>
      <w:pPr>
        <w:pStyle w:val="2"/>
        <w:spacing w:before="120" w:after="0" w:line="276" w:lineRule="auto"/>
        <w:jc w:val="center"/>
        <w:rPr>
          <w:rFonts w:ascii="Times New Roman" w:hAnsi="Times New Roman"/>
          <w:i w:val="0"/>
          <w:snapToGrid w:val="0"/>
          <w:szCs w:val="24"/>
          <w:lang w:val="bg-BG" w:eastAsia="en-US"/>
        </w:rPr>
      </w:pPr>
      <w:r>
        <w:rPr>
          <w:rFonts w:ascii="Times New Roman" w:hAnsi="Times New Roman"/>
          <w:i w:val="0"/>
          <w:snapToGrid w:val="0"/>
          <w:szCs w:val="24"/>
          <w:lang w:val="bg-BG" w:eastAsia="en-US"/>
        </w:rPr>
        <w:t>„НОМАД ЕНЕРДЖИ КЪМПАНИ“ ЕООД</w:t>
      </w:r>
    </w:p>
    <w:p>
      <w:pPr>
        <w:rPr>
          <w:sz w:val="24"/>
          <w:szCs w:val="24"/>
          <w:lang w:val="bg-BG" w:eastAsia="en-US"/>
        </w:rPr>
      </w:pPr>
    </w:p>
    <w:p>
      <w:pPr>
        <w:jc w:val="center"/>
        <w:rPr>
          <w:b/>
          <w:snapToGrid w:val="0"/>
          <w:sz w:val="24"/>
          <w:szCs w:val="24"/>
          <w:lang w:val="bg-BG" w:eastAsia="en-US"/>
        </w:rPr>
      </w:pPr>
      <w:r>
        <w:rPr>
          <w:b/>
          <w:snapToGrid w:val="0"/>
          <w:sz w:val="24"/>
          <w:szCs w:val="24"/>
          <w:lang w:val="bg-BG" w:eastAsia="en-US"/>
        </w:rPr>
        <w:t xml:space="preserve">ИНФОРМАЦИЯ ПО ПРИЛОЖЕНИЕ № 4 </w:t>
      </w:r>
    </w:p>
    <w:p>
      <w:pPr>
        <w:jc w:val="center"/>
        <w:rPr>
          <w:b/>
          <w:snapToGrid w:val="0"/>
          <w:sz w:val="24"/>
          <w:szCs w:val="24"/>
          <w:lang w:val="bg-BG" w:eastAsia="en-US"/>
        </w:rPr>
      </w:pPr>
      <w:r>
        <w:rPr>
          <w:b/>
          <w:snapToGrid w:val="0"/>
          <w:sz w:val="24"/>
          <w:szCs w:val="24"/>
          <w:lang w:val="bg-BG" w:eastAsia="en-US"/>
        </w:rPr>
        <w:t>към чл. 12, ал. 1, т. 1, чл. 14 и чл. 21, т. 3, буква „а“ и т. 4, буква „а“</w:t>
      </w:r>
    </w:p>
    <w:p>
      <w:pPr>
        <w:jc w:val="center"/>
        <w:rPr>
          <w:b/>
          <w:snapToGrid w:val="0"/>
          <w:sz w:val="24"/>
          <w:szCs w:val="24"/>
          <w:lang w:val="bg-BG" w:eastAsia="en-US"/>
        </w:rPr>
      </w:pPr>
      <w:r>
        <w:rPr>
          <w:b/>
          <w:snapToGrid w:val="0"/>
          <w:sz w:val="24"/>
          <w:szCs w:val="24"/>
          <w:lang w:val="bg-BG" w:eastAsia="en-US"/>
        </w:rPr>
        <w:t>ОТ НАРЕДБА № 2 ЗА ПЪРВОНАЧАЛНО И ПОСЛЕДВАЩО РАЗКРИВАНЕ НА ИНФОРМАЦИЯ ПРИ ПУБЛИЧНО ПРЕДЛАГАНЕ НА ЦЕННИ КНИЖА И ДОПУСКАНЕ НА ЦЕННИ КНИЖА ДО ТЪРГОВИЯ НА РЕГУЛИРАН ПАЗАР</w:t>
      </w:r>
    </w:p>
    <w:p>
      <w:pPr>
        <w:jc w:val="center"/>
        <w:rPr>
          <w:b/>
          <w:snapToGrid w:val="0"/>
          <w:sz w:val="24"/>
          <w:szCs w:val="24"/>
          <w:lang w:val="bg-BG" w:eastAsia="en-US"/>
        </w:rPr>
      </w:pPr>
      <w:r>
        <w:rPr>
          <w:b/>
          <w:snapToGrid w:val="0"/>
          <w:sz w:val="24"/>
          <w:szCs w:val="24"/>
          <w:lang w:val="bg-BG" w:eastAsia="en-US"/>
        </w:rPr>
        <w:t>За периода второ тримесечие 202</w:t>
      </w:r>
      <w:r>
        <w:rPr>
          <w:b/>
          <w:snapToGrid w:val="0"/>
          <w:sz w:val="24"/>
          <w:szCs w:val="24"/>
          <w:lang w:val="en-US" w:eastAsia="en-US"/>
        </w:rPr>
        <w:t>4</w:t>
      </w:r>
      <w:r>
        <w:rPr>
          <w:b/>
          <w:snapToGrid w:val="0"/>
          <w:sz w:val="24"/>
          <w:szCs w:val="24"/>
          <w:lang w:val="bg-BG" w:eastAsia="en-US"/>
        </w:rPr>
        <w:t xml:space="preserve"> г. </w:t>
      </w:r>
    </w:p>
    <w:p>
      <w:pPr>
        <w:numPr>
          <w:ilvl w:val="0"/>
          <w:numId w:val="1"/>
        </w:numPr>
        <w:tabs>
          <w:tab w:val="left" w:pos="0"/>
          <w:tab w:val="clear" w:pos="720"/>
        </w:tabs>
        <w:ind w:left="0" w:firstLine="0"/>
        <w:jc w:val="both"/>
        <w:rPr>
          <w:i/>
          <w:snapToGrid w:val="0"/>
          <w:sz w:val="24"/>
          <w:szCs w:val="24"/>
          <w:lang w:val="bg-BG" w:eastAsia="en-US"/>
        </w:rPr>
      </w:pPr>
      <w:r>
        <w:rPr>
          <w:i/>
          <w:snapToGrid w:val="0"/>
          <w:sz w:val="24"/>
          <w:szCs w:val="24"/>
          <w:lang w:val="bg-BG" w:eastAsia="en-US"/>
        </w:rPr>
        <w:t>Промяна на лицата, упражняващи контрол върху дружеството</w:t>
      </w:r>
    </w:p>
    <w:p>
      <w:pPr>
        <w:tabs>
          <w:tab w:val="left" w:pos="1188"/>
        </w:tabs>
        <w:jc w:val="both"/>
        <w:rPr>
          <w:i/>
          <w:snapToGrid w:val="0"/>
          <w:sz w:val="14"/>
          <w:szCs w:val="14"/>
          <w:lang w:val="bg-BG" w:eastAsia="en-US"/>
        </w:rPr>
      </w:pPr>
      <w:r>
        <w:rPr>
          <w:i/>
          <w:snapToGrid w:val="0"/>
          <w:sz w:val="24"/>
          <w:szCs w:val="24"/>
          <w:lang w:val="bg-BG" w:eastAsia="en-US"/>
        </w:rPr>
        <w:tab/>
      </w:r>
    </w:p>
    <w:p>
      <w:pPr>
        <w:ind w:firstLine="851"/>
        <w:jc w:val="both"/>
        <w:rPr>
          <w:bCs/>
          <w:sz w:val="24"/>
          <w:lang w:val="bg-BG"/>
        </w:rPr>
      </w:pPr>
      <w:r>
        <w:rPr>
          <w:bCs/>
          <w:sz w:val="24"/>
          <w:lang w:val="bg-BG"/>
        </w:rPr>
        <w:t>Към 30.</w:t>
      </w:r>
      <w:r>
        <w:rPr>
          <w:bCs/>
          <w:sz w:val="24"/>
          <w:lang w:val="en-US"/>
        </w:rPr>
        <w:t>0</w:t>
      </w:r>
      <w:r>
        <w:rPr>
          <w:bCs/>
          <w:sz w:val="24"/>
          <w:lang w:val="bg-BG"/>
        </w:rPr>
        <w:t>6.20</w:t>
      </w:r>
      <w:r>
        <w:rPr>
          <w:bCs/>
          <w:sz w:val="24"/>
          <w:lang w:val="en-US"/>
        </w:rPr>
        <w:t>24</w:t>
      </w:r>
      <w:r>
        <w:rPr>
          <w:bCs/>
          <w:sz w:val="24"/>
          <w:lang w:val="bg-BG"/>
        </w:rPr>
        <w:t xml:space="preserve"> год. „Номад Енерджи Трейдинг “ ЕООД притежава 100,00 % от капитала на дружеството.  С решение от дата 08.06.2021 г. </w:t>
      </w:r>
    </w:p>
    <w:p>
      <w:pPr>
        <w:ind w:firstLine="851"/>
        <w:jc w:val="both"/>
        <w:rPr>
          <w:bCs/>
          <w:sz w:val="24"/>
          <w:lang w:val="bg-BG"/>
        </w:rPr>
      </w:pPr>
    </w:p>
    <w:p>
      <w:pPr>
        <w:pStyle w:val="24"/>
        <w:numPr>
          <w:ilvl w:val="0"/>
          <w:numId w:val="1"/>
        </w:numPr>
        <w:tabs>
          <w:tab w:val="clear" w:pos="720"/>
        </w:tabs>
        <w:ind w:left="0" w:firstLine="0"/>
        <w:jc w:val="both"/>
        <w:rPr>
          <w:i/>
          <w:snapToGrid w:val="0"/>
          <w:sz w:val="24"/>
          <w:szCs w:val="24"/>
          <w:lang w:val="bg-BG" w:eastAsia="en-US"/>
        </w:rPr>
      </w:pPr>
      <w:r>
        <w:rPr>
          <w:i/>
          <w:snapToGrid w:val="0"/>
          <w:sz w:val="24"/>
          <w:szCs w:val="24"/>
          <w:lang w:val="bg-BG" w:eastAsia="en-US"/>
        </w:rPr>
        <w:t>Откриване на производство по несъстоятелност за дружеството или за негово дъщерно дружество и всички съществени етапи, свързани с производството</w:t>
      </w:r>
      <w:r>
        <w:rPr>
          <w:b/>
          <w:spacing w:val="-7"/>
          <w:sz w:val="24"/>
          <w:szCs w:val="24"/>
          <w:lang w:val="bg-BG" w:eastAsia="en-US"/>
        </w:rPr>
        <w:t xml:space="preserve"> </w:t>
      </w:r>
      <w:r>
        <w:rPr>
          <w:i/>
          <w:snapToGrid w:val="0"/>
          <w:sz w:val="24"/>
          <w:szCs w:val="24"/>
          <w:lang w:val="bg-BG" w:eastAsia="en-US"/>
        </w:rPr>
        <w:t>до обявяване на дружеството в несъстоятелност.</w:t>
      </w:r>
    </w:p>
    <w:p>
      <w:pPr>
        <w:ind w:firstLine="709"/>
        <w:jc w:val="both"/>
        <w:rPr>
          <w:bCs/>
          <w:snapToGrid w:val="0"/>
          <w:sz w:val="14"/>
          <w:szCs w:val="14"/>
          <w:lang w:val="bg-BG" w:eastAsia="en-US"/>
        </w:rPr>
      </w:pPr>
    </w:p>
    <w:p>
      <w:pPr>
        <w:ind w:firstLine="709"/>
        <w:jc w:val="both"/>
        <w:rPr>
          <w:bCs/>
          <w:snapToGrid w:val="0"/>
          <w:sz w:val="24"/>
          <w:szCs w:val="24"/>
          <w:lang w:val="bg-BG" w:eastAsia="en-US"/>
        </w:rPr>
      </w:pPr>
      <w:r>
        <w:rPr>
          <w:bCs/>
          <w:snapToGrid w:val="0"/>
          <w:sz w:val="24"/>
          <w:szCs w:val="24"/>
          <w:lang w:val="bg-BG" w:eastAsia="en-US"/>
        </w:rPr>
        <w:t>През отчетния период не е откривано производство по несъстоятелност.</w:t>
      </w:r>
    </w:p>
    <w:p>
      <w:pPr>
        <w:ind w:left="720"/>
        <w:jc w:val="both"/>
        <w:rPr>
          <w:b/>
          <w:snapToGrid w:val="0"/>
          <w:sz w:val="24"/>
          <w:szCs w:val="24"/>
          <w:lang w:val="ru-RU" w:eastAsia="en-US"/>
        </w:rPr>
      </w:pPr>
      <w:r>
        <w:rPr>
          <w:b/>
          <w:snapToGrid w:val="0"/>
          <w:sz w:val="24"/>
          <w:szCs w:val="24"/>
          <w:lang w:val="ru-RU" w:eastAsia="en-US"/>
        </w:rPr>
        <w:t xml:space="preserve"> </w:t>
      </w:r>
    </w:p>
    <w:p>
      <w:pPr>
        <w:numPr>
          <w:ilvl w:val="0"/>
          <w:numId w:val="1"/>
        </w:numPr>
        <w:tabs>
          <w:tab w:val="left" w:pos="0"/>
        </w:tabs>
        <w:ind w:left="0" w:firstLine="0"/>
        <w:jc w:val="both"/>
        <w:rPr>
          <w:i/>
          <w:snapToGrid w:val="0"/>
          <w:sz w:val="24"/>
          <w:szCs w:val="24"/>
          <w:lang w:val="bg-BG" w:eastAsia="en-US"/>
        </w:rPr>
      </w:pPr>
      <w:r>
        <w:rPr>
          <w:i/>
          <w:snapToGrid w:val="0"/>
          <w:sz w:val="24"/>
          <w:szCs w:val="24"/>
          <w:lang w:val="bg-BG" w:eastAsia="en-US"/>
        </w:rPr>
        <w:t>Сключване или изпълнение на съществени сделки.</w:t>
      </w:r>
    </w:p>
    <w:p>
      <w:pPr>
        <w:jc w:val="both"/>
        <w:rPr>
          <w:i/>
          <w:snapToGrid w:val="0"/>
          <w:sz w:val="14"/>
          <w:szCs w:val="14"/>
          <w:lang w:val="bg-BG" w:eastAsia="en-US"/>
        </w:rPr>
      </w:pPr>
    </w:p>
    <w:p>
      <w:pPr>
        <w:pStyle w:val="4"/>
        <w:spacing w:after="0" w:line="240" w:lineRule="auto"/>
        <w:ind w:firstLine="709"/>
        <w:jc w:val="both"/>
        <w:rPr>
          <w:rStyle w:val="19"/>
          <w:i w:val="0"/>
          <w:iCs w:val="0"/>
          <w:sz w:val="24"/>
          <w:szCs w:val="24"/>
        </w:rPr>
      </w:pPr>
      <w:r>
        <w:rPr>
          <w:rStyle w:val="19"/>
          <w:i w:val="0"/>
          <w:iCs w:val="0"/>
          <w:sz w:val="24"/>
          <w:szCs w:val="24"/>
        </w:rPr>
        <w:t>През отчетния период, не са сключвани или изпълнявани съществени сделки извън обичайната дейност на дружеството.</w:t>
      </w:r>
    </w:p>
    <w:p>
      <w:pPr>
        <w:spacing w:line="276" w:lineRule="auto"/>
        <w:ind w:left="720"/>
        <w:jc w:val="both"/>
        <w:rPr>
          <w:b/>
          <w:snapToGrid w:val="0"/>
          <w:sz w:val="24"/>
          <w:szCs w:val="24"/>
          <w:highlight w:val="yellow"/>
          <w:lang w:val="bg-BG" w:eastAsia="en-US"/>
        </w:rPr>
      </w:pPr>
    </w:p>
    <w:p>
      <w:pPr>
        <w:numPr>
          <w:ilvl w:val="0"/>
          <w:numId w:val="1"/>
        </w:numPr>
        <w:tabs>
          <w:tab w:val="left" w:pos="0"/>
          <w:tab w:val="clear" w:pos="720"/>
        </w:tabs>
        <w:ind w:left="0" w:firstLine="0"/>
        <w:jc w:val="both"/>
        <w:rPr>
          <w:i/>
          <w:snapToGrid w:val="0"/>
          <w:sz w:val="24"/>
          <w:szCs w:val="24"/>
          <w:lang w:val="bg-BG" w:eastAsia="en-US"/>
        </w:rPr>
      </w:pPr>
      <w:r>
        <w:rPr>
          <w:i/>
          <w:snapToGrid w:val="0"/>
          <w:sz w:val="24"/>
          <w:szCs w:val="24"/>
          <w:lang w:val="bg-BG" w:eastAsia="en-US"/>
        </w:rPr>
        <w:t>Решение за сключване, прекратяване и разваляне на договор за съвместно предприятие.</w:t>
      </w:r>
    </w:p>
    <w:p>
      <w:pPr>
        <w:jc w:val="both"/>
        <w:rPr>
          <w:i/>
          <w:snapToGrid w:val="0"/>
          <w:sz w:val="14"/>
          <w:szCs w:val="14"/>
          <w:lang w:val="bg-BG" w:eastAsia="en-US"/>
        </w:rPr>
      </w:pPr>
    </w:p>
    <w:p>
      <w:pPr>
        <w:pStyle w:val="4"/>
        <w:spacing w:after="0" w:line="240" w:lineRule="auto"/>
        <w:ind w:firstLine="709"/>
        <w:jc w:val="both"/>
        <w:rPr>
          <w:rStyle w:val="19"/>
          <w:i w:val="0"/>
          <w:iCs w:val="0"/>
          <w:sz w:val="24"/>
          <w:szCs w:val="24"/>
        </w:rPr>
      </w:pPr>
      <w:r>
        <w:rPr>
          <w:rStyle w:val="19"/>
          <w:i w:val="0"/>
          <w:iCs w:val="0"/>
          <w:sz w:val="24"/>
          <w:szCs w:val="24"/>
        </w:rPr>
        <w:t>През отчетния период не е приемано решение за сключване, прекратяване и разваляне на договор за съвместно предприятие.</w:t>
      </w:r>
    </w:p>
    <w:p>
      <w:pPr>
        <w:ind w:left="720"/>
        <w:jc w:val="both"/>
        <w:rPr>
          <w:b/>
          <w:snapToGrid w:val="0"/>
          <w:sz w:val="24"/>
          <w:szCs w:val="24"/>
          <w:lang w:val="bg-BG" w:eastAsia="en-US"/>
        </w:rPr>
      </w:pPr>
    </w:p>
    <w:p>
      <w:pPr>
        <w:numPr>
          <w:ilvl w:val="0"/>
          <w:numId w:val="1"/>
        </w:numPr>
        <w:tabs>
          <w:tab w:val="left" w:pos="0"/>
          <w:tab w:val="clear" w:pos="720"/>
        </w:tabs>
        <w:ind w:left="0" w:firstLine="0"/>
        <w:jc w:val="both"/>
        <w:rPr>
          <w:i/>
          <w:snapToGrid w:val="0"/>
          <w:sz w:val="24"/>
          <w:szCs w:val="24"/>
          <w:lang w:val="bg-BG" w:eastAsia="en-US"/>
        </w:rPr>
      </w:pPr>
      <w:r>
        <w:rPr>
          <w:i/>
          <w:snapToGrid w:val="0"/>
          <w:sz w:val="24"/>
          <w:szCs w:val="24"/>
          <w:lang w:val="bg-BG" w:eastAsia="en-US"/>
        </w:rPr>
        <w:t>Промяна на одиторите на дружествата и причини за промяната.</w:t>
      </w:r>
    </w:p>
    <w:p>
      <w:pPr>
        <w:jc w:val="both"/>
        <w:rPr>
          <w:i/>
          <w:snapToGrid w:val="0"/>
          <w:sz w:val="14"/>
          <w:szCs w:val="14"/>
          <w:lang w:val="bg-BG" w:eastAsia="en-US"/>
        </w:rPr>
      </w:pPr>
    </w:p>
    <w:p>
      <w:pPr>
        <w:pStyle w:val="4"/>
        <w:spacing w:after="0" w:line="240" w:lineRule="auto"/>
        <w:ind w:firstLine="720"/>
        <w:jc w:val="both"/>
        <w:rPr>
          <w:rStyle w:val="19"/>
          <w:i w:val="0"/>
          <w:iCs w:val="0"/>
          <w:sz w:val="24"/>
          <w:szCs w:val="24"/>
        </w:rPr>
      </w:pPr>
      <w:r>
        <w:rPr>
          <w:rStyle w:val="19"/>
          <w:i w:val="0"/>
          <w:iCs w:val="0"/>
          <w:sz w:val="24"/>
          <w:szCs w:val="24"/>
        </w:rPr>
        <w:t>Няма промяна на одиторите на дружеството.</w:t>
      </w:r>
    </w:p>
    <w:p>
      <w:pPr>
        <w:pStyle w:val="4"/>
        <w:spacing w:after="0" w:line="240" w:lineRule="auto"/>
        <w:ind w:firstLine="720"/>
        <w:jc w:val="both"/>
        <w:rPr>
          <w:rStyle w:val="19"/>
          <w:b/>
          <w:bCs/>
          <w:i w:val="0"/>
          <w:iCs w:val="0"/>
          <w:sz w:val="24"/>
          <w:szCs w:val="24"/>
        </w:rPr>
      </w:pPr>
    </w:p>
    <w:p>
      <w:pPr>
        <w:numPr>
          <w:ilvl w:val="0"/>
          <w:numId w:val="1"/>
        </w:numPr>
        <w:tabs>
          <w:tab w:val="left" w:pos="0"/>
          <w:tab w:val="clear" w:pos="720"/>
        </w:tabs>
        <w:ind w:left="0" w:firstLine="0"/>
        <w:jc w:val="both"/>
        <w:rPr>
          <w:i/>
          <w:snapToGrid w:val="0"/>
          <w:sz w:val="24"/>
          <w:szCs w:val="24"/>
          <w:lang w:val="bg-BG" w:eastAsia="en-US"/>
        </w:rPr>
      </w:pPr>
      <w:r>
        <w:rPr>
          <w:i/>
          <w:snapToGrid w:val="0"/>
          <w:sz w:val="24"/>
          <w:szCs w:val="24"/>
          <w:lang w:val="bg-BG" w:eastAsia="en-US"/>
        </w:rPr>
        <w:t>Образуване или прекратяване на съдебно или арбитражно дело, отнасящо се до задължения или вземания на дружеството или негово дъщерно дружество, с цена на иска най-малко 10 на сто от собствения капитал на дружеството.</w:t>
      </w:r>
    </w:p>
    <w:p>
      <w:pPr>
        <w:jc w:val="both"/>
        <w:rPr>
          <w:i/>
          <w:snapToGrid w:val="0"/>
          <w:sz w:val="14"/>
          <w:szCs w:val="14"/>
          <w:lang w:val="bg-BG" w:eastAsia="en-US"/>
        </w:rPr>
      </w:pPr>
    </w:p>
    <w:p>
      <w:pPr>
        <w:ind w:firstLine="720"/>
        <w:jc w:val="both"/>
        <w:rPr>
          <w:bCs/>
          <w:snapToGrid w:val="0"/>
          <w:sz w:val="24"/>
          <w:szCs w:val="24"/>
          <w:lang w:val="bg-BG" w:eastAsia="en-US"/>
        </w:rPr>
      </w:pPr>
      <w:r>
        <w:rPr>
          <w:bCs/>
          <w:snapToGrid w:val="0"/>
          <w:sz w:val="24"/>
          <w:szCs w:val="24"/>
          <w:lang w:val="bg-BG" w:eastAsia="en-US"/>
        </w:rPr>
        <w:t>Няма съдебни или арбитражни дела, отнасящи се до дружеството, които са с цена на иска по-висока от 10 на сто от нетните активи на дружеството.</w:t>
      </w:r>
    </w:p>
    <w:p>
      <w:pPr>
        <w:spacing w:line="276" w:lineRule="auto"/>
        <w:ind w:left="720"/>
        <w:jc w:val="both"/>
        <w:rPr>
          <w:b/>
          <w:snapToGrid w:val="0"/>
          <w:sz w:val="24"/>
          <w:szCs w:val="24"/>
          <w:lang w:val="bg-BG" w:eastAsia="en-US"/>
        </w:rPr>
      </w:pPr>
    </w:p>
    <w:p>
      <w:pPr>
        <w:numPr>
          <w:ilvl w:val="0"/>
          <w:numId w:val="1"/>
        </w:numPr>
        <w:tabs>
          <w:tab w:val="left" w:pos="0"/>
          <w:tab w:val="clear" w:pos="720"/>
        </w:tabs>
        <w:ind w:left="0" w:firstLine="0"/>
        <w:jc w:val="both"/>
        <w:rPr>
          <w:i/>
          <w:snapToGrid w:val="0"/>
          <w:sz w:val="24"/>
          <w:szCs w:val="24"/>
          <w:lang w:val="bg-BG" w:eastAsia="en-US"/>
        </w:rPr>
      </w:pPr>
      <w:r>
        <w:rPr>
          <w:i/>
          <w:snapToGrid w:val="0"/>
          <w:sz w:val="24"/>
          <w:szCs w:val="24"/>
          <w:lang w:val="bg-BG" w:eastAsia="en-US"/>
        </w:rPr>
        <w:t>Покупка, продажба или учреден залог на дялови участия в търговски дружества от емитента или негово дъщерно дружество.</w:t>
      </w:r>
    </w:p>
    <w:p>
      <w:pPr>
        <w:jc w:val="both"/>
        <w:rPr>
          <w:bCs/>
          <w:i/>
          <w:snapToGrid w:val="0"/>
          <w:sz w:val="14"/>
          <w:szCs w:val="14"/>
          <w:lang w:val="bg-BG" w:eastAsia="en-US"/>
        </w:rPr>
      </w:pPr>
    </w:p>
    <w:p>
      <w:pPr>
        <w:ind w:right="-96" w:firstLine="709"/>
        <w:jc w:val="both"/>
        <w:rPr>
          <w:bCs/>
          <w:sz w:val="24"/>
          <w:szCs w:val="24"/>
          <w:lang w:val="bg-BG"/>
        </w:rPr>
      </w:pPr>
      <w:r>
        <w:rPr>
          <w:bCs/>
          <w:sz w:val="24"/>
          <w:szCs w:val="24"/>
          <w:lang w:val="bg-BG"/>
        </w:rPr>
        <w:t>През отчетния период не е извършвана покупка, продажба или учредяване на залог на дялови участия в търговски дружества.</w:t>
      </w:r>
    </w:p>
    <w:p>
      <w:pPr>
        <w:spacing w:line="276" w:lineRule="auto"/>
        <w:ind w:left="720" w:right="-96"/>
        <w:jc w:val="both"/>
        <w:rPr>
          <w:b/>
          <w:snapToGrid w:val="0"/>
          <w:sz w:val="24"/>
          <w:szCs w:val="24"/>
          <w:lang w:val="bg-BG" w:eastAsia="en-US"/>
        </w:rPr>
      </w:pPr>
    </w:p>
    <w:p>
      <w:pPr>
        <w:numPr>
          <w:ilvl w:val="0"/>
          <w:numId w:val="1"/>
        </w:numPr>
        <w:tabs>
          <w:tab w:val="left" w:pos="0"/>
          <w:tab w:val="clear" w:pos="720"/>
        </w:tabs>
        <w:ind w:left="0" w:firstLine="0"/>
        <w:jc w:val="both"/>
        <w:rPr>
          <w:i/>
          <w:snapToGrid w:val="0"/>
          <w:sz w:val="24"/>
          <w:szCs w:val="24"/>
          <w:lang w:val="bg-BG" w:eastAsia="en-US"/>
        </w:rPr>
      </w:pPr>
      <w:r>
        <w:rPr>
          <w:i/>
          <w:snapToGrid w:val="0"/>
          <w:sz w:val="24"/>
          <w:szCs w:val="24"/>
          <w:lang w:val="bg-BG" w:eastAsia="en-US"/>
        </w:rPr>
        <w:t>Други обстоятелства, които дружеството счита, че биха могли да бъдат от значение за инвеститорите при вземането на решение да придобият, да продадат или да продължат да притежават публично предлаганите ценни книжа.</w:t>
      </w:r>
    </w:p>
    <w:p>
      <w:pPr>
        <w:jc w:val="both"/>
        <w:rPr>
          <w:i/>
          <w:snapToGrid w:val="0"/>
          <w:sz w:val="14"/>
          <w:szCs w:val="14"/>
          <w:lang w:val="bg-BG" w:eastAsia="en-US"/>
        </w:rPr>
      </w:pPr>
    </w:p>
    <w:p>
      <w:pPr>
        <w:ind w:firstLine="720"/>
        <w:jc w:val="both"/>
        <w:rPr>
          <w:rFonts w:eastAsia="Calibri"/>
          <w:bCs/>
          <w:snapToGrid w:val="0"/>
          <w:color w:val="000000"/>
          <w:sz w:val="24"/>
          <w:szCs w:val="24"/>
          <w:lang w:val="bg-BG" w:eastAsia="zh-CN"/>
        </w:rPr>
      </w:pPr>
      <w:r>
        <w:rPr>
          <w:rFonts w:eastAsia="Calibri"/>
          <w:bCs/>
          <w:snapToGrid w:val="0"/>
          <w:color w:val="000000"/>
          <w:sz w:val="24"/>
          <w:szCs w:val="24"/>
          <w:lang w:val="bg-BG" w:eastAsia="zh-CN"/>
        </w:rPr>
        <w:t>Не са налице обстоятелства, които дружеството счита, че биха могли да бъдат от значение за инвеститорите при вземане на решение да придобият, продадат или да продължат да притежават публично предлагани ценни книжа.</w:t>
      </w:r>
    </w:p>
    <w:p>
      <w:pPr>
        <w:ind w:left="2880" w:hanging="2699"/>
        <w:rPr>
          <w:sz w:val="24"/>
          <w:szCs w:val="24"/>
          <w:lang w:val="ru-RU"/>
        </w:rPr>
      </w:pPr>
      <w:r>
        <w:rPr>
          <w:sz w:val="24"/>
          <w:szCs w:val="24"/>
          <w:lang w:val="en-US"/>
        </w:rPr>
        <w:t>29</w:t>
      </w:r>
      <w:r>
        <w:rPr>
          <w:sz w:val="24"/>
          <w:szCs w:val="24"/>
          <w:lang w:val="ru-RU"/>
        </w:rPr>
        <w:t>.</w:t>
      </w:r>
      <w:r>
        <w:rPr>
          <w:sz w:val="24"/>
          <w:szCs w:val="24"/>
          <w:lang w:val="bg-BG"/>
        </w:rPr>
        <w:t>07</w:t>
      </w:r>
      <w:r>
        <w:rPr>
          <w:sz w:val="24"/>
          <w:szCs w:val="24"/>
          <w:lang w:val="ru-RU"/>
        </w:rPr>
        <w:t>.202</w:t>
      </w:r>
      <w:r>
        <w:rPr>
          <w:sz w:val="24"/>
          <w:szCs w:val="24"/>
          <w:lang w:val="en-US"/>
        </w:rPr>
        <w:t>4</w:t>
      </w:r>
      <w:r>
        <w:rPr>
          <w:sz w:val="24"/>
          <w:szCs w:val="24"/>
          <w:lang w:val="ru-RU"/>
        </w:rPr>
        <w:t xml:space="preserve"> г.</w:t>
      </w:r>
    </w:p>
    <w:p>
      <w:pPr>
        <w:widowControl w:val="0"/>
        <w:ind w:left="2160"/>
        <w:rPr>
          <w:b/>
          <w:bCs/>
          <w:i/>
          <w:iCs/>
          <w:sz w:val="24"/>
          <w:szCs w:val="24"/>
          <w:lang w:val="bg-BG"/>
        </w:rPr>
      </w:pPr>
      <w:r>
        <w:rPr>
          <w:b/>
          <w:bCs/>
          <w:color w:val="000000"/>
          <w:sz w:val="24"/>
          <w:szCs w:val="24"/>
          <w:lang w:val="bg-BG"/>
        </w:rPr>
        <w:t>„НОМАД ЕНЕРДЖИ КЪМПАНИ “</w:t>
      </w:r>
      <w:r>
        <w:rPr>
          <w:b/>
          <w:bCs/>
          <w:sz w:val="24"/>
          <w:szCs w:val="24"/>
          <w:lang w:val="bg-BG"/>
        </w:rPr>
        <w:t xml:space="preserve"> ЕООД: …………………..</w:t>
      </w:r>
    </w:p>
    <w:p>
      <w:pPr>
        <w:widowControl w:val="0"/>
        <w:ind w:firstLine="5812"/>
        <w:jc w:val="both"/>
        <w:rPr>
          <w:sz w:val="24"/>
          <w:szCs w:val="24"/>
          <w:lang w:val="bg-BG"/>
        </w:rPr>
      </w:pPr>
      <w:r>
        <w:rPr>
          <w:sz w:val="24"/>
          <w:szCs w:val="24"/>
          <w:lang w:val="bg-BG"/>
        </w:rPr>
        <w:t>Мария</w:t>
      </w:r>
      <w:r>
        <w:rPr>
          <w:sz w:val="24"/>
          <w:szCs w:val="24"/>
          <w:lang w:val="en-US"/>
        </w:rPr>
        <w:t xml:space="preserve"> </w:t>
      </w:r>
      <w:r>
        <w:rPr>
          <w:sz w:val="24"/>
          <w:szCs w:val="24"/>
          <w:lang w:val="bg-BG"/>
        </w:rPr>
        <w:t xml:space="preserve">Севдалинова </w:t>
      </w:r>
      <w:r>
        <w:rPr>
          <w:sz w:val="24"/>
          <w:szCs w:val="24"/>
          <w:lang w:val="en-US"/>
        </w:rPr>
        <w:tab/>
        <w:t/>
      </w:r>
      <w:r>
        <w:rPr>
          <w:sz w:val="24"/>
          <w:szCs w:val="24"/>
          <w:lang w:val="en-US"/>
        </w:rPr>
        <w:tab/>
        <w:t/>
      </w:r>
      <w:r>
        <w:rPr>
          <w:sz w:val="24"/>
          <w:szCs w:val="24"/>
          <w:lang w:val="en-US"/>
        </w:rPr>
        <w:tab/>
        <w:t/>
      </w:r>
      <w:r>
        <w:rPr>
          <w:sz w:val="24"/>
          <w:szCs w:val="24"/>
          <w:lang w:val="en-US"/>
        </w:rPr>
        <w:tab/>
        <w:t/>
      </w:r>
      <w:r>
        <w:rPr>
          <w:sz w:val="24"/>
          <w:szCs w:val="24"/>
          <w:lang w:val="en-US"/>
        </w:rPr>
        <w:tab/>
        <w:t/>
      </w:r>
      <w:r>
        <w:rPr>
          <w:sz w:val="24"/>
          <w:szCs w:val="24"/>
          <w:lang w:val="en-US"/>
        </w:rPr>
        <w:tab/>
        <w:t/>
      </w:r>
      <w:r>
        <w:rPr>
          <w:sz w:val="24"/>
          <w:szCs w:val="24"/>
          <w:lang w:val="en-US"/>
        </w:rPr>
        <w:tab/>
        <w:t/>
      </w:r>
      <w:r>
        <w:rPr>
          <w:sz w:val="24"/>
          <w:szCs w:val="24"/>
          <w:lang w:val="en-US"/>
        </w:rPr>
        <w:tab/>
        <w:t/>
      </w:r>
      <w:r>
        <w:rPr>
          <w:sz w:val="24"/>
          <w:szCs w:val="24"/>
          <w:lang w:val="en-US"/>
        </w:rPr>
        <w:tab/>
        <w:t/>
      </w:r>
      <w:r>
        <w:rPr>
          <w:sz w:val="24"/>
          <w:szCs w:val="24"/>
          <w:lang w:val="en-US"/>
        </w:rPr>
        <w:tab/>
      </w:r>
      <w:bookmarkStart w:id="1" w:name="_GoBack"/>
      <w:bookmarkEnd w:id="1"/>
      <w:r>
        <w:rPr>
          <w:sz w:val="24"/>
          <w:szCs w:val="24"/>
          <w:lang w:val="bg-BG"/>
        </w:rPr>
        <w:t>/Управител/</w:t>
      </w:r>
    </w:p>
    <w:sectPr>
      <w:footerReference r:id="rId3" w:type="default"/>
      <w:footerReference r:id="rId4" w:type="even"/>
      <w:pgSz w:w="11907" w:h="16840"/>
      <w:pgMar w:top="142" w:right="1134" w:bottom="284" w:left="1701" w:header="709" w:footer="709"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43"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Arial">
    <w:panose1 w:val="020B0604020202020204"/>
    <w:charset w:val="CC"/>
    <w:family w:val="swiss"/>
    <w:pitch w:val="default"/>
    <w:sig w:usb0="E0002AFF" w:usb1="C0007843" w:usb2="00000009" w:usb3="00000000" w:csb0="400001FF" w:csb1="FFFF0000"/>
  </w:font>
  <w:font w:name="Courier New">
    <w:panose1 w:val="02070309020205020404"/>
    <w:charset w:val="CC"/>
    <w:family w:val="modern"/>
    <w:pitch w:val="default"/>
    <w:sig w:usb0="E0002AFF" w:usb1="C0007843" w:usb2="00000009" w:usb3="00000000" w:csb0="400001FF" w:csb1="FFFF0000"/>
  </w:font>
  <w:font w:name="Calibri">
    <w:panose1 w:val="020F0502020204030204"/>
    <w:charset w:val="CC"/>
    <w:family w:val="swiss"/>
    <w:pitch w:val="default"/>
    <w:sig w:usb0="E00002FF" w:usb1="4000ACFF" w:usb2="00000001" w:usb3="00000000" w:csb0="2000019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4"/>
      </w:rPr>
    </w:pPr>
    <w:r>
      <w:rPr>
        <w:rStyle w:val="14"/>
      </w:rPr>
      <w:fldChar w:fldCharType="begin"/>
    </w:r>
    <w:r>
      <w:rPr>
        <w:rStyle w:val="14"/>
      </w:rPr>
      <w:instrText xml:space="preserve">PAGE  </w:instrText>
    </w:r>
    <w:r>
      <w:rPr>
        <w:rStyle w:val="14"/>
      </w:rPr>
      <w:fldChar w:fldCharType="separate"/>
    </w:r>
    <w:r>
      <w:rPr>
        <w:rStyle w:val="14"/>
      </w:rPr>
      <w:t>1</w:t>
    </w:r>
    <w:r>
      <w:rPr>
        <w:rStyle w:val="14"/>
      </w:rPr>
      <w:fldChar w:fldCharType="end"/>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4"/>
      </w:rPr>
    </w:pPr>
    <w:r>
      <w:rPr>
        <w:rStyle w:val="14"/>
      </w:rPr>
      <w:fldChar w:fldCharType="begin"/>
    </w:r>
    <w:r>
      <w:rPr>
        <w:rStyle w:val="14"/>
      </w:rPr>
      <w:instrText xml:space="preserve">PAGE  </w:instrText>
    </w:r>
    <w:r>
      <w:rPr>
        <w:rStyle w:val="14"/>
      </w:rPr>
      <w:fldChar w:fldCharType="end"/>
    </w:r>
  </w:p>
  <w:p>
    <w:pPr>
      <w:pStyle w:val="7"/>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796C6A"/>
    <w:multiLevelType w:val="multilevel"/>
    <w:tmpl w:val="49796C6A"/>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189"/>
    <w:rsid w:val="000042D8"/>
    <w:rsid w:val="00016EE6"/>
    <w:rsid w:val="00017531"/>
    <w:rsid w:val="0001767A"/>
    <w:rsid w:val="000216F6"/>
    <w:rsid w:val="00027B1E"/>
    <w:rsid w:val="00036EE9"/>
    <w:rsid w:val="00037B01"/>
    <w:rsid w:val="000450EB"/>
    <w:rsid w:val="0004615B"/>
    <w:rsid w:val="00066545"/>
    <w:rsid w:val="00077E9D"/>
    <w:rsid w:val="0008510C"/>
    <w:rsid w:val="00085392"/>
    <w:rsid w:val="00096FB8"/>
    <w:rsid w:val="000A5FBD"/>
    <w:rsid w:val="000A668E"/>
    <w:rsid w:val="000B5C6F"/>
    <w:rsid w:val="000D0CAA"/>
    <w:rsid w:val="000D11C5"/>
    <w:rsid w:val="000D1C99"/>
    <w:rsid w:val="000D51DE"/>
    <w:rsid w:val="000E34AD"/>
    <w:rsid w:val="000E7ED3"/>
    <w:rsid w:val="000F7815"/>
    <w:rsid w:val="00102197"/>
    <w:rsid w:val="00117DAE"/>
    <w:rsid w:val="00123F48"/>
    <w:rsid w:val="00125B82"/>
    <w:rsid w:val="00127738"/>
    <w:rsid w:val="001352D9"/>
    <w:rsid w:val="001376EE"/>
    <w:rsid w:val="00146FD4"/>
    <w:rsid w:val="001547EB"/>
    <w:rsid w:val="0015789B"/>
    <w:rsid w:val="00162E29"/>
    <w:rsid w:val="0016640D"/>
    <w:rsid w:val="00170A1B"/>
    <w:rsid w:val="00182492"/>
    <w:rsid w:val="001825C3"/>
    <w:rsid w:val="00196EFD"/>
    <w:rsid w:val="001A63BB"/>
    <w:rsid w:val="001A6AF5"/>
    <w:rsid w:val="001B2805"/>
    <w:rsid w:val="001C3F9F"/>
    <w:rsid w:val="001D6C09"/>
    <w:rsid w:val="001E174B"/>
    <w:rsid w:val="001E243F"/>
    <w:rsid w:val="001E2E8D"/>
    <w:rsid w:val="001E46B7"/>
    <w:rsid w:val="001E622D"/>
    <w:rsid w:val="00202146"/>
    <w:rsid w:val="00206D27"/>
    <w:rsid w:val="00213981"/>
    <w:rsid w:val="00214170"/>
    <w:rsid w:val="00236A53"/>
    <w:rsid w:val="00236CA2"/>
    <w:rsid w:val="00266F0B"/>
    <w:rsid w:val="0027010D"/>
    <w:rsid w:val="00285C63"/>
    <w:rsid w:val="00285C6E"/>
    <w:rsid w:val="00295383"/>
    <w:rsid w:val="002A55C5"/>
    <w:rsid w:val="002A72A5"/>
    <w:rsid w:val="002C72E9"/>
    <w:rsid w:val="002E4F5E"/>
    <w:rsid w:val="002F178A"/>
    <w:rsid w:val="002F5136"/>
    <w:rsid w:val="003131E8"/>
    <w:rsid w:val="00322E89"/>
    <w:rsid w:val="0033027F"/>
    <w:rsid w:val="00335E26"/>
    <w:rsid w:val="00336D03"/>
    <w:rsid w:val="00342708"/>
    <w:rsid w:val="0035546F"/>
    <w:rsid w:val="003608B8"/>
    <w:rsid w:val="00366FD7"/>
    <w:rsid w:val="00373C6B"/>
    <w:rsid w:val="00381FAA"/>
    <w:rsid w:val="0038220A"/>
    <w:rsid w:val="00382A16"/>
    <w:rsid w:val="00391A53"/>
    <w:rsid w:val="003A5E20"/>
    <w:rsid w:val="003B0D3F"/>
    <w:rsid w:val="003B1F50"/>
    <w:rsid w:val="003B748B"/>
    <w:rsid w:val="003C6415"/>
    <w:rsid w:val="003D1C83"/>
    <w:rsid w:val="003D2E35"/>
    <w:rsid w:val="003D36C7"/>
    <w:rsid w:val="003D3C64"/>
    <w:rsid w:val="003D7286"/>
    <w:rsid w:val="003E0B03"/>
    <w:rsid w:val="003E1EE6"/>
    <w:rsid w:val="003F2A1E"/>
    <w:rsid w:val="003F2F5C"/>
    <w:rsid w:val="003F3688"/>
    <w:rsid w:val="00410EC5"/>
    <w:rsid w:val="0041268D"/>
    <w:rsid w:val="00425CBF"/>
    <w:rsid w:val="00434191"/>
    <w:rsid w:val="00435A02"/>
    <w:rsid w:val="0043659C"/>
    <w:rsid w:val="00475C9F"/>
    <w:rsid w:val="00482D28"/>
    <w:rsid w:val="00484F68"/>
    <w:rsid w:val="00495DA6"/>
    <w:rsid w:val="004B733B"/>
    <w:rsid w:val="004E2201"/>
    <w:rsid w:val="005022D6"/>
    <w:rsid w:val="005174D2"/>
    <w:rsid w:val="0052321D"/>
    <w:rsid w:val="00540BF4"/>
    <w:rsid w:val="00556718"/>
    <w:rsid w:val="00570F94"/>
    <w:rsid w:val="00575F98"/>
    <w:rsid w:val="005B1A52"/>
    <w:rsid w:val="005C50F2"/>
    <w:rsid w:val="005D1C1D"/>
    <w:rsid w:val="005D77F6"/>
    <w:rsid w:val="005E175E"/>
    <w:rsid w:val="0061041F"/>
    <w:rsid w:val="00612636"/>
    <w:rsid w:val="00622E3C"/>
    <w:rsid w:val="00625777"/>
    <w:rsid w:val="00633BDA"/>
    <w:rsid w:val="00643C88"/>
    <w:rsid w:val="006627C5"/>
    <w:rsid w:val="00681211"/>
    <w:rsid w:val="00686B81"/>
    <w:rsid w:val="00687D18"/>
    <w:rsid w:val="006914B1"/>
    <w:rsid w:val="006A42DE"/>
    <w:rsid w:val="006B31A0"/>
    <w:rsid w:val="006E120E"/>
    <w:rsid w:val="006E5BC0"/>
    <w:rsid w:val="006E77F7"/>
    <w:rsid w:val="006F422B"/>
    <w:rsid w:val="006F7393"/>
    <w:rsid w:val="006F7E3F"/>
    <w:rsid w:val="00703028"/>
    <w:rsid w:val="007043A9"/>
    <w:rsid w:val="0070579F"/>
    <w:rsid w:val="00710CAA"/>
    <w:rsid w:val="00712345"/>
    <w:rsid w:val="00715AF5"/>
    <w:rsid w:val="007242F9"/>
    <w:rsid w:val="00737A36"/>
    <w:rsid w:val="00746F16"/>
    <w:rsid w:val="00751A25"/>
    <w:rsid w:val="0075505D"/>
    <w:rsid w:val="007624A2"/>
    <w:rsid w:val="00765F0E"/>
    <w:rsid w:val="007722D9"/>
    <w:rsid w:val="00781568"/>
    <w:rsid w:val="00783440"/>
    <w:rsid w:val="00785191"/>
    <w:rsid w:val="007A1823"/>
    <w:rsid w:val="007C4EA1"/>
    <w:rsid w:val="007C6322"/>
    <w:rsid w:val="007C7D06"/>
    <w:rsid w:val="007D1003"/>
    <w:rsid w:val="007E00AE"/>
    <w:rsid w:val="007E21A4"/>
    <w:rsid w:val="007E366E"/>
    <w:rsid w:val="007E4D29"/>
    <w:rsid w:val="007F248C"/>
    <w:rsid w:val="00801D52"/>
    <w:rsid w:val="00805789"/>
    <w:rsid w:val="0081502B"/>
    <w:rsid w:val="00822A14"/>
    <w:rsid w:val="00822F45"/>
    <w:rsid w:val="00836731"/>
    <w:rsid w:val="00842039"/>
    <w:rsid w:val="00845702"/>
    <w:rsid w:val="00854C46"/>
    <w:rsid w:val="008631B5"/>
    <w:rsid w:val="0086466B"/>
    <w:rsid w:val="008730DE"/>
    <w:rsid w:val="0087321E"/>
    <w:rsid w:val="00877ECB"/>
    <w:rsid w:val="008A4DCB"/>
    <w:rsid w:val="008B0189"/>
    <w:rsid w:val="008B5832"/>
    <w:rsid w:val="008B5C22"/>
    <w:rsid w:val="008C01C9"/>
    <w:rsid w:val="008E7AAA"/>
    <w:rsid w:val="0090085F"/>
    <w:rsid w:val="009016EF"/>
    <w:rsid w:val="009061A1"/>
    <w:rsid w:val="0091774C"/>
    <w:rsid w:val="00925EAF"/>
    <w:rsid w:val="009338F7"/>
    <w:rsid w:val="00933FE5"/>
    <w:rsid w:val="00945227"/>
    <w:rsid w:val="009563DC"/>
    <w:rsid w:val="00964BD5"/>
    <w:rsid w:val="00965CC3"/>
    <w:rsid w:val="00972FDD"/>
    <w:rsid w:val="009903B1"/>
    <w:rsid w:val="00990A2E"/>
    <w:rsid w:val="009B6E6B"/>
    <w:rsid w:val="009B7353"/>
    <w:rsid w:val="009B7448"/>
    <w:rsid w:val="009B76F1"/>
    <w:rsid w:val="009C316A"/>
    <w:rsid w:val="009C7E50"/>
    <w:rsid w:val="009D09AB"/>
    <w:rsid w:val="009E776D"/>
    <w:rsid w:val="00A02197"/>
    <w:rsid w:val="00A04CE1"/>
    <w:rsid w:val="00A144B3"/>
    <w:rsid w:val="00A15547"/>
    <w:rsid w:val="00A30232"/>
    <w:rsid w:val="00A353D4"/>
    <w:rsid w:val="00A36F8B"/>
    <w:rsid w:val="00A45D68"/>
    <w:rsid w:val="00A47DC5"/>
    <w:rsid w:val="00A538FE"/>
    <w:rsid w:val="00A67F66"/>
    <w:rsid w:val="00A70430"/>
    <w:rsid w:val="00A75CA0"/>
    <w:rsid w:val="00A862E0"/>
    <w:rsid w:val="00A9550F"/>
    <w:rsid w:val="00AB3622"/>
    <w:rsid w:val="00AB7EDA"/>
    <w:rsid w:val="00AE6614"/>
    <w:rsid w:val="00AF08A7"/>
    <w:rsid w:val="00AF6E60"/>
    <w:rsid w:val="00B02DA5"/>
    <w:rsid w:val="00B04937"/>
    <w:rsid w:val="00B2006D"/>
    <w:rsid w:val="00B20FE6"/>
    <w:rsid w:val="00B25250"/>
    <w:rsid w:val="00B27CB7"/>
    <w:rsid w:val="00B346C6"/>
    <w:rsid w:val="00B45D9A"/>
    <w:rsid w:val="00B46E66"/>
    <w:rsid w:val="00B51699"/>
    <w:rsid w:val="00B927E5"/>
    <w:rsid w:val="00B929D9"/>
    <w:rsid w:val="00B935F1"/>
    <w:rsid w:val="00BD291B"/>
    <w:rsid w:val="00BD6774"/>
    <w:rsid w:val="00BE0B4B"/>
    <w:rsid w:val="00BE0EE7"/>
    <w:rsid w:val="00BE23CC"/>
    <w:rsid w:val="00BE7ED2"/>
    <w:rsid w:val="00BF61B3"/>
    <w:rsid w:val="00C012A3"/>
    <w:rsid w:val="00C02F5C"/>
    <w:rsid w:val="00C036D1"/>
    <w:rsid w:val="00C15E57"/>
    <w:rsid w:val="00C2080A"/>
    <w:rsid w:val="00C30421"/>
    <w:rsid w:val="00C35AF1"/>
    <w:rsid w:val="00C45049"/>
    <w:rsid w:val="00C64291"/>
    <w:rsid w:val="00C766A6"/>
    <w:rsid w:val="00C773CE"/>
    <w:rsid w:val="00C80938"/>
    <w:rsid w:val="00C8111A"/>
    <w:rsid w:val="00C81A97"/>
    <w:rsid w:val="00C94D52"/>
    <w:rsid w:val="00CA79A1"/>
    <w:rsid w:val="00CB3517"/>
    <w:rsid w:val="00CB3D06"/>
    <w:rsid w:val="00CC0ED6"/>
    <w:rsid w:val="00CC2005"/>
    <w:rsid w:val="00CD7E49"/>
    <w:rsid w:val="00CE1A03"/>
    <w:rsid w:val="00CE581E"/>
    <w:rsid w:val="00CF197F"/>
    <w:rsid w:val="00CF4232"/>
    <w:rsid w:val="00CF65EA"/>
    <w:rsid w:val="00D00E42"/>
    <w:rsid w:val="00D11186"/>
    <w:rsid w:val="00D15B95"/>
    <w:rsid w:val="00D16BB8"/>
    <w:rsid w:val="00D17B2E"/>
    <w:rsid w:val="00D25238"/>
    <w:rsid w:val="00D342F3"/>
    <w:rsid w:val="00D357F0"/>
    <w:rsid w:val="00D409C9"/>
    <w:rsid w:val="00D41838"/>
    <w:rsid w:val="00D45773"/>
    <w:rsid w:val="00D4633D"/>
    <w:rsid w:val="00D62058"/>
    <w:rsid w:val="00D7229B"/>
    <w:rsid w:val="00D802A9"/>
    <w:rsid w:val="00D8155D"/>
    <w:rsid w:val="00D81C5D"/>
    <w:rsid w:val="00D835ED"/>
    <w:rsid w:val="00D951FF"/>
    <w:rsid w:val="00D9584F"/>
    <w:rsid w:val="00DA1383"/>
    <w:rsid w:val="00DA19FE"/>
    <w:rsid w:val="00DB4EBD"/>
    <w:rsid w:val="00DC6641"/>
    <w:rsid w:val="00DD5FEA"/>
    <w:rsid w:val="00DF700D"/>
    <w:rsid w:val="00E0304F"/>
    <w:rsid w:val="00E1601D"/>
    <w:rsid w:val="00E16660"/>
    <w:rsid w:val="00E209C8"/>
    <w:rsid w:val="00E2440E"/>
    <w:rsid w:val="00E25A90"/>
    <w:rsid w:val="00E27155"/>
    <w:rsid w:val="00E41A4E"/>
    <w:rsid w:val="00E477D1"/>
    <w:rsid w:val="00E74395"/>
    <w:rsid w:val="00E9488E"/>
    <w:rsid w:val="00ED2D7B"/>
    <w:rsid w:val="00EE1BC2"/>
    <w:rsid w:val="00F22058"/>
    <w:rsid w:val="00F23D81"/>
    <w:rsid w:val="00F24CD1"/>
    <w:rsid w:val="00F2692D"/>
    <w:rsid w:val="00F2741A"/>
    <w:rsid w:val="00F3577E"/>
    <w:rsid w:val="00F4386C"/>
    <w:rsid w:val="00F46733"/>
    <w:rsid w:val="00F5100C"/>
    <w:rsid w:val="00F566D1"/>
    <w:rsid w:val="00F70BC6"/>
    <w:rsid w:val="00F72DC1"/>
    <w:rsid w:val="00F91843"/>
    <w:rsid w:val="00F93C66"/>
    <w:rsid w:val="00F97613"/>
    <w:rsid w:val="00FA19E5"/>
    <w:rsid w:val="00FB413D"/>
    <w:rsid w:val="00FD377C"/>
    <w:rsid w:val="00FD661C"/>
    <w:rsid w:val="00FE2558"/>
    <w:rsid w:val="00FE4116"/>
    <w:rsid w:val="00FE7D1E"/>
    <w:rsid w:val="00FF7F83"/>
    <w:rsid w:val="362C1A3F"/>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en-AU" w:eastAsia="bg-BG" w:bidi="ar-SA"/>
    </w:rPr>
  </w:style>
  <w:style w:type="paragraph" w:styleId="2">
    <w:name w:val="heading 2"/>
    <w:basedOn w:val="1"/>
    <w:next w:val="1"/>
    <w:qFormat/>
    <w:uiPriority w:val="0"/>
    <w:pPr>
      <w:keepNext/>
      <w:spacing w:before="240" w:after="60"/>
      <w:outlineLvl w:val="1"/>
    </w:pPr>
    <w:rPr>
      <w:rFonts w:ascii="Arial" w:hAnsi="Arial"/>
      <w:b/>
      <w:i/>
      <w:sz w:val="24"/>
    </w:rPr>
  </w:style>
  <w:style w:type="character" w:default="1" w:styleId="11">
    <w:name w:val="Default Paragraph Font"/>
    <w:semiHidden/>
    <w:unhideWhenUsed/>
    <w:uiPriority w:val="1"/>
  </w:style>
  <w:style w:type="table" w:default="1" w:styleId="15">
    <w:name w:val="Normal Table"/>
    <w:semiHidden/>
    <w:unhideWhenUsed/>
    <w:uiPriority w:val="99"/>
    <w:tblPr>
      <w:tblLayout w:type="fixed"/>
      <w:tblCellMar>
        <w:top w:w="0" w:type="dxa"/>
        <w:left w:w="108" w:type="dxa"/>
        <w:bottom w:w="0" w:type="dxa"/>
        <w:right w:w="108" w:type="dxa"/>
      </w:tblCellMar>
    </w:tblPr>
  </w:style>
  <w:style w:type="paragraph" w:styleId="3">
    <w:name w:val="Balloon Text"/>
    <w:basedOn w:val="1"/>
    <w:link w:val="21"/>
    <w:uiPriority w:val="0"/>
    <w:rPr>
      <w:rFonts w:ascii="Segoe UI" w:hAnsi="Segoe UI" w:cs="Segoe UI"/>
      <w:sz w:val="18"/>
      <w:szCs w:val="18"/>
    </w:rPr>
  </w:style>
  <w:style w:type="paragraph" w:styleId="4">
    <w:name w:val="Body Text"/>
    <w:basedOn w:val="1"/>
    <w:link w:val="19"/>
    <w:uiPriority w:val="99"/>
    <w:pPr>
      <w:widowControl w:val="0"/>
      <w:spacing w:after="280" w:line="276" w:lineRule="auto"/>
    </w:pPr>
    <w:rPr>
      <w:i/>
      <w:iCs/>
      <w:lang w:val="bg-BG"/>
    </w:rPr>
  </w:style>
  <w:style w:type="paragraph" w:styleId="5">
    <w:name w:val="annotation text"/>
    <w:basedOn w:val="1"/>
    <w:link w:val="22"/>
    <w:uiPriority w:val="0"/>
  </w:style>
  <w:style w:type="paragraph" w:styleId="6">
    <w:name w:val="annotation subject"/>
    <w:basedOn w:val="5"/>
    <w:next w:val="5"/>
    <w:link w:val="23"/>
    <w:uiPriority w:val="0"/>
    <w:rPr>
      <w:b/>
      <w:bCs/>
    </w:rPr>
  </w:style>
  <w:style w:type="paragraph" w:styleId="7">
    <w:name w:val="footer"/>
    <w:basedOn w:val="1"/>
    <w:uiPriority w:val="0"/>
    <w:pPr>
      <w:tabs>
        <w:tab w:val="center" w:pos="4153"/>
        <w:tab w:val="right" w:pos="8306"/>
      </w:tabs>
    </w:pPr>
  </w:style>
  <w:style w:type="paragraph" w:styleId="8">
    <w:name w:val="header"/>
    <w:basedOn w:val="1"/>
    <w:uiPriority w:val="0"/>
    <w:pPr>
      <w:tabs>
        <w:tab w:val="center" w:pos="4153"/>
        <w:tab w:val="right" w:pos="8306"/>
      </w:tabs>
    </w:p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bg-BG"/>
    </w:rPr>
  </w:style>
  <w:style w:type="paragraph" w:styleId="10">
    <w:name w:val="Plain Text"/>
    <w:basedOn w:val="1"/>
    <w:link w:val="17"/>
    <w:unhideWhenUsed/>
    <w:uiPriority w:val="99"/>
    <w:rPr>
      <w:rFonts w:ascii="Calibri" w:hAnsi="Calibri" w:eastAsia="Calibri"/>
      <w:sz w:val="22"/>
      <w:szCs w:val="21"/>
      <w:lang w:val="zh-CN" w:eastAsia="zh-CN"/>
    </w:rPr>
  </w:style>
  <w:style w:type="character" w:styleId="12">
    <w:name w:val="annotation reference"/>
    <w:uiPriority w:val="0"/>
    <w:rPr>
      <w:sz w:val="16"/>
      <w:szCs w:val="16"/>
    </w:rPr>
  </w:style>
  <w:style w:type="character" w:styleId="13">
    <w:name w:val="Hyperlink"/>
    <w:unhideWhenUsed/>
    <w:uiPriority w:val="99"/>
    <w:rPr>
      <w:color w:val="0000FF"/>
      <w:u w:val="single"/>
    </w:rPr>
  </w:style>
  <w:style w:type="character" w:styleId="14">
    <w:name w:val="page number"/>
    <w:basedOn w:val="11"/>
    <w:uiPriority w:val="0"/>
  </w:style>
  <w:style w:type="character" w:customStyle="1" w:styleId="16">
    <w:name w:val="groupwisereplyheader"/>
    <w:uiPriority w:val="0"/>
  </w:style>
  <w:style w:type="character" w:customStyle="1" w:styleId="17">
    <w:name w:val="Обикновен текст Знак"/>
    <w:link w:val="10"/>
    <w:uiPriority w:val="99"/>
    <w:rPr>
      <w:rFonts w:ascii="Calibri" w:hAnsi="Calibri" w:eastAsia="Calibri"/>
      <w:sz w:val="22"/>
      <w:szCs w:val="21"/>
    </w:rPr>
  </w:style>
  <w:style w:type="paragraph" w:customStyle="1" w:styleId="18">
    <w:name w:val="Нормален1"/>
    <w:basedOn w:val="1"/>
    <w:uiPriority w:val="0"/>
    <w:pPr>
      <w:widowControl w:val="0"/>
      <w:suppressAutoHyphens/>
    </w:pPr>
    <w:rPr>
      <w:sz w:val="24"/>
      <w:lang w:val="en-US"/>
    </w:rPr>
  </w:style>
  <w:style w:type="character" w:customStyle="1" w:styleId="19">
    <w:name w:val="Основен текст Знак"/>
    <w:link w:val="4"/>
    <w:qFormat/>
    <w:locked/>
    <w:uiPriority w:val="99"/>
    <w:rPr>
      <w:i/>
      <w:iCs/>
    </w:rPr>
  </w:style>
  <w:style w:type="character" w:customStyle="1" w:styleId="20">
    <w:name w:val="Body Text Char"/>
    <w:uiPriority w:val="0"/>
    <w:rPr>
      <w:lang w:val="en-AU"/>
    </w:rPr>
  </w:style>
  <w:style w:type="character" w:customStyle="1" w:styleId="21">
    <w:name w:val="Изнесен текст Знак"/>
    <w:link w:val="3"/>
    <w:uiPriority w:val="0"/>
    <w:rPr>
      <w:rFonts w:ascii="Segoe UI" w:hAnsi="Segoe UI" w:cs="Segoe UI"/>
      <w:sz w:val="18"/>
      <w:szCs w:val="18"/>
      <w:lang w:val="en-AU"/>
    </w:rPr>
  </w:style>
  <w:style w:type="character" w:customStyle="1" w:styleId="22">
    <w:name w:val="Текст на коментар Знак"/>
    <w:link w:val="5"/>
    <w:uiPriority w:val="0"/>
    <w:rPr>
      <w:lang w:val="en-AU"/>
    </w:rPr>
  </w:style>
  <w:style w:type="character" w:customStyle="1" w:styleId="23">
    <w:name w:val="Предмет на коментар Знак"/>
    <w:link w:val="6"/>
    <w:uiPriority w:val="0"/>
    <w:rPr>
      <w:b/>
      <w:bCs/>
      <w:lang w:val="en-AU"/>
    </w:rPr>
  </w:style>
  <w:style w:type="paragraph" w:styleId="2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366</Words>
  <Characters>2029</Characters>
  <Lines>16</Lines>
  <Paragraphs>4</Paragraphs>
  <TotalTime>3</TotalTime>
  <ScaleCrop>false</ScaleCrop>
  <LinksUpToDate>false</LinksUpToDate>
  <CharactersWithSpaces>2391</CharactersWithSpaces>
  <Application>WPS Office_10.2.0.7587_F1E327BC-269C-435d-A152-05C5408002CA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2023-07-31T07:24:00Z</dcterms:created>
  <dc:creator>SGabrovska</dc:creator>
  <cp:lastModifiedBy>User1</cp:lastModifiedBy>
  <cp:lastPrinted>2018-04-27T07:24:00Z</cp:lastPrinted>
  <dcterms:modified xsi:type="dcterms:W3CDTF">2024-07-29T13:02:04Z</dcterms:modified>
  <dc:titl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1033-10.2.0.7587</vt:lpwstr>
  </property>
</Properties>
</file>